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9A8" w:rsidRPr="00142E7D" w:rsidRDefault="00DA59A8" w:rsidP="00DA59A8">
      <w:pPr>
        <w:tabs>
          <w:tab w:val="center" w:pos="4153"/>
          <w:tab w:val="right" w:pos="8306"/>
        </w:tabs>
        <w:overflowPunct w:val="0"/>
        <w:snapToGrid w:val="0"/>
        <w:jc w:val="center"/>
        <w:rPr>
          <w:rFonts w:hint="eastAsia"/>
          <w:b/>
          <w:sz w:val="40"/>
          <w:szCs w:val="40"/>
        </w:rPr>
      </w:pPr>
    </w:p>
    <w:p w:rsidR="00DA59A8" w:rsidRPr="00142E7D" w:rsidRDefault="00DA59A8" w:rsidP="00DA59A8">
      <w:pPr>
        <w:tabs>
          <w:tab w:val="center" w:pos="4153"/>
          <w:tab w:val="right" w:pos="8306"/>
        </w:tabs>
        <w:overflowPunct w:val="0"/>
        <w:snapToGrid w:val="0"/>
        <w:jc w:val="center"/>
        <w:rPr>
          <w:b/>
          <w:sz w:val="40"/>
          <w:szCs w:val="40"/>
        </w:rPr>
      </w:pPr>
      <w:r w:rsidRPr="00142E7D">
        <w:rPr>
          <w: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0;text-align:left;margin-left:0;margin-top:63pt;width:221.25pt;height:221.25pt;z-index:251656704;mso-position-horizontal:center">
            <v:imagedata r:id="rId8" o:title=""/>
          </v:shape>
          <o:OLEObject Type="Embed" ProgID="MSPhotoEd.3" ShapeID="_x0000_s1049" DrawAspect="Content" ObjectID="_1520425551" r:id="rId9"/>
        </w:object>
      </w:r>
      <w:r w:rsidRPr="00142E7D">
        <w:rPr>
          <w:rFonts w:hint="eastAsia"/>
          <w:b/>
          <w:sz w:val="40"/>
          <w:szCs w:val="40"/>
        </w:rPr>
        <w:t>司法院釋字第七三四號解釋抄本</w:t>
      </w:r>
    </w:p>
    <w:p w:rsidR="00DA59A8" w:rsidRPr="00142E7D" w:rsidRDefault="00DA59A8" w:rsidP="00DA59A8">
      <w:pPr>
        <w:tabs>
          <w:tab w:val="center" w:pos="4153"/>
          <w:tab w:val="right" w:pos="8306"/>
        </w:tabs>
        <w:overflowPunct w:val="0"/>
        <w:snapToGrid w:val="0"/>
        <w:jc w:val="center"/>
        <w:rPr>
          <w:b/>
          <w:sz w:val="40"/>
          <w:szCs w:val="40"/>
        </w:rPr>
      </w:pPr>
    </w:p>
    <w:p w:rsidR="00DA59A8" w:rsidRPr="00142E7D" w:rsidRDefault="00DA59A8" w:rsidP="00DA59A8">
      <w:pPr>
        <w:tabs>
          <w:tab w:val="center" w:pos="4153"/>
          <w:tab w:val="right" w:pos="8306"/>
        </w:tabs>
        <w:overflowPunct w:val="0"/>
        <w:snapToGrid w:val="0"/>
        <w:jc w:val="center"/>
        <w:rPr>
          <w:b/>
          <w:sz w:val="40"/>
          <w:szCs w:val="40"/>
        </w:rPr>
      </w:pPr>
    </w:p>
    <w:p w:rsidR="00DA59A8" w:rsidRPr="00142E7D" w:rsidRDefault="00DA59A8" w:rsidP="00DA59A8">
      <w:pPr>
        <w:tabs>
          <w:tab w:val="center" w:pos="4153"/>
          <w:tab w:val="right" w:pos="8306"/>
        </w:tabs>
        <w:overflowPunct w:val="0"/>
        <w:snapToGrid w:val="0"/>
        <w:jc w:val="center"/>
        <w:rPr>
          <w:b/>
          <w:sz w:val="40"/>
          <w:szCs w:val="40"/>
        </w:rPr>
      </w:pPr>
    </w:p>
    <w:p w:rsidR="00DA59A8" w:rsidRPr="00142E7D" w:rsidRDefault="00DA59A8" w:rsidP="00DA59A8">
      <w:pPr>
        <w:tabs>
          <w:tab w:val="center" w:pos="4153"/>
          <w:tab w:val="right" w:pos="8306"/>
        </w:tabs>
        <w:overflowPunct w:val="0"/>
        <w:snapToGrid w:val="0"/>
        <w:jc w:val="center"/>
        <w:rPr>
          <w:b/>
          <w:sz w:val="40"/>
          <w:szCs w:val="40"/>
        </w:rPr>
      </w:pPr>
    </w:p>
    <w:p w:rsidR="00DA59A8" w:rsidRPr="00142E7D" w:rsidRDefault="00DA59A8" w:rsidP="00DA59A8">
      <w:pPr>
        <w:tabs>
          <w:tab w:val="center" w:pos="4153"/>
          <w:tab w:val="right" w:pos="8306"/>
        </w:tabs>
        <w:overflowPunct w:val="0"/>
        <w:snapToGrid w:val="0"/>
        <w:jc w:val="center"/>
        <w:rPr>
          <w:b/>
          <w:sz w:val="40"/>
          <w:szCs w:val="40"/>
        </w:rPr>
      </w:pPr>
    </w:p>
    <w:p w:rsidR="00DA59A8" w:rsidRPr="00142E7D" w:rsidRDefault="00DA59A8" w:rsidP="00DA59A8">
      <w:pPr>
        <w:tabs>
          <w:tab w:val="center" w:pos="4153"/>
          <w:tab w:val="right" w:pos="8306"/>
        </w:tabs>
        <w:overflowPunct w:val="0"/>
        <w:snapToGrid w:val="0"/>
        <w:jc w:val="center"/>
        <w:rPr>
          <w:b/>
          <w:sz w:val="40"/>
          <w:szCs w:val="40"/>
        </w:rPr>
      </w:pPr>
    </w:p>
    <w:p w:rsidR="00DA59A8" w:rsidRPr="00142E7D" w:rsidRDefault="00DA59A8" w:rsidP="00DA59A8">
      <w:pPr>
        <w:tabs>
          <w:tab w:val="center" w:pos="4153"/>
          <w:tab w:val="right" w:pos="8306"/>
        </w:tabs>
        <w:overflowPunct w:val="0"/>
        <w:snapToGrid w:val="0"/>
        <w:jc w:val="center"/>
        <w:rPr>
          <w:b/>
          <w:sz w:val="40"/>
          <w:szCs w:val="40"/>
        </w:rPr>
      </w:pPr>
    </w:p>
    <w:p w:rsidR="00DA59A8" w:rsidRPr="00142E7D" w:rsidRDefault="00DA59A8" w:rsidP="00DA59A8">
      <w:pPr>
        <w:tabs>
          <w:tab w:val="center" w:pos="4153"/>
          <w:tab w:val="right" w:pos="8306"/>
        </w:tabs>
        <w:overflowPunct w:val="0"/>
        <w:snapToGrid w:val="0"/>
        <w:jc w:val="center"/>
        <w:rPr>
          <w:b/>
          <w:sz w:val="40"/>
          <w:szCs w:val="40"/>
        </w:rPr>
      </w:pPr>
    </w:p>
    <w:p w:rsidR="00DA59A8" w:rsidRPr="00142E7D" w:rsidRDefault="00DA59A8" w:rsidP="00DA59A8">
      <w:pPr>
        <w:tabs>
          <w:tab w:val="center" w:pos="4153"/>
          <w:tab w:val="right" w:pos="8306"/>
        </w:tabs>
        <w:overflowPunct w:val="0"/>
        <w:snapToGrid w:val="0"/>
        <w:jc w:val="center"/>
        <w:rPr>
          <w:b/>
          <w:sz w:val="40"/>
          <w:szCs w:val="40"/>
        </w:rPr>
      </w:pPr>
    </w:p>
    <w:p w:rsidR="00DA59A8" w:rsidRPr="00142E7D" w:rsidRDefault="00DA59A8" w:rsidP="00DA59A8">
      <w:pPr>
        <w:tabs>
          <w:tab w:val="center" w:pos="4153"/>
          <w:tab w:val="right" w:pos="8306"/>
        </w:tabs>
        <w:overflowPunct w:val="0"/>
        <w:snapToGrid w:val="0"/>
        <w:jc w:val="center"/>
        <w:rPr>
          <w:b/>
          <w:sz w:val="40"/>
          <w:szCs w:val="40"/>
        </w:rPr>
      </w:pPr>
    </w:p>
    <w:p w:rsidR="00DA59A8" w:rsidRPr="00142E7D" w:rsidRDefault="00DA59A8" w:rsidP="00DA59A8">
      <w:pPr>
        <w:tabs>
          <w:tab w:val="center" w:pos="4153"/>
          <w:tab w:val="right" w:pos="8306"/>
        </w:tabs>
        <w:overflowPunct w:val="0"/>
        <w:snapToGrid w:val="0"/>
        <w:jc w:val="center"/>
        <w:rPr>
          <w:b/>
          <w:sz w:val="40"/>
          <w:szCs w:val="40"/>
        </w:rPr>
      </w:pPr>
    </w:p>
    <w:p w:rsidR="00DA59A8" w:rsidRPr="00142E7D" w:rsidRDefault="00DA59A8" w:rsidP="00113E75">
      <w:pPr>
        <w:tabs>
          <w:tab w:val="center" w:pos="4153"/>
          <w:tab w:val="right" w:pos="8306"/>
        </w:tabs>
        <w:overflowPunct w:val="0"/>
        <w:snapToGrid w:val="0"/>
        <w:jc w:val="center"/>
        <w:rPr>
          <w:b/>
          <w:sz w:val="40"/>
          <w:szCs w:val="40"/>
        </w:rPr>
      </w:pPr>
    </w:p>
    <w:p w:rsidR="00DA59A8" w:rsidRPr="00142E7D" w:rsidRDefault="00DA59A8" w:rsidP="00113E75">
      <w:pPr>
        <w:tabs>
          <w:tab w:val="center" w:pos="4153"/>
          <w:tab w:val="right" w:pos="8306"/>
        </w:tabs>
        <w:overflowPunct w:val="0"/>
        <w:snapToGrid w:val="0"/>
        <w:spacing w:line="580" w:lineRule="exact"/>
        <w:jc w:val="distribute"/>
        <w:rPr>
          <w:b/>
          <w:sz w:val="40"/>
          <w:szCs w:val="40"/>
        </w:rPr>
      </w:pPr>
      <w:r w:rsidRPr="00142E7D">
        <w:rPr>
          <w:rFonts w:hint="eastAsia"/>
        </w:rPr>
        <w:t>司法院公布令</w:t>
      </w:r>
      <w:r w:rsidRPr="00142E7D">
        <w:rPr>
          <w:rFonts w:ascii="標楷體" w:hAnsi="標楷體" w:hint="eastAsia"/>
        </w:rPr>
        <w:t>……………………………………………………………</w:t>
      </w:r>
      <w:r w:rsidRPr="00142E7D">
        <w:rPr>
          <w:rFonts w:hint="eastAsia"/>
        </w:rPr>
        <w:t>1</w:t>
      </w:r>
    </w:p>
    <w:p w:rsidR="00DA59A8" w:rsidRPr="00142E7D" w:rsidRDefault="00DA59A8" w:rsidP="00113E75">
      <w:pPr>
        <w:tabs>
          <w:tab w:val="center" w:pos="4153"/>
          <w:tab w:val="right" w:pos="8306"/>
        </w:tabs>
        <w:overflowPunct w:val="0"/>
        <w:snapToGrid w:val="0"/>
        <w:spacing w:line="580" w:lineRule="exact"/>
        <w:jc w:val="distribute"/>
      </w:pPr>
      <w:r w:rsidRPr="00142E7D">
        <w:rPr>
          <w:rFonts w:hint="eastAsia"/>
        </w:rPr>
        <w:t>解釋文及解釋理由書</w:t>
      </w:r>
      <w:r w:rsidRPr="00142E7D">
        <w:rPr>
          <w:rFonts w:ascii="標楷體" w:hAnsi="標楷體" w:hint="eastAsia"/>
        </w:rPr>
        <w:t>……………………………………………………</w:t>
      </w:r>
      <w:r w:rsidRPr="00142E7D">
        <w:t>1</w:t>
      </w:r>
    </w:p>
    <w:p w:rsidR="00DA59A8" w:rsidRPr="00142E7D" w:rsidRDefault="00E45DBB" w:rsidP="00113E75">
      <w:pPr>
        <w:tabs>
          <w:tab w:val="center" w:pos="4153"/>
          <w:tab w:val="right" w:pos="8306"/>
        </w:tabs>
        <w:overflowPunct w:val="0"/>
        <w:snapToGrid w:val="0"/>
        <w:spacing w:line="580" w:lineRule="exact"/>
        <w:rPr>
          <w:spacing w:val="8"/>
        </w:rPr>
      </w:pPr>
      <w:r w:rsidRPr="00142E7D">
        <w:rPr>
          <w:rFonts w:hint="eastAsia"/>
        </w:rPr>
        <w:t>蘇</w:t>
      </w:r>
      <w:r w:rsidR="00DA59A8" w:rsidRPr="00142E7D">
        <w:rPr>
          <w:rFonts w:hint="eastAsia"/>
        </w:rPr>
        <w:t>大法官</w:t>
      </w:r>
      <w:r w:rsidRPr="00142E7D">
        <w:rPr>
          <w:rFonts w:hint="eastAsia"/>
        </w:rPr>
        <w:t>永欽</w:t>
      </w:r>
      <w:r w:rsidR="00DA59A8" w:rsidRPr="00142E7D">
        <w:rPr>
          <w:rFonts w:hint="eastAsia"/>
        </w:rPr>
        <w:t>提出之協同意見書</w:t>
      </w:r>
      <w:r w:rsidR="00DA59A8" w:rsidRPr="0025124B">
        <w:rPr>
          <w:rFonts w:ascii="標楷體" w:hAnsi="標楷體" w:cs="新細明體" w:hint="eastAsia"/>
          <w:spacing w:val="6"/>
          <w:kern w:val="0"/>
          <w:fitText w:val="4961" w:id="1091211776"/>
        </w:rPr>
        <w:t>……………………………………</w:t>
      </w:r>
      <w:r w:rsidR="00DA59A8" w:rsidRPr="0025124B">
        <w:rPr>
          <w:rFonts w:ascii="標楷體" w:hAnsi="標楷體" w:cs="新細明體" w:hint="eastAsia"/>
          <w:spacing w:val="-3"/>
          <w:kern w:val="0"/>
          <w:fitText w:val="4961" w:id="1091211776"/>
        </w:rPr>
        <w:t>…</w:t>
      </w:r>
      <w:r w:rsidR="00B020CD" w:rsidRPr="00142E7D">
        <w:rPr>
          <w:rFonts w:hint="eastAsia"/>
          <w:kern w:val="0"/>
        </w:rPr>
        <w:t>4</w:t>
      </w:r>
    </w:p>
    <w:p w:rsidR="00DA59A8" w:rsidRPr="00142E7D" w:rsidRDefault="00DA59A8" w:rsidP="00113E75">
      <w:pPr>
        <w:tabs>
          <w:tab w:val="center" w:pos="4153"/>
          <w:tab w:val="right" w:pos="8306"/>
        </w:tabs>
        <w:overflowPunct w:val="0"/>
        <w:snapToGrid w:val="0"/>
        <w:spacing w:line="580" w:lineRule="exact"/>
        <w:jc w:val="both"/>
      </w:pPr>
      <w:r w:rsidRPr="00142E7D">
        <w:rPr>
          <w:rFonts w:hint="eastAsia"/>
        </w:rPr>
        <w:t>黃大法官茂榮提出之協同意見書</w:t>
      </w:r>
      <w:r w:rsidRPr="00142E7D">
        <w:rPr>
          <w:rFonts w:ascii="標楷體" w:hAnsi="標楷體" w:hint="eastAsia"/>
          <w:kern w:val="0"/>
        </w:rPr>
        <w:t>………………………………………</w:t>
      </w:r>
      <w:r w:rsidRPr="00142E7D">
        <w:rPr>
          <w:rFonts w:hint="eastAsia"/>
          <w:kern w:val="0"/>
        </w:rPr>
        <w:t>1</w:t>
      </w:r>
      <w:r w:rsidR="001041D6" w:rsidRPr="00142E7D">
        <w:rPr>
          <w:rFonts w:hint="eastAsia"/>
          <w:kern w:val="0"/>
        </w:rPr>
        <w:t>8</w:t>
      </w:r>
    </w:p>
    <w:p w:rsidR="00DA59A8" w:rsidRPr="00142E7D" w:rsidRDefault="00E45DBB" w:rsidP="00113E75">
      <w:pPr>
        <w:tabs>
          <w:tab w:val="center" w:pos="4153"/>
          <w:tab w:val="right" w:pos="8306"/>
        </w:tabs>
        <w:overflowPunct w:val="0"/>
        <w:snapToGrid w:val="0"/>
        <w:spacing w:line="580" w:lineRule="exact"/>
        <w:jc w:val="distribute"/>
        <w:rPr>
          <w:rFonts w:ascii="標楷體" w:hAnsi="標楷體" w:hint="eastAsia"/>
        </w:rPr>
      </w:pPr>
      <w:r w:rsidRPr="00142E7D">
        <w:rPr>
          <w:rFonts w:hint="eastAsia"/>
          <w:kern w:val="0"/>
        </w:rPr>
        <w:t>葉</w:t>
      </w:r>
      <w:r w:rsidR="00DA59A8" w:rsidRPr="00142E7D">
        <w:rPr>
          <w:rFonts w:hint="eastAsia"/>
          <w:kern w:val="0"/>
        </w:rPr>
        <w:t>大法官</w:t>
      </w:r>
      <w:r w:rsidRPr="00142E7D">
        <w:rPr>
          <w:rFonts w:hint="eastAsia"/>
          <w:kern w:val="0"/>
        </w:rPr>
        <w:t>百修</w:t>
      </w:r>
      <w:r w:rsidR="00DA59A8" w:rsidRPr="00142E7D">
        <w:rPr>
          <w:rFonts w:hint="eastAsia"/>
          <w:kern w:val="0"/>
        </w:rPr>
        <w:t>提出之協同意見書</w:t>
      </w:r>
      <w:r w:rsidR="00DA59A8" w:rsidRPr="00142E7D">
        <w:rPr>
          <w:rFonts w:ascii="標楷體" w:hAnsi="標楷體" w:hint="eastAsia"/>
        </w:rPr>
        <w:t>………………………………………</w:t>
      </w:r>
      <w:r w:rsidRPr="00142E7D">
        <w:rPr>
          <w:rFonts w:ascii="標楷體" w:hAnsi="標楷體" w:hint="eastAsia"/>
        </w:rPr>
        <w:t>2</w:t>
      </w:r>
      <w:r w:rsidR="001041D6" w:rsidRPr="00142E7D">
        <w:rPr>
          <w:rFonts w:ascii="標楷體" w:hAnsi="標楷體" w:hint="eastAsia"/>
        </w:rPr>
        <w:t>2</w:t>
      </w:r>
    </w:p>
    <w:p w:rsidR="00E45DBB" w:rsidRPr="00142E7D" w:rsidRDefault="00E45DBB" w:rsidP="00113E75">
      <w:pPr>
        <w:tabs>
          <w:tab w:val="center" w:pos="4153"/>
          <w:tab w:val="right" w:pos="8306"/>
        </w:tabs>
        <w:overflowPunct w:val="0"/>
        <w:snapToGrid w:val="0"/>
        <w:spacing w:line="580" w:lineRule="exact"/>
        <w:jc w:val="distribute"/>
        <w:rPr>
          <w:rFonts w:ascii="標楷體" w:hAnsi="標楷體" w:hint="eastAsia"/>
        </w:rPr>
      </w:pPr>
      <w:r w:rsidRPr="00142E7D">
        <w:rPr>
          <w:rFonts w:hint="eastAsia"/>
          <w:kern w:val="0"/>
        </w:rPr>
        <w:t>陳大法官春生提出之協同意見書</w:t>
      </w:r>
      <w:r w:rsidRPr="00142E7D">
        <w:rPr>
          <w:rFonts w:ascii="標楷體" w:hAnsi="標楷體" w:hint="eastAsia"/>
        </w:rPr>
        <w:t>………………………………………2</w:t>
      </w:r>
      <w:r w:rsidR="001041D6" w:rsidRPr="00142E7D">
        <w:rPr>
          <w:rFonts w:ascii="標楷體" w:hAnsi="標楷體" w:hint="eastAsia"/>
        </w:rPr>
        <w:t>8</w:t>
      </w:r>
    </w:p>
    <w:p w:rsidR="00E45DBB" w:rsidRPr="00142E7D" w:rsidRDefault="00E45DBB" w:rsidP="00113E75">
      <w:pPr>
        <w:tabs>
          <w:tab w:val="center" w:pos="4153"/>
          <w:tab w:val="right" w:pos="8306"/>
        </w:tabs>
        <w:overflowPunct w:val="0"/>
        <w:snapToGrid w:val="0"/>
        <w:spacing w:line="580" w:lineRule="exact"/>
        <w:jc w:val="distribute"/>
        <w:rPr>
          <w:rFonts w:ascii="標楷體" w:hAnsi="標楷體" w:hint="eastAsia"/>
        </w:rPr>
      </w:pPr>
      <w:r w:rsidRPr="00142E7D">
        <w:rPr>
          <w:rFonts w:hint="eastAsia"/>
          <w:kern w:val="0"/>
        </w:rPr>
        <w:t>陳大法官碧玉提出之協同意見書</w:t>
      </w:r>
      <w:r w:rsidRPr="00142E7D">
        <w:rPr>
          <w:rFonts w:ascii="標楷體" w:hAnsi="標楷體" w:hint="eastAsia"/>
        </w:rPr>
        <w:t>………………………………………3</w:t>
      </w:r>
      <w:r w:rsidR="001041D6" w:rsidRPr="00142E7D">
        <w:rPr>
          <w:rFonts w:ascii="標楷體" w:hAnsi="標楷體" w:hint="eastAsia"/>
        </w:rPr>
        <w:t>7</w:t>
      </w:r>
    </w:p>
    <w:p w:rsidR="00E45DBB" w:rsidRPr="00142E7D" w:rsidRDefault="00E45DBB" w:rsidP="00113E75">
      <w:pPr>
        <w:tabs>
          <w:tab w:val="center" w:pos="4153"/>
          <w:tab w:val="right" w:pos="8306"/>
        </w:tabs>
        <w:overflowPunct w:val="0"/>
        <w:snapToGrid w:val="0"/>
        <w:spacing w:line="580" w:lineRule="exact"/>
        <w:jc w:val="distribute"/>
        <w:rPr>
          <w:rFonts w:ascii="標楷體" w:hAnsi="標楷體" w:hint="eastAsia"/>
        </w:rPr>
      </w:pPr>
      <w:r w:rsidRPr="00142E7D">
        <w:rPr>
          <w:rFonts w:hint="eastAsia"/>
          <w:kern w:val="0"/>
        </w:rPr>
        <w:t>羅大法官昌發提出之協同意見書</w:t>
      </w:r>
      <w:r w:rsidRPr="00142E7D">
        <w:rPr>
          <w:rFonts w:ascii="標楷體" w:hAnsi="標楷體" w:hint="eastAsia"/>
        </w:rPr>
        <w:t>………………………………………</w:t>
      </w:r>
      <w:r w:rsidR="001041D6" w:rsidRPr="00142E7D">
        <w:rPr>
          <w:rFonts w:ascii="標楷體" w:hAnsi="標楷體" w:hint="eastAsia"/>
        </w:rPr>
        <w:t>41</w:t>
      </w:r>
    </w:p>
    <w:p w:rsidR="00E45DBB" w:rsidRPr="00142E7D" w:rsidRDefault="00E45DBB" w:rsidP="00113E75">
      <w:pPr>
        <w:tabs>
          <w:tab w:val="center" w:pos="4153"/>
          <w:tab w:val="right" w:pos="8306"/>
        </w:tabs>
        <w:overflowPunct w:val="0"/>
        <w:snapToGrid w:val="0"/>
        <w:spacing w:line="580" w:lineRule="exact"/>
        <w:jc w:val="distribute"/>
        <w:rPr>
          <w:rFonts w:ascii="標楷體" w:hAnsi="標楷體" w:hint="eastAsia"/>
        </w:rPr>
      </w:pPr>
      <w:r w:rsidRPr="00142E7D">
        <w:rPr>
          <w:rFonts w:hint="eastAsia"/>
          <w:kern w:val="0"/>
        </w:rPr>
        <w:t>蔡大法官明誠提出之協同意見書</w:t>
      </w:r>
      <w:r w:rsidRPr="00142E7D">
        <w:rPr>
          <w:rFonts w:ascii="標楷體" w:hAnsi="標楷體" w:hint="eastAsia"/>
        </w:rPr>
        <w:t>………………………………………4</w:t>
      </w:r>
      <w:r w:rsidR="001041D6" w:rsidRPr="00142E7D">
        <w:rPr>
          <w:rFonts w:ascii="標楷體" w:hAnsi="標楷體" w:hint="eastAsia"/>
        </w:rPr>
        <w:t>6</w:t>
      </w:r>
    </w:p>
    <w:p w:rsidR="00DA59A8" w:rsidRPr="00142E7D" w:rsidRDefault="00E45DBB" w:rsidP="00113E75">
      <w:pPr>
        <w:tabs>
          <w:tab w:val="center" w:pos="4153"/>
          <w:tab w:val="right" w:pos="8306"/>
        </w:tabs>
        <w:kinsoku w:val="0"/>
        <w:overflowPunct w:val="0"/>
        <w:snapToGrid w:val="0"/>
        <w:spacing w:line="580" w:lineRule="exact"/>
        <w:jc w:val="distribute"/>
      </w:pPr>
      <w:r w:rsidRPr="00142E7D">
        <w:rPr>
          <w:rFonts w:hint="eastAsia"/>
        </w:rPr>
        <w:t>陳</w:t>
      </w:r>
      <w:r w:rsidR="00DA59A8" w:rsidRPr="00142E7D">
        <w:rPr>
          <w:rFonts w:hint="eastAsia"/>
        </w:rPr>
        <w:t>大法官</w:t>
      </w:r>
      <w:r w:rsidRPr="00142E7D">
        <w:rPr>
          <w:rFonts w:hint="eastAsia"/>
        </w:rPr>
        <w:t>新民</w:t>
      </w:r>
      <w:r w:rsidR="00DA59A8" w:rsidRPr="00142E7D">
        <w:rPr>
          <w:rFonts w:hint="eastAsia"/>
        </w:rPr>
        <w:t>提出之部分協同部分不同意見書</w:t>
      </w:r>
      <w:r w:rsidR="00DA59A8" w:rsidRPr="00142E7D">
        <w:rPr>
          <w:rFonts w:ascii="標楷體" w:hAnsi="標楷體" w:hint="eastAsia"/>
        </w:rPr>
        <w:t>………………………</w:t>
      </w:r>
      <w:r w:rsidR="001041D6" w:rsidRPr="00142E7D">
        <w:rPr>
          <w:rFonts w:ascii="標楷體" w:hAnsi="標楷體" w:hint="eastAsia"/>
        </w:rPr>
        <w:t>52</w:t>
      </w:r>
    </w:p>
    <w:p w:rsidR="00DA59A8" w:rsidRPr="00142E7D" w:rsidRDefault="00E45DBB" w:rsidP="00113E75">
      <w:pPr>
        <w:tabs>
          <w:tab w:val="center" w:pos="4153"/>
          <w:tab w:val="right" w:pos="8306"/>
        </w:tabs>
        <w:kinsoku w:val="0"/>
        <w:overflowPunct w:val="0"/>
        <w:snapToGrid w:val="0"/>
        <w:spacing w:line="580" w:lineRule="exact"/>
        <w:jc w:val="distribute"/>
        <w:rPr>
          <w:rFonts w:ascii="標楷體" w:hAnsi="標楷體" w:hint="eastAsia"/>
        </w:rPr>
      </w:pPr>
      <w:r w:rsidRPr="00142E7D">
        <w:rPr>
          <w:rFonts w:hint="eastAsia"/>
        </w:rPr>
        <w:t>湯</w:t>
      </w:r>
      <w:r w:rsidR="00DA59A8" w:rsidRPr="00142E7D">
        <w:rPr>
          <w:rFonts w:hint="eastAsia"/>
        </w:rPr>
        <w:t>大法官</w:t>
      </w:r>
      <w:r w:rsidRPr="00142E7D">
        <w:rPr>
          <w:rFonts w:hint="eastAsia"/>
        </w:rPr>
        <w:t>德宗</w:t>
      </w:r>
      <w:r w:rsidR="00DA59A8" w:rsidRPr="00142E7D">
        <w:rPr>
          <w:rFonts w:hint="eastAsia"/>
        </w:rPr>
        <w:t>提出之部分協同部分不同意見書</w:t>
      </w:r>
      <w:r w:rsidR="00DA59A8" w:rsidRPr="00142E7D">
        <w:rPr>
          <w:rFonts w:ascii="標楷體" w:hAnsi="標楷體" w:hint="eastAsia"/>
        </w:rPr>
        <w:t>…</w:t>
      </w:r>
      <w:r w:rsidRPr="00142E7D">
        <w:rPr>
          <w:rFonts w:ascii="標楷體" w:hAnsi="標楷體" w:hint="eastAsia"/>
        </w:rPr>
        <w:t>……</w:t>
      </w:r>
      <w:r w:rsidR="00DA59A8" w:rsidRPr="00142E7D">
        <w:rPr>
          <w:rFonts w:ascii="標楷體" w:hAnsi="標楷體" w:hint="eastAsia"/>
        </w:rPr>
        <w:t>……………</w:t>
      </w:r>
      <w:r w:rsidRPr="00142E7D">
        <w:rPr>
          <w:rFonts w:ascii="標楷體" w:hAnsi="標楷體" w:hint="eastAsia"/>
        </w:rPr>
        <w:t>6</w:t>
      </w:r>
      <w:r w:rsidR="001041D6" w:rsidRPr="00142E7D">
        <w:rPr>
          <w:rFonts w:ascii="標楷體" w:hAnsi="標楷體" w:hint="eastAsia"/>
        </w:rPr>
        <w:t>9</w:t>
      </w:r>
    </w:p>
    <w:p w:rsidR="00E45DBB" w:rsidRPr="00142E7D" w:rsidRDefault="00E45DBB" w:rsidP="00113E75">
      <w:pPr>
        <w:tabs>
          <w:tab w:val="center" w:pos="4153"/>
          <w:tab w:val="right" w:pos="8306"/>
        </w:tabs>
        <w:kinsoku w:val="0"/>
        <w:overflowPunct w:val="0"/>
        <w:snapToGrid w:val="0"/>
        <w:spacing w:line="580" w:lineRule="exact"/>
        <w:jc w:val="distribute"/>
      </w:pPr>
      <w:r w:rsidRPr="00142E7D">
        <w:rPr>
          <w:rFonts w:ascii="標楷體" w:hAnsi="標楷體" w:hint="eastAsia"/>
        </w:rPr>
        <w:t>黃大法官璽君提出之部</w:t>
      </w:r>
      <w:r w:rsidR="00541E24" w:rsidRPr="00142E7D">
        <w:rPr>
          <w:rFonts w:hint="eastAsia"/>
        </w:rPr>
        <w:t>分</w:t>
      </w:r>
      <w:r w:rsidRPr="00142E7D">
        <w:rPr>
          <w:rFonts w:ascii="標楷體" w:hAnsi="標楷體" w:hint="eastAsia"/>
        </w:rPr>
        <w:t>不同意見書…………………</w:t>
      </w:r>
      <w:r w:rsidR="00113E75" w:rsidRPr="00142E7D">
        <w:rPr>
          <w:rFonts w:ascii="標楷體" w:hAnsi="標楷體" w:hint="eastAsia"/>
        </w:rPr>
        <w:t>…</w:t>
      </w:r>
      <w:r w:rsidRPr="00142E7D">
        <w:rPr>
          <w:rFonts w:ascii="標楷體" w:hAnsi="標楷體" w:hint="eastAsia"/>
        </w:rPr>
        <w:t>……………</w:t>
      </w:r>
      <w:r w:rsidR="009145CF" w:rsidRPr="00142E7D">
        <w:rPr>
          <w:rFonts w:ascii="標楷體" w:hAnsi="標楷體" w:hint="eastAsia"/>
        </w:rPr>
        <w:t>74</w:t>
      </w:r>
    </w:p>
    <w:p w:rsidR="00113E75" w:rsidRPr="00142E7D" w:rsidRDefault="00113E75" w:rsidP="00113E75">
      <w:pPr>
        <w:tabs>
          <w:tab w:val="center" w:pos="4153"/>
          <w:tab w:val="right" w:pos="8306"/>
        </w:tabs>
        <w:overflowPunct w:val="0"/>
        <w:snapToGrid w:val="0"/>
        <w:spacing w:line="600" w:lineRule="exact"/>
        <w:jc w:val="distribute"/>
        <w:rPr>
          <w:rFonts w:hint="eastAsia"/>
        </w:rPr>
      </w:pPr>
      <w:r w:rsidRPr="00142E7D">
        <w:rPr>
          <w:rFonts w:ascii="標楷體" w:hAnsi="標楷體" w:hint="eastAsia"/>
        </w:rPr>
        <w:t>黃大法官</w:t>
      </w:r>
      <w:r w:rsidR="005917B7" w:rsidRPr="00142E7D">
        <w:rPr>
          <w:rFonts w:ascii="標楷體" w:hAnsi="標楷體" w:hint="eastAsia"/>
        </w:rPr>
        <w:t>虹霞</w:t>
      </w:r>
      <w:r w:rsidRPr="00142E7D">
        <w:rPr>
          <w:rFonts w:ascii="標楷體" w:hAnsi="標楷體" w:hint="eastAsia"/>
        </w:rPr>
        <w:t>提出之不同意見書………</w:t>
      </w:r>
      <w:r w:rsidR="005917B7" w:rsidRPr="00142E7D">
        <w:rPr>
          <w:rFonts w:ascii="標楷體" w:hAnsi="標楷體" w:hint="eastAsia"/>
        </w:rPr>
        <w:t>………</w:t>
      </w:r>
      <w:r w:rsidRPr="00142E7D">
        <w:rPr>
          <w:rFonts w:ascii="標楷體" w:hAnsi="標楷體" w:hint="eastAsia"/>
        </w:rPr>
        <w:t>………………………</w:t>
      </w:r>
      <w:r w:rsidR="00844BC5" w:rsidRPr="00142E7D">
        <w:rPr>
          <w:rFonts w:ascii="標楷體" w:hAnsi="標楷體" w:hint="eastAsia"/>
        </w:rPr>
        <w:t>7</w:t>
      </w:r>
      <w:r w:rsidR="009145CF" w:rsidRPr="00142E7D">
        <w:rPr>
          <w:rFonts w:ascii="標楷體" w:hAnsi="標楷體" w:hint="eastAsia"/>
        </w:rPr>
        <w:t>6</w:t>
      </w:r>
    </w:p>
    <w:p w:rsidR="00113E75" w:rsidRPr="00142E7D" w:rsidRDefault="00113E75" w:rsidP="00113E75">
      <w:pPr>
        <w:tabs>
          <w:tab w:val="center" w:pos="4153"/>
          <w:tab w:val="right" w:pos="8306"/>
        </w:tabs>
        <w:overflowPunct w:val="0"/>
        <w:snapToGrid w:val="0"/>
        <w:spacing w:line="600" w:lineRule="exact"/>
        <w:jc w:val="distribute"/>
        <w:sectPr w:rsidR="00113E75" w:rsidRPr="00142E7D" w:rsidSect="007949A7">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851" w:left="1134" w:header="851" w:footer="992" w:gutter="0"/>
          <w:pgNumType w:start="1"/>
          <w:cols w:space="425"/>
          <w:titlePg/>
          <w:docGrid w:linePitch="435"/>
        </w:sectPr>
      </w:pPr>
    </w:p>
    <w:p w:rsidR="00DA59A8" w:rsidRPr="00142E7D" w:rsidRDefault="00263ECA" w:rsidP="00DA59A8">
      <w:pPr>
        <w:kinsoku w:val="0"/>
        <w:overflowPunct w:val="0"/>
        <w:spacing w:before="1080" w:after="1080"/>
      </w:pPr>
      <w:r w:rsidRPr="00142E7D">
        <w:rPr>
          <w:noProof/>
          <w:sz w:val="24"/>
        </w:rPr>
        <w:lastRenderedPageBreak/>
        <mc:AlternateContent>
          <mc:Choice Requires="wps">
            <w:drawing>
              <wp:anchor distT="0" distB="0" distL="114300" distR="114300" simplePos="0" relativeHeight="251658752" behindDoc="0" locked="0" layoutInCell="1" allowOverlap="1">
                <wp:simplePos x="0" y="0"/>
                <wp:positionH relativeFrom="column">
                  <wp:posOffset>2117725</wp:posOffset>
                </wp:positionH>
                <wp:positionV relativeFrom="paragraph">
                  <wp:posOffset>521970</wp:posOffset>
                </wp:positionV>
                <wp:extent cx="2011680" cy="550545"/>
                <wp:effectExtent l="0" t="3175"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550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1E1" w:rsidRDefault="002031E1" w:rsidP="00DA59A8">
                            <w:pPr>
                              <w:spacing w:line="900" w:lineRule="exact"/>
                              <w:jc w:val="center"/>
                              <w:rPr>
                                <w:rFonts w:ascii="華康粗黑體" w:eastAsia="華康粗黑體"/>
                                <w:sz w:val="90"/>
                              </w:rPr>
                            </w:pPr>
                            <w:r w:rsidRPr="00A426E3">
                              <w:rPr>
                                <w:rFonts w:ascii="華康粗黑體" w:eastAsia="華康粗黑體" w:hint="eastAsia"/>
                                <w:sz w:val="90"/>
                              </w:rPr>
                              <w:t>解</w:t>
                            </w:r>
                            <w:r w:rsidRPr="00A426E3">
                              <w:rPr>
                                <w:rFonts w:ascii="細明體" w:eastAsia="細明體" w:hAnsi="細明體" w:cs="細明體" w:hint="eastAsia"/>
                                <w:sz w:val="90"/>
                              </w:rPr>
                              <w:t xml:space="preserve">　</w:t>
                            </w:r>
                            <w:r w:rsidRPr="00A426E3">
                              <w:rPr>
                                <w:rFonts w:ascii="華康粗黑體" w:eastAsia="華康粗黑體" w:hint="eastAsia"/>
                                <w:sz w:val="90"/>
                              </w:rPr>
                              <w:t>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166.75pt;margin-top:41.1pt;width:158.4pt;height:4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" stroked="f">
                <v:textbox inset="0,0,0,0">
                  <w:txbxContent>
                    <w:p w:rsidR="002031E1" w:rsidRDefault="002031E1" w:rsidP="00DA59A8">
                      <w:pPr>
                        <w:spacing w:line="900" w:lineRule="exact"/>
                        <w:jc w:val="center"/>
                        <w:rPr>
                          <w:rFonts w:ascii="華康粗黑體" w:eastAsia="華康粗黑體"/>
                          <w:sz w:val="90"/>
                        </w:rPr>
                      </w:pPr>
                      <w:r w:rsidRPr="00A426E3">
                        <w:rPr>
                          <w:rFonts w:ascii="華康粗黑體" w:eastAsia="華康粗黑體" w:hint="eastAsia"/>
                          <w:sz w:val="90"/>
                        </w:rPr>
                        <w:t>解</w:t>
                      </w:r>
                      <w:r w:rsidRPr="00A426E3">
                        <w:rPr>
                          <w:rFonts w:ascii="細明體" w:eastAsia="細明體" w:hAnsi="細明體" w:cs="細明體" w:hint="eastAsia"/>
                          <w:sz w:val="90"/>
                        </w:rPr>
                        <w:t xml:space="preserve">　</w:t>
                      </w:r>
                      <w:r w:rsidRPr="00A426E3">
                        <w:rPr>
                          <w:rFonts w:ascii="華康粗黑體" w:eastAsia="華康粗黑體" w:hint="eastAsia"/>
                          <w:sz w:val="90"/>
                        </w:rPr>
                        <w:t>釋</w:t>
                      </w:r>
                    </w:p>
                  </w:txbxContent>
                </v:textbox>
              </v:shape>
            </w:pict>
          </mc:Fallback>
        </mc:AlternateContent>
      </w:r>
      <w:r w:rsidRPr="00142E7D">
        <w:rPr>
          <w:rFonts w:hint="eastAsia"/>
          <w:noProof/>
        </w:rPr>
        <w:drawing>
          <wp:anchor distT="0" distB="0" distL="114300" distR="114300" simplePos="0" relativeHeight="251657728" behindDoc="1" locked="1" layoutInCell="1" allowOverlap="1">
            <wp:simplePos x="0" y="0"/>
            <wp:positionH relativeFrom="column">
              <wp:posOffset>2070100</wp:posOffset>
            </wp:positionH>
            <wp:positionV relativeFrom="paragraph">
              <wp:posOffset>360045</wp:posOffset>
            </wp:positionV>
            <wp:extent cx="2152650" cy="895350"/>
            <wp:effectExtent l="0" t="0" r="0" b="0"/>
            <wp:wrapNone/>
            <wp:docPr id="26" name="圖片 4" descr="令函-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令函-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5265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59A8" w:rsidRPr="00142E7D" w:rsidRDefault="00DA59A8" w:rsidP="00AE2A20">
      <w:pPr>
        <w:kinsoku w:val="0"/>
        <w:overflowPunct w:val="0"/>
        <w:spacing w:after="60" w:line="402" w:lineRule="exact"/>
        <w:jc w:val="center"/>
        <w:rPr>
          <w:b/>
          <w:bCs/>
          <w:sz w:val="40"/>
          <w:szCs w:val="24"/>
        </w:rPr>
      </w:pPr>
      <w:r w:rsidRPr="00142E7D">
        <w:rPr>
          <w:b/>
          <w:bCs/>
          <w:sz w:val="40"/>
          <w:szCs w:val="24"/>
        </w:rPr>
        <w:t>司法院　令</w:t>
      </w:r>
    </w:p>
    <w:p w:rsidR="00DA59A8" w:rsidRPr="00142E7D" w:rsidRDefault="00DA59A8" w:rsidP="00AE2A20">
      <w:pPr>
        <w:overflowPunct w:val="0"/>
        <w:autoSpaceDE w:val="0"/>
        <w:autoSpaceDN w:val="0"/>
        <w:spacing w:line="402" w:lineRule="exact"/>
        <w:jc w:val="both"/>
        <w:textAlignment w:val="baseline"/>
      </w:pPr>
    </w:p>
    <w:p w:rsidR="00DA59A8" w:rsidRPr="00142E7D" w:rsidRDefault="00DA59A8" w:rsidP="00AE2A20">
      <w:pPr>
        <w:overflowPunct w:val="0"/>
        <w:autoSpaceDE w:val="0"/>
        <w:autoSpaceDN w:val="0"/>
        <w:spacing w:before="120" w:line="402" w:lineRule="exact"/>
        <w:jc w:val="both"/>
        <w:textAlignment w:val="baseline"/>
        <w:rPr>
          <w:kern w:val="0"/>
          <w:sz w:val="28"/>
        </w:rPr>
      </w:pPr>
      <w:r w:rsidRPr="00142E7D">
        <w:rPr>
          <w:rFonts w:hint="eastAsia"/>
          <w:sz w:val="28"/>
        </w:rPr>
        <w:t>發文日期：</w:t>
      </w:r>
      <w:r w:rsidRPr="00263ECA">
        <w:rPr>
          <w:rFonts w:hint="eastAsia"/>
          <w:spacing w:val="28"/>
          <w:kern w:val="0"/>
          <w:sz w:val="28"/>
          <w:fitText w:val="3459" w:id="1091211777"/>
        </w:rPr>
        <w:t>中華民國</w:t>
      </w:r>
      <w:r w:rsidRPr="00263ECA">
        <w:rPr>
          <w:spacing w:val="28"/>
          <w:kern w:val="0"/>
          <w:sz w:val="28"/>
          <w:fitText w:val="3459" w:id="1091211777"/>
        </w:rPr>
        <w:t>104</w:t>
      </w:r>
      <w:r w:rsidRPr="00263ECA">
        <w:rPr>
          <w:rFonts w:hint="eastAsia"/>
          <w:spacing w:val="28"/>
          <w:kern w:val="0"/>
          <w:sz w:val="28"/>
          <w:fitText w:val="3459" w:id="1091211777"/>
        </w:rPr>
        <w:t>年</w:t>
      </w:r>
      <w:r w:rsidRPr="00263ECA">
        <w:rPr>
          <w:rFonts w:hint="eastAsia"/>
          <w:spacing w:val="28"/>
          <w:kern w:val="0"/>
          <w:sz w:val="28"/>
          <w:fitText w:val="3459" w:id="1091211777"/>
        </w:rPr>
        <w:t>12</w:t>
      </w:r>
      <w:r w:rsidRPr="00263ECA">
        <w:rPr>
          <w:rFonts w:hint="eastAsia"/>
          <w:spacing w:val="28"/>
          <w:kern w:val="0"/>
          <w:sz w:val="28"/>
          <w:fitText w:val="3459" w:id="1091211777"/>
        </w:rPr>
        <w:t>月</w:t>
      </w:r>
      <w:r w:rsidRPr="00263ECA">
        <w:rPr>
          <w:rFonts w:hint="eastAsia"/>
          <w:spacing w:val="28"/>
          <w:kern w:val="0"/>
          <w:sz w:val="28"/>
          <w:fitText w:val="3459" w:id="1091211777"/>
        </w:rPr>
        <w:t>18</w:t>
      </w:r>
      <w:r w:rsidRPr="00263ECA">
        <w:rPr>
          <w:rFonts w:hint="eastAsia"/>
          <w:spacing w:val="-6"/>
          <w:kern w:val="0"/>
          <w:sz w:val="28"/>
          <w:fitText w:val="3459" w:id="1091211777"/>
        </w:rPr>
        <w:t>日</w:t>
      </w:r>
    </w:p>
    <w:p w:rsidR="00DA59A8" w:rsidRPr="00142E7D" w:rsidRDefault="00DA59A8" w:rsidP="00AE2A20">
      <w:pPr>
        <w:overflowPunct w:val="0"/>
        <w:autoSpaceDE w:val="0"/>
        <w:autoSpaceDN w:val="0"/>
        <w:spacing w:after="120" w:line="402" w:lineRule="exact"/>
        <w:jc w:val="both"/>
        <w:textAlignment w:val="baseline"/>
      </w:pPr>
      <w:r w:rsidRPr="00142E7D">
        <w:rPr>
          <w:rFonts w:hint="eastAsia"/>
          <w:sz w:val="28"/>
        </w:rPr>
        <w:t>發文字號：</w:t>
      </w:r>
      <w:r w:rsidRPr="00263ECA">
        <w:rPr>
          <w:rFonts w:hint="eastAsia"/>
          <w:spacing w:val="6"/>
          <w:kern w:val="0"/>
          <w:sz w:val="28"/>
          <w:fitText w:val="3459" w:id="1091211778"/>
        </w:rPr>
        <w:t>院台大二字第</w:t>
      </w:r>
      <w:r w:rsidRPr="00263ECA">
        <w:rPr>
          <w:spacing w:val="6"/>
          <w:kern w:val="0"/>
          <w:sz w:val="28"/>
          <w:fitText w:val="3459" w:id="1091211778"/>
        </w:rPr>
        <w:t>10400</w:t>
      </w:r>
      <w:r w:rsidRPr="00263ECA">
        <w:rPr>
          <w:rFonts w:hint="eastAsia"/>
          <w:spacing w:val="6"/>
          <w:kern w:val="0"/>
          <w:sz w:val="28"/>
          <w:fitText w:val="3459" w:id="1091211778"/>
        </w:rPr>
        <w:t>34892</w:t>
      </w:r>
      <w:r w:rsidRPr="00263ECA">
        <w:rPr>
          <w:rFonts w:hint="eastAsia"/>
          <w:spacing w:val="-16"/>
          <w:kern w:val="0"/>
          <w:sz w:val="28"/>
          <w:fitText w:val="3459" w:id="1091211778"/>
        </w:rPr>
        <w:t>號</w:t>
      </w:r>
    </w:p>
    <w:p w:rsidR="00DA59A8" w:rsidRPr="00142E7D" w:rsidRDefault="00DA59A8" w:rsidP="00AE2A20">
      <w:pPr>
        <w:overflowPunct w:val="0"/>
        <w:autoSpaceDE w:val="0"/>
        <w:autoSpaceDN w:val="0"/>
        <w:spacing w:line="402" w:lineRule="exact"/>
        <w:jc w:val="both"/>
        <w:textAlignment w:val="baseline"/>
        <w:rPr>
          <w:rFonts w:eastAsia="華康粗黑體"/>
          <w:sz w:val="28"/>
          <w:szCs w:val="28"/>
        </w:rPr>
      </w:pPr>
      <w:r w:rsidRPr="00142E7D">
        <w:rPr>
          <w:rFonts w:eastAsia="華康粗黑體" w:hint="eastAsia"/>
          <w:sz w:val="28"/>
          <w:szCs w:val="28"/>
        </w:rPr>
        <w:t>公布本院大法官議決釋字第七三四號解釋</w:t>
      </w:r>
    </w:p>
    <w:p w:rsidR="00DA59A8" w:rsidRPr="00142E7D" w:rsidRDefault="00DA59A8" w:rsidP="00AE2A20">
      <w:pPr>
        <w:overflowPunct w:val="0"/>
        <w:autoSpaceDE w:val="0"/>
        <w:autoSpaceDN w:val="0"/>
        <w:spacing w:line="402" w:lineRule="exact"/>
        <w:jc w:val="both"/>
        <w:textAlignment w:val="baseline"/>
        <w:rPr>
          <w:rFonts w:eastAsia="華康粗黑體"/>
          <w:sz w:val="28"/>
          <w:szCs w:val="28"/>
        </w:rPr>
      </w:pPr>
      <w:r w:rsidRPr="00142E7D">
        <w:rPr>
          <w:rFonts w:eastAsia="華康粗黑體" w:hint="eastAsia"/>
          <w:sz w:val="28"/>
          <w:szCs w:val="28"/>
        </w:rPr>
        <w:t xml:space="preserve">　附釋字第七三四號解釋</w:t>
      </w:r>
    </w:p>
    <w:p w:rsidR="00DA59A8" w:rsidRPr="00142E7D" w:rsidRDefault="00DA59A8" w:rsidP="00AE2A20">
      <w:pPr>
        <w:overflowPunct w:val="0"/>
        <w:autoSpaceDE w:val="0"/>
        <w:autoSpaceDN w:val="0"/>
        <w:spacing w:before="120" w:after="120" w:line="402" w:lineRule="exact"/>
        <w:ind w:right="641"/>
        <w:jc w:val="both"/>
        <w:textAlignment w:val="baseline"/>
        <w:rPr>
          <w:sz w:val="28"/>
          <w:szCs w:val="28"/>
        </w:rPr>
      </w:pPr>
      <w:r w:rsidRPr="00142E7D">
        <w:rPr>
          <w:rFonts w:hint="eastAsia"/>
          <w:sz w:val="28"/>
          <w:szCs w:val="28"/>
        </w:rPr>
        <w:t>院長　賴　浩　敏</w:t>
      </w:r>
    </w:p>
    <w:p w:rsidR="004866CB" w:rsidRPr="00142E7D" w:rsidRDefault="004866CB" w:rsidP="004866CB">
      <w:pPr>
        <w:kinsoku w:val="0"/>
        <w:overflowPunct w:val="0"/>
        <w:spacing w:line="400" w:lineRule="exact"/>
        <w:jc w:val="both"/>
        <w:textAlignment w:val="baseline"/>
        <w:rPr>
          <w:rFonts w:hint="eastAsia"/>
          <w:sz w:val="28"/>
          <w:szCs w:val="28"/>
        </w:rPr>
      </w:pPr>
    </w:p>
    <w:p w:rsidR="004866CB" w:rsidRPr="00142E7D" w:rsidRDefault="004866CB" w:rsidP="004866CB">
      <w:pPr>
        <w:kinsoku w:val="0"/>
        <w:overflowPunct w:val="0"/>
        <w:spacing w:before="120" w:line="400" w:lineRule="exact"/>
        <w:jc w:val="both"/>
        <w:textAlignment w:val="baseline"/>
        <w:rPr>
          <w:kern w:val="0"/>
          <w:sz w:val="28"/>
        </w:rPr>
      </w:pPr>
      <w:r w:rsidRPr="00142E7D">
        <w:rPr>
          <w:rFonts w:hAnsi="標楷體"/>
          <w:sz w:val="28"/>
        </w:rPr>
        <w:t>發文日期：</w:t>
      </w:r>
      <w:r w:rsidRPr="00263ECA">
        <w:rPr>
          <w:rFonts w:hAnsi="標楷體"/>
          <w:spacing w:val="11"/>
          <w:kern w:val="0"/>
          <w:sz w:val="28"/>
          <w:fitText w:val="3459" w:id="1115315200"/>
        </w:rPr>
        <w:t>中華民國</w:t>
      </w:r>
      <w:r w:rsidRPr="00263ECA">
        <w:rPr>
          <w:spacing w:val="11"/>
          <w:kern w:val="0"/>
          <w:sz w:val="28"/>
          <w:fitText w:val="3459" w:id="1115315200"/>
        </w:rPr>
        <w:t>10</w:t>
      </w:r>
      <w:r w:rsidRPr="00263ECA">
        <w:rPr>
          <w:rFonts w:hint="eastAsia"/>
          <w:spacing w:val="11"/>
          <w:kern w:val="0"/>
          <w:sz w:val="28"/>
          <w:fitText w:val="3459" w:id="1115315200"/>
        </w:rPr>
        <w:t>5</w:t>
      </w:r>
      <w:r w:rsidRPr="00263ECA">
        <w:rPr>
          <w:rFonts w:hAnsi="標楷體"/>
          <w:spacing w:val="11"/>
          <w:kern w:val="0"/>
          <w:sz w:val="28"/>
          <w:fitText w:val="3459" w:id="1115315200"/>
        </w:rPr>
        <w:t>年</w:t>
      </w:r>
      <w:r w:rsidRPr="00263ECA">
        <w:rPr>
          <w:rFonts w:hint="eastAsia"/>
          <w:spacing w:val="11"/>
          <w:kern w:val="0"/>
          <w:sz w:val="28"/>
          <w:fitText w:val="3459" w:id="1115315200"/>
        </w:rPr>
        <w:t>2</w:t>
      </w:r>
      <w:r w:rsidRPr="00263ECA">
        <w:rPr>
          <w:rFonts w:hAnsi="標楷體"/>
          <w:spacing w:val="11"/>
          <w:kern w:val="0"/>
          <w:sz w:val="28"/>
          <w:fitText w:val="3459" w:id="1115315200"/>
        </w:rPr>
        <w:t>月</w:t>
      </w:r>
      <w:r w:rsidRPr="00263ECA">
        <w:rPr>
          <w:rFonts w:hAnsi="標楷體" w:hint="eastAsia"/>
          <w:spacing w:val="11"/>
          <w:kern w:val="0"/>
          <w:sz w:val="28"/>
          <w:fitText w:val="3459" w:id="1115315200"/>
        </w:rPr>
        <w:t>15</w:t>
      </w:r>
      <w:r w:rsidRPr="00263ECA">
        <w:rPr>
          <w:rFonts w:hAnsi="標楷體"/>
          <w:spacing w:val="4"/>
          <w:kern w:val="0"/>
          <w:sz w:val="28"/>
          <w:fitText w:val="3459" w:id="1115315200"/>
        </w:rPr>
        <w:t>日</w:t>
      </w:r>
    </w:p>
    <w:p w:rsidR="004866CB" w:rsidRPr="00142E7D" w:rsidRDefault="004866CB" w:rsidP="004866CB">
      <w:pPr>
        <w:kinsoku w:val="0"/>
        <w:overflowPunct w:val="0"/>
        <w:spacing w:after="120" w:line="400" w:lineRule="exact"/>
        <w:jc w:val="both"/>
        <w:textAlignment w:val="baseline"/>
      </w:pPr>
      <w:r w:rsidRPr="00142E7D">
        <w:rPr>
          <w:rFonts w:hAnsi="標楷體"/>
          <w:sz w:val="28"/>
        </w:rPr>
        <w:t>發文字號：</w:t>
      </w:r>
      <w:r w:rsidRPr="00263ECA">
        <w:rPr>
          <w:rFonts w:hAnsi="標楷體"/>
          <w:w w:val="98"/>
          <w:kern w:val="0"/>
          <w:sz w:val="28"/>
          <w:fitText w:val="3459" w:id="1115315201"/>
        </w:rPr>
        <w:t>院台大二字第</w:t>
      </w:r>
      <w:r w:rsidRPr="00263ECA">
        <w:rPr>
          <w:w w:val="98"/>
          <w:kern w:val="0"/>
          <w:sz w:val="28"/>
          <w:fitText w:val="3459" w:id="1115315201"/>
        </w:rPr>
        <w:t>10</w:t>
      </w:r>
      <w:r w:rsidRPr="00263ECA">
        <w:rPr>
          <w:rFonts w:hint="eastAsia"/>
          <w:w w:val="98"/>
          <w:kern w:val="0"/>
          <w:sz w:val="28"/>
          <w:fitText w:val="3459" w:id="1115315201"/>
        </w:rPr>
        <w:t>50004319</w:t>
      </w:r>
      <w:r w:rsidRPr="00263ECA">
        <w:rPr>
          <w:rFonts w:hAnsi="標楷體"/>
          <w:spacing w:val="16"/>
          <w:w w:val="98"/>
          <w:kern w:val="0"/>
          <w:sz w:val="28"/>
          <w:fitText w:val="3459" w:id="1115315201"/>
        </w:rPr>
        <w:t>號</w:t>
      </w:r>
    </w:p>
    <w:p w:rsidR="004866CB" w:rsidRPr="00142E7D" w:rsidRDefault="004866CB" w:rsidP="004866CB">
      <w:pPr>
        <w:kinsoku w:val="0"/>
        <w:overflowPunct w:val="0"/>
        <w:spacing w:line="400" w:lineRule="exact"/>
        <w:jc w:val="both"/>
        <w:textAlignment w:val="baseline"/>
        <w:rPr>
          <w:sz w:val="28"/>
          <w:szCs w:val="28"/>
        </w:rPr>
      </w:pPr>
      <w:r w:rsidRPr="00142E7D">
        <w:rPr>
          <w:rFonts w:eastAsia="華康粗黑體" w:hint="eastAsia"/>
          <w:sz w:val="28"/>
          <w:szCs w:val="28"/>
        </w:rPr>
        <w:t>公布本院大法官議決釋字第七三四號解釋更正意見書一份</w:t>
      </w:r>
    </w:p>
    <w:p w:rsidR="004866CB" w:rsidRPr="00142E7D" w:rsidRDefault="004866CB" w:rsidP="004866CB">
      <w:pPr>
        <w:kinsoku w:val="0"/>
        <w:overflowPunct w:val="0"/>
        <w:spacing w:line="400" w:lineRule="exact"/>
        <w:jc w:val="both"/>
        <w:textAlignment w:val="baseline"/>
        <w:rPr>
          <w:rFonts w:ascii="細明體" w:eastAsia="細明體" w:hAnsi="細明體" w:cs="細明體"/>
          <w:sz w:val="28"/>
          <w:szCs w:val="28"/>
        </w:rPr>
      </w:pPr>
      <w:r w:rsidRPr="00142E7D">
        <w:rPr>
          <w:rFonts w:hAnsi="標楷體"/>
          <w:sz w:val="28"/>
          <w:szCs w:val="28"/>
        </w:rPr>
        <w:t xml:space="preserve">　</w:t>
      </w:r>
      <w:r w:rsidRPr="00142E7D">
        <w:rPr>
          <w:rFonts w:eastAsia="華康粗黑體" w:hint="eastAsia"/>
          <w:sz w:val="28"/>
          <w:szCs w:val="28"/>
        </w:rPr>
        <w:t>附釋字第七三四號解釋更正意見書一份</w:t>
      </w:r>
    </w:p>
    <w:p w:rsidR="004866CB" w:rsidRPr="00142E7D" w:rsidRDefault="004866CB" w:rsidP="004866CB">
      <w:pPr>
        <w:kinsoku w:val="0"/>
        <w:overflowPunct w:val="0"/>
        <w:spacing w:before="120" w:after="120" w:line="400" w:lineRule="exact"/>
        <w:ind w:right="641"/>
        <w:jc w:val="both"/>
        <w:textAlignment w:val="baseline"/>
        <w:rPr>
          <w:rFonts w:hint="eastAsia"/>
          <w:sz w:val="28"/>
          <w:szCs w:val="28"/>
        </w:rPr>
      </w:pPr>
      <w:r w:rsidRPr="00142E7D">
        <w:rPr>
          <w:rFonts w:hAnsi="標楷體"/>
          <w:sz w:val="28"/>
          <w:szCs w:val="28"/>
        </w:rPr>
        <w:t>院長　賴　浩　敏</w:t>
      </w:r>
    </w:p>
    <w:p w:rsidR="004866CB" w:rsidRPr="00142E7D" w:rsidRDefault="004866CB" w:rsidP="004866CB">
      <w:pPr>
        <w:kinsoku w:val="0"/>
        <w:overflowPunct w:val="0"/>
        <w:spacing w:line="400" w:lineRule="exact"/>
        <w:jc w:val="both"/>
        <w:textAlignment w:val="baseline"/>
        <w:rPr>
          <w:sz w:val="28"/>
          <w:szCs w:val="28"/>
        </w:rPr>
      </w:pPr>
    </w:p>
    <w:p w:rsidR="00DA59A8" w:rsidRPr="00142E7D" w:rsidRDefault="00DA59A8" w:rsidP="00AE2A20">
      <w:pPr>
        <w:overflowPunct w:val="0"/>
        <w:autoSpaceDE w:val="0"/>
        <w:autoSpaceDN w:val="0"/>
        <w:spacing w:line="402" w:lineRule="exact"/>
        <w:jc w:val="both"/>
        <w:textAlignment w:val="baseline"/>
        <w:rPr>
          <w:rFonts w:eastAsia="華康粗黑體"/>
          <w:sz w:val="28"/>
          <w:szCs w:val="28"/>
        </w:rPr>
      </w:pPr>
      <w:r w:rsidRPr="00142E7D">
        <w:rPr>
          <w:rFonts w:eastAsia="華康粗黑體" w:hint="eastAsia"/>
          <w:sz w:val="28"/>
          <w:szCs w:val="28"/>
        </w:rPr>
        <w:t>司法院釋字第七三四號解釋</w:t>
      </w:r>
    </w:p>
    <w:p w:rsidR="00DA59A8" w:rsidRPr="00142E7D" w:rsidRDefault="00DA59A8" w:rsidP="00AE2A20">
      <w:pPr>
        <w:pStyle w:val="a3"/>
        <w:overflowPunct w:val="0"/>
        <w:autoSpaceDN w:val="0"/>
        <w:spacing w:before="240" w:after="240" w:line="402" w:lineRule="exact"/>
        <w:ind w:left="958"/>
        <w:jc w:val="both"/>
        <w:rPr>
          <w:rFonts w:ascii="華康粗黑體" w:eastAsia="華康粗黑體" w:hAnsi="新細明體"/>
          <w:sz w:val="28"/>
          <w:szCs w:val="28"/>
        </w:rPr>
      </w:pPr>
      <w:r w:rsidRPr="00142E7D">
        <w:rPr>
          <w:rFonts w:ascii="華康粗黑體" w:eastAsia="華康粗黑體" w:hAnsi="新細明體" w:hint="eastAsia"/>
          <w:sz w:val="28"/>
          <w:szCs w:val="28"/>
        </w:rPr>
        <w:t>解　釋　文</w:t>
      </w:r>
    </w:p>
    <w:p w:rsidR="00DA59A8" w:rsidRPr="00142E7D" w:rsidRDefault="00DA59A8" w:rsidP="00AE2A20">
      <w:pPr>
        <w:adjustRightInd w:val="0"/>
        <w:snapToGrid w:val="0"/>
        <w:spacing w:line="402" w:lineRule="exact"/>
        <w:ind w:firstLine="595"/>
        <w:jc w:val="both"/>
        <w:textAlignment w:val="baseline"/>
        <w:rPr>
          <w:rFonts w:ascii="標楷體" w:hAnsi="標楷體"/>
          <w:kern w:val="0"/>
          <w:sz w:val="28"/>
          <w:szCs w:val="28"/>
        </w:rPr>
      </w:pPr>
      <w:r w:rsidRPr="00142E7D">
        <w:rPr>
          <w:rFonts w:ascii="標楷體" w:hAnsi="標楷體"/>
          <w:kern w:val="0"/>
          <w:sz w:val="28"/>
          <w:szCs w:val="28"/>
        </w:rPr>
        <w:t>廢棄物清理法第二十七條第十一款規定：「在指定清除地區內嚴禁有下列行為：……十一、其他經主管機關公告之污染環境行為。」與憲法第二十三條之法律授權明確性原則尚無違背。</w:t>
      </w:r>
    </w:p>
    <w:p w:rsidR="00DA59A8" w:rsidRPr="00142E7D" w:rsidRDefault="00DA59A8" w:rsidP="00AE2A20">
      <w:pPr>
        <w:adjustRightInd w:val="0"/>
        <w:snapToGrid w:val="0"/>
        <w:spacing w:line="402" w:lineRule="exact"/>
        <w:ind w:firstLineChars="200" w:firstLine="560"/>
        <w:jc w:val="both"/>
        <w:textAlignment w:val="baseline"/>
        <w:rPr>
          <w:rFonts w:ascii="標楷體" w:hAnsi="標楷體"/>
          <w:b/>
          <w:spacing w:val="6"/>
          <w:kern w:val="0"/>
          <w:sz w:val="28"/>
          <w:szCs w:val="28"/>
        </w:rPr>
      </w:pPr>
      <w:r w:rsidRPr="00142E7D">
        <w:rPr>
          <w:rFonts w:ascii="標楷體" w:hAnsi="標楷體"/>
          <w:kern w:val="0"/>
          <w:sz w:val="28"/>
          <w:szCs w:val="28"/>
        </w:rPr>
        <w:t>臺南市政府</w:t>
      </w:r>
      <w:smartTag w:uri="urn:schemas-microsoft-com:office:smarttags" w:element="chsdate">
        <w:smartTagPr>
          <w:attr w:name="Year" w:val="2002"/>
          <w:attr w:name="Month" w:val="12"/>
          <w:attr w:name="Day" w:val="9"/>
          <w:attr w:name="IsLunarDate" w:val="False"/>
          <w:attr w:name="IsROCDate" w:val="True"/>
        </w:smartTagPr>
        <w:r w:rsidRPr="00142E7D">
          <w:rPr>
            <w:rFonts w:ascii="標楷體" w:hAnsi="標楷體"/>
            <w:kern w:val="0"/>
            <w:sz w:val="28"/>
            <w:szCs w:val="28"/>
          </w:rPr>
          <w:t>中華民國九十一年十二月九日</w:t>
        </w:r>
      </w:smartTag>
      <w:r w:rsidRPr="00142E7D">
        <w:rPr>
          <w:rFonts w:ascii="標楷體" w:hAnsi="標楷體"/>
          <w:kern w:val="0"/>
          <w:sz w:val="28"/>
          <w:szCs w:val="28"/>
        </w:rPr>
        <w:t>南市環廢字第○九一○四○二三四三一號公告之公告事項一、二（該府改制後於一○○年</w:t>
      </w:r>
      <w:smartTag w:uri="urn:schemas-microsoft-com:office:smarttags" w:element="chsdate">
        <w:smartTagPr>
          <w:attr w:name="Year" w:val="2015"/>
          <w:attr w:name="Month" w:val="1"/>
          <w:attr w:name="Day" w:val="13"/>
          <w:attr w:name="IsLunarDate" w:val="False"/>
          <w:attr w:name="IsROCDate" w:val="False"/>
        </w:smartTagPr>
        <w:r w:rsidRPr="00142E7D">
          <w:rPr>
            <w:rFonts w:ascii="標楷體" w:hAnsi="標楷體"/>
            <w:kern w:val="0"/>
            <w:sz w:val="28"/>
            <w:szCs w:val="28"/>
          </w:rPr>
          <w:t>一月十三日</w:t>
        </w:r>
      </w:smartTag>
      <w:r w:rsidRPr="00142E7D">
        <w:rPr>
          <w:rFonts w:ascii="標楷體" w:hAnsi="標楷體"/>
          <w:kern w:val="0"/>
          <w:sz w:val="28"/>
          <w:szCs w:val="28"/>
        </w:rPr>
        <w:t>以南市府環管字第一○○○○五○七○一○號公告重行發布，內容相當），不問設置廣告物是否有礙環境衛生與國民健康，及是否已達與廢棄物清理法第二十七條前十款所定行為類型污染環境相當之程度，即認該設置行為為污染行為，概予禁止並處罰，已逾越母法授權之範圍，與法律保留原則尚有未符。應自本解釋公</w:t>
      </w:r>
      <w:r w:rsidRPr="00142E7D">
        <w:rPr>
          <w:rFonts w:ascii="標楷體" w:hAnsi="標楷體"/>
          <w:kern w:val="0"/>
          <w:sz w:val="28"/>
          <w:szCs w:val="28"/>
        </w:rPr>
        <w:lastRenderedPageBreak/>
        <w:t>布之日起，至遲於屆滿三個月時失其效力。</w:t>
      </w:r>
    </w:p>
    <w:p w:rsidR="00DA59A8" w:rsidRPr="00142E7D" w:rsidRDefault="00DA59A8" w:rsidP="00AE2A20">
      <w:pPr>
        <w:pStyle w:val="a3"/>
        <w:kinsoku w:val="0"/>
        <w:overflowPunct w:val="0"/>
        <w:spacing w:before="240" w:after="240" w:line="402" w:lineRule="exact"/>
        <w:ind w:left="958"/>
        <w:jc w:val="both"/>
        <w:rPr>
          <w:rFonts w:ascii="華康粗黑體" w:eastAsia="華康粗黑體" w:hAnsi="新細明體"/>
          <w:sz w:val="28"/>
          <w:szCs w:val="28"/>
        </w:rPr>
      </w:pPr>
      <w:r w:rsidRPr="00142E7D">
        <w:rPr>
          <w:rFonts w:ascii="華康粗黑體" w:eastAsia="華康粗黑體" w:hAnsi="新細明體"/>
          <w:sz w:val="28"/>
          <w:szCs w:val="28"/>
        </w:rPr>
        <w:t>解釋理由書</w:t>
      </w:r>
    </w:p>
    <w:p w:rsidR="00AE2A20" w:rsidRPr="00142E7D" w:rsidRDefault="00DA59A8" w:rsidP="00AE2A20">
      <w:pPr>
        <w:adjustRightInd w:val="0"/>
        <w:snapToGrid w:val="0"/>
        <w:spacing w:line="402" w:lineRule="exact"/>
        <w:ind w:firstLine="595"/>
        <w:jc w:val="distribute"/>
        <w:textAlignment w:val="baseline"/>
        <w:rPr>
          <w:rFonts w:ascii="標楷體" w:hAnsi="標楷體" w:hint="eastAsia"/>
          <w:kern w:val="0"/>
          <w:sz w:val="28"/>
          <w:szCs w:val="28"/>
        </w:rPr>
      </w:pPr>
      <w:r w:rsidRPr="00142E7D">
        <w:rPr>
          <w:rFonts w:ascii="標楷體" w:hAnsi="標楷體"/>
          <w:kern w:val="0"/>
          <w:sz w:val="28"/>
          <w:szCs w:val="28"/>
        </w:rPr>
        <w:t>人民基本權利之限制，原則上應以法律為之，依其情形，固非不得由立法機關授權主管機關發布命令為補充規定（本院釋字第四四三號、第四八八號解釋參照）。惟其授權之目的、內容及範圍均應具體明確。主管機關據以發布之命令，亦不得逾越授權之範圍，始為憲法之所許，迭經本院解釋在案（本院釋</w:t>
      </w:r>
    </w:p>
    <w:p w:rsidR="00DA59A8" w:rsidRPr="00142E7D" w:rsidRDefault="00DA59A8" w:rsidP="00AE2A20">
      <w:pPr>
        <w:adjustRightInd w:val="0"/>
        <w:snapToGrid w:val="0"/>
        <w:spacing w:line="391" w:lineRule="exact"/>
        <w:jc w:val="both"/>
        <w:textAlignment w:val="baseline"/>
        <w:rPr>
          <w:rFonts w:ascii="標楷體" w:hAnsi="標楷體"/>
          <w:kern w:val="0"/>
          <w:sz w:val="28"/>
          <w:szCs w:val="28"/>
        </w:rPr>
      </w:pPr>
      <w:r w:rsidRPr="00142E7D">
        <w:rPr>
          <w:rFonts w:ascii="標楷體" w:hAnsi="標楷體"/>
          <w:kern w:val="0"/>
          <w:sz w:val="28"/>
          <w:szCs w:val="28"/>
        </w:rPr>
        <w:t>字第五六八號、第六五八號、第七一○號、第七三○號解釋參照）。授權是否具體明確，應就該授權法律整體所表現之關聯意義為判斷，非拘泥於特定法條之文字（本院釋字第三九四號、第四二六號解釋參照）。按廢棄物清理法第一條揭示其立法目的為「有效清除、處理廢棄物，改善環境衛生，維護國民健康」。第二十七條第十一款規定：「在指定清除地區內嚴禁有下列行為：……十一、其他經主管機關公告之污染環境行為。」（下稱系爭規定）係授權主管機關就指定清除區域內禁止之該法第二十七條所列舉十款行為外，另為補充其他污染環境行為之公告，則主管機關據此發布公告禁止之行為，自須達到與前十款所定行為類型污染環境相當之程度。另從其中第三款：「於路旁、屋外或屋頂曝晒、堆置有礙衛生整潔之物」及第十款：「張貼或噴漆廣告污染定著物」規定應可推知，該法所稱污染環境行為之內涵，不以棄置廢棄物為限，其他有礙環境衛生與國民健康之行為亦屬之。故系爭規定尚與憲法第二十三條之法律授權明確性原則無違。</w:t>
      </w:r>
    </w:p>
    <w:p w:rsidR="00DA59A8" w:rsidRPr="00142E7D" w:rsidRDefault="00DA59A8" w:rsidP="00AE2A20">
      <w:pPr>
        <w:adjustRightInd w:val="0"/>
        <w:snapToGrid w:val="0"/>
        <w:spacing w:line="391" w:lineRule="exact"/>
        <w:ind w:firstLine="595"/>
        <w:jc w:val="both"/>
        <w:textAlignment w:val="baseline"/>
        <w:rPr>
          <w:rFonts w:ascii="標楷體" w:hAnsi="標楷體"/>
          <w:kern w:val="0"/>
          <w:sz w:val="28"/>
          <w:szCs w:val="28"/>
        </w:rPr>
      </w:pPr>
      <w:r w:rsidRPr="00142E7D">
        <w:rPr>
          <w:rFonts w:ascii="標楷體" w:hAnsi="標楷體"/>
          <w:kern w:val="0"/>
          <w:sz w:val="28"/>
          <w:szCs w:val="28"/>
        </w:rPr>
        <w:t>臺南市政府於九十一年十</w:t>
      </w:r>
      <w:smartTag w:uri="urn:schemas-microsoft-com:office:smarttags" w:element="chsdate">
        <w:smartTagPr>
          <w:attr w:name="Year" w:val="2015"/>
          <w:attr w:name="Month" w:val="2"/>
          <w:attr w:name="Day" w:val="9"/>
          <w:attr w:name="IsLunarDate" w:val="False"/>
          <w:attr w:name="IsROCDate" w:val="False"/>
        </w:smartTagPr>
        <w:r w:rsidRPr="00142E7D">
          <w:rPr>
            <w:rFonts w:ascii="標楷體" w:hAnsi="標楷體"/>
            <w:kern w:val="0"/>
            <w:sz w:val="28"/>
            <w:szCs w:val="28"/>
          </w:rPr>
          <w:t>二月九日</w:t>
        </w:r>
      </w:smartTag>
      <w:r w:rsidRPr="00142E7D">
        <w:rPr>
          <w:rFonts w:ascii="標楷體" w:hAnsi="標楷體"/>
          <w:kern w:val="0"/>
          <w:sz w:val="28"/>
          <w:szCs w:val="28"/>
        </w:rPr>
        <w:t>據系爭規定發布之南市環廢字第○九一○四○二三四三一號公告：「公告事項：一、本市清除地區內，未經主管機關核准，於道路、牆壁、樑柱、電桿、樹木、橋樑、水溝、池塘或其他土地定著物張掛、懸繫、黏貼、噴漆、粉刷、樹立、釘定、夾插、置放或其他方法設置廣告物者，為污染環境行為。二、前項所稱之『道路』，指公路、街道、巷弄、安全島、人行道、廣場、騎樓、走廊或其他供公眾通行之地方。……」（該府改制後於一○○年一月十三日以南市府環管字第一○○○○五○七○一○號公告重行發布，內容相當；下併稱系爭公告）以未經主管機關核准，於其所示之場所，以所示之方式設置廣告物者，為污染環境行為，而不問設置廣告物是否有礙環境衛生與國民健康，及是否已達與廢棄物清理法第二十七條前十款所定行為類型污染環境相當之程度，即認該設置行為為污染環境行為，概予禁止並處罰，已逾越母法授權之範圍，與法律保留原則尚有未符。主管機關應儘速依前開意旨修正相關規範，使未經主管機關核准而設置廣告物者，仍須達到前開污染環境相當之程度，始構成違規之污染環境行為。並自本解釋公布之日起，至遲於屆滿三個月時失其效力。</w:t>
      </w:r>
    </w:p>
    <w:p w:rsidR="00AE2A20" w:rsidRPr="00142E7D" w:rsidRDefault="00DA59A8" w:rsidP="00AE2A20">
      <w:pPr>
        <w:adjustRightInd w:val="0"/>
        <w:snapToGrid w:val="0"/>
        <w:spacing w:line="391" w:lineRule="exact"/>
        <w:ind w:firstLine="595"/>
        <w:jc w:val="distribute"/>
        <w:textAlignment w:val="baseline"/>
        <w:rPr>
          <w:rFonts w:ascii="標楷體" w:hAnsi="標楷體" w:hint="eastAsia"/>
          <w:kern w:val="0"/>
          <w:sz w:val="28"/>
          <w:szCs w:val="28"/>
        </w:rPr>
      </w:pPr>
      <w:r w:rsidRPr="00142E7D">
        <w:rPr>
          <w:rFonts w:ascii="標楷體" w:hAnsi="標楷體"/>
          <w:kern w:val="0"/>
          <w:sz w:val="28"/>
          <w:szCs w:val="28"/>
        </w:rPr>
        <w:lastRenderedPageBreak/>
        <w:t>憲法第十一條規定，人民之言論自由應予保障。鑒於言論自由具有實現自我、溝通意見、追求真理、滿足人民知的權利，形成公意，促進各種合理之政治及社會活動之功能，乃維持民主多元社會正常發展不可或缺之機制，國家應給予最大限度之保障（本院釋字第五○九號、第六四四號、第六七八號解釋參照）。廣告兼具意見表達之性質，屬於憲法第十一條所保障之言論範疇（本院釋字第四一四號、第六二三號解釋參照），而公共場所於不妨礙其通常使用方式之範圍內，亦非不得為言論表達及意見溝通。系爭公告雖非為限制人民言論自由或其他憲法上所保障之基本權利而設，然於具體個案可能因主管機關對於</w:t>
      </w:r>
    </w:p>
    <w:p w:rsidR="00DA59A8" w:rsidRPr="00142E7D" w:rsidRDefault="00DA59A8" w:rsidP="00AE2A20">
      <w:pPr>
        <w:adjustRightInd w:val="0"/>
        <w:snapToGrid w:val="0"/>
        <w:spacing w:line="400" w:lineRule="exact"/>
        <w:jc w:val="both"/>
        <w:textAlignment w:val="baseline"/>
        <w:rPr>
          <w:rFonts w:ascii="標楷體" w:hAnsi="標楷體"/>
          <w:kern w:val="0"/>
          <w:sz w:val="28"/>
          <w:szCs w:val="28"/>
        </w:rPr>
      </w:pPr>
      <w:r w:rsidRPr="00142E7D">
        <w:rPr>
          <w:rFonts w:ascii="標楷體" w:hAnsi="標楷體"/>
          <w:kern w:val="0"/>
          <w:sz w:val="28"/>
          <w:szCs w:val="28"/>
        </w:rPr>
        <w:t>廣告物之內容及設置之時間、地點、方式之審查，而否准設置，造成限制人民言論自由或其他憲法上所保障之基本權利之結果。主管機關於依本解釋意旨修正系爭公告時，應通盤考量其可能造成言論自由或其他憲法上所保障之基本權利限制之必要性與適當性，併此指明。</w:t>
      </w:r>
    </w:p>
    <w:p w:rsidR="00DA59A8" w:rsidRPr="00142E7D" w:rsidRDefault="00DA59A8" w:rsidP="00AE2A20">
      <w:pPr>
        <w:adjustRightInd w:val="0"/>
        <w:snapToGrid w:val="0"/>
        <w:spacing w:line="400" w:lineRule="exact"/>
        <w:ind w:firstLine="595"/>
        <w:jc w:val="both"/>
        <w:textAlignment w:val="baseline"/>
        <w:rPr>
          <w:rFonts w:ascii="標楷體" w:hAnsi="標楷體"/>
          <w:kern w:val="0"/>
          <w:sz w:val="28"/>
          <w:szCs w:val="28"/>
        </w:rPr>
      </w:pPr>
      <w:r w:rsidRPr="00142E7D">
        <w:rPr>
          <w:rFonts w:ascii="標楷體" w:hAnsi="標楷體"/>
          <w:kern w:val="0"/>
          <w:sz w:val="28"/>
          <w:szCs w:val="28"/>
        </w:rPr>
        <w:t>聲請人另認最高行政法院九十九年度裁字第三四九一號裁定就八十七年十月二十八日修正公布之行政訴訟法第二百三十五條「原則性」所為之闡釋，對同類事件之認定過嚴，限制人民訴訟權。惟此核屬對於法院認事用法之指摘。又聲請人主張臺南市政府環境保護局一○○年</w:t>
      </w:r>
      <w:smartTag w:uri="urn:schemas-microsoft-com:office:smarttags" w:element="chsdate">
        <w:smartTagPr>
          <w:attr w:name="IsROCDate" w:val="False"/>
          <w:attr w:name="IsLunarDate" w:val="False"/>
          <w:attr w:name="Day" w:val="11"/>
          <w:attr w:name="Month" w:val="1"/>
          <w:attr w:name="Year" w:val="2015"/>
        </w:smartTagPr>
        <w:r w:rsidRPr="00142E7D">
          <w:rPr>
            <w:rFonts w:ascii="標楷體" w:hAnsi="標楷體"/>
            <w:kern w:val="0"/>
            <w:sz w:val="28"/>
            <w:szCs w:val="28"/>
          </w:rPr>
          <w:t>一月十一日</w:t>
        </w:r>
      </w:smartTag>
      <w:r w:rsidRPr="00142E7D">
        <w:rPr>
          <w:rFonts w:ascii="標楷體" w:hAnsi="標楷體"/>
          <w:kern w:val="0"/>
          <w:sz w:val="28"/>
          <w:szCs w:val="28"/>
        </w:rPr>
        <w:t>環管字第一○○○○五○三九九○號公告將臺南市所轄行政區域均列為指定清除地區，有涵蓋過廣之虞。經查確定終局判決並未適用上開公告，自不得以之為聲請解釋之客體。上開聲請解釋部分，核與司法院大法官審理案件法第五條第一項第二款規定不合，依同條第三項規定，均應不予受理，併此敘明。</w:t>
      </w:r>
    </w:p>
    <w:p w:rsidR="00DA59A8" w:rsidRPr="00142E7D" w:rsidRDefault="00DA59A8" w:rsidP="00AE2A20">
      <w:pPr>
        <w:spacing w:before="120" w:line="400" w:lineRule="exact"/>
        <w:jc w:val="both"/>
        <w:rPr>
          <w:rFonts w:ascii="標楷體" w:hAnsi="標楷體"/>
          <w:kern w:val="0"/>
          <w:sz w:val="28"/>
          <w:szCs w:val="28"/>
        </w:rPr>
      </w:pPr>
      <w:r w:rsidRPr="00142E7D">
        <w:rPr>
          <w:rFonts w:ascii="標楷體" w:hAnsi="標楷體"/>
          <w:kern w:val="0"/>
          <w:sz w:val="28"/>
          <w:szCs w:val="28"/>
        </w:rPr>
        <w:t>大法官會議主席　大法官　賴浩敏</w:t>
      </w:r>
    </w:p>
    <w:p w:rsidR="00DA59A8" w:rsidRPr="00142E7D" w:rsidRDefault="00DA59A8" w:rsidP="00AE2A20">
      <w:pPr>
        <w:spacing w:line="400" w:lineRule="exact"/>
        <w:ind w:firstLineChars="800" w:firstLine="2240"/>
        <w:jc w:val="both"/>
        <w:rPr>
          <w:rFonts w:ascii="標楷體" w:hAnsi="標楷體"/>
          <w:kern w:val="0"/>
          <w:sz w:val="28"/>
          <w:szCs w:val="28"/>
        </w:rPr>
      </w:pPr>
      <w:r w:rsidRPr="00142E7D">
        <w:rPr>
          <w:rFonts w:ascii="標楷體" w:hAnsi="標楷體"/>
          <w:kern w:val="0"/>
          <w:sz w:val="28"/>
          <w:szCs w:val="28"/>
        </w:rPr>
        <w:t xml:space="preserve">大法官　</w:t>
      </w:r>
      <w:r w:rsidRPr="00142E7D">
        <w:rPr>
          <w:rFonts w:ascii="標楷體" w:hAnsi="標楷體" w:hint="eastAsia"/>
          <w:kern w:val="0"/>
          <w:sz w:val="28"/>
          <w:szCs w:val="28"/>
        </w:rPr>
        <w:t>蘇永欽</w:t>
      </w:r>
      <w:r w:rsidRPr="00142E7D">
        <w:rPr>
          <w:rFonts w:ascii="標楷體" w:hAnsi="標楷體"/>
          <w:kern w:val="0"/>
          <w:sz w:val="28"/>
          <w:szCs w:val="28"/>
        </w:rPr>
        <w:t xml:space="preserve">　</w:t>
      </w:r>
      <w:r w:rsidRPr="00142E7D">
        <w:rPr>
          <w:rFonts w:ascii="標楷體" w:hAnsi="標楷體" w:cs="夹发砰-WinCharSetFFFF-H" w:hint="eastAsia"/>
          <w:kern w:val="0"/>
          <w:sz w:val="28"/>
          <w:szCs w:val="28"/>
        </w:rPr>
        <w:t>黃茂榮</w:t>
      </w:r>
      <w:r w:rsidRPr="00142E7D">
        <w:rPr>
          <w:rFonts w:ascii="標楷體" w:hAnsi="標楷體"/>
          <w:kern w:val="0"/>
          <w:sz w:val="28"/>
          <w:szCs w:val="28"/>
        </w:rPr>
        <w:t xml:space="preserve">　</w:t>
      </w:r>
      <w:r w:rsidRPr="00142E7D">
        <w:rPr>
          <w:rFonts w:ascii="標楷體" w:hAnsi="標楷體" w:cs="夹发砰-WinCharSetFFFF-H" w:hint="eastAsia"/>
          <w:kern w:val="0"/>
          <w:sz w:val="28"/>
          <w:szCs w:val="28"/>
        </w:rPr>
        <w:t>陳　敏</w:t>
      </w:r>
      <w:r w:rsidRPr="00142E7D">
        <w:rPr>
          <w:rFonts w:ascii="標楷體" w:hAnsi="標楷體"/>
          <w:kern w:val="0"/>
          <w:sz w:val="28"/>
          <w:szCs w:val="28"/>
        </w:rPr>
        <w:t xml:space="preserve">　</w:t>
      </w:r>
      <w:r w:rsidR="00CE5B4F" w:rsidRPr="00142E7D">
        <w:rPr>
          <w:rFonts w:ascii="標楷體" w:hAnsi="標楷體" w:cs="夹发砰-WinCharSetFFFF-H" w:hint="eastAsia"/>
          <w:kern w:val="0"/>
          <w:sz w:val="28"/>
          <w:szCs w:val="28"/>
        </w:rPr>
        <w:t>葉百修</w:t>
      </w:r>
    </w:p>
    <w:p w:rsidR="00DA59A8" w:rsidRPr="00142E7D" w:rsidRDefault="00CE5B4F" w:rsidP="00544E00">
      <w:pPr>
        <w:spacing w:line="400" w:lineRule="exact"/>
        <w:ind w:leftChars="50" w:left="160" w:firstLineChars="1140" w:firstLine="3192"/>
        <w:rPr>
          <w:rFonts w:ascii="標楷體" w:hAnsi="標楷體"/>
          <w:kern w:val="0"/>
          <w:sz w:val="28"/>
          <w:szCs w:val="28"/>
        </w:rPr>
      </w:pPr>
      <w:r w:rsidRPr="00142E7D">
        <w:rPr>
          <w:rFonts w:ascii="標楷體" w:hAnsi="標楷體" w:cs="夹发砰-WinCharSetFFFF-H" w:hint="eastAsia"/>
          <w:kern w:val="0"/>
          <w:sz w:val="28"/>
          <w:szCs w:val="28"/>
        </w:rPr>
        <w:t>陳春生</w:t>
      </w:r>
      <w:r w:rsidR="00DA59A8" w:rsidRPr="00142E7D">
        <w:rPr>
          <w:rFonts w:ascii="標楷體" w:hAnsi="標楷體"/>
          <w:kern w:val="0"/>
          <w:sz w:val="28"/>
          <w:szCs w:val="28"/>
        </w:rPr>
        <w:t xml:space="preserve">　</w:t>
      </w:r>
      <w:r w:rsidRPr="00142E7D">
        <w:rPr>
          <w:rFonts w:ascii="標楷體" w:hAnsi="標楷體" w:cs="夹发砰-WinCharSetFFFF-H" w:hint="eastAsia"/>
          <w:kern w:val="0"/>
          <w:sz w:val="28"/>
          <w:szCs w:val="28"/>
        </w:rPr>
        <w:t>陳新民</w:t>
      </w:r>
      <w:r w:rsidR="00DA59A8" w:rsidRPr="00142E7D">
        <w:rPr>
          <w:rFonts w:ascii="標楷體" w:hAnsi="標楷體"/>
          <w:kern w:val="0"/>
          <w:sz w:val="28"/>
          <w:szCs w:val="28"/>
        </w:rPr>
        <w:t xml:space="preserve">　</w:t>
      </w:r>
      <w:r w:rsidRPr="00142E7D">
        <w:rPr>
          <w:rFonts w:ascii="標楷體" w:hAnsi="標楷體" w:cs="夹发砰-WinCharSetFFFF-H" w:hint="eastAsia"/>
          <w:kern w:val="0"/>
          <w:sz w:val="28"/>
          <w:szCs w:val="28"/>
        </w:rPr>
        <w:t>陳碧玉</w:t>
      </w:r>
      <w:r w:rsidR="00DA59A8" w:rsidRPr="00142E7D">
        <w:rPr>
          <w:rFonts w:ascii="標楷體" w:hAnsi="標楷體"/>
          <w:kern w:val="0"/>
          <w:sz w:val="28"/>
          <w:szCs w:val="28"/>
        </w:rPr>
        <w:t xml:space="preserve">　</w:t>
      </w:r>
      <w:smartTag w:uri="urn:schemas-microsoft-com:office:smarttags" w:element="PersonName">
        <w:smartTagPr>
          <w:attr w:name="ProductID" w:val="黃璽"/>
        </w:smartTagPr>
        <w:r w:rsidRPr="00142E7D">
          <w:rPr>
            <w:rFonts w:ascii="標楷體" w:hAnsi="標楷體" w:cs="夹发砰-WinCharSetFFFF-H" w:hint="eastAsia"/>
            <w:kern w:val="0"/>
            <w:sz w:val="28"/>
            <w:szCs w:val="28"/>
          </w:rPr>
          <w:t>黃璽</w:t>
        </w:r>
      </w:smartTag>
      <w:r w:rsidRPr="00142E7D">
        <w:rPr>
          <w:rFonts w:ascii="標楷體" w:hAnsi="標楷體" w:cs="夹发砰-WinCharSetFFFF-H" w:hint="eastAsia"/>
          <w:kern w:val="0"/>
          <w:sz w:val="28"/>
          <w:szCs w:val="28"/>
        </w:rPr>
        <w:t>君</w:t>
      </w:r>
    </w:p>
    <w:p w:rsidR="00DA59A8" w:rsidRPr="00142E7D" w:rsidRDefault="00CE5B4F" w:rsidP="00544E00">
      <w:pPr>
        <w:spacing w:line="400" w:lineRule="exact"/>
        <w:ind w:leftChars="50" w:left="160" w:firstLineChars="1140" w:firstLine="3192"/>
        <w:rPr>
          <w:rFonts w:ascii="標楷體" w:hAnsi="標楷體"/>
          <w:kern w:val="0"/>
          <w:sz w:val="28"/>
          <w:szCs w:val="28"/>
        </w:rPr>
      </w:pPr>
      <w:r w:rsidRPr="00142E7D">
        <w:rPr>
          <w:rFonts w:ascii="標楷體" w:hAnsi="標楷體" w:hint="eastAsia"/>
          <w:kern w:val="0"/>
          <w:sz w:val="28"/>
          <w:szCs w:val="28"/>
        </w:rPr>
        <w:t>羅昌發</w:t>
      </w:r>
      <w:r w:rsidR="00DA59A8" w:rsidRPr="00142E7D">
        <w:rPr>
          <w:rFonts w:ascii="標楷體" w:hAnsi="標楷體"/>
          <w:kern w:val="0"/>
          <w:sz w:val="28"/>
          <w:szCs w:val="28"/>
        </w:rPr>
        <w:t xml:space="preserve">　</w:t>
      </w:r>
      <w:r w:rsidRPr="00142E7D">
        <w:rPr>
          <w:rFonts w:ascii="標楷體" w:hAnsi="標楷體" w:cs="夹发砰-WinCharSetFFFF-H" w:hint="eastAsia"/>
          <w:kern w:val="0"/>
          <w:sz w:val="28"/>
          <w:szCs w:val="28"/>
        </w:rPr>
        <w:t>湯德宗</w:t>
      </w:r>
      <w:r w:rsidR="00DA59A8" w:rsidRPr="00142E7D">
        <w:rPr>
          <w:rFonts w:ascii="標楷體" w:hAnsi="標楷體"/>
          <w:kern w:val="0"/>
          <w:sz w:val="28"/>
          <w:szCs w:val="28"/>
        </w:rPr>
        <w:t xml:space="preserve">　</w:t>
      </w:r>
      <w:r w:rsidRPr="00142E7D">
        <w:rPr>
          <w:rFonts w:ascii="標楷體" w:hAnsi="標楷體" w:cs="夹发砰-WinCharSetFFFF-H" w:hint="eastAsia"/>
          <w:kern w:val="0"/>
          <w:sz w:val="28"/>
          <w:szCs w:val="28"/>
        </w:rPr>
        <w:t>黃虹霞</w:t>
      </w:r>
      <w:r w:rsidR="00DA59A8" w:rsidRPr="00142E7D">
        <w:rPr>
          <w:rFonts w:ascii="標楷體" w:hAnsi="標楷體"/>
          <w:kern w:val="0"/>
          <w:sz w:val="28"/>
          <w:szCs w:val="28"/>
        </w:rPr>
        <w:t xml:space="preserve">　</w:t>
      </w:r>
      <w:r w:rsidRPr="00142E7D">
        <w:rPr>
          <w:rFonts w:ascii="標楷體" w:hAnsi="標楷體" w:cs="夹发砰-WinCharSetFFFF-H" w:hint="eastAsia"/>
          <w:kern w:val="0"/>
          <w:sz w:val="28"/>
          <w:szCs w:val="28"/>
        </w:rPr>
        <w:t>吳陳鐶</w:t>
      </w:r>
    </w:p>
    <w:p w:rsidR="009677C3" w:rsidRPr="00142E7D" w:rsidRDefault="00CE5B4F" w:rsidP="00544E00">
      <w:pPr>
        <w:spacing w:line="400" w:lineRule="exact"/>
        <w:ind w:leftChars="50" w:left="160" w:firstLineChars="1140" w:firstLine="3192"/>
        <w:rPr>
          <w:rFonts w:hAnsi="標楷體"/>
          <w:kern w:val="0"/>
          <w:sz w:val="28"/>
          <w:szCs w:val="28"/>
        </w:rPr>
      </w:pPr>
      <w:r w:rsidRPr="00142E7D">
        <w:rPr>
          <w:rFonts w:ascii="標楷體" w:hAnsi="標楷體" w:cs="夹发砰-WinCharSetFFFF-H" w:hint="eastAsia"/>
          <w:kern w:val="0"/>
          <w:sz w:val="28"/>
          <w:szCs w:val="28"/>
        </w:rPr>
        <w:t>蔡明誠</w:t>
      </w:r>
      <w:r w:rsidR="00DA59A8" w:rsidRPr="00142E7D">
        <w:rPr>
          <w:rFonts w:ascii="標楷體" w:hAnsi="標楷體"/>
          <w:kern w:val="0"/>
          <w:sz w:val="28"/>
          <w:szCs w:val="28"/>
        </w:rPr>
        <w:t xml:space="preserve">　</w:t>
      </w:r>
      <w:r w:rsidRPr="00142E7D">
        <w:rPr>
          <w:rFonts w:ascii="標楷體" w:hAnsi="標楷體" w:cs="夹发砰-WinCharSetFFFF-H" w:hint="eastAsia"/>
          <w:kern w:val="0"/>
          <w:sz w:val="28"/>
          <w:szCs w:val="28"/>
        </w:rPr>
        <w:t>林俊益</w:t>
      </w:r>
    </w:p>
    <w:p w:rsidR="009677C3" w:rsidRPr="00142E7D" w:rsidRDefault="009677C3" w:rsidP="00AE2A20">
      <w:pPr>
        <w:kinsoku w:val="0"/>
        <w:overflowPunct w:val="0"/>
        <w:spacing w:line="400" w:lineRule="exact"/>
        <w:jc w:val="both"/>
        <w:rPr>
          <w:kern w:val="0"/>
          <w:sz w:val="28"/>
          <w:szCs w:val="28"/>
        </w:rPr>
      </w:pPr>
    </w:p>
    <w:p w:rsidR="006512EA" w:rsidRPr="00142E7D" w:rsidRDefault="006512EA" w:rsidP="00AE2A20">
      <w:pPr>
        <w:overflowPunct w:val="0"/>
        <w:spacing w:line="400" w:lineRule="exact"/>
        <w:ind w:left="958" w:right="641"/>
        <w:jc w:val="distribute"/>
        <w:rPr>
          <w:rFonts w:eastAsia="華康粗黑體"/>
          <w:sz w:val="28"/>
          <w:szCs w:val="28"/>
        </w:rPr>
        <w:sectPr w:rsidR="006512EA" w:rsidRPr="00142E7D" w:rsidSect="001E13D1">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418" w:right="1134" w:bottom="851" w:left="1134" w:header="851" w:footer="992" w:gutter="0"/>
          <w:pgNumType w:start="1"/>
          <w:cols w:space="425"/>
          <w:docGrid w:linePitch="360"/>
        </w:sectPr>
      </w:pPr>
    </w:p>
    <w:p w:rsidR="003965CC" w:rsidRPr="00142E7D" w:rsidRDefault="003965CC" w:rsidP="00AE2A20">
      <w:pPr>
        <w:overflowPunct w:val="0"/>
        <w:spacing w:line="400" w:lineRule="exact"/>
        <w:ind w:left="958" w:right="641"/>
        <w:jc w:val="distribute"/>
        <w:rPr>
          <w:rFonts w:eastAsia="華康粗黑體"/>
          <w:sz w:val="28"/>
          <w:szCs w:val="28"/>
        </w:rPr>
      </w:pPr>
      <w:r w:rsidRPr="00142E7D">
        <w:rPr>
          <w:rFonts w:eastAsia="華康粗黑體"/>
          <w:sz w:val="28"/>
          <w:szCs w:val="28"/>
        </w:rPr>
        <w:lastRenderedPageBreak/>
        <w:t xml:space="preserve">協同意見書　　</w:t>
      </w:r>
      <w:r w:rsidR="005253B8" w:rsidRPr="00142E7D">
        <w:rPr>
          <w:rFonts w:ascii="細明體" w:eastAsia="細明體" w:hAnsi="細明體" w:cs="細明體" w:hint="eastAsia"/>
          <w:sz w:val="28"/>
          <w:szCs w:val="28"/>
        </w:rPr>
        <w:t xml:space="preserve">　</w:t>
      </w:r>
      <w:r w:rsidRPr="00142E7D">
        <w:rPr>
          <w:rFonts w:eastAsia="華康粗黑體"/>
          <w:sz w:val="28"/>
          <w:szCs w:val="28"/>
        </w:rPr>
        <w:t xml:space="preserve">　　</w:t>
      </w:r>
      <w:r w:rsidR="007E02ED" w:rsidRPr="00142E7D">
        <w:rPr>
          <w:rFonts w:eastAsia="華康粗黑體"/>
          <w:sz w:val="28"/>
          <w:szCs w:val="28"/>
        </w:rPr>
        <w:t xml:space="preserve">　　　　　</w:t>
      </w:r>
      <w:r w:rsidRPr="00142E7D">
        <w:rPr>
          <w:rFonts w:eastAsia="華康粗黑體"/>
          <w:sz w:val="28"/>
          <w:szCs w:val="28"/>
        </w:rPr>
        <w:t xml:space="preserve">　　　　</w:t>
      </w:r>
      <w:r w:rsidR="001A4BEF" w:rsidRPr="00142E7D">
        <w:rPr>
          <w:rFonts w:ascii="標楷體" w:hAnsi="標楷體" w:hint="eastAsia"/>
          <w:sz w:val="28"/>
          <w:szCs w:val="28"/>
        </w:rPr>
        <w:t>蘇永欽</w:t>
      </w:r>
      <w:r w:rsidRPr="00142E7D">
        <w:rPr>
          <w:rFonts w:ascii="標楷體" w:hAnsi="標楷體"/>
          <w:sz w:val="28"/>
          <w:szCs w:val="28"/>
        </w:rPr>
        <w:t>大法官　提出</w:t>
      </w:r>
    </w:p>
    <w:p w:rsidR="00AE2A20" w:rsidRPr="00142E7D" w:rsidRDefault="00C1187E" w:rsidP="00AE2A20">
      <w:pPr>
        <w:kinsoku w:val="0"/>
        <w:overflowPunct w:val="0"/>
        <w:adjustRightInd w:val="0"/>
        <w:snapToGrid w:val="0"/>
        <w:spacing w:line="400" w:lineRule="exact"/>
        <w:ind w:firstLine="595"/>
        <w:jc w:val="distribute"/>
        <w:rPr>
          <w:rFonts w:ascii="標楷體" w:hAnsi="標楷體" w:hint="eastAsia"/>
          <w:kern w:val="0"/>
          <w:sz w:val="28"/>
          <w:szCs w:val="28"/>
        </w:rPr>
      </w:pPr>
      <w:r w:rsidRPr="00142E7D">
        <w:rPr>
          <w:rFonts w:ascii="標楷體" w:hAnsi="標楷體"/>
          <w:kern w:val="0"/>
          <w:sz w:val="28"/>
          <w:szCs w:val="28"/>
        </w:rPr>
        <w:t>本件解釋以受到憲法保障的權利僅得以法律加以限制的法律保留原則，對廢棄物清理法第二十七條第十一款作授權是否具體明確的審查，認定尚無違背。又對依該法授權臺南市政府所發布的有關廣告物設置的公告加以審查，得出已逾越母法授權範圍的結論，要求在三個月內修正，本席都可以贊同。惟廣告物的設置雖可能有諸多基本權為其基礎，因其本質上為一種意見表達的方式，任何設置行為的管制，都可能間接造成言論自由的限制，考量到地方政府為維護城市環境的整潔和交通的順暢，普遍都對廣告物的設置進行大大小小的管制，有沒有使言論自由的高度憲法價值－與身體自由一樣為許多基本權的前提性權利－，在此類直來直往的功能法執行中有意無意的受到侵蝕之虞？其實才是本案真正值得國人關注之處，解釋到了理由書最後才以傍論方式把相關問題作了極為簡要的撮述和相當抽象的諭知，自有進一步說明的必要。因此以下先對法律保留原則審查的標準作一個簡單的整理，希望多少有助於提高本原則在操作上的可預見性（第一段）；再就本院迄今尚未做過任何闡述的言論自由問題－人民可否在公共空間行使？－加以申論；並簡介美國最高法院發展出來的公共論壇理論，不少國家的法院也已導入類似見解（第二段）；特別是正因廣告物多樣而大量的存在於公共空間，而確有為事前管制的必要，所以更應留意，</w:t>
      </w:r>
    </w:p>
    <w:p w:rsidR="00C1187E" w:rsidRPr="00142E7D" w:rsidRDefault="00C1187E" w:rsidP="00AE2A20">
      <w:pPr>
        <w:kinsoku w:val="0"/>
        <w:overflowPunct w:val="0"/>
        <w:adjustRightInd w:val="0"/>
        <w:snapToGrid w:val="0"/>
        <w:spacing w:line="391" w:lineRule="exact"/>
        <w:jc w:val="both"/>
        <w:rPr>
          <w:rFonts w:ascii="標楷體" w:hAnsi="標楷體"/>
          <w:kern w:val="0"/>
          <w:sz w:val="28"/>
          <w:szCs w:val="28"/>
        </w:rPr>
      </w:pPr>
      <w:r w:rsidRPr="00142E7D">
        <w:rPr>
          <w:rFonts w:ascii="標楷體" w:hAnsi="標楷體"/>
          <w:kern w:val="0"/>
          <w:sz w:val="28"/>
          <w:szCs w:val="28"/>
        </w:rPr>
        <w:t>會不會形成對於言論的事前內容審查，致與本院過去對此採取高度警戒的立場有違；若再從調和言論表達與環保、交通等公共利益的觀點來思考，即知積極管理的必要，在此一領域越來越常見的因取締可容忍的微小行為，或反過來因考量言論自由而坐視空間霸凌行為長期存續所生爭議，顯示在涉及言論自由時執法的過猶不及，更可印證本件解釋對於現代城市管理應具備的正確憲法認知確有其重要意義，有必要一併說清楚（第三段）。</w:t>
      </w:r>
    </w:p>
    <w:p w:rsidR="00C1187E" w:rsidRPr="00142E7D" w:rsidRDefault="00654FBB" w:rsidP="00AE2A20">
      <w:pPr>
        <w:pStyle w:val="ae"/>
        <w:kinsoku w:val="0"/>
        <w:overflowPunct w:val="0"/>
        <w:adjustRightInd w:val="0"/>
        <w:snapToGrid w:val="0"/>
        <w:spacing w:line="391" w:lineRule="exact"/>
        <w:ind w:leftChars="0" w:left="0"/>
        <w:jc w:val="both"/>
        <w:rPr>
          <w:rFonts w:ascii="標楷體" w:eastAsia="標楷體" w:hAnsi="標楷體"/>
          <w:b/>
          <w:bCs/>
          <w:kern w:val="0"/>
          <w:sz w:val="28"/>
          <w:szCs w:val="28"/>
        </w:rPr>
      </w:pPr>
      <w:r w:rsidRPr="00142E7D">
        <w:rPr>
          <w:rFonts w:ascii="標楷體" w:eastAsia="標楷體" w:hAnsi="標楷體" w:hint="eastAsia"/>
          <w:b/>
          <w:bCs/>
          <w:kern w:val="0"/>
          <w:sz w:val="28"/>
          <w:szCs w:val="28"/>
        </w:rPr>
        <w:t>一、</w:t>
      </w:r>
      <w:r w:rsidR="00C1187E" w:rsidRPr="00142E7D">
        <w:rPr>
          <w:rFonts w:ascii="標楷體" w:eastAsia="標楷體" w:hAnsi="標楷體"/>
          <w:b/>
          <w:bCs/>
          <w:kern w:val="0"/>
          <w:sz w:val="28"/>
          <w:szCs w:val="28"/>
        </w:rPr>
        <w:t>本院在限制人權法律保留原則的兩面審查向來是一寬一嚴</w:t>
      </w:r>
    </w:p>
    <w:p w:rsidR="00C1187E" w:rsidRPr="00142E7D" w:rsidRDefault="00C1187E" w:rsidP="008A1822">
      <w:pPr>
        <w:kinsoku w:val="0"/>
        <w:overflowPunct w:val="0"/>
        <w:adjustRightInd w:val="0"/>
        <w:snapToGrid w:val="0"/>
        <w:spacing w:line="391" w:lineRule="exact"/>
        <w:ind w:left="561" w:firstLine="561"/>
        <w:jc w:val="both"/>
        <w:rPr>
          <w:rFonts w:ascii="標楷體" w:hAnsi="標楷體"/>
          <w:bCs/>
          <w:kern w:val="0"/>
          <w:sz w:val="28"/>
          <w:szCs w:val="28"/>
        </w:rPr>
      </w:pPr>
      <w:r w:rsidRPr="00142E7D">
        <w:rPr>
          <w:rFonts w:ascii="標楷體" w:hAnsi="標楷體"/>
          <w:bCs/>
          <w:kern w:val="0"/>
          <w:sz w:val="28"/>
          <w:szCs w:val="28"/>
        </w:rPr>
        <w:t>法律保留原則依本院向來的解釋，原則上不排除立法機關授權主管機關發布命令為補充規定，惟在這種授權補充的情形，一方面對於母法即有授權具體明確的要求，另一方面又對於子法有不得逾越授權的要求。過去人民做這方面的指摘，多僅執一端主張，本院做法律保留原則的審查，若從較有問題的一端切入已可解決，也很少兩頭並進，本件因僅以法律保留為主要的審查原則，且聲請人確就授權立法兩端分別提出主張，才同時對二者都有所著墨。審查結果認為，廢棄物清理法第二十七條第十一款表面上雖為空白的授權，但若不拘泥於文字而併就相關規定作整體觀察即知：「主管機關據此發布公告禁止之行為，自須達到與前十款所定行為類型污染環境相當之程度」，且從第三、十款也可推知，所謂污染環境的行為並無須以棄置廢棄物為限，認為已經符合具體明確的要求。後者卻沒有做類</w:t>
      </w:r>
      <w:r w:rsidRPr="00142E7D">
        <w:rPr>
          <w:rFonts w:ascii="標楷體" w:hAnsi="標楷體"/>
          <w:bCs/>
          <w:kern w:val="0"/>
          <w:sz w:val="28"/>
          <w:szCs w:val="28"/>
        </w:rPr>
        <w:lastRenderedPageBreak/>
        <w:t>似的「合憲命令解釋」，比如以該公告這樣未設前提所列舉的設置廣告物行為，仍應以達到一定污染程度為限始得處罰，從而尚不違憲。反而認為它「以未經主管機關核准，於其所示之場所，以所示之方式設置廣告物者，為污染環境行為，而不問設置廣告物是否有礙環境衛生與國民健康，及是否已達與廢棄物清理法第二十七條前十款所定行為類型污染環境相當之程度，即認該設置行為為污染環境行為，概予禁止並處罰，已逾越母法授權之範圍。」對母法寬而對子法嚴，十分明顯。但在這表面上的論證差異背後，其實正凸顯了本院向來對法律保留原則的一些基本思維。</w:t>
      </w:r>
    </w:p>
    <w:p w:rsidR="00C44582" w:rsidRPr="00142E7D" w:rsidRDefault="00C1187E" w:rsidP="00C81E3F">
      <w:pPr>
        <w:kinsoku w:val="0"/>
        <w:overflowPunct w:val="0"/>
        <w:adjustRightInd w:val="0"/>
        <w:snapToGrid w:val="0"/>
        <w:spacing w:line="391" w:lineRule="exact"/>
        <w:ind w:left="561" w:firstLine="561"/>
        <w:jc w:val="both"/>
        <w:rPr>
          <w:rFonts w:ascii="標楷體" w:hAnsi="標楷體" w:hint="eastAsia"/>
          <w:bCs/>
          <w:kern w:val="0"/>
          <w:sz w:val="28"/>
          <w:szCs w:val="28"/>
        </w:rPr>
      </w:pPr>
      <w:r w:rsidRPr="00142E7D">
        <w:rPr>
          <w:rFonts w:ascii="標楷體" w:hAnsi="標楷體"/>
          <w:bCs/>
          <w:kern w:val="0"/>
          <w:sz w:val="28"/>
          <w:szCs w:val="28"/>
        </w:rPr>
        <w:t>首先，使基本權的限制須以法律規定，或至少通過具體明確的授權，才可以改由被授權機關以命令規定，都是從被規範的人民觀點思考，一方面要讓這些限制至少是在國會監督之下進行（現行法即指立法院職權行使法第六十條以下的強制送審制），且藉法律與法規命令的公告可使影響人民權益的法律資訊較有效的傳達，另一方面當然也要考量對規範制定者的期待可能性。因此就法律而言，首先要看的是，相關基本權的限制是否已經嚴重到「只能」以法律定之的程度（「絕對」的保留），在此種情形，任何授權都已違反法律保留。但即使在絕大多數不需要絕對保留的情形，審查授權是否具體明確的要件時，仍然會從其影響人民的程度去決定審查具體明確的標準。特別明顯的是，就對人民可能造成最大不利益的刑事制</w:t>
      </w:r>
    </w:p>
    <w:p w:rsidR="00C1187E" w:rsidRPr="00142E7D" w:rsidRDefault="00C1187E" w:rsidP="00412343">
      <w:pPr>
        <w:kinsoku w:val="0"/>
        <w:overflowPunct w:val="0"/>
        <w:adjustRightInd w:val="0"/>
        <w:snapToGrid w:val="0"/>
        <w:spacing w:line="408" w:lineRule="exact"/>
        <w:ind w:left="595"/>
        <w:jc w:val="both"/>
        <w:rPr>
          <w:rFonts w:ascii="標楷體" w:hAnsi="標楷體"/>
          <w:bCs/>
          <w:kern w:val="0"/>
          <w:sz w:val="28"/>
          <w:szCs w:val="28"/>
        </w:rPr>
      </w:pPr>
      <w:r w:rsidRPr="00142E7D">
        <w:rPr>
          <w:rFonts w:ascii="標楷體" w:hAnsi="標楷體"/>
          <w:bCs/>
          <w:kern w:val="0"/>
          <w:sz w:val="28"/>
          <w:szCs w:val="28"/>
        </w:rPr>
        <w:t>裁，其犯罪行為的要件如有通過授權命令來具體化時，本院要求須達到「自授權之法律規定中得預見其行為之可罰，方符刑罰明確性原則」（釋字第五二二號解釋可參），既可避免行政部門的恣意，也使畏刑的人民在讀法律時即可獲取足夠的資訊而知所警惕。另外一個涉及影響範圍的因素應該也很相關，就是授權訂定子法的範圍，如果授權的結果是開枝散葉，則對母法要求嚴格一些，也比逐一嚴審子法有無逾越授權範圍，更為合理。其他情形，都會採比較寬鬆的標準，因為對規範者而言，更直接而必須掌握的行為規範毋寧是內容比較具體的授權命令，而且對於面對長遠未來只能在人事時地物上盡可能抽象的母法，如何要求在授權上具體明確到什麼程度，恐怕並不具有太高的可期待性，因此只要通過其他條文作整體觀察，大致已可掌握其授權範圍，而非真正的空白授權即可。檢視過去直接或間接審查母法是否授權明確的十三件解釋，僅有三件因未符合前揭兩點而認定違憲，即可理解。</w:t>
      </w:r>
    </w:p>
    <w:p w:rsidR="00EF7CDB" w:rsidRPr="00142E7D" w:rsidRDefault="00C1187E" w:rsidP="00C81E3F">
      <w:pPr>
        <w:kinsoku w:val="0"/>
        <w:overflowPunct w:val="0"/>
        <w:adjustRightInd w:val="0"/>
        <w:snapToGrid w:val="0"/>
        <w:spacing w:line="408" w:lineRule="exact"/>
        <w:ind w:left="561" w:firstLine="561"/>
        <w:jc w:val="both"/>
        <w:rPr>
          <w:rFonts w:ascii="標楷體" w:hAnsi="標楷體" w:hint="eastAsia"/>
          <w:kern w:val="0"/>
          <w:sz w:val="28"/>
          <w:szCs w:val="28"/>
        </w:rPr>
      </w:pPr>
      <w:r w:rsidRPr="00142E7D">
        <w:rPr>
          <w:rFonts w:ascii="標楷體" w:hAnsi="標楷體"/>
          <w:bCs/>
          <w:kern w:val="0"/>
          <w:sz w:val="28"/>
          <w:szCs w:val="28"/>
        </w:rPr>
        <w:t>至於下游的命令有無逾越授權範圍，案件量較多，背後的考量顯然也較為複雜，應該是綜合觀察授權的方式為概括（多數即屬施行細則的授權）或就特定目的和範圍為之。對被規範者而言，前者確實較難掌握，因此除非在整體觀察下仍可相當程度的釐清其範圍，否則即會傾向做違憲的判</w:t>
      </w:r>
      <w:r w:rsidRPr="00142E7D">
        <w:rPr>
          <w:rFonts w:ascii="標楷體" w:hAnsi="標楷體"/>
          <w:bCs/>
          <w:kern w:val="0"/>
          <w:sz w:val="28"/>
          <w:szCs w:val="28"/>
        </w:rPr>
        <w:lastRenderedPageBreak/>
        <w:t>斷。在這兩個因素以外，子法在目的上能不能明確對應於授權的母法，也很重要，作為母法的工具，如果相當程度逸出母法的目的，或是否符合其目的仍不夠明確，本院也傾向做出違憲的判斷。綜合而言，這些做成判斷的理由其實一定程度都和母法本身的授權是否具體明確有原因結果的關係，也可以說，在授權立法有一定瑕疵的情形，本院往往會選擇宣告子法違憲，而不嚴格追究母法授權的不夠具體明確，因為可以較快速的修改而同樣達到法律保留原則的目的，這背後反映的其實也是一種方法上的司法最小主義</w:t>
      </w:r>
      <w:r w:rsidR="00654FBB" w:rsidRPr="00142E7D">
        <w:rPr>
          <w:rFonts w:ascii="標楷體" w:hAnsi="標楷體"/>
          <w:bCs/>
          <w:kern w:val="0"/>
          <w:sz w:val="28"/>
          <w:szCs w:val="28"/>
        </w:rPr>
        <w:t>（</w:t>
      </w:r>
      <w:r w:rsidRPr="00142E7D">
        <w:rPr>
          <w:rFonts w:ascii="標楷體" w:hAnsi="標楷體"/>
          <w:bCs/>
          <w:kern w:val="0"/>
          <w:sz w:val="28"/>
          <w:szCs w:val="28"/>
        </w:rPr>
        <w:t>judicial minimalism</w:t>
      </w:r>
      <w:r w:rsidR="00654FBB" w:rsidRPr="00142E7D">
        <w:rPr>
          <w:rFonts w:ascii="標楷體" w:hAnsi="標楷體"/>
          <w:bCs/>
          <w:kern w:val="0"/>
          <w:sz w:val="28"/>
          <w:szCs w:val="28"/>
        </w:rPr>
        <w:t>）</w:t>
      </w:r>
      <w:r w:rsidRPr="00142E7D">
        <w:rPr>
          <w:rFonts w:ascii="標楷體" w:hAnsi="標楷體"/>
          <w:bCs/>
          <w:kern w:val="0"/>
          <w:sz w:val="28"/>
          <w:szCs w:val="28"/>
        </w:rPr>
        <w:t>。迄今授權命令經認定合憲的有十一件，違憲的也達到十一件，與前述授權法審查的結果，確實可以看出</w:t>
      </w:r>
      <w:r w:rsidRPr="00142E7D">
        <w:rPr>
          <w:rFonts w:ascii="標楷體" w:hAnsi="標楷體"/>
          <w:kern w:val="0"/>
          <w:sz w:val="28"/>
          <w:szCs w:val="28"/>
        </w:rPr>
        <w:t>審查標準的寬嚴不一。</w:t>
      </w:r>
    </w:p>
    <w:p w:rsidR="00C1187E" w:rsidRPr="00142E7D" w:rsidRDefault="00C1187E" w:rsidP="00C81E3F">
      <w:pPr>
        <w:kinsoku w:val="0"/>
        <w:overflowPunct w:val="0"/>
        <w:adjustRightInd w:val="0"/>
        <w:snapToGrid w:val="0"/>
        <w:spacing w:line="408" w:lineRule="exact"/>
        <w:ind w:left="839" w:hanging="839"/>
        <w:jc w:val="both"/>
        <w:rPr>
          <w:rFonts w:ascii="標楷體" w:hAnsi="標楷體"/>
          <w:b/>
          <w:kern w:val="0"/>
          <w:sz w:val="28"/>
          <w:szCs w:val="28"/>
        </w:rPr>
      </w:pPr>
      <w:r w:rsidRPr="00142E7D">
        <w:rPr>
          <w:rFonts w:ascii="標楷體" w:hAnsi="標楷體"/>
          <w:b/>
          <w:kern w:val="0"/>
          <w:sz w:val="28"/>
          <w:szCs w:val="28"/>
        </w:rPr>
        <w:t>附表：本院解釋有關法律保留原則在授權以命令補充時的審查標的、原則及其判斷因素與結果</w:t>
      </w:r>
    </w:p>
    <w:p w:rsidR="00C1187E" w:rsidRPr="00142E7D" w:rsidRDefault="00EF7CDB" w:rsidP="008858E1">
      <w:pPr>
        <w:kinsoku w:val="0"/>
        <w:overflowPunct w:val="0"/>
        <w:adjustRightInd w:val="0"/>
        <w:snapToGrid w:val="0"/>
        <w:spacing w:after="200" w:line="408" w:lineRule="exact"/>
        <w:ind w:left="280" w:hanging="280"/>
        <w:jc w:val="both"/>
        <w:rPr>
          <w:rFonts w:ascii="標楷體" w:hAnsi="標楷體"/>
          <w:kern w:val="0"/>
          <w:sz w:val="28"/>
          <w:szCs w:val="28"/>
        </w:rPr>
      </w:pPr>
      <w:r w:rsidRPr="00142E7D">
        <w:rPr>
          <w:rFonts w:ascii="標楷體" w:hAnsi="標楷體" w:hint="eastAsia"/>
          <w:kern w:val="0"/>
          <w:sz w:val="28"/>
          <w:szCs w:val="28"/>
        </w:rPr>
        <w:t>1.</w:t>
      </w:r>
      <w:r w:rsidR="00C1187E" w:rsidRPr="00142E7D">
        <w:rPr>
          <w:rFonts w:ascii="標楷體" w:hAnsi="標楷體"/>
          <w:kern w:val="0"/>
          <w:sz w:val="28"/>
          <w:szCs w:val="28"/>
        </w:rPr>
        <w:t>授權規定必須具體明確：以授權的母法為審查標的，或以經授權訂定的子法為審查標的，而就授權的母法先作前提性審查者（違憲3件，合憲10件）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3533"/>
        <w:gridCol w:w="1605"/>
        <w:gridCol w:w="2727"/>
        <w:gridCol w:w="1021"/>
      </w:tblGrid>
      <w:tr w:rsidR="00C1187E" w:rsidRPr="00142E7D" w:rsidTr="00160D99">
        <w:trPr>
          <w:cantSplit/>
          <w:tblHeader/>
          <w:jc w:val="center"/>
        </w:trPr>
        <w:tc>
          <w:tcPr>
            <w:tcW w:w="395"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釋字</w:t>
            </w:r>
          </w:p>
        </w:tc>
        <w:tc>
          <w:tcPr>
            <w:tcW w:w="1831"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審查標的</w:t>
            </w:r>
          </w:p>
        </w:tc>
        <w:tc>
          <w:tcPr>
            <w:tcW w:w="832" w:type="pct"/>
            <w:tcMar>
              <w:left w:w="0" w:type="dxa"/>
              <w:right w:w="0" w:type="dxa"/>
            </w:tcMar>
            <w:vAlign w:val="center"/>
          </w:tcPr>
          <w:p w:rsidR="00654FBB" w:rsidRPr="00142E7D" w:rsidRDefault="00C1187E" w:rsidP="00AE2A20">
            <w:pPr>
              <w:kinsoku w:val="0"/>
              <w:overflowPunct w:val="0"/>
              <w:adjustRightInd w:val="0"/>
              <w:snapToGrid w:val="0"/>
              <w:spacing w:line="391" w:lineRule="exact"/>
              <w:jc w:val="center"/>
              <w:rPr>
                <w:rFonts w:ascii="標楷體" w:hAnsi="標楷體" w:hint="eastAsia"/>
                <w:kern w:val="0"/>
                <w:sz w:val="28"/>
                <w:szCs w:val="28"/>
              </w:rPr>
            </w:pPr>
            <w:r w:rsidRPr="00142E7D">
              <w:rPr>
                <w:rFonts w:ascii="標楷體" w:hAnsi="標楷體"/>
                <w:kern w:val="0"/>
                <w:sz w:val="28"/>
                <w:szCs w:val="28"/>
              </w:rPr>
              <w:t>授權訂定</w:t>
            </w:r>
          </w:p>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子法數量</w:t>
            </w:r>
          </w:p>
        </w:tc>
        <w:tc>
          <w:tcPr>
            <w:tcW w:w="1413"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法律效果</w:t>
            </w:r>
          </w:p>
        </w:tc>
        <w:tc>
          <w:tcPr>
            <w:tcW w:w="529" w:type="pct"/>
            <w:tcMar>
              <w:left w:w="0" w:type="dxa"/>
              <w:right w:w="0" w:type="dxa"/>
            </w:tcMar>
            <w:vAlign w:val="center"/>
          </w:tcPr>
          <w:p w:rsidR="00566A55" w:rsidRPr="00142E7D" w:rsidRDefault="00C1187E" w:rsidP="00AE2A20">
            <w:pPr>
              <w:kinsoku w:val="0"/>
              <w:overflowPunct w:val="0"/>
              <w:adjustRightInd w:val="0"/>
              <w:snapToGrid w:val="0"/>
              <w:spacing w:line="391" w:lineRule="exact"/>
              <w:jc w:val="center"/>
              <w:rPr>
                <w:rFonts w:ascii="標楷體" w:hAnsi="標楷體" w:hint="eastAsia"/>
                <w:kern w:val="0"/>
                <w:sz w:val="28"/>
                <w:szCs w:val="28"/>
              </w:rPr>
            </w:pPr>
            <w:r w:rsidRPr="00142E7D">
              <w:rPr>
                <w:rFonts w:ascii="標楷體" w:hAnsi="標楷體"/>
                <w:kern w:val="0"/>
                <w:sz w:val="28"/>
                <w:szCs w:val="28"/>
              </w:rPr>
              <w:t>解釋</w:t>
            </w:r>
          </w:p>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結果</w:t>
            </w:r>
          </w:p>
        </w:tc>
      </w:tr>
      <w:tr w:rsidR="00C1187E" w:rsidRPr="00142E7D" w:rsidTr="00634424">
        <w:trPr>
          <w:cantSplit/>
          <w:trHeight w:val="1191"/>
          <w:jc w:val="center"/>
        </w:trPr>
        <w:tc>
          <w:tcPr>
            <w:tcW w:w="395"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680</w:t>
            </w:r>
          </w:p>
        </w:tc>
        <w:tc>
          <w:tcPr>
            <w:tcW w:w="1831" w:type="pct"/>
            <w:tcMar>
              <w:left w:w="0" w:type="dxa"/>
              <w:right w:w="0" w:type="dxa"/>
            </w:tcMar>
            <w:vAlign w:val="center"/>
          </w:tcPr>
          <w:p w:rsidR="00C1187E" w:rsidRPr="00142E7D" w:rsidRDefault="00C1187E" w:rsidP="00634424">
            <w:pPr>
              <w:kinsoku w:val="0"/>
              <w:overflowPunct w:val="0"/>
              <w:adjustRightInd w:val="0"/>
              <w:snapToGrid w:val="0"/>
              <w:spacing w:line="391" w:lineRule="exact"/>
              <w:jc w:val="both"/>
              <w:rPr>
                <w:rFonts w:ascii="標楷體" w:hAnsi="標楷體"/>
                <w:kern w:val="0"/>
                <w:sz w:val="28"/>
                <w:szCs w:val="28"/>
              </w:rPr>
            </w:pPr>
            <w:r w:rsidRPr="00142E7D">
              <w:rPr>
                <w:rFonts w:ascii="標楷體" w:hAnsi="標楷體"/>
                <w:kern w:val="0"/>
                <w:sz w:val="28"/>
                <w:szCs w:val="28"/>
              </w:rPr>
              <w:t>懲治走私條例第2條第3項</w:t>
            </w:r>
          </w:p>
        </w:tc>
        <w:tc>
          <w:tcPr>
            <w:tcW w:w="83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多數</w:t>
            </w:r>
          </w:p>
        </w:tc>
        <w:tc>
          <w:tcPr>
            <w:tcW w:w="1413" w:type="pct"/>
            <w:tcMar>
              <w:left w:w="0" w:type="dxa"/>
              <w:right w:w="0" w:type="dxa"/>
            </w:tcMar>
            <w:vAlign w:val="center"/>
          </w:tcPr>
          <w:p w:rsidR="00FE0655" w:rsidRPr="00142E7D" w:rsidRDefault="00C1187E" w:rsidP="00AE2A20">
            <w:pPr>
              <w:kinsoku w:val="0"/>
              <w:overflowPunct w:val="0"/>
              <w:adjustRightInd w:val="0"/>
              <w:snapToGrid w:val="0"/>
              <w:spacing w:line="391" w:lineRule="exact"/>
              <w:jc w:val="center"/>
              <w:rPr>
                <w:rFonts w:ascii="標楷體" w:hAnsi="標楷體" w:hint="eastAsia"/>
                <w:kern w:val="0"/>
                <w:sz w:val="28"/>
                <w:szCs w:val="28"/>
              </w:rPr>
            </w:pPr>
            <w:r w:rsidRPr="00142E7D">
              <w:rPr>
                <w:rFonts w:ascii="標楷體" w:hAnsi="標楷體"/>
                <w:kern w:val="0"/>
                <w:sz w:val="28"/>
                <w:szCs w:val="28"/>
              </w:rPr>
              <w:t>強</w:t>
            </w:r>
          </w:p>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（刑罰）</w:t>
            </w:r>
          </w:p>
        </w:tc>
        <w:tc>
          <w:tcPr>
            <w:tcW w:w="529"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違憲</w:t>
            </w:r>
          </w:p>
        </w:tc>
      </w:tr>
      <w:tr w:rsidR="00C1187E" w:rsidRPr="00142E7D" w:rsidTr="00634424">
        <w:trPr>
          <w:cantSplit/>
          <w:trHeight w:val="1191"/>
          <w:jc w:val="center"/>
        </w:trPr>
        <w:tc>
          <w:tcPr>
            <w:tcW w:w="395"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676</w:t>
            </w:r>
          </w:p>
        </w:tc>
        <w:tc>
          <w:tcPr>
            <w:tcW w:w="1831" w:type="pct"/>
            <w:tcMar>
              <w:left w:w="0" w:type="dxa"/>
              <w:right w:w="0" w:type="dxa"/>
            </w:tcMar>
            <w:vAlign w:val="center"/>
          </w:tcPr>
          <w:p w:rsidR="00C1187E" w:rsidRPr="00142E7D" w:rsidRDefault="00C1187E" w:rsidP="00634424">
            <w:pPr>
              <w:kinsoku w:val="0"/>
              <w:overflowPunct w:val="0"/>
              <w:adjustRightInd w:val="0"/>
              <w:snapToGrid w:val="0"/>
              <w:spacing w:line="391" w:lineRule="exact"/>
              <w:jc w:val="both"/>
              <w:rPr>
                <w:rFonts w:ascii="標楷體" w:hAnsi="標楷體"/>
                <w:kern w:val="0"/>
                <w:sz w:val="28"/>
                <w:szCs w:val="28"/>
              </w:rPr>
            </w:pPr>
            <w:r w:rsidRPr="00142E7D">
              <w:rPr>
                <w:rFonts w:ascii="標楷體" w:hAnsi="標楷體"/>
                <w:kern w:val="0"/>
                <w:sz w:val="28"/>
                <w:szCs w:val="28"/>
              </w:rPr>
              <w:t>全民健康保險法第86條、第21條第1項、第22條第2項</w:t>
            </w:r>
          </w:p>
        </w:tc>
        <w:tc>
          <w:tcPr>
            <w:tcW w:w="83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多數</w:t>
            </w:r>
          </w:p>
        </w:tc>
        <w:tc>
          <w:tcPr>
            <w:tcW w:w="1413"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中度</w:t>
            </w:r>
            <w:r w:rsidRPr="00142E7D">
              <w:rPr>
                <w:rFonts w:ascii="標楷體" w:hAnsi="標楷體"/>
                <w:kern w:val="0"/>
                <w:sz w:val="28"/>
                <w:szCs w:val="28"/>
              </w:rPr>
              <w:br/>
              <w:t>（投保金額）</w:t>
            </w:r>
          </w:p>
        </w:tc>
        <w:tc>
          <w:tcPr>
            <w:tcW w:w="529"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合憲</w:t>
            </w:r>
          </w:p>
        </w:tc>
      </w:tr>
      <w:tr w:rsidR="00C1187E" w:rsidRPr="00142E7D" w:rsidTr="00634424">
        <w:trPr>
          <w:cantSplit/>
          <w:trHeight w:val="1191"/>
          <w:jc w:val="center"/>
        </w:trPr>
        <w:tc>
          <w:tcPr>
            <w:tcW w:w="395"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643</w:t>
            </w:r>
          </w:p>
        </w:tc>
        <w:tc>
          <w:tcPr>
            <w:tcW w:w="1831" w:type="pct"/>
            <w:tcMar>
              <w:left w:w="0" w:type="dxa"/>
              <w:right w:w="0" w:type="dxa"/>
            </w:tcMar>
            <w:vAlign w:val="center"/>
          </w:tcPr>
          <w:p w:rsidR="00C1187E" w:rsidRPr="00142E7D" w:rsidRDefault="00C1187E" w:rsidP="00634424">
            <w:pPr>
              <w:kinsoku w:val="0"/>
              <w:overflowPunct w:val="0"/>
              <w:adjustRightInd w:val="0"/>
              <w:snapToGrid w:val="0"/>
              <w:spacing w:line="391" w:lineRule="exact"/>
              <w:jc w:val="both"/>
              <w:rPr>
                <w:rFonts w:ascii="標楷體" w:hAnsi="標楷體"/>
                <w:kern w:val="0"/>
                <w:sz w:val="28"/>
                <w:szCs w:val="28"/>
              </w:rPr>
            </w:pPr>
            <w:r w:rsidRPr="00142E7D">
              <w:rPr>
                <w:rFonts w:ascii="標楷體" w:hAnsi="標楷體"/>
                <w:kern w:val="0"/>
                <w:sz w:val="28"/>
                <w:szCs w:val="28"/>
              </w:rPr>
              <w:t>商業團體法第72條</w:t>
            </w:r>
          </w:p>
        </w:tc>
        <w:tc>
          <w:tcPr>
            <w:tcW w:w="83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多數</w:t>
            </w:r>
          </w:p>
        </w:tc>
        <w:tc>
          <w:tcPr>
            <w:tcW w:w="1413"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中度</w:t>
            </w:r>
            <w:r w:rsidRPr="00142E7D">
              <w:rPr>
                <w:rFonts w:ascii="標楷體" w:hAnsi="標楷體"/>
                <w:kern w:val="0"/>
                <w:sz w:val="28"/>
                <w:szCs w:val="28"/>
              </w:rPr>
              <w:br/>
              <w:t>（退休金給付）</w:t>
            </w:r>
          </w:p>
        </w:tc>
        <w:tc>
          <w:tcPr>
            <w:tcW w:w="529" w:type="pct"/>
            <w:tcMar>
              <w:left w:w="0" w:type="dxa"/>
              <w:right w:w="0" w:type="dxa"/>
            </w:tcMar>
            <w:vAlign w:val="center"/>
          </w:tcPr>
          <w:p w:rsidR="00EF7CDB" w:rsidRPr="00142E7D" w:rsidRDefault="00C1187E" w:rsidP="00AE2A20">
            <w:pPr>
              <w:kinsoku w:val="0"/>
              <w:overflowPunct w:val="0"/>
              <w:adjustRightInd w:val="0"/>
              <w:snapToGrid w:val="0"/>
              <w:spacing w:line="391" w:lineRule="exact"/>
              <w:jc w:val="center"/>
              <w:rPr>
                <w:rFonts w:ascii="標楷體" w:hAnsi="標楷體" w:hint="eastAsia"/>
                <w:kern w:val="0"/>
                <w:sz w:val="28"/>
                <w:szCs w:val="28"/>
              </w:rPr>
            </w:pPr>
            <w:r w:rsidRPr="00142E7D">
              <w:rPr>
                <w:rFonts w:ascii="標楷體" w:hAnsi="標楷體"/>
                <w:kern w:val="0"/>
                <w:sz w:val="28"/>
                <w:szCs w:val="28"/>
              </w:rPr>
              <w:t>合憲</w:t>
            </w:r>
          </w:p>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檢討</w:t>
            </w:r>
          </w:p>
        </w:tc>
      </w:tr>
      <w:tr w:rsidR="00C1187E" w:rsidRPr="00142E7D" w:rsidTr="00634424">
        <w:trPr>
          <w:cantSplit/>
          <w:trHeight w:val="1191"/>
          <w:jc w:val="center"/>
        </w:trPr>
        <w:tc>
          <w:tcPr>
            <w:tcW w:w="395"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629</w:t>
            </w:r>
          </w:p>
        </w:tc>
        <w:tc>
          <w:tcPr>
            <w:tcW w:w="1831" w:type="pct"/>
            <w:tcMar>
              <w:left w:w="0" w:type="dxa"/>
              <w:right w:w="0" w:type="dxa"/>
            </w:tcMar>
            <w:vAlign w:val="center"/>
          </w:tcPr>
          <w:p w:rsidR="00C1187E" w:rsidRPr="00142E7D" w:rsidRDefault="00C1187E" w:rsidP="00634424">
            <w:pPr>
              <w:kinsoku w:val="0"/>
              <w:overflowPunct w:val="0"/>
              <w:adjustRightInd w:val="0"/>
              <w:snapToGrid w:val="0"/>
              <w:spacing w:line="391" w:lineRule="exact"/>
              <w:jc w:val="both"/>
              <w:rPr>
                <w:rFonts w:ascii="標楷體" w:hAnsi="標楷體"/>
                <w:kern w:val="0"/>
                <w:sz w:val="28"/>
                <w:szCs w:val="28"/>
              </w:rPr>
            </w:pPr>
            <w:r w:rsidRPr="00142E7D">
              <w:rPr>
                <w:rFonts w:ascii="標楷體" w:hAnsi="標楷體"/>
                <w:kern w:val="0"/>
                <w:sz w:val="28"/>
                <w:szCs w:val="28"/>
              </w:rPr>
              <w:t>行政訴訟法第229條第2項</w:t>
            </w:r>
          </w:p>
        </w:tc>
        <w:tc>
          <w:tcPr>
            <w:tcW w:w="83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少數</w:t>
            </w:r>
          </w:p>
        </w:tc>
        <w:tc>
          <w:tcPr>
            <w:tcW w:w="1413"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中度</w:t>
            </w:r>
            <w:r w:rsidRPr="00142E7D">
              <w:rPr>
                <w:rFonts w:ascii="標楷體" w:hAnsi="標楷體"/>
                <w:kern w:val="0"/>
                <w:sz w:val="28"/>
                <w:szCs w:val="28"/>
              </w:rPr>
              <w:br/>
              <w:t>（訴訟程序類型）</w:t>
            </w:r>
          </w:p>
        </w:tc>
        <w:tc>
          <w:tcPr>
            <w:tcW w:w="529"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合憲</w:t>
            </w:r>
          </w:p>
        </w:tc>
      </w:tr>
      <w:tr w:rsidR="00C1187E" w:rsidRPr="00142E7D" w:rsidTr="00634424">
        <w:trPr>
          <w:cantSplit/>
          <w:trHeight w:val="1191"/>
          <w:jc w:val="center"/>
        </w:trPr>
        <w:tc>
          <w:tcPr>
            <w:tcW w:w="395"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604</w:t>
            </w:r>
          </w:p>
        </w:tc>
        <w:tc>
          <w:tcPr>
            <w:tcW w:w="1831" w:type="pct"/>
            <w:tcMar>
              <w:left w:w="0" w:type="dxa"/>
              <w:right w:w="0" w:type="dxa"/>
            </w:tcMar>
            <w:vAlign w:val="center"/>
          </w:tcPr>
          <w:p w:rsidR="00EF7CDB" w:rsidRPr="00142E7D" w:rsidRDefault="00C1187E" w:rsidP="00634424">
            <w:pPr>
              <w:kinsoku w:val="0"/>
              <w:overflowPunct w:val="0"/>
              <w:adjustRightInd w:val="0"/>
              <w:snapToGrid w:val="0"/>
              <w:spacing w:line="391" w:lineRule="exact"/>
              <w:jc w:val="both"/>
              <w:rPr>
                <w:rFonts w:ascii="標楷體" w:hAnsi="標楷體" w:hint="eastAsia"/>
                <w:kern w:val="0"/>
                <w:sz w:val="28"/>
                <w:szCs w:val="28"/>
              </w:rPr>
            </w:pPr>
            <w:r w:rsidRPr="00142E7D">
              <w:rPr>
                <w:rFonts w:ascii="標楷體" w:hAnsi="標楷體"/>
                <w:kern w:val="0"/>
                <w:sz w:val="28"/>
                <w:szCs w:val="28"/>
              </w:rPr>
              <w:t>道路交通管理</w:t>
            </w:r>
          </w:p>
          <w:p w:rsidR="00C1187E" w:rsidRPr="00142E7D" w:rsidRDefault="00C1187E" w:rsidP="00634424">
            <w:pPr>
              <w:kinsoku w:val="0"/>
              <w:overflowPunct w:val="0"/>
              <w:adjustRightInd w:val="0"/>
              <w:snapToGrid w:val="0"/>
              <w:spacing w:line="391" w:lineRule="exact"/>
              <w:jc w:val="both"/>
              <w:rPr>
                <w:rFonts w:ascii="標楷體" w:hAnsi="標楷體"/>
                <w:kern w:val="0"/>
                <w:sz w:val="28"/>
                <w:szCs w:val="28"/>
              </w:rPr>
            </w:pPr>
            <w:r w:rsidRPr="00142E7D">
              <w:rPr>
                <w:rFonts w:ascii="標楷體" w:hAnsi="標楷體"/>
                <w:kern w:val="0"/>
                <w:sz w:val="28"/>
                <w:szCs w:val="28"/>
              </w:rPr>
              <w:t>處罰條例第92條</w:t>
            </w:r>
          </w:p>
        </w:tc>
        <w:tc>
          <w:tcPr>
            <w:tcW w:w="83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多數</w:t>
            </w:r>
          </w:p>
        </w:tc>
        <w:tc>
          <w:tcPr>
            <w:tcW w:w="1413"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中度</w:t>
            </w:r>
            <w:r w:rsidRPr="00142E7D">
              <w:rPr>
                <w:rFonts w:ascii="標楷體" w:hAnsi="標楷體"/>
                <w:kern w:val="0"/>
                <w:sz w:val="28"/>
                <w:szCs w:val="28"/>
              </w:rPr>
              <w:br/>
              <w:t>（罰鍰）</w:t>
            </w:r>
          </w:p>
        </w:tc>
        <w:tc>
          <w:tcPr>
            <w:tcW w:w="529" w:type="pct"/>
            <w:tcMar>
              <w:left w:w="0" w:type="dxa"/>
              <w:right w:w="0" w:type="dxa"/>
            </w:tcMar>
            <w:vAlign w:val="center"/>
          </w:tcPr>
          <w:p w:rsidR="00EF7CDB" w:rsidRPr="00142E7D" w:rsidRDefault="00C1187E" w:rsidP="00AE2A20">
            <w:pPr>
              <w:kinsoku w:val="0"/>
              <w:overflowPunct w:val="0"/>
              <w:adjustRightInd w:val="0"/>
              <w:snapToGrid w:val="0"/>
              <w:spacing w:line="391" w:lineRule="exact"/>
              <w:jc w:val="center"/>
              <w:rPr>
                <w:rFonts w:ascii="標楷體" w:hAnsi="標楷體" w:hint="eastAsia"/>
                <w:kern w:val="0"/>
                <w:sz w:val="28"/>
                <w:szCs w:val="28"/>
              </w:rPr>
            </w:pPr>
            <w:r w:rsidRPr="00142E7D">
              <w:rPr>
                <w:rFonts w:ascii="標楷體" w:hAnsi="標楷體"/>
                <w:kern w:val="0"/>
                <w:sz w:val="28"/>
                <w:szCs w:val="28"/>
              </w:rPr>
              <w:t>合憲</w:t>
            </w:r>
          </w:p>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檢討</w:t>
            </w:r>
          </w:p>
        </w:tc>
      </w:tr>
      <w:tr w:rsidR="00C1187E" w:rsidRPr="00142E7D" w:rsidTr="00634424">
        <w:trPr>
          <w:cantSplit/>
          <w:trHeight w:val="1191"/>
          <w:jc w:val="center"/>
        </w:trPr>
        <w:tc>
          <w:tcPr>
            <w:tcW w:w="395"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593</w:t>
            </w:r>
          </w:p>
        </w:tc>
        <w:tc>
          <w:tcPr>
            <w:tcW w:w="1831" w:type="pct"/>
            <w:tcMar>
              <w:left w:w="0" w:type="dxa"/>
              <w:right w:w="0" w:type="dxa"/>
            </w:tcMar>
            <w:vAlign w:val="center"/>
          </w:tcPr>
          <w:p w:rsidR="00C1187E" w:rsidRPr="00142E7D" w:rsidRDefault="00C1187E" w:rsidP="00634424">
            <w:pPr>
              <w:kinsoku w:val="0"/>
              <w:overflowPunct w:val="0"/>
              <w:adjustRightInd w:val="0"/>
              <w:snapToGrid w:val="0"/>
              <w:spacing w:line="391" w:lineRule="exact"/>
              <w:jc w:val="both"/>
              <w:rPr>
                <w:rFonts w:ascii="標楷體" w:hAnsi="標楷體"/>
                <w:kern w:val="0"/>
                <w:sz w:val="28"/>
                <w:szCs w:val="28"/>
              </w:rPr>
            </w:pPr>
            <w:r w:rsidRPr="00142E7D">
              <w:rPr>
                <w:rFonts w:ascii="標楷體" w:hAnsi="標楷體"/>
                <w:kern w:val="0"/>
                <w:sz w:val="28"/>
                <w:szCs w:val="28"/>
              </w:rPr>
              <w:t>公路法第27條第2項前段</w:t>
            </w:r>
          </w:p>
        </w:tc>
        <w:tc>
          <w:tcPr>
            <w:tcW w:w="83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多數</w:t>
            </w:r>
          </w:p>
        </w:tc>
        <w:tc>
          <w:tcPr>
            <w:tcW w:w="1413"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中度</w:t>
            </w:r>
            <w:r w:rsidRPr="00142E7D">
              <w:rPr>
                <w:rFonts w:ascii="標楷體" w:hAnsi="標楷體"/>
                <w:kern w:val="0"/>
                <w:sz w:val="28"/>
                <w:szCs w:val="28"/>
              </w:rPr>
              <w:br/>
              <w:t>（特別公課）</w:t>
            </w:r>
          </w:p>
        </w:tc>
        <w:tc>
          <w:tcPr>
            <w:tcW w:w="529"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合憲</w:t>
            </w:r>
          </w:p>
        </w:tc>
      </w:tr>
      <w:tr w:rsidR="00C1187E" w:rsidRPr="00142E7D" w:rsidTr="00634424">
        <w:trPr>
          <w:cantSplit/>
          <w:trHeight w:val="1191"/>
          <w:jc w:val="center"/>
        </w:trPr>
        <w:tc>
          <w:tcPr>
            <w:tcW w:w="395"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lastRenderedPageBreak/>
              <w:t>559</w:t>
            </w:r>
          </w:p>
        </w:tc>
        <w:tc>
          <w:tcPr>
            <w:tcW w:w="1831" w:type="pct"/>
            <w:tcMar>
              <w:left w:w="0" w:type="dxa"/>
              <w:right w:w="0" w:type="dxa"/>
            </w:tcMar>
            <w:vAlign w:val="center"/>
          </w:tcPr>
          <w:p w:rsidR="00C1187E" w:rsidRPr="00142E7D" w:rsidRDefault="00C1187E" w:rsidP="00634424">
            <w:pPr>
              <w:kinsoku w:val="0"/>
              <w:overflowPunct w:val="0"/>
              <w:adjustRightInd w:val="0"/>
              <w:snapToGrid w:val="0"/>
              <w:spacing w:line="391" w:lineRule="exact"/>
              <w:jc w:val="both"/>
              <w:rPr>
                <w:rFonts w:ascii="標楷體" w:hAnsi="標楷體"/>
                <w:kern w:val="0"/>
                <w:sz w:val="28"/>
                <w:szCs w:val="28"/>
              </w:rPr>
            </w:pPr>
            <w:r w:rsidRPr="00142E7D">
              <w:rPr>
                <w:rFonts w:ascii="標楷體" w:hAnsi="標楷體"/>
                <w:kern w:val="0"/>
                <w:sz w:val="28"/>
                <w:szCs w:val="28"/>
              </w:rPr>
              <w:t>家庭暴力防治法第52條</w:t>
            </w:r>
          </w:p>
        </w:tc>
        <w:tc>
          <w:tcPr>
            <w:tcW w:w="83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多數</w:t>
            </w:r>
          </w:p>
        </w:tc>
        <w:tc>
          <w:tcPr>
            <w:tcW w:w="1413"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強</w:t>
            </w:r>
            <w:r w:rsidRPr="00142E7D">
              <w:rPr>
                <w:rFonts w:ascii="標楷體" w:hAnsi="標楷體"/>
                <w:kern w:val="0"/>
                <w:sz w:val="28"/>
                <w:szCs w:val="28"/>
              </w:rPr>
              <w:br/>
              <w:t>（人身處置或財產的強制執行）</w:t>
            </w:r>
          </w:p>
        </w:tc>
        <w:tc>
          <w:tcPr>
            <w:tcW w:w="529" w:type="pct"/>
            <w:tcMar>
              <w:left w:w="0" w:type="dxa"/>
              <w:right w:w="0" w:type="dxa"/>
            </w:tcMar>
            <w:vAlign w:val="center"/>
          </w:tcPr>
          <w:p w:rsidR="00EF7CDB" w:rsidRPr="00142E7D" w:rsidRDefault="00C1187E" w:rsidP="00AE2A20">
            <w:pPr>
              <w:kinsoku w:val="0"/>
              <w:overflowPunct w:val="0"/>
              <w:adjustRightInd w:val="0"/>
              <w:snapToGrid w:val="0"/>
              <w:spacing w:line="391" w:lineRule="exact"/>
              <w:jc w:val="center"/>
              <w:rPr>
                <w:rFonts w:ascii="標楷體" w:hAnsi="標楷體" w:hint="eastAsia"/>
                <w:kern w:val="0"/>
                <w:sz w:val="28"/>
                <w:szCs w:val="28"/>
              </w:rPr>
            </w:pPr>
            <w:r w:rsidRPr="00142E7D">
              <w:rPr>
                <w:rFonts w:ascii="標楷體" w:hAnsi="標楷體"/>
                <w:kern w:val="0"/>
                <w:sz w:val="28"/>
                <w:szCs w:val="28"/>
              </w:rPr>
              <w:t>合憲</w:t>
            </w:r>
          </w:p>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檢討</w:t>
            </w:r>
          </w:p>
        </w:tc>
      </w:tr>
      <w:tr w:rsidR="00C1187E" w:rsidRPr="00142E7D" w:rsidTr="00634424">
        <w:trPr>
          <w:cantSplit/>
          <w:trHeight w:val="1191"/>
          <w:jc w:val="center"/>
        </w:trPr>
        <w:tc>
          <w:tcPr>
            <w:tcW w:w="395"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547</w:t>
            </w:r>
          </w:p>
        </w:tc>
        <w:tc>
          <w:tcPr>
            <w:tcW w:w="1831" w:type="pct"/>
            <w:tcMar>
              <w:left w:w="0" w:type="dxa"/>
              <w:right w:w="0" w:type="dxa"/>
            </w:tcMar>
            <w:vAlign w:val="center"/>
          </w:tcPr>
          <w:p w:rsidR="004A7FDF" w:rsidRPr="00142E7D" w:rsidRDefault="00C1187E" w:rsidP="00634424">
            <w:pPr>
              <w:kinsoku w:val="0"/>
              <w:overflowPunct w:val="0"/>
              <w:adjustRightInd w:val="0"/>
              <w:snapToGrid w:val="0"/>
              <w:spacing w:line="391" w:lineRule="exact"/>
              <w:jc w:val="both"/>
              <w:rPr>
                <w:rFonts w:ascii="標楷體" w:hAnsi="標楷體" w:hint="eastAsia"/>
                <w:kern w:val="0"/>
                <w:sz w:val="28"/>
                <w:szCs w:val="28"/>
              </w:rPr>
            </w:pPr>
            <w:r w:rsidRPr="00142E7D">
              <w:rPr>
                <w:rFonts w:ascii="標楷體" w:hAnsi="標楷體"/>
                <w:kern w:val="0"/>
                <w:sz w:val="28"/>
                <w:szCs w:val="28"/>
              </w:rPr>
              <w:t>醫師法關於訂定中醫師</w:t>
            </w:r>
          </w:p>
          <w:p w:rsidR="00C1187E" w:rsidRPr="00142E7D" w:rsidRDefault="00C1187E" w:rsidP="00634424">
            <w:pPr>
              <w:kinsoku w:val="0"/>
              <w:overflowPunct w:val="0"/>
              <w:adjustRightInd w:val="0"/>
              <w:snapToGrid w:val="0"/>
              <w:spacing w:line="391" w:lineRule="exact"/>
              <w:jc w:val="both"/>
              <w:rPr>
                <w:rFonts w:ascii="標楷體" w:hAnsi="標楷體"/>
                <w:kern w:val="0"/>
                <w:sz w:val="28"/>
                <w:szCs w:val="28"/>
              </w:rPr>
            </w:pPr>
            <w:r w:rsidRPr="00142E7D">
              <w:rPr>
                <w:rFonts w:ascii="標楷體" w:hAnsi="標楷體"/>
                <w:kern w:val="0"/>
                <w:sz w:val="28"/>
                <w:szCs w:val="28"/>
              </w:rPr>
              <w:t>檢覈辦法的授權</w:t>
            </w:r>
          </w:p>
        </w:tc>
        <w:tc>
          <w:tcPr>
            <w:tcW w:w="83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多數</w:t>
            </w:r>
          </w:p>
        </w:tc>
        <w:tc>
          <w:tcPr>
            <w:tcW w:w="1413"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中度</w:t>
            </w:r>
          </w:p>
        </w:tc>
        <w:tc>
          <w:tcPr>
            <w:tcW w:w="529"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合憲</w:t>
            </w:r>
          </w:p>
        </w:tc>
      </w:tr>
      <w:tr w:rsidR="00C1187E" w:rsidRPr="00142E7D" w:rsidTr="00634424">
        <w:trPr>
          <w:cantSplit/>
          <w:trHeight w:val="1191"/>
          <w:jc w:val="center"/>
        </w:trPr>
        <w:tc>
          <w:tcPr>
            <w:tcW w:w="395"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522</w:t>
            </w:r>
          </w:p>
        </w:tc>
        <w:tc>
          <w:tcPr>
            <w:tcW w:w="1831" w:type="pct"/>
            <w:tcMar>
              <w:left w:w="0" w:type="dxa"/>
              <w:right w:w="0" w:type="dxa"/>
            </w:tcMar>
            <w:vAlign w:val="center"/>
          </w:tcPr>
          <w:p w:rsidR="00C1187E" w:rsidRPr="00142E7D" w:rsidRDefault="00C1187E" w:rsidP="00634424">
            <w:pPr>
              <w:kinsoku w:val="0"/>
              <w:overflowPunct w:val="0"/>
              <w:adjustRightInd w:val="0"/>
              <w:snapToGrid w:val="0"/>
              <w:spacing w:line="391" w:lineRule="exact"/>
              <w:jc w:val="both"/>
              <w:rPr>
                <w:rFonts w:ascii="標楷體" w:hAnsi="標楷體"/>
                <w:kern w:val="0"/>
                <w:sz w:val="28"/>
                <w:szCs w:val="28"/>
              </w:rPr>
            </w:pPr>
            <w:r w:rsidRPr="00142E7D">
              <w:rPr>
                <w:rFonts w:ascii="標楷體" w:hAnsi="標楷體"/>
                <w:kern w:val="0"/>
                <w:sz w:val="28"/>
                <w:szCs w:val="28"/>
              </w:rPr>
              <w:t>證券交易法第177條第3款</w:t>
            </w:r>
          </w:p>
        </w:tc>
        <w:tc>
          <w:tcPr>
            <w:tcW w:w="83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多數</w:t>
            </w:r>
          </w:p>
        </w:tc>
        <w:tc>
          <w:tcPr>
            <w:tcW w:w="1413"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強</w:t>
            </w:r>
            <w:r w:rsidRPr="00142E7D">
              <w:rPr>
                <w:rFonts w:ascii="標楷體" w:hAnsi="標楷體"/>
                <w:kern w:val="0"/>
                <w:sz w:val="28"/>
                <w:szCs w:val="28"/>
              </w:rPr>
              <w:br/>
              <w:t>（刑罰）</w:t>
            </w:r>
          </w:p>
        </w:tc>
        <w:tc>
          <w:tcPr>
            <w:tcW w:w="529"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違憲</w:t>
            </w:r>
          </w:p>
        </w:tc>
      </w:tr>
      <w:tr w:rsidR="00C1187E" w:rsidRPr="00142E7D" w:rsidTr="00634424">
        <w:trPr>
          <w:cantSplit/>
          <w:trHeight w:val="1191"/>
          <w:jc w:val="center"/>
        </w:trPr>
        <w:tc>
          <w:tcPr>
            <w:tcW w:w="395"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491</w:t>
            </w:r>
          </w:p>
        </w:tc>
        <w:tc>
          <w:tcPr>
            <w:tcW w:w="1831" w:type="pct"/>
            <w:tcMar>
              <w:left w:w="0" w:type="dxa"/>
              <w:right w:w="0" w:type="dxa"/>
            </w:tcMar>
            <w:vAlign w:val="center"/>
          </w:tcPr>
          <w:p w:rsidR="00EF7CDB" w:rsidRPr="00142E7D" w:rsidRDefault="00C1187E" w:rsidP="00634424">
            <w:pPr>
              <w:kinsoku w:val="0"/>
              <w:overflowPunct w:val="0"/>
              <w:adjustRightInd w:val="0"/>
              <w:snapToGrid w:val="0"/>
              <w:spacing w:line="391" w:lineRule="exact"/>
              <w:jc w:val="both"/>
              <w:rPr>
                <w:rFonts w:ascii="標楷體" w:hAnsi="標楷體" w:hint="eastAsia"/>
                <w:kern w:val="0"/>
                <w:sz w:val="28"/>
                <w:szCs w:val="28"/>
              </w:rPr>
            </w:pPr>
            <w:r w:rsidRPr="00142E7D">
              <w:rPr>
                <w:rFonts w:ascii="標楷體" w:hAnsi="標楷體"/>
                <w:kern w:val="0"/>
                <w:sz w:val="28"/>
                <w:szCs w:val="28"/>
              </w:rPr>
              <w:t>公務人員考績法</w:t>
            </w:r>
          </w:p>
          <w:p w:rsidR="00C1187E" w:rsidRPr="00142E7D" w:rsidRDefault="00C1187E" w:rsidP="00634424">
            <w:pPr>
              <w:kinsoku w:val="0"/>
              <w:overflowPunct w:val="0"/>
              <w:adjustRightInd w:val="0"/>
              <w:snapToGrid w:val="0"/>
              <w:spacing w:line="391" w:lineRule="exact"/>
              <w:jc w:val="both"/>
              <w:rPr>
                <w:rFonts w:ascii="標楷體" w:hAnsi="標楷體"/>
                <w:kern w:val="0"/>
                <w:sz w:val="28"/>
                <w:szCs w:val="28"/>
              </w:rPr>
            </w:pPr>
            <w:r w:rsidRPr="00142E7D">
              <w:rPr>
                <w:rFonts w:ascii="標楷體" w:hAnsi="標楷體"/>
                <w:kern w:val="0"/>
                <w:sz w:val="28"/>
                <w:szCs w:val="28"/>
              </w:rPr>
              <w:t>第12條第2項前段</w:t>
            </w:r>
          </w:p>
        </w:tc>
        <w:tc>
          <w:tcPr>
            <w:tcW w:w="83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少數</w:t>
            </w:r>
          </w:p>
        </w:tc>
        <w:tc>
          <w:tcPr>
            <w:tcW w:w="1413"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中度</w:t>
            </w:r>
          </w:p>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（懲處）</w:t>
            </w:r>
          </w:p>
        </w:tc>
        <w:tc>
          <w:tcPr>
            <w:tcW w:w="529"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違憲</w:t>
            </w:r>
          </w:p>
        </w:tc>
      </w:tr>
      <w:tr w:rsidR="00C1187E" w:rsidRPr="00142E7D" w:rsidTr="00634424">
        <w:trPr>
          <w:cantSplit/>
          <w:trHeight w:val="1191"/>
          <w:jc w:val="center"/>
        </w:trPr>
        <w:tc>
          <w:tcPr>
            <w:tcW w:w="395"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426</w:t>
            </w:r>
          </w:p>
        </w:tc>
        <w:tc>
          <w:tcPr>
            <w:tcW w:w="1831" w:type="pct"/>
            <w:tcMar>
              <w:left w:w="0" w:type="dxa"/>
              <w:right w:w="0" w:type="dxa"/>
            </w:tcMar>
            <w:vAlign w:val="center"/>
          </w:tcPr>
          <w:p w:rsidR="00C1187E" w:rsidRPr="00142E7D" w:rsidRDefault="00C1187E" w:rsidP="00634424">
            <w:pPr>
              <w:kinsoku w:val="0"/>
              <w:overflowPunct w:val="0"/>
              <w:adjustRightInd w:val="0"/>
              <w:snapToGrid w:val="0"/>
              <w:spacing w:line="391" w:lineRule="exact"/>
              <w:jc w:val="both"/>
              <w:rPr>
                <w:rFonts w:ascii="標楷體" w:hAnsi="標楷體"/>
                <w:kern w:val="0"/>
                <w:sz w:val="28"/>
                <w:szCs w:val="28"/>
              </w:rPr>
            </w:pPr>
            <w:r w:rsidRPr="00142E7D">
              <w:rPr>
                <w:rFonts w:ascii="標楷體" w:hAnsi="標楷體"/>
                <w:kern w:val="0"/>
                <w:sz w:val="28"/>
                <w:szCs w:val="28"/>
              </w:rPr>
              <w:t>空氣污染防制法第10條</w:t>
            </w:r>
          </w:p>
        </w:tc>
        <w:tc>
          <w:tcPr>
            <w:tcW w:w="83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多數</w:t>
            </w:r>
          </w:p>
        </w:tc>
        <w:tc>
          <w:tcPr>
            <w:tcW w:w="1413"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中度</w:t>
            </w:r>
            <w:r w:rsidRPr="00142E7D">
              <w:rPr>
                <w:rFonts w:ascii="標楷體" w:hAnsi="標楷體"/>
                <w:kern w:val="0"/>
                <w:sz w:val="28"/>
                <w:szCs w:val="28"/>
              </w:rPr>
              <w:br/>
              <w:t>（特別公課）</w:t>
            </w:r>
          </w:p>
        </w:tc>
        <w:tc>
          <w:tcPr>
            <w:tcW w:w="529"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合憲</w:t>
            </w:r>
          </w:p>
        </w:tc>
      </w:tr>
      <w:tr w:rsidR="00C1187E" w:rsidRPr="00142E7D" w:rsidTr="00634424">
        <w:trPr>
          <w:cantSplit/>
          <w:trHeight w:val="1191"/>
          <w:jc w:val="center"/>
        </w:trPr>
        <w:tc>
          <w:tcPr>
            <w:tcW w:w="395"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394</w:t>
            </w:r>
          </w:p>
        </w:tc>
        <w:tc>
          <w:tcPr>
            <w:tcW w:w="1831" w:type="pct"/>
            <w:tcMar>
              <w:left w:w="0" w:type="dxa"/>
              <w:right w:w="0" w:type="dxa"/>
            </w:tcMar>
            <w:vAlign w:val="center"/>
          </w:tcPr>
          <w:p w:rsidR="00C1187E" w:rsidRPr="00142E7D" w:rsidRDefault="00C1187E" w:rsidP="00634424">
            <w:pPr>
              <w:kinsoku w:val="0"/>
              <w:overflowPunct w:val="0"/>
              <w:adjustRightInd w:val="0"/>
              <w:snapToGrid w:val="0"/>
              <w:spacing w:line="391" w:lineRule="exact"/>
              <w:jc w:val="both"/>
              <w:rPr>
                <w:rFonts w:ascii="標楷體" w:hAnsi="標楷體"/>
                <w:kern w:val="0"/>
                <w:sz w:val="28"/>
                <w:szCs w:val="28"/>
              </w:rPr>
            </w:pPr>
            <w:r w:rsidRPr="00142E7D">
              <w:rPr>
                <w:rFonts w:ascii="標楷體" w:hAnsi="標楷體"/>
                <w:kern w:val="0"/>
                <w:sz w:val="28"/>
                <w:szCs w:val="28"/>
              </w:rPr>
              <w:t>建築法第15條第2項</w:t>
            </w:r>
          </w:p>
        </w:tc>
        <w:tc>
          <w:tcPr>
            <w:tcW w:w="83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多數</w:t>
            </w:r>
          </w:p>
        </w:tc>
        <w:tc>
          <w:tcPr>
            <w:tcW w:w="1413"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中度</w:t>
            </w:r>
          </w:p>
        </w:tc>
        <w:tc>
          <w:tcPr>
            <w:tcW w:w="529"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合憲</w:t>
            </w:r>
          </w:p>
        </w:tc>
      </w:tr>
      <w:tr w:rsidR="00C1187E" w:rsidRPr="00142E7D" w:rsidTr="00634424">
        <w:trPr>
          <w:cantSplit/>
          <w:trHeight w:val="1247"/>
          <w:jc w:val="center"/>
        </w:trPr>
        <w:tc>
          <w:tcPr>
            <w:tcW w:w="395"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313</w:t>
            </w:r>
          </w:p>
        </w:tc>
        <w:tc>
          <w:tcPr>
            <w:tcW w:w="1831" w:type="pct"/>
            <w:tcMar>
              <w:left w:w="0" w:type="dxa"/>
              <w:right w:w="0" w:type="dxa"/>
            </w:tcMar>
            <w:vAlign w:val="center"/>
          </w:tcPr>
          <w:p w:rsidR="00C1187E" w:rsidRPr="00142E7D" w:rsidRDefault="00C1187E" w:rsidP="00634424">
            <w:pPr>
              <w:kinsoku w:val="0"/>
              <w:overflowPunct w:val="0"/>
              <w:adjustRightInd w:val="0"/>
              <w:snapToGrid w:val="0"/>
              <w:spacing w:line="391" w:lineRule="exact"/>
              <w:jc w:val="both"/>
              <w:rPr>
                <w:rFonts w:ascii="標楷體" w:hAnsi="標楷體"/>
                <w:kern w:val="0"/>
                <w:sz w:val="28"/>
                <w:szCs w:val="28"/>
              </w:rPr>
            </w:pPr>
            <w:r w:rsidRPr="00142E7D">
              <w:rPr>
                <w:rFonts w:ascii="標楷體" w:hAnsi="標楷體"/>
                <w:kern w:val="0"/>
                <w:sz w:val="28"/>
                <w:szCs w:val="28"/>
              </w:rPr>
              <w:t>民用航空法第87條第7款（同法第86條第7款亦同）</w:t>
            </w:r>
          </w:p>
        </w:tc>
        <w:tc>
          <w:tcPr>
            <w:tcW w:w="83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多數</w:t>
            </w:r>
          </w:p>
        </w:tc>
        <w:tc>
          <w:tcPr>
            <w:tcW w:w="1413"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中度</w:t>
            </w:r>
            <w:r w:rsidRPr="00142E7D">
              <w:rPr>
                <w:rFonts w:ascii="標楷體" w:hAnsi="標楷體"/>
                <w:kern w:val="0"/>
                <w:sz w:val="28"/>
                <w:szCs w:val="28"/>
              </w:rPr>
              <w:br/>
              <w:t>（罰鍰）</w:t>
            </w:r>
          </w:p>
        </w:tc>
        <w:tc>
          <w:tcPr>
            <w:tcW w:w="529"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應檢討</w:t>
            </w:r>
          </w:p>
        </w:tc>
      </w:tr>
    </w:tbl>
    <w:p w:rsidR="00C1187E" w:rsidRPr="00142E7D" w:rsidRDefault="00EF7CDB" w:rsidP="008858E1">
      <w:pPr>
        <w:kinsoku w:val="0"/>
        <w:overflowPunct w:val="0"/>
        <w:adjustRightInd w:val="0"/>
        <w:snapToGrid w:val="0"/>
        <w:spacing w:before="200" w:after="200" w:line="391" w:lineRule="exact"/>
        <w:ind w:left="280" w:hanging="280"/>
        <w:jc w:val="both"/>
        <w:rPr>
          <w:rFonts w:ascii="標楷體" w:hAnsi="標楷體"/>
          <w:kern w:val="0"/>
          <w:sz w:val="28"/>
          <w:szCs w:val="28"/>
        </w:rPr>
      </w:pPr>
      <w:r w:rsidRPr="00142E7D">
        <w:rPr>
          <w:rFonts w:ascii="標楷體" w:hAnsi="標楷體" w:hint="eastAsia"/>
          <w:kern w:val="0"/>
          <w:sz w:val="28"/>
          <w:szCs w:val="28"/>
        </w:rPr>
        <w:t>2.</w:t>
      </w:r>
      <w:r w:rsidR="00C1187E" w:rsidRPr="00142E7D">
        <w:rPr>
          <w:rFonts w:ascii="標楷體" w:hAnsi="標楷體"/>
          <w:kern w:val="0"/>
          <w:sz w:val="28"/>
          <w:szCs w:val="28"/>
        </w:rPr>
        <w:t>授權命令不得逾越母法授權範圍：以經授權訂定的子法為審查標的的解釋類型（違憲11件，合憲11件）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3296"/>
        <w:gridCol w:w="1412"/>
        <w:gridCol w:w="1548"/>
        <w:gridCol w:w="1548"/>
        <w:gridCol w:w="1005"/>
      </w:tblGrid>
      <w:tr w:rsidR="00C1187E" w:rsidRPr="00142E7D" w:rsidTr="009730FB">
        <w:trPr>
          <w:cantSplit/>
          <w:trHeight w:val="981"/>
          <w:tblHeader/>
          <w:jc w:val="center"/>
        </w:trPr>
        <w:tc>
          <w:tcPr>
            <w:tcW w:w="435"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釋字</w:t>
            </w:r>
          </w:p>
        </w:tc>
        <w:tc>
          <w:tcPr>
            <w:tcW w:w="1708" w:type="pct"/>
            <w:tcMar>
              <w:left w:w="0" w:type="dxa"/>
              <w:right w:w="0" w:type="dxa"/>
            </w:tcMar>
            <w:vAlign w:val="center"/>
          </w:tcPr>
          <w:p w:rsidR="00C1187E" w:rsidRPr="00142E7D" w:rsidRDefault="00C1187E" w:rsidP="00BA17C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審查標的</w:t>
            </w:r>
          </w:p>
        </w:tc>
        <w:tc>
          <w:tcPr>
            <w:tcW w:w="73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概括或</w:t>
            </w:r>
            <w:r w:rsidRPr="00142E7D">
              <w:rPr>
                <w:rFonts w:ascii="標楷體" w:hAnsi="標楷體"/>
                <w:kern w:val="0"/>
                <w:sz w:val="28"/>
                <w:szCs w:val="28"/>
              </w:rPr>
              <w:br/>
              <w:t>特別授權</w:t>
            </w:r>
          </w:p>
        </w:tc>
        <w:tc>
          <w:tcPr>
            <w:tcW w:w="80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與授權目的的關聯程度</w:t>
            </w:r>
          </w:p>
        </w:tc>
        <w:tc>
          <w:tcPr>
            <w:tcW w:w="80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整體觀察的可參酌因素</w:t>
            </w:r>
          </w:p>
        </w:tc>
        <w:tc>
          <w:tcPr>
            <w:tcW w:w="521" w:type="pct"/>
            <w:tcMar>
              <w:left w:w="0" w:type="dxa"/>
              <w:right w:w="0" w:type="dxa"/>
            </w:tcMar>
            <w:vAlign w:val="center"/>
          </w:tcPr>
          <w:p w:rsidR="00EF7CDB" w:rsidRPr="00142E7D" w:rsidRDefault="00C1187E" w:rsidP="00AE2A20">
            <w:pPr>
              <w:kinsoku w:val="0"/>
              <w:overflowPunct w:val="0"/>
              <w:adjustRightInd w:val="0"/>
              <w:snapToGrid w:val="0"/>
              <w:spacing w:line="391" w:lineRule="exact"/>
              <w:jc w:val="center"/>
              <w:rPr>
                <w:rFonts w:ascii="標楷體" w:hAnsi="標楷體" w:hint="eastAsia"/>
                <w:kern w:val="0"/>
                <w:sz w:val="28"/>
                <w:szCs w:val="28"/>
              </w:rPr>
            </w:pPr>
            <w:r w:rsidRPr="00142E7D">
              <w:rPr>
                <w:rFonts w:ascii="標楷體" w:hAnsi="標楷體"/>
                <w:kern w:val="0"/>
                <w:sz w:val="28"/>
                <w:szCs w:val="28"/>
              </w:rPr>
              <w:t>解釋</w:t>
            </w:r>
          </w:p>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結果</w:t>
            </w:r>
          </w:p>
        </w:tc>
      </w:tr>
      <w:tr w:rsidR="00C1187E" w:rsidRPr="00142E7D" w:rsidTr="009730FB">
        <w:trPr>
          <w:cantSplit/>
          <w:trHeight w:val="1304"/>
          <w:jc w:val="center"/>
        </w:trPr>
        <w:tc>
          <w:tcPr>
            <w:tcW w:w="435"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730</w:t>
            </w:r>
          </w:p>
        </w:tc>
        <w:tc>
          <w:tcPr>
            <w:tcW w:w="1708" w:type="pct"/>
            <w:tcMar>
              <w:left w:w="0" w:type="dxa"/>
              <w:right w:w="0" w:type="dxa"/>
            </w:tcMar>
          </w:tcPr>
          <w:p w:rsidR="00C1187E" w:rsidRPr="00142E7D" w:rsidRDefault="00C1187E" w:rsidP="00BA17C0">
            <w:pPr>
              <w:kinsoku w:val="0"/>
              <w:overflowPunct w:val="0"/>
              <w:adjustRightInd w:val="0"/>
              <w:snapToGrid w:val="0"/>
              <w:spacing w:line="391" w:lineRule="exact"/>
              <w:jc w:val="both"/>
              <w:rPr>
                <w:rFonts w:ascii="標楷體" w:hAnsi="標楷體"/>
                <w:kern w:val="0"/>
                <w:sz w:val="28"/>
                <w:szCs w:val="28"/>
              </w:rPr>
            </w:pPr>
            <w:r w:rsidRPr="00142E7D">
              <w:rPr>
                <w:rFonts w:ascii="標楷體" w:hAnsi="標楷體"/>
                <w:kern w:val="0"/>
                <w:sz w:val="28"/>
                <w:szCs w:val="28"/>
              </w:rPr>
              <w:t>學校教職員退休條例施行細則第19條第2項就重行退休給付限制的規定</w:t>
            </w:r>
          </w:p>
        </w:tc>
        <w:tc>
          <w:tcPr>
            <w:tcW w:w="73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概括</w:t>
            </w:r>
          </w:p>
        </w:tc>
        <w:tc>
          <w:tcPr>
            <w:tcW w:w="80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低</w:t>
            </w:r>
          </w:p>
        </w:tc>
        <w:tc>
          <w:tcPr>
            <w:tcW w:w="80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少</w:t>
            </w:r>
          </w:p>
        </w:tc>
        <w:tc>
          <w:tcPr>
            <w:tcW w:w="521"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違憲</w:t>
            </w:r>
          </w:p>
        </w:tc>
      </w:tr>
      <w:tr w:rsidR="00C1187E" w:rsidRPr="00142E7D" w:rsidTr="009730FB">
        <w:trPr>
          <w:cantSplit/>
          <w:trHeight w:val="1304"/>
          <w:jc w:val="center"/>
        </w:trPr>
        <w:tc>
          <w:tcPr>
            <w:tcW w:w="435"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723</w:t>
            </w:r>
          </w:p>
        </w:tc>
        <w:tc>
          <w:tcPr>
            <w:tcW w:w="1708" w:type="pct"/>
            <w:tcMar>
              <w:left w:w="0" w:type="dxa"/>
              <w:right w:w="0" w:type="dxa"/>
            </w:tcMar>
          </w:tcPr>
          <w:p w:rsidR="00C1187E" w:rsidRPr="00142E7D" w:rsidRDefault="00C1187E" w:rsidP="00BA17C0">
            <w:pPr>
              <w:kinsoku w:val="0"/>
              <w:overflowPunct w:val="0"/>
              <w:adjustRightInd w:val="0"/>
              <w:snapToGrid w:val="0"/>
              <w:spacing w:line="391" w:lineRule="exact"/>
              <w:jc w:val="both"/>
              <w:rPr>
                <w:rFonts w:ascii="標楷體" w:hAnsi="標楷體"/>
                <w:kern w:val="0"/>
                <w:sz w:val="28"/>
                <w:szCs w:val="28"/>
              </w:rPr>
            </w:pPr>
            <w:r w:rsidRPr="00142E7D">
              <w:rPr>
                <w:rFonts w:ascii="標楷體" w:hAnsi="標楷體"/>
                <w:kern w:val="0"/>
                <w:sz w:val="28"/>
                <w:szCs w:val="28"/>
              </w:rPr>
              <w:t>全民健康保險醫事服務機構醫療服務審查辦法第6條第1項關於時效的規定</w:t>
            </w:r>
          </w:p>
        </w:tc>
        <w:tc>
          <w:tcPr>
            <w:tcW w:w="73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概括</w:t>
            </w:r>
          </w:p>
        </w:tc>
        <w:tc>
          <w:tcPr>
            <w:tcW w:w="80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低</w:t>
            </w:r>
          </w:p>
        </w:tc>
        <w:tc>
          <w:tcPr>
            <w:tcW w:w="80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少</w:t>
            </w:r>
          </w:p>
        </w:tc>
        <w:tc>
          <w:tcPr>
            <w:tcW w:w="521"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違憲</w:t>
            </w:r>
          </w:p>
        </w:tc>
      </w:tr>
      <w:tr w:rsidR="00C1187E" w:rsidRPr="00142E7D" w:rsidTr="009730FB">
        <w:trPr>
          <w:cantSplit/>
          <w:trHeight w:val="1304"/>
          <w:jc w:val="center"/>
        </w:trPr>
        <w:tc>
          <w:tcPr>
            <w:tcW w:w="435"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lastRenderedPageBreak/>
              <w:t>710</w:t>
            </w:r>
          </w:p>
        </w:tc>
        <w:tc>
          <w:tcPr>
            <w:tcW w:w="1708" w:type="pct"/>
            <w:tcMar>
              <w:left w:w="0" w:type="dxa"/>
              <w:right w:w="0" w:type="dxa"/>
            </w:tcMar>
          </w:tcPr>
          <w:p w:rsidR="00C1187E" w:rsidRPr="00142E7D" w:rsidRDefault="00C1187E" w:rsidP="00BA17C0">
            <w:pPr>
              <w:kinsoku w:val="0"/>
              <w:overflowPunct w:val="0"/>
              <w:adjustRightInd w:val="0"/>
              <w:snapToGrid w:val="0"/>
              <w:spacing w:line="391" w:lineRule="exact"/>
              <w:jc w:val="both"/>
              <w:rPr>
                <w:rFonts w:ascii="標楷體" w:hAnsi="標楷體"/>
                <w:kern w:val="0"/>
                <w:sz w:val="28"/>
                <w:szCs w:val="28"/>
              </w:rPr>
            </w:pPr>
            <w:r w:rsidRPr="00142E7D">
              <w:rPr>
                <w:rFonts w:ascii="標楷體" w:hAnsi="標楷體"/>
                <w:kern w:val="0"/>
                <w:sz w:val="28"/>
                <w:szCs w:val="28"/>
              </w:rPr>
              <w:t>大陸地區人民及香港澳門居民強制出境處理辦法第</w:t>
            </w:r>
            <w:r w:rsidR="00EF7CDB" w:rsidRPr="00142E7D">
              <w:rPr>
                <w:rFonts w:ascii="標楷體" w:hAnsi="標楷體" w:hint="eastAsia"/>
                <w:kern w:val="0"/>
                <w:sz w:val="28"/>
                <w:szCs w:val="28"/>
              </w:rPr>
              <w:t>5</w:t>
            </w:r>
            <w:r w:rsidRPr="00142E7D">
              <w:rPr>
                <w:rFonts w:ascii="標楷體" w:hAnsi="標楷體"/>
                <w:kern w:val="0"/>
                <w:sz w:val="28"/>
                <w:szCs w:val="28"/>
              </w:rPr>
              <w:t>條關於暫予收容的規定</w:t>
            </w:r>
          </w:p>
        </w:tc>
        <w:tc>
          <w:tcPr>
            <w:tcW w:w="73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概括</w:t>
            </w:r>
          </w:p>
        </w:tc>
        <w:tc>
          <w:tcPr>
            <w:tcW w:w="80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低</w:t>
            </w:r>
          </w:p>
        </w:tc>
        <w:tc>
          <w:tcPr>
            <w:tcW w:w="80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少</w:t>
            </w:r>
          </w:p>
        </w:tc>
        <w:tc>
          <w:tcPr>
            <w:tcW w:w="521"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違憲</w:t>
            </w:r>
          </w:p>
        </w:tc>
      </w:tr>
      <w:tr w:rsidR="00C1187E" w:rsidRPr="00142E7D" w:rsidTr="009730FB">
        <w:trPr>
          <w:cantSplit/>
          <w:trHeight w:val="3288"/>
          <w:jc w:val="center"/>
        </w:trPr>
        <w:tc>
          <w:tcPr>
            <w:tcW w:w="435" w:type="pct"/>
            <w:tcMar>
              <w:left w:w="0" w:type="dxa"/>
              <w:right w:w="0" w:type="dxa"/>
            </w:tcMar>
            <w:vAlign w:val="center"/>
          </w:tcPr>
          <w:p w:rsidR="00060939" w:rsidRPr="00142E7D" w:rsidRDefault="00C1187E" w:rsidP="00060939">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682</w:t>
            </w:r>
          </w:p>
        </w:tc>
        <w:tc>
          <w:tcPr>
            <w:tcW w:w="1708" w:type="pct"/>
            <w:tcMar>
              <w:left w:w="0" w:type="dxa"/>
              <w:right w:w="0" w:type="dxa"/>
            </w:tcMar>
          </w:tcPr>
          <w:p w:rsidR="00C1187E" w:rsidRPr="00142E7D" w:rsidRDefault="00C1187E" w:rsidP="00BA17C0">
            <w:pPr>
              <w:kinsoku w:val="0"/>
              <w:overflowPunct w:val="0"/>
              <w:adjustRightInd w:val="0"/>
              <w:snapToGrid w:val="0"/>
              <w:spacing w:line="391" w:lineRule="exact"/>
              <w:jc w:val="both"/>
              <w:rPr>
                <w:rFonts w:ascii="標楷體" w:hAnsi="標楷體"/>
                <w:kern w:val="0"/>
                <w:sz w:val="28"/>
                <w:szCs w:val="28"/>
              </w:rPr>
            </w:pPr>
            <w:r w:rsidRPr="00142E7D">
              <w:rPr>
                <w:rFonts w:ascii="標楷體" w:hAnsi="標楷體"/>
                <w:kern w:val="0"/>
                <w:sz w:val="28"/>
                <w:szCs w:val="28"/>
              </w:rPr>
              <w:t>專門職業及技術人員考試法施行細則第15條第2項、專門職業及技術人員考試總成績計算規則第3條第1項及專門職業及技術人員特種考試中醫師考試規則第9條第3項等關於及格標準的規定</w:t>
            </w:r>
          </w:p>
        </w:tc>
        <w:tc>
          <w:tcPr>
            <w:tcW w:w="73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特別</w:t>
            </w:r>
          </w:p>
        </w:tc>
        <w:tc>
          <w:tcPr>
            <w:tcW w:w="80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高</w:t>
            </w:r>
          </w:p>
        </w:tc>
        <w:tc>
          <w:tcPr>
            <w:tcW w:w="80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多</w:t>
            </w:r>
          </w:p>
        </w:tc>
        <w:tc>
          <w:tcPr>
            <w:tcW w:w="521"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合憲</w:t>
            </w:r>
          </w:p>
        </w:tc>
      </w:tr>
      <w:tr w:rsidR="00C1187E" w:rsidRPr="00142E7D" w:rsidTr="009730FB">
        <w:trPr>
          <w:cantSplit/>
          <w:trHeight w:val="1361"/>
          <w:jc w:val="center"/>
        </w:trPr>
        <w:tc>
          <w:tcPr>
            <w:tcW w:w="435"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676</w:t>
            </w:r>
          </w:p>
        </w:tc>
        <w:tc>
          <w:tcPr>
            <w:tcW w:w="1708" w:type="pct"/>
            <w:tcMar>
              <w:left w:w="0" w:type="dxa"/>
              <w:right w:w="0" w:type="dxa"/>
            </w:tcMar>
          </w:tcPr>
          <w:p w:rsidR="00C1187E" w:rsidRPr="00142E7D" w:rsidRDefault="00C1187E" w:rsidP="00BA17C0">
            <w:pPr>
              <w:kinsoku w:val="0"/>
              <w:overflowPunct w:val="0"/>
              <w:adjustRightInd w:val="0"/>
              <w:snapToGrid w:val="0"/>
              <w:spacing w:line="391" w:lineRule="exact"/>
              <w:jc w:val="both"/>
              <w:rPr>
                <w:rFonts w:ascii="標楷體" w:hAnsi="標楷體"/>
                <w:kern w:val="0"/>
                <w:sz w:val="28"/>
                <w:szCs w:val="28"/>
              </w:rPr>
            </w:pPr>
            <w:r w:rsidRPr="00142E7D">
              <w:rPr>
                <w:rFonts w:ascii="標楷體" w:hAnsi="標楷體"/>
                <w:kern w:val="0"/>
                <w:sz w:val="28"/>
                <w:szCs w:val="28"/>
              </w:rPr>
              <w:t>全民健康保險法施行細則第41條第1項第7款關於投保金額分級的規定</w:t>
            </w:r>
          </w:p>
        </w:tc>
        <w:tc>
          <w:tcPr>
            <w:tcW w:w="73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概括</w:t>
            </w:r>
          </w:p>
        </w:tc>
        <w:tc>
          <w:tcPr>
            <w:tcW w:w="80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高</w:t>
            </w:r>
          </w:p>
        </w:tc>
        <w:tc>
          <w:tcPr>
            <w:tcW w:w="80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多</w:t>
            </w:r>
          </w:p>
        </w:tc>
        <w:tc>
          <w:tcPr>
            <w:tcW w:w="521"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合憲</w:t>
            </w:r>
          </w:p>
        </w:tc>
      </w:tr>
      <w:tr w:rsidR="00C1187E" w:rsidRPr="00142E7D" w:rsidTr="009730FB">
        <w:trPr>
          <w:cantSplit/>
          <w:trHeight w:val="1304"/>
          <w:jc w:val="center"/>
        </w:trPr>
        <w:tc>
          <w:tcPr>
            <w:tcW w:w="435"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658</w:t>
            </w:r>
          </w:p>
        </w:tc>
        <w:tc>
          <w:tcPr>
            <w:tcW w:w="1708" w:type="pct"/>
            <w:tcMar>
              <w:left w:w="0" w:type="dxa"/>
              <w:right w:w="0" w:type="dxa"/>
            </w:tcMar>
          </w:tcPr>
          <w:p w:rsidR="00C1187E" w:rsidRPr="00142E7D" w:rsidRDefault="00C1187E" w:rsidP="00BA17C0">
            <w:pPr>
              <w:kinsoku w:val="0"/>
              <w:overflowPunct w:val="0"/>
              <w:adjustRightInd w:val="0"/>
              <w:snapToGrid w:val="0"/>
              <w:spacing w:line="391" w:lineRule="exact"/>
              <w:jc w:val="both"/>
              <w:rPr>
                <w:rFonts w:ascii="標楷體" w:hAnsi="標楷體"/>
                <w:kern w:val="0"/>
                <w:sz w:val="28"/>
                <w:szCs w:val="28"/>
              </w:rPr>
            </w:pPr>
            <w:r w:rsidRPr="00142E7D">
              <w:rPr>
                <w:rFonts w:ascii="標楷體" w:hAnsi="標楷體"/>
                <w:kern w:val="0"/>
                <w:sz w:val="28"/>
                <w:szCs w:val="28"/>
              </w:rPr>
              <w:t>公務人員退休法施行細則第13條第2項就重行退休給付限制的規定</w:t>
            </w:r>
          </w:p>
        </w:tc>
        <w:tc>
          <w:tcPr>
            <w:tcW w:w="73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概括</w:t>
            </w:r>
          </w:p>
        </w:tc>
        <w:tc>
          <w:tcPr>
            <w:tcW w:w="80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低</w:t>
            </w:r>
          </w:p>
        </w:tc>
        <w:tc>
          <w:tcPr>
            <w:tcW w:w="80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少</w:t>
            </w:r>
          </w:p>
        </w:tc>
        <w:tc>
          <w:tcPr>
            <w:tcW w:w="521"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違憲</w:t>
            </w:r>
          </w:p>
        </w:tc>
      </w:tr>
      <w:tr w:rsidR="00C1187E" w:rsidRPr="00142E7D" w:rsidTr="009730FB">
        <w:trPr>
          <w:cantSplit/>
          <w:trHeight w:val="1644"/>
          <w:jc w:val="center"/>
        </w:trPr>
        <w:tc>
          <w:tcPr>
            <w:tcW w:w="435"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643</w:t>
            </w:r>
          </w:p>
        </w:tc>
        <w:tc>
          <w:tcPr>
            <w:tcW w:w="1708" w:type="pct"/>
            <w:tcMar>
              <w:left w:w="0" w:type="dxa"/>
              <w:right w:w="0" w:type="dxa"/>
            </w:tcMar>
          </w:tcPr>
          <w:p w:rsidR="00C1187E" w:rsidRPr="00142E7D" w:rsidRDefault="00C1187E" w:rsidP="00BA17C0">
            <w:pPr>
              <w:kinsoku w:val="0"/>
              <w:overflowPunct w:val="0"/>
              <w:adjustRightInd w:val="0"/>
              <w:snapToGrid w:val="0"/>
              <w:spacing w:line="391" w:lineRule="exact"/>
              <w:jc w:val="both"/>
              <w:rPr>
                <w:rFonts w:ascii="標楷體" w:hAnsi="標楷體"/>
                <w:kern w:val="0"/>
                <w:sz w:val="28"/>
                <w:szCs w:val="28"/>
              </w:rPr>
            </w:pPr>
            <w:r w:rsidRPr="00142E7D">
              <w:rPr>
                <w:rFonts w:ascii="標楷體" w:hAnsi="標楷體"/>
                <w:kern w:val="0"/>
                <w:sz w:val="28"/>
                <w:szCs w:val="28"/>
              </w:rPr>
              <w:t>工商團體會務工作人員管理辦法第45條第2項關於會務工作人員退休金給付標準的規定</w:t>
            </w:r>
          </w:p>
        </w:tc>
        <w:tc>
          <w:tcPr>
            <w:tcW w:w="73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概括</w:t>
            </w:r>
          </w:p>
        </w:tc>
        <w:tc>
          <w:tcPr>
            <w:tcW w:w="80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高</w:t>
            </w:r>
          </w:p>
        </w:tc>
        <w:tc>
          <w:tcPr>
            <w:tcW w:w="80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少</w:t>
            </w:r>
          </w:p>
        </w:tc>
        <w:tc>
          <w:tcPr>
            <w:tcW w:w="521" w:type="pct"/>
            <w:tcMar>
              <w:left w:w="0" w:type="dxa"/>
              <w:right w:w="0" w:type="dxa"/>
            </w:tcMar>
            <w:vAlign w:val="center"/>
          </w:tcPr>
          <w:p w:rsidR="00D34FFE" w:rsidRPr="00142E7D" w:rsidRDefault="00C1187E" w:rsidP="00AE2A20">
            <w:pPr>
              <w:kinsoku w:val="0"/>
              <w:overflowPunct w:val="0"/>
              <w:adjustRightInd w:val="0"/>
              <w:snapToGrid w:val="0"/>
              <w:spacing w:line="391" w:lineRule="exact"/>
              <w:jc w:val="center"/>
              <w:rPr>
                <w:rFonts w:ascii="標楷體" w:hAnsi="標楷體" w:hint="eastAsia"/>
                <w:kern w:val="0"/>
                <w:sz w:val="28"/>
                <w:szCs w:val="28"/>
              </w:rPr>
            </w:pPr>
            <w:r w:rsidRPr="00142E7D">
              <w:rPr>
                <w:rFonts w:ascii="標楷體" w:hAnsi="標楷體"/>
                <w:kern w:val="0"/>
                <w:sz w:val="28"/>
                <w:szCs w:val="28"/>
              </w:rPr>
              <w:t>合憲</w:t>
            </w:r>
          </w:p>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檢討</w:t>
            </w:r>
          </w:p>
        </w:tc>
      </w:tr>
      <w:tr w:rsidR="00C1187E" w:rsidRPr="00142E7D" w:rsidTr="009730FB">
        <w:trPr>
          <w:cantSplit/>
          <w:trHeight w:val="2098"/>
          <w:jc w:val="center"/>
        </w:trPr>
        <w:tc>
          <w:tcPr>
            <w:tcW w:w="435"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638</w:t>
            </w:r>
          </w:p>
        </w:tc>
        <w:tc>
          <w:tcPr>
            <w:tcW w:w="1708" w:type="pct"/>
            <w:tcMar>
              <w:left w:w="0" w:type="dxa"/>
              <w:right w:w="0" w:type="dxa"/>
            </w:tcMar>
          </w:tcPr>
          <w:p w:rsidR="00C1187E" w:rsidRPr="00142E7D" w:rsidRDefault="00C1187E" w:rsidP="00BA17C0">
            <w:pPr>
              <w:kinsoku w:val="0"/>
              <w:overflowPunct w:val="0"/>
              <w:adjustRightInd w:val="0"/>
              <w:snapToGrid w:val="0"/>
              <w:spacing w:line="391" w:lineRule="exact"/>
              <w:jc w:val="both"/>
              <w:rPr>
                <w:rFonts w:ascii="標楷體" w:hAnsi="標楷體"/>
                <w:kern w:val="0"/>
                <w:sz w:val="28"/>
                <w:szCs w:val="28"/>
              </w:rPr>
            </w:pPr>
            <w:r w:rsidRPr="00142E7D">
              <w:rPr>
                <w:rFonts w:ascii="標楷體" w:hAnsi="標楷體"/>
                <w:kern w:val="0"/>
                <w:sz w:val="28"/>
                <w:szCs w:val="28"/>
              </w:rPr>
              <w:t>公開發行公司董事監察人股權成數及查核規則第8條第1項及第2項後段關於處罰對象及歸責方式的規定</w:t>
            </w:r>
          </w:p>
        </w:tc>
        <w:tc>
          <w:tcPr>
            <w:tcW w:w="73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概括</w:t>
            </w:r>
          </w:p>
        </w:tc>
        <w:tc>
          <w:tcPr>
            <w:tcW w:w="80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低</w:t>
            </w:r>
          </w:p>
        </w:tc>
        <w:tc>
          <w:tcPr>
            <w:tcW w:w="80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少</w:t>
            </w:r>
          </w:p>
        </w:tc>
        <w:tc>
          <w:tcPr>
            <w:tcW w:w="521"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違憲</w:t>
            </w:r>
          </w:p>
        </w:tc>
      </w:tr>
      <w:tr w:rsidR="00C1187E" w:rsidRPr="00142E7D" w:rsidTr="009730FB">
        <w:trPr>
          <w:cantSplit/>
          <w:trHeight w:val="1304"/>
          <w:jc w:val="center"/>
        </w:trPr>
        <w:tc>
          <w:tcPr>
            <w:tcW w:w="435"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614</w:t>
            </w:r>
          </w:p>
        </w:tc>
        <w:tc>
          <w:tcPr>
            <w:tcW w:w="1708" w:type="pct"/>
            <w:tcMar>
              <w:left w:w="0" w:type="dxa"/>
              <w:right w:w="0" w:type="dxa"/>
            </w:tcMar>
          </w:tcPr>
          <w:p w:rsidR="00C1187E" w:rsidRPr="00142E7D" w:rsidRDefault="00C1187E" w:rsidP="00BA17C0">
            <w:pPr>
              <w:kinsoku w:val="0"/>
              <w:overflowPunct w:val="0"/>
              <w:adjustRightInd w:val="0"/>
              <w:snapToGrid w:val="0"/>
              <w:spacing w:line="391" w:lineRule="exact"/>
              <w:jc w:val="both"/>
              <w:rPr>
                <w:rFonts w:ascii="標楷體" w:hAnsi="標楷體"/>
                <w:kern w:val="0"/>
                <w:sz w:val="28"/>
                <w:szCs w:val="28"/>
              </w:rPr>
            </w:pPr>
            <w:r w:rsidRPr="00142E7D">
              <w:rPr>
                <w:rFonts w:ascii="標楷體" w:hAnsi="標楷體"/>
                <w:kern w:val="0"/>
                <w:sz w:val="28"/>
                <w:szCs w:val="28"/>
              </w:rPr>
              <w:t>公務人員退休法施行細則第12條第3項關於年資併計的規定</w:t>
            </w:r>
          </w:p>
        </w:tc>
        <w:tc>
          <w:tcPr>
            <w:tcW w:w="73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概括</w:t>
            </w:r>
          </w:p>
        </w:tc>
        <w:tc>
          <w:tcPr>
            <w:tcW w:w="80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低</w:t>
            </w:r>
          </w:p>
        </w:tc>
        <w:tc>
          <w:tcPr>
            <w:tcW w:w="80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少</w:t>
            </w:r>
          </w:p>
        </w:tc>
        <w:tc>
          <w:tcPr>
            <w:tcW w:w="521" w:type="pct"/>
            <w:tcMar>
              <w:left w:w="0" w:type="dxa"/>
              <w:right w:w="0" w:type="dxa"/>
            </w:tcMar>
            <w:vAlign w:val="center"/>
          </w:tcPr>
          <w:p w:rsidR="00D34FFE" w:rsidRPr="00142E7D" w:rsidRDefault="00C1187E" w:rsidP="00AE2A20">
            <w:pPr>
              <w:kinsoku w:val="0"/>
              <w:overflowPunct w:val="0"/>
              <w:adjustRightInd w:val="0"/>
              <w:snapToGrid w:val="0"/>
              <w:spacing w:line="391" w:lineRule="exact"/>
              <w:jc w:val="center"/>
              <w:rPr>
                <w:rFonts w:ascii="標楷體" w:hAnsi="標楷體" w:hint="eastAsia"/>
                <w:kern w:val="0"/>
                <w:sz w:val="28"/>
                <w:szCs w:val="28"/>
              </w:rPr>
            </w:pPr>
            <w:r w:rsidRPr="00142E7D">
              <w:rPr>
                <w:rFonts w:ascii="標楷體" w:hAnsi="標楷體"/>
                <w:kern w:val="0"/>
                <w:sz w:val="28"/>
                <w:szCs w:val="28"/>
              </w:rPr>
              <w:t>合憲</w:t>
            </w:r>
          </w:p>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檢討</w:t>
            </w:r>
          </w:p>
        </w:tc>
      </w:tr>
      <w:tr w:rsidR="00C1187E" w:rsidRPr="00142E7D" w:rsidTr="009730FB">
        <w:trPr>
          <w:cantSplit/>
          <w:trHeight w:val="1304"/>
          <w:jc w:val="center"/>
        </w:trPr>
        <w:tc>
          <w:tcPr>
            <w:tcW w:w="435"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lastRenderedPageBreak/>
              <w:t>612</w:t>
            </w:r>
          </w:p>
        </w:tc>
        <w:tc>
          <w:tcPr>
            <w:tcW w:w="1708" w:type="pct"/>
            <w:tcMar>
              <w:left w:w="0" w:type="dxa"/>
              <w:right w:w="0" w:type="dxa"/>
            </w:tcMar>
          </w:tcPr>
          <w:p w:rsidR="00C1187E" w:rsidRPr="00142E7D" w:rsidRDefault="00C1187E" w:rsidP="00BA17C0">
            <w:pPr>
              <w:kinsoku w:val="0"/>
              <w:overflowPunct w:val="0"/>
              <w:adjustRightInd w:val="0"/>
              <w:snapToGrid w:val="0"/>
              <w:spacing w:line="391" w:lineRule="exact"/>
              <w:jc w:val="both"/>
              <w:rPr>
                <w:rFonts w:ascii="標楷體" w:hAnsi="標楷體"/>
                <w:kern w:val="0"/>
                <w:sz w:val="28"/>
                <w:szCs w:val="28"/>
              </w:rPr>
            </w:pPr>
            <w:r w:rsidRPr="00142E7D">
              <w:rPr>
                <w:rFonts w:ascii="標楷體" w:hAnsi="標楷體"/>
                <w:kern w:val="0"/>
                <w:sz w:val="28"/>
                <w:szCs w:val="28"/>
              </w:rPr>
              <w:t>廢棄物處理機構管輔辦法第31條第1款關於撤銷合格證書的規定</w:t>
            </w:r>
          </w:p>
        </w:tc>
        <w:tc>
          <w:tcPr>
            <w:tcW w:w="73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概括</w:t>
            </w:r>
          </w:p>
        </w:tc>
        <w:tc>
          <w:tcPr>
            <w:tcW w:w="80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高</w:t>
            </w:r>
          </w:p>
        </w:tc>
        <w:tc>
          <w:tcPr>
            <w:tcW w:w="80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多</w:t>
            </w:r>
          </w:p>
        </w:tc>
        <w:tc>
          <w:tcPr>
            <w:tcW w:w="521"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合憲</w:t>
            </w:r>
          </w:p>
        </w:tc>
      </w:tr>
      <w:tr w:rsidR="00C1187E" w:rsidRPr="00142E7D" w:rsidTr="009730FB">
        <w:trPr>
          <w:cantSplit/>
          <w:trHeight w:val="2098"/>
          <w:jc w:val="center"/>
        </w:trPr>
        <w:tc>
          <w:tcPr>
            <w:tcW w:w="435"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604</w:t>
            </w:r>
          </w:p>
        </w:tc>
        <w:tc>
          <w:tcPr>
            <w:tcW w:w="1708" w:type="pct"/>
            <w:tcMar>
              <w:left w:w="0" w:type="dxa"/>
              <w:right w:w="0" w:type="dxa"/>
            </w:tcMar>
          </w:tcPr>
          <w:p w:rsidR="00C1187E" w:rsidRPr="00142E7D" w:rsidRDefault="00C1187E" w:rsidP="00BA17C0">
            <w:pPr>
              <w:kinsoku w:val="0"/>
              <w:overflowPunct w:val="0"/>
              <w:adjustRightInd w:val="0"/>
              <w:snapToGrid w:val="0"/>
              <w:spacing w:line="391" w:lineRule="exact"/>
              <w:jc w:val="both"/>
              <w:rPr>
                <w:rFonts w:ascii="標楷體" w:hAnsi="標楷體"/>
                <w:kern w:val="0"/>
                <w:sz w:val="28"/>
                <w:szCs w:val="28"/>
              </w:rPr>
            </w:pPr>
            <w:r w:rsidRPr="00142E7D">
              <w:rPr>
                <w:rFonts w:ascii="標楷體" w:hAnsi="標楷體"/>
                <w:kern w:val="0"/>
                <w:sz w:val="28"/>
                <w:szCs w:val="28"/>
              </w:rPr>
              <w:t>違反道路交通管理事件統一裁罰標準及處理細則第12條第4項，以「每逾二小時」為連續舉發標準的規定。</w:t>
            </w:r>
          </w:p>
        </w:tc>
        <w:tc>
          <w:tcPr>
            <w:tcW w:w="73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概括</w:t>
            </w:r>
          </w:p>
        </w:tc>
        <w:tc>
          <w:tcPr>
            <w:tcW w:w="80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高</w:t>
            </w:r>
          </w:p>
        </w:tc>
        <w:tc>
          <w:tcPr>
            <w:tcW w:w="80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多</w:t>
            </w:r>
          </w:p>
        </w:tc>
        <w:tc>
          <w:tcPr>
            <w:tcW w:w="521"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合憲</w:t>
            </w:r>
          </w:p>
        </w:tc>
      </w:tr>
      <w:tr w:rsidR="00C1187E" w:rsidRPr="00142E7D" w:rsidTr="009730FB">
        <w:trPr>
          <w:cantSplit/>
          <w:trHeight w:val="1814"/>
          <w:jc w:val="center"/>
        </w:trPr>
        <w:tc>
          <w:tcPr>
            <w:tcW w:w="435"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602</w:t>
            </w:r>
          </w:p>
        </w:tc>
        <w:tc>
          <w:tcPr>
            <w:tcW w:w="1708" w:type="pct"/>
            <w:tcMar>
              <w:left w:w="0" w:type="dxa"/>
              <w:right w:w="0" w:type="dxa"/>
            </w:tcMar>
          </w:tcPr>
          <w:p w:rsidR="00C1187E" w:rsidRPr="00142E7D" w:rsidRDefault="00C1187E" w:rsidP="00BA17C0">
            <w:pPr>
              <w:kinsoku w:val="0"/>
              <w:overflowPunct w:val="0"/>
              <w:adjustRightInd w:val="0"/>
              <w:snapToGrid w:val="0"/>
              <w:spacing w:line="391" w:lineRule="exact"/>
              <w:jc w:val="both"/>
              <w:rPr>
                <w:rFonts w:ascii="標楷體" w:hAnsi="標楷體"/>
                <w:kern w:val="0"/>
                <w:sz w:val="28"/>
                <w:szCs w:val="28"/>
              </w:rPr>
            </w:pPr>
            <w:r w:rsidRPr="00142E7D">
              <w:rPr>
                <w:rFonts w:ascii="標楷體" w:hAnsi="標楷體"/>
                <w:kern w:val="0"/>
                <w:sz w:val="28"/>
                <w:szCs w:val="28"/>
              </w:rPr>
              <w:t>多層次傳銷管理辦法第5條關於人民退出多層次傳銷計畫或組織的權利義務規定</w:t>
            </w:r>
          </w:p>
        </w:tc>
        <w:tc>
          <w:tcPr>
            <w:tcW w:w="73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概括</w:t>
            </w:r>
          </w:p>
        </w:tc>
        <w:tc>
          <w:tcPr>
            <w:tcW w:w="80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低</w:t>
            </w:r>
          </w:p>
        </w:tc>
        <w:tc>
          <w:tcPr>
            <w:tcW w:w="80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少</w:t>
            </w:r>
          </w:p>
        </w:tc>
        <w:tc>
          <w:tcPr>
            <w:tcW w:w="521"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違憲</w:t>
            </w:r>
          </w:p>
        </w:tc>
      </w:tr>
      <w:tr w:rsidR="00C1187E" w:rsidRPr="00142E7D" w:rsidTr="009730FB">
        <w:trPr>
          <w:cantSplit/>
          <w:trHeight w:val="1417"/>
          <w:jc w:val="center"/>
        </w:trPr>
        <w:tc>
          <w:tcPr>
            <w:tcW w:w="435"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593</w:t>
            </w:r>
          </w:p>
        </w:tc>
        <w:tc>
          <w:tcPr>
            <w:tcW w:w="1708" w:type="pct"/>
            <w:tcMar>
              <w:left w:w="0" w:type="dxa"/>
              <w:right w:w="0" w:type="dxa"/>
            </w:tcMar>
          </w:tcPr>
          <w:p w:rsidR="00C1187E" w:rsidRPr="00142E7D" w:rsidRDefault="00C1187E" w:rsidP="00BA17C0">
            <w:pPr>
              <w:kinsoku w:val="0"/>
              <w:overflowPunct w:val="0"/>
              <w:adjustRightInd w:val="0"/>
              <w:snapToGrid w:val="0"/>
              <w:spacing w:line="391" w:lineRule="exact"/>
              <w:jc w:val="both"/>
              <w:rPr>
                <w:rFonts w:ascii="標楷體" w:hAnsi="標楷體"/>
                <w:kern w:val="0"/>
                <w:sz w:val="28"/>
                <w:szCs w:val="28"/>
              </w:rPr>
            </w:pPr>
            <w:r w:rsidRPr="00142E7D">
              <w:rPr>
                <w:rFonts w:ascii="標楷體" w:hAnsi="標楷體"/>
                <w:kern w:val="0"/>
                <w:sz w:val="28"/>
                <w:szCs w:val="28"/>
              </w:rPr>
              <w:t>汽車燃料使用費徵收及分配辦法第2條、第3條關於徵收方式的規定</w:t>
            </w:r>
          </w:p>
        </w:tc>
        <w:tc>
          <w:tcPr>
            <w:tcW w:w="73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特別</w:t>
            </w:r>
          </w:p>
        </w:tc>
        <w:tc>
          <w:tcPr>
            <w:tcW w:w="80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高</w:t>
            </w:r>
          </w:p>
        </w:tc>
        <w:tc>
          <w:tcPr>
            <w:tcW w:w="80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少</w:t>
            </w:r>
          </w:p>
        </w:tc>
        <w:tc>
          <w:tcPr>
            <w:tcW w:w="521"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合憲</w:t>
            </w:r>
          </w:p>
        </w:tc>
      </w:tr>
      <w:tr w:rsidR="00C1187E" w:rsidRPr="00142E7D" w:rsidTr="009730FB">
        <w:trPr>
          <w:cantSplit/>
          <w:trHeight w:val="1701"/>
          <w:jc w:val="center"/>
        </w:trPr>
        <w:tc>
          <w:tcPr>
            <w:tcW w:w="435"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559</w:t>
            </w:r>
          </w:p>
        </w:tc>
        <w:tc>
          <w:tcPr>
            <w:tcW w:w="1708" w:type="pct"/>
            <w:tcMar>
              <w:left w:w="0" w:type="dxa"/>
              <w:right w:w="0" w:type="dxa"/>
            </w:tcMar>
          </w:tcPr>
          <w:p w:rsidR="00C1187E" w:rsidRPr="00142E7D" w:rsidRDefault="00C1187E" w:rsidP="00BA17C0">
            <w:pPr>
              <w:kinsoku w:val="0"/>
              <w:overflowPunct w:val="0"/>
              <w:adjustRightInd w:val="0"/>
              <w:snapToGrid w:val="0"/>
              <w:spacing w:line="391" w:lineRule="exact"/>
              <w:jc w:val="both"/>
              <w:rPr>
                <w:rFonts w:ascii="標楷體" w:hAnsi="標楷體"/>
                <w:kern w:val="0"/>
                <w:sz w:val="28"/>
                <w:szCs w:val="28"/>
              </w:rPr>
            </w:pPr>
            <w:r w:rsidRPr="00142E7D">
              <w:rPr>
                <w:rFonts w:ascii="標楷體" w:hAnsi="標楷體"/>
                <w:kern w:val="0"/>
                <w:sz w:val="28"/>
                <w:szCs w:val="28"/>
              </w:rPr>
              <w:t>警察機關執行保護令及處理家庭暴力案件辦法第十九條第1、2項關於保護令核發方法的規定</w:t>
            </w:r>
          </w:p>
        </w:tc>
        <w:tc>
          <w:tcPr>
            <w:tcW w:w="73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概括</w:t>
            </w:r>
          </w:p>
        </w:tc>
        <w:tc>
          <w:tcPr>
            <w:tcW w:w="80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高</w:t>
            </w:r>
          </w:p>
        </w:tc>
        <w:tc>
          <w:tcPr>
            <w:tcW w:w="80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少</w:t>
            </w:r>
          </w:p>
        </w:tc>
        <w:tc>
          <w:tcPr>
            <w:tcW w:w="521"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合憲</w:t>
            </w:r>
          </w:p>
        </w:tc>
      </w:tr>
      <w:tr w:rsidR="00C1187E" w:rsidRPr="00142E7D" w:rsidTr="009730FB">
        <w:trPr>
          <w:cantSplit/>
          <w:trHeight w:val="1304"/>
          <w:jc w:val="center"/>
        </w:trPr>
        <w:tc>
          <w:tcPr>
            <w:tcW w:w="435"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524</w:t>
            </w:r>
          </w:p>
        </w:tc>
        <w:tc>
          <w:tcPr>
            <w:tcW w:w="1708" w:type="pct"/>
            <w:tcMar>
              <w:left w:w="0" w:type="dxa"/>
              <w:right w:w="0" w:type="dxa"/>
            </w:tcMar>
          </w:tcPr>
          <w:p w:rsidR="00C1187E" w:rsidRPr="00142E7D" w:rsidRDefault="00C1187E" w:rsidP="00BA17C0">
            <w:pPr>
              <w:kinsoku w:val="0"/>
              <w:overflowPunct w:val="0"/>
              <w:adjustRightInd w:val="0"/>
              <w:snapToGrid w:val="0"/>
              <w:spacing w:line="391" w:lineRule="exact"/>
              <w:jc w:val="both"/>
              <w:rPr>
                <w:rFonts w:ascii="標楷體" w:hAnsi="標楷體"/>
                <w:kern w:val="0"/>
                <w:sz w:val="28"/>
                <w:szCs w:val="28"/>
              </w:rPr>
            </w:pPr>
            <w:r w:rsidRPr="00142E7D">
              <w:rPr>
                <w:rFonts w:ascii="標楷體" w:hAnsi="標楷體"/>
                <w:kern w:val="0"/>
                <w:sz w:val="28"/>
                <w:szCs w:val="28"/>
              </w:rPr>
              <w:t>健康保險醫療辦法有關保險關係權利義務事項等規定</w:t>
            </w:r>
          </w:p>
        </w:tc>
        <w:tc>
          <w:tcPr>
            <w:tcW w:w="73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概括</w:t>
            </w:r>
          </w:p>
        </w:tc>
        <w:tc>
          <w:tcPr>
            <w:tcW w:w="80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高</w:t>
            </w:r>
          </w:p>
        </w:tc>
        <w:tc>
          <w:tcPr>
            <w:tcW w:w="80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少</w:t>
            </w:r>
          </w:p>
        </w:tc>
        <w:tc>
          <w:tcPr>
            <w:tcW w:w="521"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違憲</w:t>
            </w:r>
          </w:p>
        </w:tc>
      </w:tr>
      <w:tr w:rsidR="00C1187E" w:rsidRPr="00142E7D" w:rsidTr="009730FB">
        <w:trPr>
          <w:cantSplit/>
          <w:trHeight w:val="1701"/>
          <w:jc w:val="center"/>
        </w:trPr>
        <w:tc>
          <w:tcPr>
            <w:tcW w:w="435"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497</w:t>
            </w:r>
          </w:p>
        </w:tc>
        <w:tc>
          <w:tcPr>
            <w:tcW w:w="1708" w:type="pct"/>
            <w:tcMar>
              <w:left w:w="0" w:type="dxa"/>
              <w:right w:w="0" w:type="dxa"/>
            </w:tcMar>
          </w:tcPr>
          <w:p w:rsidR="00C1187E" w:rsidRPr="00142E7D" w:rsidRDefault="00C1187E" w:rsidP="00BA17C0">
            <w:pPr>
              <w:kinsoku w:val="0"/>
              <w:overflowPunct w:val="0"/>
              <w:adjustRightInd w:val="0"/>
              <w:snapToGrid w:val="0"/>
              <w:spacing w:line="391" w:lineRule="exact"/>
              <w:jc w:val="both"/>
              <w:rPr>
                <w:rFonts w:ascii="標楷體" w:hAnsi="標楷體"/>
                <w:kern w:val="0"/>
                <w:sz w:val="28"/>
                <w:szCs w:val="28"/>
              </w:rPr>
            </w:pPr>
            <w:r w:rsidRPr="00142E7D">
              <w:rPr>
                <w:rFonts w:ascii="標楷體" w:hAnsi="標楷體"/>
                <w:kern w:val="0"/>
                <w:sz w:val="28"/>
                <w:szCs w:val="28"/>
              </w:rPr>
              <w:t>大陸地區人民進入臺灣地區許可辦法及大陸地區人民在臺灣地區定居或居留許可辦法</w:t>
            </w:r>
          </w:p>
        </w:tc>
        <w:tc>
          <w:tcPr>
            <w:tcW w:w="73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特別</w:t>
            </w:r>
          </w:p>
        </w:tc>
        <w:tc>
          <w:tcPr>
            <w:tcW w:w="80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高</w:t>
            </w:r>
          </w:p>
        </w:tc>
        <w:tc>
          <w:tcPr>
            <w:tcW w:w="80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多</w:t>
            </w:r>
          </w:p>
        </w:tc>
        <w:tc>
          <w:tcPr>
            <w:tcW w:w="521"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合憲</w:t>
            </w:r>
          </w:p>
        </w:tc>
      </w:tr>
      <w:tr w:rsidR="00C1187E" w:rsidRPr="00142E7D" w:rsidTr="009730FB">
        <w:trPr>
          <w:cantSplit/>
          <w:trHeight w:val="1304"/>
          <w:jc w:val="center"/>
        </w:trPr>
        <w:tc>
          <w:tcPr>
            <w:tcW w:w="435"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465</w:t>
            </w:r>
          </w:p>
        </w:tc>
        <w:tc>
          <w:tcPr>
            <w:tcW w:w="1708" w:type="pct"/>
            <w:tcMar>
              <w:left w:w="0" w:type="dxa"/>
              <w:right w:w="0" w:type="dxa"/>
            </w:tcMar>
          </w:tcPr>
          <w:p w:rsidR="00C1187E" w:rsidRPr="00142E7D" w:rsidRDefault="00C1187E" w:rsidP="00BA17C0">
            <w:pPr>
              <w:kinsoku w:val="0"/>
              <w:overflowPunct w:val="0"/>
              <w:adjustRightInd w:val="0"/>
              <w:snapToGrid w:val="0"/>
              <w:spacing w:line="391" w:lineRule="exact"/>
              <w:jc w:val="both"/>
              <w:rPr>
                <w:rFonts w:ascii="標楷體" w:hAnsi="標楷體"/>
                <w:kern w:val="0"/>
                <w:sz w:val="28"/>
                <w:szCs w:val="28"/>
              </w:rPr>
            </w:pPr>
            <w:r w:rsidRPr="00142E7D">
              <w:rPr>
                <w:rFonts w:ascii="標楷體" w:hAnsi="標楷體"/>
                <w:kern w:val="0"/>
                <w:sz w:val="28"/>
                <w:szCs w:val="28"/>
              </w:rPr>
              <w:t>行政院農委會公告指定象科為瀕臨絕種保育類野生動物</w:t>
            </w:r>
          </w:p>
        </w:tc>
        <w:tc>
          <w:tcPr>
            <w:tcW w:w="73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特別</w:t>
            </w:r>
          </w:p>
        </w:tc>
        <w:tc>
          <w:tcPr>
            <w:tcW w:w="80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高</w:t>
            </w:r>
          </w:p>
        </w:tc>
        <w:tc>
          <w:tcPr>
            <w:tcW w:w="80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少</w:t>
            </w:r>
          </w:p>
        </w:tc>
        <w:tc>
          <w:tcPr>
            <w:tcW w:w="521"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合憲</w:t>
            </w:r>
          </w:p>
        </w:tc>
      </w:tr>
      <w:tr w:rsidR="00C1187E" w:rsidRPr="00142E7D" w:rsidTr="009730FB">
        <w:trPr>
          <w:cantSplit/>
          <w:trHeight w:val="1361"/>
          <w:jc w:val="center"/>
        </w:trPr>
        <w:tc>
          <w:tcPr>
            <w:tcW w:w="435"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lastRenderedPageBreak/>
              <w:t>456</w:t>
            </w:r>
          </w:p>
        </w:tc>
        <w:tc>
          <w:tcPr>
            <w:tcW w:w="1708" w:type="pct"/>
            <w:tcMar>
              <w:left w:w="0" w:type="dxa"/>
              <w:right w:w="0" w:type="dxa"/>
            </w:tcMar>
          </w:tcPr>
          <w:p w:rsidR="00C1187E" w:rsidRPr="00142E7D" w:rsidRDefault="00C1187E" w:rsidP="00BA17C0">
            <w:pPr>
              <w:kinsoku w:val="0"/>
              <w:overflowPunct w:val="0"/>
              <w:adjustRightInd w:val="0"/>
              <w:snapToGrid w:val="0"/>
              <w:spacing w:line="391" w:lineRule="exact"/>
              <w:jc w:val="both"/>
              <w:rPr>
                <w:rFonts w:ascii="標楷體" w:hAnsi="標楷體"/>
                <w:kern w:val="0"/>
                <w:sz w:val="28"/>
                <w:szCs w:val="28"/>
              </w:rPr>
            </w:pPr>
            <w:r w:rsidRPr="00142E7D">
              <w:rPr>
                <w:rFonts w:ascii="標楷體" w:hAnsi="標楷體"/>
                <w:kern w:val="0"/>
                <w:sz w:val="28"/>
                <w:szCs w:val="28"/>
              </w:rPr>
              <w:t>勞工保險條例施行細則第25條第1項關於投保資格的規定</w:t>
            </w:r>
          </w:p>
        </w:tc>
        <w:tc>
          <w:tcPr>
            <w:tcW w:w="73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概括</w:t>
            </w:r>
          </w:p>
        </w:tc>
        <w:tc>
          <w:tcPr>
            <w:tcW w:w="80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低</w:t>
            </w:r>
          </w:p>
        </w:tc>
        <w:tc>
          <w:tcPr>
            <w:tcW w:w="80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少</w:t>
            </w:r>
          </w:p>
        </w:tc>
        <w:tc>
          <w:tcPr>
            <w:tcW w:w="521"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違憲</w:t>
            </w:r>
          </w:p>
        </w:tc>
      </w:tr>
      <w:tr w:rsidR="00C1187E" w:rsidRPr="00142E7D" w:rsidTr="009730FB">
        <w:trPr>
          <w:cantSplit/>
          <w:trHeight w:val="510"/>
          <w:jc w:val="center"/>
        </w:trPr>
        <w:tc>
          <w:tcPr>
            <w:tcW w:w="435"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426</w:t>
            </w:r>
          </w:p>
        </w:tc>
        <w:tc>
          <w:tcPr>
            <w:tcW w:w="1708" w:type="pct"/>
            <w:tcMar>
              <w:left w:w="0" w:type="dxa"/>
              <w:right w:w="0" w:type="dxa"/>
            </w:tcMar>
          </w:tcPr>
          <w:p w:rsidR="00C1187E" w:rsidRPr="00142E7D" w:rsidRDefault="00C1187E" w:rsidP="00BA17C0">
            <w:pPr>
              <w:kinsoku w:val="0"/>
              <w:overflowPunct w:val="0"/>
              <w:adjustRightInd w:val="0"/>
              <w:snapToGrid w:val="0"/>
              <w:spacing w:line="391" w:lineRule="exact"/>
              <w:jc w:val="both"/>
              <w:rPr>
                <w:rFonts w:ascii="標楷體" w:hAnsi="標楷體"/>
                <w:kern w:val="0"/>
                <w:sz w:val="28"/>
                <w:szCs w:val="28"/>
              </w:rPr>
            </w:pPr>
            <w:r w:rsidRPr="00142E7D">
              <w:rPr>
                <w:rFonts w:ascii="標楷體" w:hAnsi="標楷體"/>
                <w:kern w:val="0"/>
                <w:sz w:val="28"/>
                <w:szCs w:val="28"/>
              </w:rPr>
              <w:t>空氣污染防制費收費辦法</w:t>
            </w:r>
          </w:p>
        </w:tc>
        <w:tc>
          <w:tcPr>
            <w:tcW w:w="73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特別</w:t>
            </w:r>
          </w:p>
        </w:tc>
        <w:tc>
          <w:tcPr>
            <w:tcW w:w="80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高</w:t>
            </w:r>
          </w:p>
        </w:tc>
        <w:tc>
          <w:tcPr>
            <w:tcW w:w="80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多</w:t>
            </w:r>
          </w:p>
        </w:tc>
        <w:tc>
          <w:tcPr>
            <w:tcW w:w="521"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合憲</w:t>
            </w:r>
          </w:p>
        </w:tc>
      </w:tr>
      <w:tr w:rsidR="00C1187E" w:rsidRPr="00142E7D" w:rsidTr="009730FB">
        <w:trPr>
          <w:cantSplit/>
          <w:trHeight w:val="1701"/>
          <w:jc w:val="center"/>
        </w:trPr>
        <w:tc>
          <w:tcPr>
            <w:tcW w:w="435"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402</w:t>
            </w:r>
          </w:p>
        </w:tc>
        <w:tc>
          <w:tcPr>
            <w:tcW w:w="1708" w:type="pct"/>
            <w:tcMar>
              <w:left w:w="0" w:type="dxa"/>
              <w:right w:w="0" w:type="dxa"/>
            </w:tcMar>
          </w:tcPr>
          <w:p w:rsidR="00C1187E" w:rsidRPr="00142E7D" w:rsidRDefault="00C1187E" w:rsidP="00BA17C0">
            <w:pPr>
              <w:kinsoku w:val="0"/>
              <w:overflowPunct w:val="0"/>
              <w:adjustRightInd w:val="0"/>
              <w:snapToGrid w:val="0"/>
              <w:spacing w:line="391" w:lineRule="exact"/>
              <w:jc w:val="both"/>
              <w:rPr>
                <w:rFonts w:ascii="標楷體" w:hAnsi="標楷體"/>
                <w:kern w:val="0"/>
                <w:sz w:val="28"/>
                <w:szCs w:val="28"/>
              </w:rPr>
            </w:pPr>
            <w:r w:rsidRPr="00142E7D">
              <w:rPr>
                <w:rFonts w:ascii="標楷體" w:hAnsi="標楷體"/>
                <w:kern w:val="0"/>
                <w:sz w:val="28"/>
                <w:szCs w:val="28"/>
              </w:rPr>
              <w:t>保險代理人經紀人公證人管理規則第48條第1項第11款對於違反義務行為得予裁罰性行政處分的規定</w:t>
            </w:r>
          </w:p>
        </w:tc>
        <w:tc>
          <w:tcPr>
            <w:tcW w:w="73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概括</w:t>
            </w:r>
          </w:p>
        </w:tc>
        <w:tc>
          <w:tcPr>
            <w:tcW w:w="80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高</w:t>
            </w:r>
          </w:p>
        </w:tc>
        <w:tc>
          <w:tcPr>
            <w:tcW w:w="80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少</w:t>
            </w:r>
          </w:p>
        </w:tc>
        <w:tc>
          <w:tcPr>
            <w:tcW w:w="521"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違憲</w:t>
            </w:r>
          </w:p>
        </w:tc>
      </w:tr>
      <w:tr w:rsidR="00C1187E" w:rsidRPr="00142E7D" w:rsidTr="009730FB">
        <w:trPr>
          <w:cantSplit/>
          <w:trHeight w:val="1304"/>
          <w:jc w:val="center"/>
        </w:trPr>
        <w:tc>
          <w:tcPr>
            <w:tcW w:w="435"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394</w:t>
            </w:r>
          </w:p>
        </w:tc>
        <w:tc>
          <w:tcPr>
            <w:tcW w:w="1708" w:type="pct"/>
            <w:tcMar>
              <w:left w:w="0" w:type="dxa"/>
              <w:right w:w="0" w:type="dxa"/>
            </w:tcMar>
          </w:tcPr>
          <w:p w:rsidR="00C1187E" w:rsidRPr="00142E7D" w:rsidRDefault="00C1187E" w:rsidP="00BA17C0">
            <w:pPr>
              <w:kinsoku w:val="0"/>
              <w:overflowPunct w:val="0"/>
              <w:adjustRightInd w:val="0"/>
              <w:snapToGrid w:val="0"/>
              <w:spacing w:line="391" w:lineRule="exact"/>
              <w:jc w:val="both"/>
              <w:rPr>
                <w:rFonts w:ascii="標楷體" w:hAnsi="標楷體"/>
                <w:kern w:val="0"/>
                <w:sz w:val="28"/>
                <w:szCs w:val="28"/>
              </w:rPr>
            </w:pPr>
            <w:r w:rsidRPr="00142E7D">
              <w:rPr>
                <w:rFonts w:ascii="標楷體" w:hAnsi="標楷體"/>
                <w:kern w:val="0"/>
                <w:sz w:val="28"/>
                <w:szCs w:val="28"/>
              </w:rPr>
              <w:t>營造業管理規則第31條第1項第9款關於撤銷登記證書並刊登公報的規定</w:t>
            </w:r>
          </w:p>
        </w:tc>
        <w:tc>
          <w:tcPr>
            <w:tcW w:w="73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概括</w:t>
            </w:r>
          </w:p>
        </w:tc>
        <w:tc>
          <w:tcPr>
            <w:tcW w:w="80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高</w:t>
            </w:r>
          </w:p>
        </w:tc>
        <w:tc>
          <w:tcPr>
            <w:tcW w:w="802"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多</w:t>
            </w:r>
          </w:p>
        </w:tc>
        <w:tc>
          <w:tcPr>
            <w:tcW w:w="521" w:type="pct"/>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違憲</w:t>
            </w:r>
          </w:p>
        </w:tc>
      </w:tr>
      <w:tr w:rsidR="00C1187E" w:rsidRPr="00142E7D" w:rsidTr="009730FB">
        <w:trPr>
          <w:cantSplit/>
          <w:trHeight w:val="1361"/>
          <w:jc w:val="center"/>
        </w:trPr>
        <w:tc>
          <w:tcPr>
            <w:tcW w:w="435" w:type="pct"/>
            <w:tcBorders>
              <w:bottom w:val="single" w:sz="4" w:space="0" w:color="auto"/>
            </w:tcBorders>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313</w:t>
            </w:r>
          </w:p>
        </w:tc>
        <w:tc>
          <w:tcPr>
            <w:tcW w:w="1708" w:type="pct"/>
            <w:tcBorders>
              <w:bottom w:val="single" w:sz="4" w:space="0" w:color="auto"/>
            </w:tcBorders>
            <w:tcMar>
              <w:left w:w="0" w:type="dxa"/>
              <w:right w:w="0" w:type="dxa"/>
            </w:tcMar>
          </w:tcPr>
          <w:p w:rsidR="00C1187E" w:rsidRPr="00142E7D" w:rsidRDefault="00C1187E" w:rsidP="00BA17C0">
            <w:pPr>
              <w:kinsoku w:val="0"/>
              <w:overflowPunct w:val="0"/>
              <w:adjustRightInd w:val="0"/>
              <w:snapToGrid w:val="0"/>
              <w:spacing w:line="391" w:lineRule="exact"/>
              <w:jc w:val="both"/>
              <w:rPr>
                <w:rFonts w:ascii="標楷體" w:hAnsi="標楷體"/>
                <w:kern w:val="0"/>
                <w:sz w:val="28"/>
                <w:szCs w:val="28"/>
              </w:rPr>
            </w:pPr>
            <w:r w:rsidRPr="00142E7D">
              <w:rPr>
                <w:rFonts w:ascii="標楷體" w:hAnsi="標楷體"/>
                <w:kern w:val="0"/>
                <w:sz w:val="28"/>
                <w:szCs w:val="28"/>
              </w:rPr>
              <w:t>民用航空運輸業管理規則第29條第1項及第46條關於罰鍰裁處的規定</w:t>
            </w:r>
          </w:p>
        </w:tc>
        <w:tc>
          <w:tcPr>
            <w:tcW w:w="732" w:type="pct"/>
            <w:tcBorders>
              <w:bottom w:val="single" w:sz="4" w:space="0" w:color="auto"/>
            </w:tcBorders>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概括</w:t>
            </w:r>
          </w:p>
        </w:tc>
        <w:tc>
          <w:tcPr>
            <w:tcW w:w="802" w:type="pct"/>
            <w:tcBorders>
              <w:bottom w:val="single" w:sz="4" w:space="0" w:color="auto"/>
            </w:tcBorders>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高</w:t>
            </w:r>
          </w:p>
        </w:tc>
        <w:tc>
          <w:tcPr>
            <w:tcW w:w="802" w:type="pct"/>
            <w:tcBorders>
              <w:bottom w:val="single" w:sz="4" w:space="0" w:color="auto"/>
            </w:tcBorders>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少</w:t>
            </w:r>
          </w:p>
        </w:tc>
        <w:tc>
          <w:tcPr>
            <w:tcW w:w="521" w:type="pct"/>
            <w:tcBorders>
              <w:bottom w:val="single" w:sz="4" w:space="0" w:color="auto"/>
            </w:tcBorders>
            <w:tcMar>
              <w:left w:w="0" w:type="dxa"/>
              <w:right w:w="0" w:type="dxa"/>
            </w:tcMar>
            <w:vAlign w:val="center"/>
          </w:tcPr>
          <w:p w:rsidR="00C1187E" w:rsidRPr="00142E7D" w:rsidRDefault="00C1187E" w:rsidP="00AE2A20">
            <w:pPr>
              <w:kinsoku w:val="0"/>
              <w:overflowPunct w:val="0"/>
              <w:adjustRightInd w:val="0"/>
              <w:snapToGrid w:val="0"/>
              <w:spacing w:line="391" w:lineRule="exact"/>
              <w:jc w:val="center"/>
              <w:rPr>
                <w:rFonts w:ascii="標楷體" w:hAnsi="標楷體"/>
                <w:kern w:val="0"/>
                <w:sz w:val="28"/>
                <w:szCs w:val="28"/>
              </w:rPr>
            </w:pPr>
            <w:r w:rsidRPr="00142E7D">
              <w:rPr>
                <w:rFonts w:ascii="標楷體" w:hAnsi="標楷體"/>
                <w:kern w:val="0"/>
                <w:sz w:val="28"/>
                <w:szCs w:val="28"/>
              </w:rPr>
              <w:t>違憲</w:t>
            </w:r>
          </w:p>
        </w:tc>
      </w:tr>
    </w:tbl>
    <w:p w:rsidR="00C1187E" w:rsidRPr="00142E7D" w:rsidRDefault="00C1187E" w:rsidP="00DD7B47">
      <w:pPr>
        <w:pStyle w:val="ae"/>
        <w:kinsoku w:val="0"/>
        <w:overflowPunct w:val="0"/>
        <w:adjustRightInd w:val="0"/>
        <w:snapToGrid w:val="0"/>
        <w:spacing w:line="391" w:lineRule="exact"/>
        <w:ind w:leftChars="0" w:left="505" w:hanging="1"/>
        <w:jc w:val="both"/>
        <w:rPr>
          <w:rFonts w:ascii="標楷體" w:eastAsia="標楷體" w:hAnsi="標楷體"/>
          <w:bCs/>
          <w:kern w:val="0"/>
          <w:sz w:val="22"/>
        </w:rPr>
      </w:pPr>
      <w:r w:rsidRPr="00142E7D">
        <w:rPr>
          <w:rFonts w:ascii="標楷體" w:eastAsia="標楷體" w:hAnsi="標楷體"/>
          <w:bCs/>
          <w:kern w:val="0"/>
          <w:sz w:val="22"/>
        </w:rPr>
        <w:t>＊這裡需要做一點補充說明的是，憲法第十九條的租稅法律主義，也是一種法律保留，但依本席見解應與基本權限制無涉（納稅義務的具體化），因此在統計上不予計入。本院對租稅法律主義的解釋一向認為立法者就各部分－含各租稅義務構成要件，如租稅主體、客體、稅率等核心事項－都可授權以命令規定，但授權命令仍不得逾越授權範圍，在審查標準上大抵與基本權限制的法律保留原則類似，在迄今做成的16號相關解釋中，有9件合憲（釋字第219號、第361號、第397號、第438號、第480號、第506號、第606號、第615號、第651號），7件違憲（釋字第210號、第367號、第415號、第566號、第650號、第657號、第706號解釋）。</w:t>
      </w:r>
    </w:p>
    <w:p w:rsidR="00C1187E" w:rsidRPr="00142E7D" w:rsidRDefault="00C1187E" w:rsidP="00255BEA">
      <w:pPr>
        <w:kinsoku w:val="0"/>
        <w:overflowPunct w:val="0"/>
        <w:adjustRightInd w:val="0"/>
        <w:snapToGrid w:val="0"/>
        <w:spacing w:line="391" w:lineRule="exact"/>
        <w:ind w:left="561" w:firstLine="561"/>
        <w:jc w:val="both"/>
        <w:rPr>
          <w:rFonts w:ascii="標楷體" w:hAnsi="標楷體"/>
          <w:bCs/>
          <w:kern w:val="0"/>
          <w:sz w:val="28"/>
          <w:szCs w:val="28"/>
        </w:rPr>
      </w:pPr>
      <w:r w:rsidRPr="00142E7D">
        <w:rPr>
          <w:rFonts w:ascii="標楷體" w:hAnsi="標楷體"/>
          <w:bCs/>
          <w:kern w:val="0"/>
          <w:sz w:val="28"/>
          <w:szCs w:val="28"/>
        </w:rPr>
        <w:t>和這些解釋先例比較，本件解釋審查的母法無關刑責，授權公告污染環境行為，因為已列舉十款相當具體的規定，僅在該範圍內授權做補充公告，不至於有開枝散葉的危險，因此經過整體觀察認定尚不違反具體明確的要求，在審查標準上可說相當一致。臺南市政府依授權發布的公告，雖以特別的授權條文為基礎，非概括授權，且從廢棄物清理法第二十七條第十款有關廣告物的規定來看，也不能說把廣告物設置納入污染環境行為的態樣過於突兀，為一般受規範者完全無法預見，但在授權目的的關聯程度上，逕「以未經主管機關核准，於其所示之場所，以所示之方式設置廣告物者，為污染環境行為，而不問設置廣告物是否有礙環境衛生與國民健康，及是否已達與廢棄物清理法第二十七條前十款所定行為類型污染環境相</w:t>
      </w:r>
      <w:r w:rsidRPr="00142E7D">
        <w:rPr>
          <w:rFonts w:ascii="標楷體" w:hAnsi="標楷體"/>
          <w:bCs/>
          <w:kern w:val="0"/>
          <w:sz w:val="28"/>
          <w:szCs w:val="28"/>
        </w:rPr>
        <w:lastRenderedPageBreak/>
        <w:t>當之程度，即認該設置行為為污染環境行為，概予禁止並處罰」，確實有藉防污之名來全面管制街頭廣告之嫌，不能說未脫逸授權的原始目的，廣告物五花八門，體積上有大有小，並不乏賞心悅目，甚至極具藝術品味者，所置位址、時間對通行的一般公眾構成的干擾程度也有極大差異，公告對未經核准者一律認定違規，未明確限縮至確實已達污染程度（含視覺污染）始予取締，以此認定已逾越母法授權範圍，應該也和本院操作法律保留原則迄今所採標準大體吻合。在授權對象為中央機關的情形，本席過去考量立法院職權行使法的強制送審制，偏向尊重立法院的審查而放寬認定，在本案發布公告的主體為地方自治團體的情形，似又不宜相提並論。且主管機關有三個月的時間對公告內容去做微調，應無困難，在廣告物管制上還不致造成空窗。本席相信，現行實務多數情形應該已經掌握此一分寸，因此無須作太大的改變，修改公告真正的意義，就是要避免少數過度執行或因憚於言論自由的抗辯而怠於執行的情形，自不能說沒有必要。</w:t>
      </w:r>
    </w:p>
    <w:p w:rsidR="00C1187E" w:rsidRPr="00142E7D" w:rsidRDefault="00654FBB" w:rsidP="00255BEA">
      <w:pPr>
        <w:pStyle w:val="ae"/>
        <w:kinsoku w:val="0"/>
        <w:overflowPunct w:val="0"/>
        <w:adjustRightInd w:val="0"/>
        <w:snapToGrid w:val="0"/>
        <w:spacing w:line="391" w:lineRule="exact"/>
        <w:ind w:leftChars="0" w:left="0"/>
        <w:jc w:val="both"/>
        <w:rPr>
          <w:rFonts w:ascii="標楷體" w:eastAsia="標楷體" w:hAnsi="標楷體"/>
          <w:b/>
          <w:bCs/>
          <w:kern w:val="0"/>
          <w:sz w:val="28"/>
          <w:szCs w:val="28"/>
        </w:rPr>
      </w:pPr>
      <w:r w:rsidRPr="00142E7D">
        <w:rPr>
          <w:rFonts w:ascii="標楷體" w:eastAsia="標楷體" w:hAnsi="標楷體" w:hint="eastAsia"/>
          <w:b/>
          <w:bCs/>
          <w:kern w:val="0"/>
          <w:sz w:val="28"/>
          <w:szCs w:val="28"/>
        </w:rPr>
        <w:t>二、</w:t>
      </w:r>
      <w:r w:rsidR="00C1187E" w:rsidRPr="00142E7D">
        <w:rPr>
          <w:rFonts w:ascii="標楷體" w:eastAsia="標楷體" w:hAnsi="標楷體"/>
          <w:b/>
          <w:bCs/>
          <w:kern w:val="0"/>
          <w:sz w:val="28"/>
          <w:szCs w:val="28"/>
        </w:rPr>
        <w:t>人民在公共空間主張表達意見的自由，並不以集會自由為限</w:t>
      </w:r>
    </w:p>
    <w:p w:rsidR="00C1187E" w:rsidRPr="00142E7D" w:rsidRDefault="00C1187E" w:rsidP="00255BEA">
      <w:pPr>
        <w:kinsoku w:val="0"/>
        <w:overflowPunct w:val="0"/>
        <w:adjustRightInd w:val="0"/>
        <w:snapToGrid w:val="0"/>
        <w:spacing w:line="391" w:lineRule="exact"/>
        <w:ind w:left="561" w:firstLine="561"/>
        <w:jc w:val="both"/>
        <w:rPr>
          <w:rFonts w:ascii="標楷體" w:hAnsi="標楷體"/>
          <w:bCs/>
          <w:kern w:val="0"/>
          <w:sz w:val="28"/>
          <w:szCs w:val="28"/>
        </w:rPr>
      </w:pPr>
      <w:r w:rsidRPr="00142E7D">
        <w:rPr>
          <w:rFonts w:ascii="標楷體" w:hAnsi="標楷體"/>
          <w:bCs/>
          <w:kern w:val="0"/>
          <w:sz w:val="28"/>
          <w:szCs w:val="28"/>
        </w:rPr>
        <w:t>理由書到了最後才輕描淡寫的說：「廣告兼具意見表達之性質，屬於憲法第十一條所保障之言論範疇（本院釋字第四一四號、第六二三號解釋參照），而公共場所於不妨礙其通常使用方式之範圍內，亦非不得為言論表達及意見溝通。」就言論自由的保護範圍而言，這段話卻有十分不凡的意義。因為人民在自己可支配的範圍，不論是基於物權或契約或公法的特許，為意見的表達，當然沒有問題，講學、著作和出版便是如此。反過來說，在別人可支配的範圍，不能任意為意見的表達，也是自明之理。不清楚的是，可不可以在自己和別人都不能單獨支配的公共空間，主張言論自由？公物（含轉為公用的私有物）提供公用必有一定之目的</w:t>
      </w:r>
      <w:r w:rsidR="00654FBB" w:rsidRPr="00142E7D">
        <w:rPr>
          <w:rFonts w:ascii="標楷體" w:hAnsi="標楷體"/>
          <w:bCs/>
          <w:kern w:val="0"/>
          <w:sz w:val="28"/>
          <w:szCs w:val="28"/>
        </w:rPr>
        <w:t>（</w:t>
      </w:r>
      <w:r w:rsidRPr="00142E7D">
        <w:rPr>
          <w:rFonts w:ascii="標楷體" w:hAnsi="標楷體"/>
          <w:bCs/>
          <w:kern w:val="0"/>
          <w:sz w:val="28"/>
          <w:szCs w:val="28"/>
        </w:rPr>
        <w:t>即德國公物法所說的Widmungszweck</w:t>
      </w:r>
      <w:r w:rsidR="00654FBB" w:rsidRPr="00142E7D">
        <w:rPr>
          <w:rFonts w:ascii="標楷體" w:hAnsi="標楷體"/>
          <w:bCs/>
          <w:kern w:val="0"/>
          <w:sz w:val="28"/>
          <w:szCs w:val="28"/>
        </w:rPr>
        <w:t>）</w:t>
      </w:r>
      <w:r w:rsidRPr="00142E7D">
        <w:rPr>
          <w:rFonts w:ascii="標楷體" w:hAnsi="標楷體"/>
          <w:bCs/>
          <w:kern w:val="0"/>
          <w:sz w:val="28"/>
          <w:szCs w:val="28"/>
        </w:rPr>
        <w:t>，可供一般人進出的公共場所，其設定公用的目的是否自始或後來已經從通行、停留延伸至言論表達？正因為這類公共場所的公用目的通常不會見於具體的規範文件，而有一定約定俗成的開放性，因此這個問題的回答，對於言論自由的保護實至為關鍵，其肯定或否定，關係到其限制是否須符合比例原則？如果此一言論的表達未逾越通常使用範圍，是否即不需得到事前的許可？當然還可以進一步推論，對於在公共空間發表的言論可否為事前的內容審查？對這樣的空間使用方式，基於與其他使用方式的合理權衡而為時間、場地及方式的規劃時，是否因其屬言論自由保護範圍而需作特別的審酌？</w:t>
      </w:r>
    </w:p>
    <w:p w:rsidR="00C1187E" w:rsidRPr="00142E7D" w:rsidRDefault="00C1187E" w:rsidP="00255BEA">
      <w:pPr>
        <w:kinsoku w:val="0"/>
        <w:overflowPunct w:val="0"/>
        <w:adjustRightInd w:val="0"/>
        <w:snapToGrid w:val="0"/>
        <w:spacing w:line="391" w:lineRule="exact"/>
        <w:ind w:left="561" w:firstLine="561"/>
        <w:jc w:val="both"/>
        <w:rPr>
          <w:rFonts w:ascii="標楷體" w:hAnsi="標楷體"/>
          <w:bCs/>
          <w:kern w:val="0"/>
          <w:sz w:val="28"/>
          <w:szCs w:val="28"/>
        </w:rPr>
      </w:pPr>
      <w:r w:rsidRPr="00142E7D">
        <w:rPr>
          <w:rFonts w:ascii="標楷體" w:hAnsi="標楷體"/>
          <w:bCs/>
          <w:kern w:val="0"/>
          <w:sz w:val="28"/>
          <w:szCs w:val="28"/>
        </w:rPr>
        <w:t>首先當然應該從憲法的文本去找答案。憲法第十一條的言論、著作、出版和講學，加上第十四條的集會自由，同屬表現自由的內涵（本院釋字第四四五號解釋參照），也可以說是廣義的言論自由，如前所述，其中只有集會自由以使用公共場所為其必要特徵，且因由多數人共同行使，本質</w:t>
      </w:r>
      <w:r w:rsidRPr="00142E7D">
        <w:rPr>
          <w:rFonts w:ascii="標楷體" w:hAnsi="標楷體"/>
          <w:bCs/>
          <w:kern w:val="0"/>
          <w:sz w:val="28"/>
          <w:szCs w:val="28"/>
        </w:rPr>
        <w:lastRenderedPageBreak/>
        <w:t>上即易對社會原有運作秩序產生影響，但因屬實施民主政治的重要基本人權，憲法特以第十四條明文給予保障（本院釋字第七一八號解釋參照），他如著作、出版及講學都無涉公共空間的使用。可否因此推論，集會遊行是唯一受到憲法保障，得於公共場所為言論表現的方式，因為第十一條還有一個「一般」的言論自由，自不能無疑。一定要從憲法另立一條規範集會自由，即推論其他使用公共空間的言論發表－指非多數人或非關公共路面靜態或動態的使用，乃至非關意見而為單純資訊傳遞、藝術表演等－，必不在第十一條言論自由保護的範圍，恐怕沒有太強的說服力。至少就公共空間概念上最無爭議的公共路面而言，其目的的設定通常都非以法令為之，而聽由社會自然形成其可供使用的各項功能，因此正確的問法應該是，言論的發表是否也和通行、短暫休憩或小型流動叫賣等一樣，已經約定而俗成？</w:t>
      </w:r>
    </w:p>
    <w:p w:rsidR="00C1187E" w:rsidRPr="00142E7D" w:rsidRDefault="00C1187E" w:rsidP="00255BEA">
      <w:pPr>
        <w:kinsoku w:val="0"/>
        <w:overflowPunct w:val="0"/>
        <w:adjustRightInd w:val="0"/>
        <w:snapToGrid w:val="0"/>
        <w:spacing w:line="391" w:lineRule="exact"/>
        <w:ind w:left="561" w:firstLine="561"/>
        <w:jc w:val="both"/>
        <w:rPr>
          <w:rFonts w:ascii="標楷體" w:hAnsi="標楷體"/>
          <w:bCs/>
          <w:kern w:val="0"/>
          <w:sz w:val="28"/>
          <w:szCs w:val="28"/>
        </w:rPr>
      </w:pPr>
      <w:r w:rsidRPr="00142E7D">
        <w:rPr>
          <w:rFonts w:ascii="標楷體" w:hAnsi="標楷體"/>
          <w:bCs/>
          <w:kern w:val="0"/>
          <w:sz w:val="28"/>
          <w:szCs w:val="28"/>
        </w:rPr>
        <w:t>美國最高法院正是從這個角度開始討論。在一八九零年代法院還很堅定的認為在公園、高速公路、活動中心等地進行抗議演說或高談闊論，並非上述場所原本設置的目的，可由政府全權管理，政府限制公園、街道等地方的使用，就如同私人限制其宅內的使用一般，此說代表即對言論自由有重大貢獻的大法官Oliver Wendell Holmes。但到了一九三九年大法官Owen Roberts在主筆的判決中已肯認街道、廣場、人行道屬於公共論壇</w:t>
      </w:r>
      <w:r w:rsidR="00654FBB" w:rsidRPr="00142E7D">
        <w:rPr>
          <w:rFonts w:ascii="標楷體" w:hAnsi="標楷體"/>
          <w:bCs/>
          <w:kern w:val="0"/>
          <w:sz w:val="28"/>
          <w:szCs w:val="28"/>
        </w:rPr>
        <w:t>（</w:t>
      </w:r>
      <w:r w:rsidRPr="00142E7D">
        <w:rPr>
          <w:rFonts w:ascii="標楷體" w:hAnsi="標楷體"/>
          <w:bCs/>
          <w:kern w:val="0"/>
          <w:sz w:val="28"/>
          <w:szCs w:val="28"/>
        </w:rPr>
        <w:t>public forum</w:t>
      </w:r>
      <w:r w:rsidR="00654FBB" w:rsidRPr="00142E7D">
        <w:rPr>
          <w:rFonts w:ascii="標楷體" w:hAnsi="標楷體"/>
          <w:bCs/>
          <w:kern w:val="0"/>
          <w:sz w:val="28"/>
          <w:szCs w:val="28"/>
        </w:rPr>
        <w:t>）</w:t>
      </w:r>
      <w:r w:rsidRPr="00142E7D">
        <w:rPr>
          <w:rFonts w:ascii="標楷體" w:hAnsi="標楷體"/>
          <w:bCs/>
          <w:kern w:val="0"/>
          <w:sz w:val="28"/>
          <w:szCs w:val="28"/>
        </w:rPr>
        <w:t>的範圍，指出：只要某個場所是被冠以街道或公園之名，且已難查考的長久以來</w:t>
      </w:r>
      <w:r w:rsidR="00654FBB" w:rsidRPr="00142E7D">
        <w:rPr>
          <w:rFonts w:ascii="標楷體" w:hAnsi="標楷體"/>
          <w:bCs/>
          <w:kern w:val="0"/>
          <w:sz w:val="28"/>
          <w:szCs w:val="28"/>
        </w:rPr>
        <w:t>（</w:t>
      </w:r>
      <w:r w:rsidRPr="00142E7D">
        <w:rPr>
          <w:rFonts w:ascii="標楷體" w:hAnsi="標楷體"/>
          <w:bCs/>
          <w:kern w:val="0"/>
          <w:sz w:val="28"/>
          <w:szCs w:val="28"/>
        </w:rPr>
        <w:t>immemorially</w:t>
      </w:r>
      <w:r w:rsidR="00654FBB" w:rsidRPr="00142E7D">
        <w:rPr>
          <w:rFonts w:ascii="標楷體" w:hAnsi="標楷體"/>
          <w:bCs/>
          <w:kern w:val="0"/>
          <w:sz w:val="28"/>
          <w:szCs w:val="28"/>
        </w:rPr>
        <w:t>）</w:t>
      </w:r>
      <w:r w:rsidRPr="00142E7D">
        <w:rPr>
          <w:rFonts w:ascii="標楷體" w:hAnsi="標楷體"/>
          <w:bCs/>
          <w:kern w:val="0"/>
          <w:sz w:val="28"/>
          <w:szCs w:val="28"/>
        </w:rPr>
        <w:t>這些地點都是開放給公眾，尤其是給公民間相互溝通討論公共議題，乃至以集會形式來進行，則該場所便具有公共論壇的性質。其後美國實務上甚至曾短暫認為，只要言論發表者所表達的內容，基本上並未與該公共場所的性質不符合，那麼言論發表者都可以透過這個場所接近聽眾、傳達訴求。不過一九八三年Perry Education Assn v. Perry Local Educators’Assn案後又峰迴路轉，美國最高法院對於使用公共空間的憲法保障開始作若干限縮，指出公共領域有三種，第一種從歷史和傳統觀點來看，這些空間原本就是用來作為表達意見的論壇（如：街道、公園、人行道）；第二種是政府創設出提供民眾作為意見表達的公物（如佈告欄）；第三種則是從功能上或歷史觀點來看，並非提供給公共意見交流的地方（如郵筒）。此種看法在聽眾出沒的地點漸漸多元化以後，對要在公園、街道、人行道以外的地方進行言論發表者，法院往往認為這些地方雖然都是公共資源，卻因原始用途並非作為言論表達之用，即落入第三種類別而受到限制。因此，相對於一九三九年對公共空間中公共論壇寬鬆的認定，Perry案的標準顯然嚴格了許多。以後即漸漸形成完全開放的公共論壇、部分開放的公共論壇（或「指定公共論壇」）和關閉的公共論壇的三分法。</w:t>
      </w:r>
    </w:p>
    <w:p w:rsidR="00C1187E" w:rsidRPr="00142E7D" w:rsidRDefault="00C1187E" w:rsidP="00255BEA">
      <w:pPr>
        <w:kinsoku w:val="0"/>
        <w:overflowPunct w:val="0"/>
        <w:adjustRightInd w:val="0"/>
        <w:snapToGrid w:val="0"/>
        <w:spacing w:line="391" w:lineRule="exact"/>
        <w:ind w:left="561" w:firstLine="561"/>
        <w:jc w:val="both"/>
        <w:rPr>
          <w:rFonts w:ascii="標楷體" w:hAnsi="標楷體"/>
          <w:bCs/>
          <w:kern w:val="0"/>
          <w:sz w:val="28"/>
          <w:szCs w:val="28"/>
        </w:rPr>
      </w:pPr>
      <w:r w:rsidRPr="00142E7D">
        <w:rPr>
          <w:rFonts w:ascii="標楷體" w:hAnsi="標楷體"/>
          <w:bCs/>
          <w:kern w:val="0"/>
          <w:sz w:val="28"/>
          <w:szCs w:val="28"/>
        </w:rPr>
        <w:lastRenderedPageBreak/>
        <w:t>這樣的理論後來在不少國家都加以借鑑，德國在公共空間管制的實務上，即有類似的發展，一般認為若不超出公物的通常使用</w:t>
      </w:r>
      <w:r w:rsidR="00654FBB" w:rsidRPr="00142E7D">
        <w:rPr>
          <w:rFonts w:ascii="標楷體" w:hAnsi="標楷體"/>
          <w:bCs/>
          <w:kern w:val="0"/>
          <w:sz w:val="28"/>
          <w:szCs w:val="28"/>
        </w:rPr>
        <w:t>（</w:t>
      </w:r>
      <w:r w:rsidRPr="00142E7D">
        <w:rPr>
          <w:rFonts w:ascii="標楷體" w:hAnsi="標楷體"/>
          <w:bCs/>
          <w:kern w:val="0"/>
          <w:sz w:val="28"/>
          <w:szCs w:val="28"/>
        </w:rPr>
        <w:t>Gemeingebrauch</w:t>
      </w:r>
      <w:r w:rsidR="00654FBB" w:rsidRPr="00142E7D">
        <w:rPr>
          <w:rFonts w:ascii="標楷體" w:hAnsi="標楷體"/>
          <w:bCs/>
          <w:kern w:val="0"/>
          <w:sz w:val="28"/>
          <w:szCs w:val="28"/>
        </w:rPr>
        <w:t>）</w:t>
      </w:r>
      <w:r w:rsidRPr="00142E7D">
        <w:rPr>
          <w:rFonts w:ascii="標楷體" w:hAnsi="標楷體"/>
          <w:bCs/>
          <w:kern w:val="0"/>
          <w:sz w:val="28"/>
          <w:szCs w:val="28"/>
        </w:rPr>
        <w:t>範圍，原則上應該容忍此種公共論壇</w:t>
      </w:r>
      <w:r w:rsidR="00654FBB" w:rsidRPr="00142E7D">
        <w:rPr>
          <w:rFonts w:ascii="標楷體" w:hAnsi="標楷體"/>
          <w:bCs/>
          <w:kern w:val="0"/>
          <w:sz w:val="28"/>
          <w:szCs w:val="28"/>
        </w:rPr>
        <w:t>（</w:t>
      </w:r>
      <w:r w:rsidRPr="00142E7D">
        <w:rPr>
          <w:rFonts w:ascii="標楷體" w:hAnsi="標楷體"/>
          <w:bCs/>
          <w:kern w:val="0"/>
          <w:sz w:val="28"/>
          <w:szCs w:val="28"/>
        </w:rPr>
        <w:t>Forum des Gemeinwesens</w:t>
      </w:r>
      <w:r w:rsidR="00654FBB" w:rsidRPr="00142E7D">
        <w:rPr>
          <w:rFonts w:ascii="標楷體" w:hAnsi="標楷體"/>
          <w:bCs/>
          <w:kern w:val="0"/>
          <w:sz w:val="28"/>
          <w:szCs w:val="28"/>
        </w:rPr>
        <w:t>）</w:t>
      </w:r>
      <w:r w:rsidRPr="00142E7D">
        <w:rPr>
          <w:rFonts w:ascii="標楷體" w:hAnsi="標楷體"/>
          <w:bCs/>
          <w:kern w:val="0"/>
          <w:sz w:val="28"/>
          <w:szCs w:val="28"/>
        </w:rPr>
        <w:t>的存在。例如街道、人行道、公園除了供群眾、車輛通行，當然還有人與人交換意見、溝通的目的，在這樣的地點中人民進行一般言論表達，應不需要事前許可。至於什麼是通常使用，德國各邦一般的規定是「不至造成其他人為通常使用不可期待之妨害」，較為抽象， 但實務上很早即認為應朝有利於言論自由的觀點解釋（可參考OLG Stuttgart, NJW 1976, 201; OLG Frankfurt, NJW 1976, 203.</w:t>
      </w:r>
      <w:r w:rsidR="00654FBB" w:rsidRPr="00142E7D">
        <w:rPr>
          <w:rFonts w:ascii="標楷體" w:hAnsi="標楷體"/>
          <w:bCs/>
          <w:kern w:val="0"/>
          <w:sz w:val="28"/>
          <w:szCs w:val="28"/>
        </w:rPr>
        <w:t>）</w:t>
      </w:r>
      <w:r w:rsidRPr="00142E7D">
        <w:rPr>
          <w:rFonts w:ascii="標楷體" w:hAnsi="標楷體"/>
          <w:bCs/>
          <w:kern w:val="0"/>
          <w:sz w:val="28"/>
          <w:szCs w:val="28"/>
        </w:rPr>
        <w:t xml:space="preserve">。日本最高裁判所昭和四十三年十二月十八日（一九六八年）的大法庭判決處理的也是對所謂「屋外廣告物」加以規制的法律是否合憲的問題，伊藤正己裁判官所提的補充意見就已經指出：「本條例規制對象之屋外廣告物，很明顯包括傳達政治意見、資訊之招貼物、海報等，這些物件在公眾容易進入眼簾之場所，揭示物件，係具有非常容易將意見、資訊傳達效果之方法。再者，與於街頭等傳布廣告物等方法相比，具有永續地廣範圍地傳布於人的效果之優點，且費用低廉，特別是對於有經濟負擔者，係簡便有效果之傳達表現之方法。」「如此，將廣告物、海報等貼附於適當場所、物件，雖道路、公園等性質各異，我將之稱為具公共論壇性質者」，「如此則特別欲對關於思想、意見為規制時，只以維持美觀風致與公共福祉相符之目的便加以規制，輕易地為合憲判斷，乃過於速斷。」（陳春生大法官譯本）近年發生在加拿大溫哥華市，和本件解釋原因案件的事實十分接近，也是因法輪功信徒使用街道傳布意見而起的Vancouver </w:t>
      </w:r>
      <w:r w:rsidR="00654FBB" w:rsidRPr="00142E7D">
        <w:rPr>
          <w:rFonts w:ascii="標楷體" w:hAnsi="標楷體"/>
          <w:bCs/>
          <w:kern w:val="0"/>
          <w:sz w:val="28"/>
          <w:szCs w:val="28"/>
        </w:rPr>
        <w:t>（</w:t>
      </w:r>
      <w:r w:rsidRPr="00142E7D">
        <w:rPr>
          <w:rFonts w:ascii="標楷體" w:hAnsi="標楷體"/>
          <w:bCs/>
          <w:kern w:val="0"/>
          <w:sz w:val="28"/>
          <w:szCs w:val="28"/>
        </w:rPr>
        <w:t>City</w:t>
      </w:r>
      <w:r w:rsidR="00654FBB" w:rsidRPr="00142E7D">
        <w:rPr>
          <w:rFonts w:ascii="標楷體" w:hAnsi="標楷體"/>
          <w:bCs/>
          <w:kern w:val="0"/>
          <w:sz w:val="28"/>
          <w:szCs w:val="28"/>
        </w:rPr>
        <w:t>）</w:t>
      </w:r>
      <w:r w:rsidRPr="00142E7D">
        <w:rPr>
          <w:rFonts w:ascii="標楷體" w:hAnsi="標楷體"/>
          <w:bCs/>
          <w:kern w:val="0"/>
          <w:sz w:val="28"/>
          <w:szCs w:val="28"/>
        </w:rPr>
        <w:t xml:space="preserve"> v. Zhang, 2010 BCCA 450案，英屬哥倫比亞上訴法院的判決在審查溫哥華市自治條例是否牴觸憲法人權憲章第二條第二項時，同樣先深入的討論了這個根本問題，提到了首席大法官McLachlin和Deschamps大法官在一先例案件中共同提出的檢測方法（第35段）：「在公有土地上為言論表達，基本上要問的是該公有地是否人們期待可受憲法保護為言論表達的處所，也就是在該地發表言論不至於牴觸憲章第二條第二項所要追求的三項目的：1、民主對話，2、發現真實，3、自我實現。要回答這個問題，應考量以下兩個因素：1、該地的歷史和現實功能，2、該地其他相關因素顯示作言論表達無損於言論自由的價值」。顯然也是原則上肯定公有地有提供言論表達的功能。</w:t>
      </w:r>
    </w:p>
    <w:p w:rsidR="00C1187E" w:rsidRPr="00142E7D" w:rsidRDefault="00C1187E" w:rsidP="00255BEA">
      <w:pPr>
        <w:kinsoku w:val="0"/>
        <w:overflowPunct w:val="0"/>
        <w:adjustRightInd w:val="0"/>
        <w:snapToGrid w:val="0"/>
        <w:spacing w:line="391" w:lineRule="exact"/>
        <w:ind w:left="561" w:firstLine="561"/>
        <w:jc w:val="both"/>
        <w:rPr>
          <w:rFonts w:ascii="標楷體" w:hAnsi="標楷體"/>
          <w:bCs/>
          <w:kern w:val="0"/>
          <w:sz w:val="28"/>
          <w:szCs w:val="28"/>
        </w:rPr>
      </w:pPr>
      <w:r w:rsidRPr="00142E7D">
        <w:rPr>
          <w:rFonts w:ascii="標楷體" w:hAnsi="標楷體"/>
          <w:bCs/>
          <w:kern w:val="0"/>
          <w:sz w:val="28"/>
          <w:szCs w:val="28"/>
        </w:rPr>
        <w:t>我們如果用同樣的方法來自問，在公物形成的公共空間向不特定多數人為意見的表達，就臺灣社會而言是否仍很陌生？答案似乎相當清楚。多年以來，言論表達方式如動態的發傳單、演講或靜態的設置立牌、懸掛旗幟，乃至站崗、快閃、各種行為藝術等，不論南北，都早屬生活的常態，與公共空間最典型的使用方式，如街道、橋樑、廣場的通行或為小規模的</w:t>
      </w:r>
      <w:r w:rsidRPr="00142E7D">
        <w:rPr>
          <w:rFonts w:ascii="標楷體" w:hAnsi="標楷體"/>
          <w:bCs/>
          <w:kern w:val="0"/>
          <w:sz w:val="28"/>
          <w:szCs w:val="28"/>
        </w:rPr>
        <w:lastRenderedPageBreak/>
        <w:t>流動式交易，公園的徜徉遊憩，同樣的自然，雖因非由多數人共同為之，也未必涉及政治意見的表達，從而已逸出集會自由保障的範圍，一般人仍會認為就是一種言論表達的方式，如果沒有超過通常使用的範圍，而對其他的正常使用方式造成明顯的妨礙，即應受到一般言論自由的保障。這樣的法意識確實已經在基層法院的裁判中浮現，臺北地方法院行政訴訟庭在處理一件因違反道路交通管理處罰條例第八十二條第一項第一款規定而被開罰單的案件（一</w:t>
      </w:r>
      <w:r w:rsidR="00DD4611" w:rsidRPr="00142E7D">
        <w:rPr>
          <w:rFonts w:ascii="標楷體" w:hAnsi="標楷體"/>
          <w:bCs/>
          <w:kern w:val="0"/>
          <w:sz w:val="28"/>
          <w:szCs w:val="28"/>
        </w:rPr>
        <w:t>○</w:t>
      </w:r>
      <w:r w:rsidRPr="00142E7D">
        <w:rPr>
          <w:rFonts w:ascii="標楷體" w:hAnsi="標楷體"/>
          <w:bCs/>
          <w:kern w:val="0"/>
          <w:sz w:val="28"/>
          <w:szCs w:val="28"/>
        </w:rPr>
        <w:t>四年度交字第一八八號判決）時，法官在判決中寫了這樣一段話：「……於涉有人民行使其表現自由之情形，行政機關於執法時，自應更嚴格審酌……以免造成言論自由之不當限制。本件原告係以看板之文字圖片於人行道表現其意見，此也為民主國家常見之情景，然被告並未充分審酌原告於前揭時地持看板於人行道行為之各個具體情況，而尚未達足以妨礙交通，即以處罰條例第八十二條第一項處罰，不但已有違誤，復造成對於原告言論自由之不當限制，原處分自當予以撤銷。」顯示承審法官雖未必知道而未援用所謂公共論壇的理論，但對於這樣的言論表達仍在言論自由保障的範圍，無疑已經有非常明確的法意識。我們有理由相信，在全球化發展的趨勢下，我們在臺灣對於公共空間的這類使用方式的確已經約定俗成。足見理由書輕描淡寫的一句話，總結了言論自由在保護範圍上應延伸到包括街頭設置廣告物的各種言論表達，實際上是在世界許多角落已逐漸形成的共識。從這個大前提出發，也許更容易理解理由書最後一段其他部分的微言大義。</w:t>
      </w:r>
    </w:p>
    <w:p w:rsidR="00C1187E" w:rsidRPr="00142E7D" w:rsidRDefault="00654FBB" w:rsidP="00255BEA">
      <w:pPr>
        <w:pStyle w:val="ae"/>
        <w:kinsoku w:val="0"/>
        <w:overflowPunct w:val="0"/>
        <w:adjustRightInd w:val="0"/>
        <w:snapToGrid w:val="0"/>
        <w:spacing w:line="391" w:lineRule="exact"/>
        <w:ind w:leftChars="0" w:left="0"/>
        <w:jc w:val="both"/>
        <w:rPr>
          <w:rFonts w:ascii="標楷體" w:eastAsia="標楷體" w:hAnsi="標楷體"/>
          <w:b/>
          <w:bCs/>
          <w:kern w:val="0"/>
          <w:sz w:val="28"/>
          <w:szCs w:val="28"/>
        </w:rPr>
      </w:pPr>
      <w:r w:rsidRPr="00142E7D">
        <w:rPr>
          <w:rFonts w:ascii="標楷體" w:eastAsia="標楷體" w:hAnsi="標楷體" w:hint="eastAsia"/>
          <w:b/>
          <w:bCs/>
          <w:kern w:val="0"/>
          <w:sz w:val="28"/>
          <w:szCs w:val="28"/>
        </w:rPr>
        <w:t>三、</w:t>
      </w:r>
      <w:r w:rsidR="00C1187E" w:rsidRPr="00142E7D">
        <w:rPr>
          <w:rFonts w:ascii="標楷體" w:eastAsia="標楷體" w:hAnsi="標楷體"/>
          <w:b/>
          <w:bCs/>
          <w:kern w:val="0"/>
          <w:sz w:val="28"/>
          <w:szCs w:val="28"/>
        </w:rPr>
        <w:t>廣告物內容的事前審查應修正，對於空間霸凌則宜積極管理</w:t>
      </w:r>
    </w:p>
    <w:p w:rsidR="00C1187E" w:rsidRPr="00142E7D" w:rsidRDefault="00C1187E" w:rsidP="00255BEA">
      <w:pPr>
        <w:kinsoku w:val="0"/>
        <w:overflowPunct w:val="0"/>
        <w:adjustRightInd w:val="0"/>
        <w:snapToGrid w:val="0"/>
        <w:spacing w:line="391" w:lineRule="exact"/>
        <w:ind w:left="561" w:firstLine="561"/>
        <w:jc w:val="both"/>
        <w:rPr>
          <w:rFonts w:ascii="標楷體" w:hAnsi="標楷體"/>
          <w:bCs/>
          <w:kern w:val="0"/>
          <w:sz w:val="28"/>
          <w:szCs w:val="28"/>
        </w:rPr>
      </w:pPr>
      <w:r w:rsidRPr="00142E7D">
        <w:rPr>
          <w:rFonts w:ascii="標楷體" w:hAnsi="標楷體"/>
          <w:bCs/>
          <w:kern w:val="0"/>
          <w:sz w:val="28"/>
          <w:szCs w:val="28"/>
        </w:rPr>
        <w:t>既已確認憲法保障人民在公共場所自由表達言論，前段預設的幾個問題也就有了答案：第一，其限制必須符合比例原則；第二，如果此一言論的表達尚未逾越通常使用的範圍，即不需得到事前的許可；第三，不可以對其言論內容為事前的檢查，除了極例外的情形；第四，對這樣的空間使用方式基於與其他使用方式的合理權衡而為時間、場地及方式的規劃時，仍需審酌其屬言論自由保護的範圍而慎重處理。解釋理由書所做的諭知則是：「系爭公告雖非為限制人民言論自由或其他憲法上所保障之基本權利而設，然於具體個案可能因主管機關對於廣告物之內容及設置之時間、地點、方式之審查，而否准設置，造成限制人民言論自由或其他憲法上所保障之基本權利之結果。主管機關於依本解釋意旨修正系爭公告時，應通盤考量其可能造成言論自由或其他憲法上所保障之基本權利限制之必要性與適當性。」顯然即從前揭第一點肯認的比例原則出發。至於該如何修正，才不致造成限制基本權且違反比例原則的結果，也可從前揭其他三點去理解。</w:t>
      </w:r>
    </w:p>
    <w:p w:rsidR="00C1187E" w:rsidRPr="00142E7D" w:rsidRDefault="00C1187E" w:rsidP="00255BEA">
      <w:pPr>
        <w:kinsoku w:val="0"/>
        <w:overflowPunct w:val="0"/>
        <w:adjustRightInd w:val="0"/>
        <w:snapToGrid w:val="0"/>
        <w:spacing w:line="391" w:lineRule="exact"/>
        <w:ind w:left="561" w:firstLine="561"/>
        <w:jc w:val="both"/>
        <w:rPr>
          <w:rFonts w:ascii="標楷體" w:hAnsi="標楷體"/>
          <w:bCs/>
          <w:kern w:val="0"/>
          <w:sz w:val="28"/>
          <w:szCs w:val="28"/>
        </w:rPr>
      </w:pPr>
      <w:r w:rsidRPr="00142E7D">
        <w:rPr>
          <w:rFonts w:ascii="標楷體" w:hAnsi="標楷體"/>
          <w:bCs/>
          <w:kern w:val="0"/>
          <w:sz w:val="28"/>
          <w:szCs w:val="28"/>
        </w:rPr>
        <w:t>最重要的，應該就是對言論內容做事前檢查這一點。由於都會型的地</w:t>
      </w:r>
      <w:r w:rsidRPr="00142E7D">
        <w:rPr>
          <w:rFonts w:ascii="標楷體" w:hAnsi="標楷體"/>
          <w:bCs/>
          <w:kern w:val="0"/>
          <w:sz w:val="28"/>
          <w:szCs w:val="28"/>
        </w:rPr>
        <w:lastRenderedPageBreak/>
        <w:t>方自治團體幾無例外的都對廣告物的設置作了事前許可的管制規定（據黃虹霞大法官提供的搜尋結果，包括臺北市、基隆市、新北市、桃園市、苗栗縣、臺中市、彰化縣、雲林縣、臺南市、高雄市、屏東縣等，都有自治條例或法規，且多採事前許可管制），且於廣告物設置以外多在同一或其他規範中對廣告內容也作了若干管制，比如臺北市的臺北市廣告物暫行管理規則第七條第二項就禁止廣告物內容有妨害公共秩序、善良風俗或虛偽、誇大不實的情事。本件解釋審查的臺南市政府系爭公告，以設置廣告物未經核准為違法要件，有關廣告物核准的規定也另見於九十四年五月二十日制定公布的臺南市廣告物管理自治條例，該自治條例於一</w:t>
      </w:r>
      <w:r w:rsidR="00DD4611" w:rsidRPr="00142E7D">
        <w:rPr>
          <w:rFonts w:ascii="標楷體" w:hAnsi="標楷體"/>
          <w:bCs/>
          <w:kern w:val="0"/>
          <w:sz w:val="28"/>
          <w:szCs w:val="28"/>
        </w:rPr>
        <w:t>○</w:t>
      </w:r>
      <w:r w:rsidRPr="00142E7D">
        <w:rPr>
          <w:rFonts w:ascii="標楷體" w:hAnsi="標楷體"/>
          <w:bCs/>
          <w:kern w:val="0"/>
          <w:sz w:val="28"/>
          <w:szCs w:val="28"/>
        </w:rPr>
        <w:t>一年十二月二十二日廢止，但同日又制定公布，故本件原因案件的確定終局判決（高雄高等行政法院九十九年度簡字第二一四號判決）在適用系爭規定及系爭公告時，也實質適用了舊自治條例有關核准的規定，包括：舊條例的第四條：「廣告物除有特別規定外，應經審查核可後始得設置。經核准後非經許可，不得擅自變更內容、規格或形式。但電影廣告內容依電影法經核准者，得逕行更換內容。」、第十五條第一款：「廣告物之設置應符合下列規定：一、廣告內容不得有妨害公共秩序、善良風俗或違反法律規定。」與此內容相當的新條例第四條第一項前段：「設置廣告物應先經主管機關許可。」、同條第二項：「前項應經許可之廣告物設置後，非經主管機關許可，不得擅自變更其內容、規格、材料、形式或設置位置。」及第十二條第一款：「設置廣告物應符合下列規定：一、廣告內容不得妨害公共秩序、善良風俗或違反法令。」等有關事前審查廣告內容的規定，新自治條例也都還保留。對於決定是否核准廣告物的設置，規定由主管機關審查其廣告內容，原則上即已構成</w:t>
      </w:r>
      <w:r w:rsidRPr="00142E7D">
        <w:rPr>
          <w:rFonts w:ascii="標楷體" w:hAnsi="標楷體"/>
          <w:bCs/>
          <w:spacing w:val="-2"/>
          <w:kern w:val="0"/>
          <w:sz w:val="28"/>
          <w:szCs w:val="28"/>
        </w:rPr>
        <w:t>對言論自由的嚴重限制，其限制是否違反比例原則，當然是首先要檢討的地方。</w:t>
      </w:r>
    </w:p>
    <w:p w:rsidR="00C1187E" w:rsidRPr="00142E7D" w:rsidRDefault="00C1187E" w:rsidP="00255BEA">
      <w:pPr>
        <w:kinsoku w:val="0"/>
        <w:overflowPunct w:val="0"/>
        <w:adjustRightInd w:val="0"/>
        <w:snapToGrid w:val="0"/>
        <w:spacing w:line="391" w:lineRule="exact"/>
        <w:ind w:left="561" w:firstLine="561"/>
        <w:jc w:val="both"/>
        <w:rPr>
          <w:rFonts w:ascii="標楷體" w:hAnsi="標楷體"/>
          <w:bCs/>
          <w:kern w:val="0"/>
          <w:sz w:val="28"/>
          <w:szCs w:val="28"/>
        </w:rPr>
      </w:pPr>
      <w:r w:rsidRPr="00142E7D">
        <w:rPr>
          <w:rFonts w:ascii="標楷體" w:hAnsi="標楷體"/>
          <w:bCs/>
          <w:kern w:val="0"/>
          <w:sz w:val="28"/>
          <w:szCs w:val="28"/>
        </w:rPr>
        <w:t>從必要性、最小侵害性與合比例性的觀點而言，類此的規定對言論自由所生限制過度的疑義，主要在於其把內容檢查夾帶於廣告物設置的許可管制，使人民的言論有可能被主管機關阻絕於進入言論市場之前，其優點固然可使公共利益受到更完整的保護，缺點卻在言論的正誤臧否也將完全由政府部門掌控，可能因政府片面觀點即無法進入言論市場，失去由市場評價的機會。對於這樣的事前檢查，本院迄今的見解相當清楚而一致。簡言之，事前許可管制的對象若為無關內容的時間、場地與方式，縱所涉者為非商業性的言論，如有重大公共利益的合理考量，其事前管制的規定也不當然違反比例原則（本院釋字第四四五號、七一八號解釋可參）。但若觸及言論內容之限制，即使所限制者為商業性言論的廣告，也只在所涉公共利益相當重大時，如有關藥物的廣告，可容許採包括事前管制在內的限制（本院釋字第四一四號解釋參照）。由於廣告作為以得直接或間接使非</w:t>
      </w:r>
      <w:r w:rsidRPr="00142E7D">
        <w:rPr>
          <w:rFonts w:ascii="標楷體" w:hAnsi="標楷體"/>
          <w:bCs/>
          <w:kern w:val="0"/>
          <w:sz w:val="28"/>
          <w:szCs w:val="28"/>
        </w:rPr>
        <w:lastRenderedPageBreak/>
        <w:t>特定的一般或相關大眾共見共聞的訊息傳播行為，並不因其為商業或非商業而有不同，因此前述審查原則都有適用餘地。對於非商業的集體言論表達做事前的內容管制，釋字第四四五號解釋認定以「有事實足認為有危害國家安全、社會秩序或公共利益之虞者」和「有危害生命、身體、自由或對財物造成重大損壞之虞者」作為得不許可的要件，都有欠具體明確，對於為言論表達前「尚無明顯而立即危險之事實狀態，僅憑將來有發生之可能」，即由主管機關作為准否的依據，已構成違憲。以此來看現行許多自治團體管制廣告物設置所規定的不得有違公序良俗，是否同樣不夠具體明確，就事中和事後管制而言，因為無須採嚴格審查標準，應該還可過關，但如屬事前的內容管制而必須採最嚴格的審查標準，要能通過的機會顯然不大。</w:t>
      </w:r>
    </w:p>
    <w:p w:rsidR="00C1187E" w:rsidRPr="00142E7D" w:rsidRDefault="00C1187E" w:rsidP="00255BEA">
      <w:pPr>
        <w:kinsoku w:val="0"/>
        <w:overflowPunct w:val="0"/>
        <w:adjustRightInd w:val="0"/>
        <w:snapToGrid w:val="0"/>
        <w:spacing w:line="391" w:lineRule="exact"/>
        <w:ind w:left="561" w:firstLine="561"/>
        <w:jc w:val="both"/>
        <w:rPr>
          <w:rFonts w:ascii="標楷體" w:hAnsi="標楷體"/>
          <w:bCs/>
          <w:kern w:val="0"/>
          <w:sz w:val="28"/>
          <w:szCs w:val="28"/>
        </w:rPr>
      </w:pPr>
      <w:r w:rsidRPr="00142E7D">
        <w:rPr>
          <w:rFonts w:ascii="標楷體" w:hAnsi="標楷體"/>
          <w:bCs/>
          <w:kern w:val="0"/>
          <w:sz w:val="28"/>
          <w:szCs w:val="28"/>
        </w:rPr>
        <w:t>其次，此類言論表達所彰顯的外部特徵，也如集會遊行一般易與不特定他人在公物使用上產生衝突排擠，但非如集會遊行的本質在補強民主政治的不足，因此在權衡時可給予較其他使用方式優先的地位。此類言論表達雖然也因屬言論自由保護範圍而應予充分審酌，但在與其他使用方式，尤其是在公共路面為通行的典型使用相衡，縱不能說後者必然優先，至少也需要做同等的考量。如再省思此類言論表達在空間、時間的範圍必遠大於組織性的集會遊行，國家自是有權、甚至有義務積極介入做有效的管理，以因時因地去妥為規劃。臺灣目前呈現的管制實況，一方面有不分所涉情節、影響大小而有過苛之弊，另一方面也常見為言論表達者已明顯逾越通常使用範圍，執法者卻仍憚於其言論自由的道德強勢而怠於介入管理，聽任少數人長期、固定的使用公共空間，對其他有權使用者形同空間的霸凌。足見主管機關既要原則上避免對此類言論的內容做事前檢查，也要積極的對此類言論的表達，在時間、場所和方式上做較為細緻的管制，通過某種事前管制來兼顧所有人對公共空間的合理使用。</w:t>
      </w:r>
    </w:p>
    <w:p w:rsidR="00C1187E" w:rsidRPr="00142E7D" w:rsidRDefault="00C1187E" w:rsidP="00255BEA">
      <w:pPr>
        <w:kinsoku w:val="0"/>
        <w:overflowPunct w:val="0"/>
        <w:adjustRightInd w:val="0"/>
        <w:snapToGrid w:val="0"/>
        <w:spacing w:line="391" w:lineRule="exact"/>
        <w:ind w:left="561" w:firstLine="561"/>
        <w:jc w:val="both"/>
        <w:rPr>
          <w:rFonts w:ascii="標楷體" w:hAnsi="標楷體"/>
          <w:bCs/>
          <w:kern w:val="0"/>
          <w:sz w:val="28"/>
          <w:szCs w:val="28"/>
        </w:rPr>
      </w:pPr>
      <w:r w:rsidRPr="00142E7D">
        <w:rPr>
          <w:rFonts w:ascii="標楷體" w:hAnsi="標楷體"/>
          <w:bCs/>
          <w:kern w:val="0"/>
          <w:sz w:val="28"/>
          <w:szCs w:val="28"/>
        </w:rPr>
        <w:t>前揭加拿大英屬哥倫比亞上訴法院的判決所處理的法輪功案，就是一個很值得參考的案例。其基本事實為法輪功團體自本世紀初起即在溫哥華中華人民共和國總領事館前進行各種抗議政治迫害及種族滅絕的活動，從舉牌到三百小時絕食、靜坐、在</w:t>
      </w:r>
      <w:smartTag w:uri="urn:schemas-microsoft-com:office:smarttags" w:element="chmetcnv">
        <w:smartTagPr>
          <w:attr w:name="TCSC" w:val="0"/>
          <w:attr w:name="NumberType" w:val="1"/>
          <w:attr w:name="Negative" w:val="False"/>
          <w:attr w:name="HasSpace" w:val="False"/>
          <w:attr w:name="SourceValue" w:val="1"/>
          <w:attr w:name="UnitName" w:val="米"/>
        </w:smartTagPr>
        <w:r w:rsidRPr="00142E7D">
          <w:rPr>
            <w:rFonts w:ascii="標楷體" w:hAnsi="標楷體"/>
            <w:bCs/>
            <w:kern w:val="0"/>
            <w:sz w:val="28"/>
            <w:szCs w:val="28"/>
          </w:rPr>
          <w:t>1米</w:t>
        </w:r>
      </w:smartTag>
      <w:r w:rsidRPr="00142E7D">
        <w:rPr>
          <w:rFonts w:ascii="標楷體" w:hAnsi="標楷體"/>
          <w:bCs/>
          <w:kern w:val="0"/>
          <w:sz w:val="28"/>
          <w:szCs w:val="28"/>
        </w:rPr>
        <w:t>寬</w:t>
      </w:r>
      <w:smartTag w:uri="urn:schemas-microsoft-com:office:smarttags" w:element="chmetcnv">
        <w:smartTagPr>
          <w:attr w:name="TCSC" w:val="0"/>
          <w:attr w:name="NumberType" w:val="1"/>
          <w:attr w:name="Negative" w:val="False"/>
          <w:attr w:name="HasSpace" w:val="False"/>
          <w:attr w:name="SourceValue" w:val="2"/>
          <w:attr w:name="UnitName" w:val="米"/>
        </w:smartTagPr>
        <w:r w:rsidRPr="00142E7D">
          <w:rPr>
            <w:rFonts w:ascii="標楷體" w:hAnsi="標楷體"/>
            <w:bCs/>
            <w:kern w:val="0"/>
            <w:sz w:val="28"/>
            <w:szCs w:val="28"/>
          </w:rPr>
          <w:t>2米</w:t>
        </w:r>
      </w:smartTag>
      <w:r w:rsidRPr="00142E7D">
        <w:rPr>
          <w:rFonts w:ascii="標楷體" w:hAnsi="標楷體"/>
          <w:bCs/>
          <w:kern w:val="0"/>
          <w:sz w:val="28"/>
          <w:szCs w:val="28"/>
        </w:rPr>
        <w:t>長的帳棚內為二十四小時不間斷的守護。二零零六年市長終於以違反自治條例為由聲請發予禁令，二零零九年取得地方法院所發禁令，法輪功團體即以其言論自由受到侵害為由向上訴法院聲請撤銷禁令。結果上訴法院認定原審判決自治條例的管制確實「未」把此類言論表達應受憲章言論自由的保護考量在內，就該部分應屬違憲而無效，除命溫哥華市撤銷對於法輪功人士所做的處分外，並應於半年內完成條例的改正，使人民得在政治權利及言論內容不被侵害的前提下，其利用公物的抗議行為仍可得到適度的規範。二零一一年四月溫哥華</w:t>
      </w:r>
      <w:r w:rsidRPr="00142E7D">
        <w:rPr>
          <w:rFonts w:ascii="標楷體" w:hAnsi="標楷體"/>
          <w:bCs/>
          <w:kern w:val="0"/>
          <w:sz w:val="28"/>
          <w:szCs w:val="28"/>
        </w:rPr>
        <w:lastRenderedPageBreak/>
        <w:t>市即改訂新條例，規定因抗議而設置之物可容許的最大尺寸（4：5：3呎），且每日最多放置12小時，即須拆移，一次申請上限為30日，每60日才能重新搭置。此一明確的新管制，立刻使此一困擾多時、管制上過猶不及的爭議圓滿落幕。</w:t>
      </w:r>
    </w:p>
    <w:p w:rsidR="00503AD7" w:rsidRPr="00142E7D" w:rsidRDefault="00C1187E" w:rsidP="00255BEA">
      <w:pPr>
        <w:kinsoku w:val="0"/>
        <w:overflowPunct w:val="0"/>
        <w:adjustRightInd w:val="0"/>
        <w:snapToGrid w:val="0"/>
        <w:spacing w:line="391" w:lineRule="exact"/>
        <w:ind w:left="561" w:firstLine="561"/>
        <w:jc w:val="both"/>
        <w:rPr>
          <w:rFonts w:ascii="標楷體" w:hAnsi="標楷體"/>
          <w:kern w:val="0"/>
          <w:sz w:val="28"/>
          <w:szCs w:val="28"/>
        </w:rPr>
      </w:pPr>
      <w:r w:rsidRPr="00142E7D">
        <w:rPr>
          <w:rFonts w:ascii="標楷體" w:hAnsi="標楷體"/>
          <w:bCs/>
          <w:kern w:val="0"/>
          <w:sz w:val="28"/>
          <w:szCs w:val="28"/>
        </w:rPr>
        <w:t>現代城市的空間管理，經緯萬端，除應滿足人民對公共空間的各種使用需求外，也要基於安全、秩序、衛生、景觀等公益，對有限空間的使用進行基本的分配，避免明顯的不公，以維持整體的和諧秩序，對於逾越通常使用之行為，依各地區之特性建立事前、事中及事後之合理控管與分配，自有其必要。從公共空間管理的角度來看，可將整體社會看成各次體系交互運作的集合體，立法者有時從物的角度切入，比如對道路、廣場、公園、巷道、湖泊、建築外牆等去作規範，有時又從功能的角度切入，比如對交通、衛生、治安、交易等去作規範，這些規範的整體即構成公共空間管制法。但這些用意良善的功能法，一旦間接涉及言論表達的限制，就和集會遊行的管制一樣，主管機關不能不提升到憲法的高度，去思考這背後的重大憲法價值，而在制度規劃和執行上投入更多的心力。但一個城市真正偉大之處，不也就在這些細節嗎？</w:t>
      </w:r>
    </w:p>
    <w:p w:rsidR="00B755CC" w:rsidRPr="00142E7D" w:rsidRDefault="00B755CC" w:rsidP="00255BEA">
      <w:pPr>
        <w:kinsoku w:val="0"/>
        <w:overflowPunct w:val="0"/>
        <w:adjustRightInd w:val="0"/>
        <w:snapToGrid w:val="0"/>
        <w:spacing w:line="391" w:lineRule="exact"/>
        <w:jc w:val="both"/>
        <w:rPr>
          <w:rFonts w:ascii="標楷體" w:hAnsi="標楷體"/>
          <w:kern w:val="0"/>
          <w:sz w:val="28"/>
          <w:szCs w:val="28"/>
        </w:rPr>
      </w:pPr>
    </w:p>
    <w:p w:rsidR="006512EA" w:rsidRPr="00142E7D" w:rsidRDefault="006512EA" w:rsidP="00255BEA">
      <w:pPr>
        <w:kinsoku w:val="0"/>
        <w:overflowPunct w:val="0"/>
        <w:adjustRightInd w:val="0"/>
        <w:snapToGrid w:val="0"/>
        <w:spacing w:line="391" w:lineRule="exact"/>
        <w:ind w:left="958" w:right="641"/>
        <w:jc w:val="both"/>
        <w:rPr>
          <w:rFonts w:ascii="華康粗黑體" w:eastAsia="華康粗黑體" w:hAnsi="標楷體"/>
          <w:kern w:val="0"/>
          <w:sz w:val="28"/>
          <w:szCs w:val="28"/>
        </w:rPr>
        <w:sectPr w:rsidR="006512EA" w:rsidRPr="00142E7D" w:rsidSect="007A5CBE">
          <w:footerReference w:type="default" r:id="rId23"/>
          <w:pgSz w:w="11906" w:h="16838"/>
          <w:pgMar w:top="1418" w:right="1134" w:bottom="851" w:left="1134" w:header="851" w:footer="992" w:gutter="0"/>
          <w:cols w:space="425"/>
          <w:docGrid w:linePitch="360"/>
        </w:sectPr>
      </w:pPr>
    </w:p>
    <w:p w:rsidR="00B755CC" w:rsidRPr="00142E7D" w:rsidRDefault="00B755CC" w:rsidP="00255BEA">
      <w:pPr>
        <w:kinsoku w:val="0"/>
        <w:overflowPunct w:val="0"/>
        <w:adjustRightInd w:val="0"/>
        <w:snapToGrid w:val="0"/>
        <w:spacing w:line="391" w:lineRule="exact"/>
        <w:ind w:left="958" w:right="641"/>
        <w:jc w:val="both"/>
        <w:rPr>
          <w:rFonts w:ascii="標楷體" w:hAnsi="標楷體"/>
          <w:kern w:val="0"/>
          <w:sz w:val="28"/>
          <w:szCs w:val="28"/>
        </w:rPr>
      </w:pPr>
      <w:r w:rsidRPr="00142E7D">
        <w:rPr>
          <w:rFonts w:ascii="華康粗黑體" w:eastAsia="華康粗黑體" w:hAnsi="標楷體" w:hint="eastAsia"/>
          <w:kern w:val="0"/>
          <w:sz w:val="28"/>
          <w:szCs w:val="28"/>
        </w:rPr>
        <w:lastRenderedPageBreak/>
        <w:t>協同</w:t>
      </w:r>
      <w:r w:rsidRPr="00142E7D">
        <w:rPr>
          <w:rFonts w:eastAsia="華康粗黑體" w:hint="eastAsia"/>
          <w:sz w:val="28"/>
          <w:szCs w:val="28"/>
        </w:rPr>
        <w:t>意見書</w:t>
      </w:r>
      <w:r w:rsidRPr="00142E7D">
        <w:rPr>
          <w:rFonts w:ascii="標楷體" w:hAnsi="標楷體"/>
          <w:kern w:val="0"/>
          <w:sz w:val="28"/>
          <w:szCs w:val="28"/>
        </w:rPr>
        <w:t xml:space="preserve">　　　　　　　　　　　　　　</w:t>
      </w:r>
      <w:r w:rsidR="001A4BEF" w:rsidRPr="00142E7D">
        <w:rPr>
          <w:rFonts w:ascii="標楷體" w:hAnsi="標楷體"/>
          <w:kern w:val="0"/>
          <w:sz w:val="28"/>
          <w:szCs w:val="28"/>
        </w:rPr>
        <w:t>黃茂榮</w:t>
      </w:r>
      <w:r w:rsidRPr="00142E7D">
        <w:rPr>
          <w:rFonts w:ascii="標楷體" w:hAnsi="標楷體"/>
          <w:kern w:val="0"/>
          <w:sz w:val="28"/>
          <w:szCs w:val="28"/>
        </w:rPr>
        <w:t>大法官　提出</w:t>
      </w:r>
    </w:p>
    <w:p w:rsidR="00C1187E" w:rsidRPr="00142E7D" w:rsidRDefault="00C1187E" w:rsidP="00255BEA">
      <w:pPr>
        <w:kinsoku w:val="0"/>
        <w:overflowPunct w:val="0"/>
        <w:adjustRightInd w:val="0"/>
        <w:snapToGrid w:val="0"/>
        <w:spacing w:line="391" w:lineRule="exact"/>
        <w:jc w:val="both"/>
        <w:rPr>
          <w:rFonts w:ascii="標楷體" w:hAnsi="標楷體"/>
          <w:kern w:val="0"/>
          <w:sz w:val="28"/>
          <w:szCs w:val="28"/>
        </w:rPr>
      </w:pPr>
      <w:r w:rsidRPr="00142E7D">
        <w:rPr>
          <w:rFonts w:ascii="標楷體" w:hAnsi="標楷體"/>
          <w:kern w:val="0"/>
          <w:sz w:val="28"/>
          <w:szCs w:val="28"/>
        </w:rPr>
        <w:t>一、授權制定法規命令與授權明確性原則</w:t>
      </w:r>
    </w:p>
    <w:p w:rsidR="00C1187E" w:rsidRPr="00142E7D" w:rsidRDefault="00C1187E" w:rsidP="00255BEA">
      <w:pPr>
        <w:kinsoku w:val="0"/>
        <w:overflowPunct w:val="0"/>
        <w:adjustRightInd w:val="0"/>
        <w:snapToGrid w:val="0"/>
        <w:spacing w:line="391" w:lineRule="exact"/>
        <w:ind w:left="561" w:firstLine="561"/>
        <w:jc w:val="both"/>
        <w:rPr>
          <w:rFonts w:ascii="標楷體" w:hAnsi="標楷體"/>
          <w:kern w:val="0"/>
          <w:sz w:val="28"/>
          <w:szCs w:val="28"/>
        </w:rPr>
      </w:pPr>
      <w:r w:rsidRPr="00142E7D">
        <w:rPr>
          <w:rFonts w:ascii="標楷體" w:hAnsi="標楷體"/>
          <w:kern w:val="0"/>
          <w:sz w:val="28"/>
          <w:szCs w:val="28"/>
        </w:rPr>
        <w:t>授權明確性原則所涉者指授權規定就其授權，在目的、內容、範圍是否明確。至其子法所涉者，非明確性的問題，而是其有無表明其制定之授權依據，以及其規定之內容是否逾越授權範圍，亦即是否有子法抵觸母法的情形。</w:t>
      </w:r>
    </w:p>
    <w:p w:rsidR="00C1187E" w:rsidRPr="00142E7D" w:rsidRDefault="00C1187E" w:rsidP="00255BEA">
      <w:pPr>
        <w:kinsoku w:val="0"/>
        <w:overflowPunct w:val="0"/>
        <w:adjustRightInd w:val="0"/>
        <w:snapToGrid w:val="0"/>
        <w:spacing w:line="391" w:lineRule="exact"/>
        <w:jc w:val="both"/>
        <w:rPr>
          <w:rFonts w:ascii="標楷體" w:hAnsi="標楷體"/>
          <w:kern w:val="0"/>
          <w:sz w:val="28"/>
          <w:szCs w:val="28"/>
        </w:rPr>
      </w:pPr>
      <w:r w:rsidRPr="00142E7D">
        <w:rPr>
          <w:rFonts w:ascii="標楷體" w:hAnsi="標楷體"/>
          <w:kern w:val="0"/>
          <w:sz w:val="28"/>
          <w:szCs w:val="28"/>
        </w:rPr>
        <w:t>二、依廢棄物清理法應清理之廢棄物</w:t>
      </w:r>
    </w:p>
    <w:p w:rsidR="00C1187E" w:rsidRPr="00142E7D" w:rsidRDefault="00C1187E" w:rsidP="00255BEA">
      <w:pPr>
        <w:kinsoku w:val="0"/>
        <w:overflowPunct w:val="0"/>
        <w:adjustRightInd w:val="0"/>
        <w:snapToGrid w:val="0"/>
        <w:spacing w:line="391" w:lineRule="exact"/>
        <w:ind w:left="561" w:firstLine="561"/>
        <w:jc w:val="both"/>
        <w:rPr>
          <w:rFonts w:ascii="標楷體" w:hAnsi="標楷體"/>
          <w:kern w:val="0"/>
          <w:sz w:val="28"/>
          <w:szCs w:val="28"/>
        </w:rPr>
      </w:pPr>
      <w:r w:rsidRPr="00142E7D">
        <w:rPr>
          <w:rFonts w:ascii="標楷體" w:hAnsi="標楷體"/>
          <w:kern w:val="0"/>
          <w:sz w:val="28"/>
          <w:szCs w:val="28"/>
        </w:rPr>
        <w:t>廢棄物清理法第一條規定：「為有效清除、處理廢棄物，改善環境衛生，維護國民健康，特制定本法；本法未規定者，適用其他有關法律之規定。」同法第二條第一項規定：「本法所稱廢棄物，分下列二種：一、一般廢棄物：由家戶或其他非事業所產生之垃圾、糞尿、動物屍體等，足以污染環境衛生之固體或液體廢棄物。二、事業廢棄物：（一）有害事業廢棄物：由事業所產生具有毒性、危險性，其濃度或數量足以影響人體健康或污染環境之廢棄物。（二）一般事業廢棄物：由事業所產生有害事業廢棄物以外之廢棄物。」該項所定廢棄物具體所指究竟為何，依其規定尚有不確定性，僅點出廢棄物之共同特徵：其原所有主欲廢棄之物。此種物所以應予清除，乃因其對於環境之外來性，必須加以清除，始能維持環境之原來狀態。</w:t>
      </w:r>
    </w:p>
    <w:p w:rsidR="00C1187E" w:rsidRPr="00142E7D" w:rsidRDefault="00C1187E" w:rsidP="00255BEA">
      <w:pPr>
        <w:kinsoku w:val="0"/>
        <w:overflowPunct w:val="0"/>
        <w:adjustRightInd w:val="0"/>
        <w:snapToGrid w:val="0"/>
        <w:spacing w:line="391" w:lineRule="exact"/>
        <w:ind w:left="561" w:firstLine="561"/>
        <w:jc w:val="both"/>
        <w:rPr>
          <w:rFonts w:ascii="標楷體" w:hAnsi="標楷體"/>
          <w:kern w:val="0"/>
          <w:sz w:val="28"/>
          <w:szCs w:val="28"/>
        </w:rPr>
      </w:pPr>
      <w:r w:rsidRPr="00142E7D">
        <w:rPr>
          <w:rFonts w:ascii="標楷體" w:hAnsi="標楷體"/>
          <w:kern w:val="0"/>
          <w:sz w:val="28"/>
          <w:szCs w:val="28"/>
        </w:rPr>
        <w:t>另按同法第二十七條規定，尚可將廢棄物具體化為：「一、隨地吐痰、檳榔汁、檳榔渣，拋棄紙屑、煙蒂、口香糖、瓜果或其皮、核、汁、渣或其他一般廢棄物。二、污染地面、池溏、水溝、牆壁、樑柱、電桿、樹木、道路、橋樑或其他土地定著物。三、於路旁、屋外或屋頂曝晒、堆置有礙衛生整潔之物。四、自廢棄物清除、處理及貯存工具、設備或處所中搜揀經廢棄之物。但搜揀依第五條第六項所定回收項目之一般廢棄物，不在此限。五、拋置熱灰燼、危險化學物品或爆炸性物品於廢棄物貯存設備。六、棄置動物屍體於廢棄物貯存設備以外處所。七、隨地便溺。八、於水溝棄置雜物。九、飼養禽、畜有礙附近環境衛生。十、張貼或噴漆廣告污染定著物。十一、其他經主管機關公告之污染環境行為。」其中第一款、第三款、第五款、第六款、第七款及第八款所定之物顯然為其所有主廢棄之物；而第二款、第九款及第十款則偏重於污染，與廢棄的關連性較低。該條已將該法規範之客體範圍（廢棄物之處理）自廢棄物擴張至污染物。惟何謂污染該法並無立法解釋。</w:t>
      </w:r>
    </w:p>
    <w:p w:rsidR="00C1187E" w:rsidRPr="00142E7D" w:rsidRDefault="00C1187E" w:rsidP="00255BEA">
      <w:pPr>
        <w:kinsoku w:val="0"/>
        <w:overflowPunct w:val="0"/>
        <w:adjustRightInd w:val="0"/>
        <w:snapToGrid w:val="0"/>
        <w:spacing w:line="391" w:lineRule="exact"/>
        <w:ind w:left="561" w:firstLine="561"/>
        <w:jc w:val="both"/>
        <w:rPr>
          <w:rFonts w:ascii="標楷體" w:hAnsi="標楷體"/>
          <w:kern w:val="0"/>
          <w:sz w:val="28"/>
          <w:szCs w:val="28"/>
        </w:rPr>
      </w:pPr>
      <w:r w:rsidRPr="00142E7D">
        <w:rPr>
          <w:rFonts w:ascii="標楷體" w:hAnsi="標楷體"/>
          <w:kern w:val="0"/>
          <w:sz w:val="28"/>
          <w:szCs w:val="28"/>
        </w:rPr>
        <w:t>廢棄物清理法以廢棄物之處理為名，是否因此限制其規定在客體上，得規範之範疇？該法第一條規定，廢棄物清理法之立法目的為「有效清除、處理廢棄物，改善環境衛生，維護國民健康」，按其規定之內容，乃透過「有效清除、處理廢棄物」，以達到「改善環境衛生，維護國民健康」</w:t>
      </w:r>
      <w:r w:rsidRPr="00142E7D">
        <w:rPr>
          <w:rFonts w:ascii="標楷體" w:hAnsi="標楷體"/>
          <w:kern w:val="0"/>
          <w:sz w:val="28"/>
          <w:szCs w:val="28"/>
        </w:rPr>
        <w:lastRenderedPageBreak/>
        <w:t>之目的。所以是否得以其目的在於「改善環境衛生，維護國民健康」，而將為達成其目的所需「處理廢棄物」以外之手段，包括進來。此與該立法目的是否足以引為將該法規範之客體範圍擴張至廢棄物以外之物的論據有關，值得探討。</w:t>
      </w:r>
    </w:p>
    <w:p w:rsidR="00C1187E" w:rsidRPr="00142E7D" w:rsidRDefault="00C1187E" w:rsidP="00255BEA">
      <w:pPr>
        <w:kinsoku w:val="0"/>
        <w:overflowPunct w:val="0"/>
        <w:adjustRightInd w:val="0"/>
        <w:snapToGrid w:val="0"/>
        <w:spacing w:line="391" w:lineRule="exact"/>
        <w:ind w:left="561" w:firstLine="561"/>
        <w:jc w:val="both"/>
        <w:rPr>
          <w:rFonts w:ascii="標楷體" w:hAnsi="標楷體"/>
          <w:kern w:val="0"/>
          <w:sz w:val="28"/>
          <w:szCs w:val="28"/>
        </w:rPr>
      </w:pPr>
      <w:r w:rsidRPr="00142E7D">
        <w:rPr>
          <w:rFonts w:ascii="標楷體" w:hAnsi="標楷體"/>
          <w:kern w:val="0"/>
          <w:sz w:val="28"/>
          <w:szCs w:val="28"/>
        </w:rPr>
        <w:t>鑑於廢棄物清理法係為保護環境而制定之法律，處理廢棄物不過為保護環境之諸多手段之一，且其所以有處理之需要，乃因其會污染環境，而污染物與廢棄物之不同僅在於廢棄物含有其所有主有予以廢棄之主觀意思，而污染物則純從其對於環境之客觀的污染性著眼</w:t>
      </w:r>
      <w:r w:rsidRPr="00142E7D">
        <w:rPr>
          <w:rStyle w:val="ab"/>
          <w:rFonts w:ascii="標楷體" w:hAnsi="標楷體"/>
          <w:kern w:val="0"/>
          <w:sz w:val="28"/>
          <w:szCs w:val="28"/>
        </w:rPr>
        <w:footnoteReference w:id="1"/>
      </w:r>
      <w:r w:rsidRPr="00142E7D">
        <w:rPr>
          <w:rFonts w:ascii="標楷體" w:hAnsi="標楷體"/>
          <w:kern w:val="0"/>
          <w:sz w:val="28"/>
          <w:szCs w:val="28"/>
        </w:rPr>
        <w:t>，是故，為保護環境，將廢棄物清理法之規範客體擴張至含污染物，尚符其規範意旨。依該條規定，廢棄物清理法及其授權制定之命令，固當符合「有效清除、處理廢棄物，改善環境衛生，維護國民健康」之需要，但也只要符合該需要，自得規範其相關足以污染環境之行為，含禁止污染環境之行為及清除污染狀態之義務。是本號解釋多數意見認為 :「該法所稱污染環境行為之內涵，不以棄置廢棄物為限，其他有礙環境衛生與國民健康之行為亦屬之。故系爭規定尚與憲法第二十三條之法律授權明確性原則無違。」在此範圍內，本席敬表贊同。</w:t>
      </w:r>
    </w:p>
    <w:p w:rsidR="00C1187E" w:rsidRPr="00142E7D" w:rsidRDefault="00C1187E" w:rsidP="00255BEA">
      <w:pPr>
        <w:kinsoku w:val="0"/>
        <w:overflowPunct w:val="0"/>
        <w:adjustRightInd w:val="0"/>
        <w:snapToGrid w:val="0"/>
        <w:spacing w:line="391" w:lineRule="exact"/>
        <w:jc w:val="both"/>
        <w:rPr>
          <w:rFonts w:ascii="標楷體" w:hAnsi="標楷體"/>
          <w:kern w:val="0"/>
          <w:sz w:val="28"/>
          <w:szCs w:val="28"/>
        </w:rPr>
      </w:pPr>
      <w:r w:rsidRPr="00142E7D">
        <w:rPr>
          <w:rFonts w:ascii="標楷體" w:hAnsi="標楷體"/>
          <w:kern w:val="0"/>
          <w:sz w:val="28"/>
          <w:szCs w:val="28"/>
        </w:rPr>
        <w:t>三、污染防制與言論自由之價值與利益的衝突</w:t>
      </w:r>
    </w:p>
    <w:p w:rsidR="00C1187E" w:rsidRPr="00142E7D" w:rsidRDefault="00C1187E" w:rsidP="00255BEA">
      <w:pPr>
        <w:kinsoku w:val="0"/>
        <w:overflowPunct w:val="0"/>
        <w:adjustRightInd w:val="0"/>
        <w:snapToGrid w:val="0"/>
        <w:spacing w:line="391" w:lineRule="exact"/>
        <w:ind w:left="561" w:firstLine="561"/>
        <w:jc w:val="both"/>
        <w:rPr>
          <w:rFonts w:ascii="標楷體" w:hAnsi="標楷體"/>
          <w:kern w:val="0"/>
          <w:sz w:val="28"/>
          <w:szCs w:val="28"/>
        </w:rPr>
      </w:pPr>
      <w:r w:rsidRPr="00142E7D">
        <w:rPr>
          <w:rFonts w:ascii="標楷體" w:hAnsi="標楷體"/>
          <w:kern w:val="0"/>
          <w:sz w:val="28"/>
          <w:szCs w:val="28"/>
        </w:rPr>
        <w:t>環境原來狀態之改變的因素，首先可分成二類：定著物之附加及非定著物之附加。定著物之附加首先主要屬於建築法所規範之事項；非定著物之附加，其對於環境之影響，如足以妨礙交通，並為交通法規規範之對象；其如屬於廣告物，在商業廣告並為其廣告客體所屬目的事業主管機關職掌之法規的規範對象；在非商業廣告，事涉言論自由，應受與言論有關之相關規定規範。</w:t>
      </w:r>
    </w:p>
    <w:p w:rsidR="00C1187E" w:rsidRPr="00142E7D" w:rsidRDefault="00C1187E" w:rsidP="00255BEA">
      <w:pPr>
        <w:kinsoku w:val="0"/>
        <w:overflowPunct w:val="0"/>
        <w:adjustRightInd w:val="0"/>
        <w:snapToGrid w:val="0"/>
        <w:spacing w:line="391" w:lineRule="exact"/>
        <w:ind w:left="561" w:firstLine="561"/>
        <w:jc w:val="both"/>
        <w:rPr>
          <w:rFonts w:ascii="標楷體" w:hAnsi="標楷體"/>
          <w:kern w:val="0"/>
          <w:sz w:val="28"/>
          <w:szCs w:val="28"/>
        </w:rPr>
      </w:pPr>
      <w:r w:rsidRPr="00142E7D">
        <w:rPr>
          <w:rFonts w:ascii="標楷體" w:hAnsi="標楷體"/>
          <w:kern w:val="0"/>
          <w:sz w:val="28"/>
          <w:szCs w:val="28"/>
        </w:rPr>
        <w:t>當中有疑問的是，言論之表達是否基本上應利用平面</w:t>
      </w:r>
      <w:r w:rsidR="00DD4611" w:rsidRPr="00142E7D">
        <w:rPr>
          <w:rFonts w:ascii="標楷體" w:hAnsi="標楷體"/>
          <w:kern w:val="0"/>
          <w:sz w:val="28"/>
          <w:szCs w:val="28"/>
        </w:rPr>
        <w:t>（</w:t>
      </w:r>
      <w:r w:rsidRPr="00142E7D">
        <w:rPr>
          <w:rFonts w:ascii="標楷體" w:hAnsi="標楷體"/>
          <w:kern w:val="0"/>
          <w:sz w:val="28"/>
          <w:szCs w:val="28"/>
        </w:rPr>
        <w:t>文本</w:t>
      </w:r>
      <w:r w:rsidR="00DD4611" w:rsidRPr="00142E7D">
        <w:rPr>
          <w:rFonts w:ascii="標楷體" w:hAnsi="標楷體"/>
          <w:kern w:val="0"/>
          <w:sz w:val="28"/>
          <w:szCs w:val="28"/>
        </w:rPr>
        <w:t>）</w:t>
      </w:r>
      <w:r w:rsidRPr="00142E7D">
        <w:rPr>
          <w:rFonts w:ascii="標楷體" w:hAnsi="標楷體"/>
          <w:kern w:val="0"/>
          <w:sz w:val="28"/>
          <w:szCs w:val="28"/>
        </w:rPr>
        <w:t>、廣電</w:t>
      </w:r>
      <w:r w:rsidR="00DD4611" w:rsidRPr="00142E7D">
        <w:rPr>
          <w:rFonts w:ascii="標楷體" w:hAnsi="標楷體"/>
          <w:kern w:val="0"/>
          <w:sz w:val="28"/>
          <w:szCs w:val="28"/>
        </w:rPr>
        <w:t>（</w:t>
      </w:r>
      <w:r w:rsidRPr="00142E7D">
        <w:rPr>
          <w:rFonts w:ascii="標楷體" w:hAnsi="標楷體"/>
          <w:kern w:val="0"/>
          <w:sz w:val="28"/>
          <w:szCs w:val="28"/>
        </w:rPr>
        <w:t>廣播、電視</w:t>
      </w:r>
      <w:r w:rsidR="00DD4611" w:rsidRPr="00142E7D">
        <w:rPr>
          <w:rFonts w:ascii="標楷體" w:hAnsi="標楷體"/>
          <w:kern w:val="0"/>
          <w:sz w:val="28"/>
          <w:szCs w:val="28"/>
        </w:rPr>
        <w:t>）</w:t>
      </w:r>
      <w:r w:rsidRPr="00142E7D">
        <w:rPr>
          <w:rFonts w:ascii="標楷體" w:hAnsi="標楷體"/>
          <w:kern w:val="0"/>
          <w:sz w:val="28"/>
          <w:szCs w:val="28"/>
        </w:rPr>
        <w:t>或互聯網傳遞電子文件、影音等媒體之表達工具，而不適合利用公共空間懸掛廣告物，以避免對於交通安全或環境安全衛生帶來影響，值得檢討。此為造成污染環境結果的行為，可能亦為正當行使權利之行為的衝突問題。例如以公共空間為媒體表示言論之行為。在這種情形，如根本禁止該正當行使權利之行為，可能引起為防止造成污染環境，而在結果上使正當行使權利之行為成為廢棄物清理法或其授權制定之命令所禁止，並在違反前開禁止規定時，得對之課以法律責任之行為。該事態將形</w:t>
      </w:r>
      <w:r w:rsidRPr="00142E7D">
        <w:rPr>
          <w:rFonts w:ascii="標楷體" w:hAnsi="標楷體"/>
          <w:kern w:val="0"/>
          <w:sz w:val="28"/>
          <w:szCs w:val="28"/>
        </w:rPr>
        <w:lastRenderedPageBreak/>
        <w:t>成環保規定與言論自由之保障規定間的規範衝突。因該衝突的存在，固必須基於體系因素，解釋相關法令，權衡互相衝突之利益與價值，除去其衝突狀態，重新界定其分別規範之內容，以呈現其體系和諧共治的規範狀態。有疑問者為：針對其相衝突之利益與價值，如未以例外的規定，明文將其排除在禁止規定之適用範圍外，是否全部（或在無例外免責的限度內）即構成違憲？或認為，該規範衝突本來即可透過解釋消除，未涉及違憲的問題，應容許其執行機關及法院透過解釋，視具體情形，而為認定。這是一直存在於利益與價值之衝突所需之權衡需要，難以一概而論。如無法律之明文規定，原則上應由法院視個案之具體情節，衡平認定。在相衝突之規定之一方屬於禁止規定時，這應從禁止規定之違反的阻卻違法事由主張與考量。為維持禁止規定之規範的出發點，有一般禁止之規範模式的需要，要難在禁止規定之規範規畫上，要求就例外不予禁止之事由，事先預為完整規定。</w:t>
      </w:r>
    </w:p>
    <w:p w:rsidR="00C1187E" w:rsidRPr="00142E7D" w:rsidRDefault="00C1187E" w:rsidP="00255BEA">
      <w:pPr>
        <w:kinsoku w:val="0"/>
        <w:overflowPunct w:val="0"/>
        <w:adjustRightInd w:val="0"/>
        <w:snapToGrid w:val="0"/>
        <w:spacing w:line="391" w:lineRule="exact"/>
        <w:jc w:val="both"/>
        <w:rPr>
          <w:rFonts w:ascii="標楷體" w:hAnsi="標楷體"/>
          <w:kern w:val="0"/>
          <w:sz w:val="28"/>
          <w:szCs w:val="28"/>
        </w:rPr>
      </w:pPr>
      <w:r w:rsidRPr="00142E7D">
        <w:rPr>
          <w:rFonts w:ascii="標楷體" w:hAnsi="標楷體"/>
          <w:kern w:val="0"/>
          <w:sz w:val="28"/>
          <w:szCs w:val="28"/>
        </w:rPr>
        <w:t>四、關於「其他經主管機關公告之污染環境行為」</w:t>
      </w:r>
    </w:p>
    <w:p w:rsidR="00C1187E" w:rsidRPr="00142E7D" w:rsidRDefault="00C1187E" w:rsidP="00255BEA">
      <w:pPr>
        <w:kinsoku w:val="0"/>
        <w:overflowPunct w:val="0"/>
        <w:adjustRightInd w:val="0"/>
        <w:snapToGrid w:val="0"/>
        <w:spacing w:line="391" w:lineRule="exact"/>
        <w:ind w:left="561" w:firstLine="561"/>
        <w:jc w:val="both"/>
        <w:rPr>
          <w:rFonts w:ascii="標楷體" w:hAnsi="標楷體"/>
          <w:kern w:val="0"/>
          <w:sz w:val="28"/>
          <w:szCs w:val="28"/>
        </w:rPr>
      </w:pPr>
      <w:r w:rsidRPr="00142E7D">
        <w:rPr>
          <w:rFonts w:ascii="標楷體" w:hAnsi="標楷體"/>
          <w:kern w:val="0"/>
          <w:sz w:val="28"/>
          <w:szCs w:val="28"/>
        </w:rPr>
        <w:t>廢棄物清理法第二十七條第十一款規定：「在指定清除地區內嚴禁有下列行為：……十一、其他經主管機關公告之污染環境行為。」核其規定內容，屬於就「污染環境行為」對行政機關之具體化的授權，其意義在增列第一款至第十款以外之污染環境行為的類型，具有授權制定法規命令相同之意義。因此，首先有其授權是否明確，而後有其公告之污染環境行為，是否在實質上不屬於污染環境行為，而有子法牴觸母法的問題。</w:t>
      </w:r>
    </w:p>
    <w:p w:rsidR="00C1187E" w:rsidRPr="00142E7D" w:rsidRDefault="00C1187E" w:rsidP="00255BEA">
      <w:pPr>
        <w:kinsoku w:val="0"/>
        <w:overflowPunct w:val="0"/>
        <w:adjustRightInd w:val="0"/>
        <w:snapToGrid w:val="0"/>
        <w:spacing w:line="391" w:lineRule="exact"/>
        <w:ind w:left="561" w:firstLine="561"/>
        <w:jc w:val="both"/>
        <w:rPr>
          <w:rFonts w:ascii="標楷體" w:hAnsi="標楷體"/>
          <w:kern w:val="0"/>
          <w:sz w:val="28"/>
          <w:szCs w:val="28"/>
        </w:rPr>
      </w:pPr>
      <w:r w:rsidRPr="00142E7D">
        <w:rPr>
          <w:rFonts w:ascii="標楷體" w:hAnsi="標楷體"/>
          <w:kern w:val="0"/>
          <w:sz w:val="28"/>
          <w:szCs w:val="28"/>
        </w:rPr>
        <w:t>在授權明確性部分，當其授權明確，是否即授予主管機關定義或形成污染環境行為概念之權限？如採肯定見解，則主管機關無論將何種行為界定為污染環境行為，皆因授予判斷餘地</w:t>
      </w:r>
      <w:r w:rsidR="00654FBB" w:rsidRPr="00142E7D">
        <w:rPr>
          <w:rFonts w:ascii="標楷體" w:hAnsi="標楷體"/>
          <w:kern w:val="0"/>
          <w:sz w:val="28"/>
          <w:szCs w:val="28"/>
        </w:rPr>
        <w:t>（</w:t>
      </w:r>
      <w:r w:rsidRPr="00142E7D">
        <w:rPr>
          <w:rFonts w:ascii="標楷體" w:hAnsi="標楷體"/>
          <w:kern w:val="0"/>
          <w:sz w:val="28"/>
          <w:szCs w:val="28"/>
        </w:rPr>
        <w:t>Beurteilungsspielraum</w:t>
      </w:r>
      <w:r w:rsidR="00654FBB" w:rsidRPr="00142E7D">
        <w:rPr>
          <w:rFonts w:ascii="標楷體" w:hAnsi="標楷體"/>
          <w:kern w:val="0"/>
          <w:sz w:val="28"/>
          <w:szCs w:val="28"/>
        </w:rPr>
        <w:t>）</w:t>
      </w:r>
      <w:r w:rsidRPr="00142E7D">
        <w:rPr>
          <w:rStyle w:val="ab"/>
          <w:rFonts w:ascii="標楷體" w:hAnsi="標楷體"/>
          <w:kern w:val="0"/>
          <w:sz w:val="28"/>
          <w:szCs w:val="28"/>
        </w:rPr>
        <w:footnoteReference w:id="2"/>
      </w:r>
      <w:r w:rsidRPr="00142E7D">
        <w:rPr>
          <w:rFonts w:ascii="標楷體" w:hAnsi="標楷體"/>
          <w:kern w:val="0"/>
          <w:sz w:val="28"/>
          <w:szCs w:val="28"/>
        </w:rPr>
        <w:t>，而屬法律上正確！反之，如採否定見解，認為所授權之定義權並未至使其享有定義之絕對的形成自由，則其定義之污染環境行為仍應在實質上具有污染環境之結果的能力。是故，主管機關如將不具污染能力之行為界定公告為污染環境行為，該公告便牴觸授權規定。</w:t>
      </w:r>
    </w:p>
    <w:p w:rsidR="00C1187E" w:rsidRPr="00142E7D" w:rsidRDefault="00C1187E" w:rsidP="00255BEA">
      <w:pPr>
        <w:kinsoku w:val="0"/>
        <w:overflowPunct w:val="0"/>
        <w:adjustRightInd w:val="0"/>
        <w:snapToGrid w:val="0"/>
        <w:spacing w:line="391" w:lineRule="exact"/>
        <w:ind w:left="561" w:firstLine="561"/>
        <w:jc w:val="both"/>
        <w:rPr>
          <w:rFonts w:ascii="標楷體" w:hAnsi="標楷體"/>
          <w:kern w:val="0"/>
          <w:sz w:val="28"/>
          <w:szCs w:val="28"/>
        </w:rPr>
      </w:pPr>
      <w:r w:rsidRPr="00142E7D">
        <w:rPr>
          <w:rFonts w:ascii="標楷體" w:hAnsi="標楷體"/>
          <w:kern w:val="0"/>
          <w:sz w:val="28"/>
          <w:szCs w:val="28"/>
        </w:rPr>
        <w:t>至於當另有行為對於環境雖有污染的作用，但是否因其行為之目的在於表達一定之言論，而使該表達言論之污染環境的行為取得正當性，可阻卻對污染環境之禁止規定的違法性？如採肯定之見解，將面臨：在主管機關為污染環境行為之界定及禁止規定時，是否即應就其可能之阻卻違法事由預設為例外不予禁止之污染環境行為；其未為例外事由之預設，是否即</w:t>
      </w:r>
      <w:r w:rsidRPr="00142E7D">
        <w:rPr>
          <w:rFonts w:ascii="標楷體" w:hAnsi="標楷體"/>
          <w:kern w:val="0"/>
          <w:sz w:val="28"/>
          <w:szCs w:val="28"/>
        </w:rPr>
        <w:lastRenderedPageBreak/>
        <w:t>構成言論自由之侵害；又其阻卻違法之主張及其事由之存在應由誰負舉證責任等問題。</w:t>
      </w:r>
    </w:p>
    <w:p w:rsidR="00C1187E" w:rsidRPr="00142E7D" w:rsidRDefault="00C1187E" w:rsidP="00255BEA">
      <w:pPr>
        <w:kinsoku w:val="0"/>
        <w:overflowPunct w:val="0"/>
        <w:adjustRightInd w:val="0"/>
        <w:snapToGrid w:val="0"/>
        <w:spacing w:line="391" w:lineRule="exact"/>
        <w:ind w:left="561" w:firstLine="561"/>
        <w:jc w:val="both"/>
        <w:rPr>
          <w:rFonts w:ascii="標楷體" w:hAnsi="標楷體"/>
          <w:kern w:val="0"/>
          <w:sz w:val="28"/>
          <w:szCs w:val="28"/>
        </w:rPr>
      </w:pPr>
      <w:r w:rsidRPr="00142E7D">
        <w:rPr>
          <w:rFonts w:ascii="標楷體" w:hAnsi="標楷體"/>
          <w:kern w:val="0"/>
          <w:sz w:val="28"/>
          <w:szCs w:val="28"/>
        </w:rPr>
        <w:t>各種可能之阻卻違法事由中，比較常態性且涉及重要基本權利之行使者，例如言論之表達中不容易利用書本、報章雜誌之廣告，或廣播、電視或其他大眾傳播方式為之，而有必要利用集會遊行或在公共場域張掛布條、海報作為其表達言論之方式者，基於該基本權利之保護及行政經濟之考量，在維護環境，避免污染之法規的規劃上，應妥適權衡言論自由及集會遊行之保障與環境污染間之衝突，規劃其合理行使之限界，供污染環境行為涉及言論之表達或集會遊行者遵循。如有相關核准許可之規定時，固得課以一定之負擔，限制其時間、地點、表達方式與期間、場所之回復原狀的義務，但其核准之裁量標準仍不得含內容之事前審查。</w:t>
      </w:r>
    </w:p>
    <w:p w:rsidR="00C1187E" w:rsidRPr="00142E7D" w:rsidRDefault="00C1187E" w:rsidP="00255BEA">
      <w:pPr>
        <w:kinsoku w:val="0"/>
        <w:overflowPunct w:val="0"/>
        <w:adjustRightInd w:val="0"/>
        <w:snapToGrid w:val="0"/>
        <w:spacing w:line="391" w:lineRule="exact"/>
        <w:jc w:val="both"/>
        <w:rPr>
          <w:rFonts w:ascii="標楷體" w:hAnsi="標楷體"/>
          <w:kern w:val="0"/>
          <w:sz w:val="28"/>
          <w:szCs w:val="28"/>
        </w:rPr>
      </w:pPr>
      <w:r w:rsidRPr="00142E7D">
        <w:rPr>
          <w:rFonts w:ascii="標楷體" w:hAnsi="標楷體"/>
          <w:kern w:val="0"/>
          <w:sz w:val="28"/>
          <w:szCs w:val="28"/>
        </w:rPr>
        <w:t>五、廢棄物清理法之法規命令不得有審查廣告物內容之規定</w:t>
      </w:r>
    </w:p>
    <w:p w:rsidR="00C1187E" w:rsidRPr="00142E7D" w:rsidRDefault="00C1187E" w:rsidP="00255BEA">
      <w:pPr>
        <w:kinsoku w:val="0"/>
        <w:overflowPunct w:val="0"/>
        <w:adjustRightInd w:val="0"/>
        <w:snapToGrid w:val="0"/>
        <w:spacing w:line="391" w:lineRule="exact"/>
        <w:ind w:left="561" w:firstLine="561"/>
        <w:jc w:val="both"/>
        <w:rPr>
          <w:rFonts w:ascii="標楷體" w:hAnsi="標楷體"/>
          <w:kern w:val="0"/>
          <w:sz w:val="28"/>
          <w:szCs w:val="28"/>
        </w:rPr>
      </w:pPr>
      <w:r w:rsidRPr="00142E7D">
        <w:rPr>
          <w:rFonts w:ascii="標楷體" w:hAnsi="標楷體"/>
          <w:kern w:val="0"/>
          <w:sz w:val="28"/>
          <w:szCs w:val="28"/>
        </w:rPr>
        <w:t>本聲請案所涉廣告物之處罰依據為廢棄物清理法第二十七條第十一款，且該款只規定，在指定清除地區內嚴禁有「其他經主管機關公告之污染環境行為」。所以與該公告有關之相關法令是否有違憲的問題，其審查範圍應限於與該款之適用有關連的部分。亦即所適用之命令的目的，是否因在於「處理廢棄物，改善環境衛生，維護國民健康」（廢棄物清理法第一條），而可認為在該款授權之範圍內；或因不在於「處理廢棄物，改善環境衛生，維護國民健康」，而可認為不在該款授權之範圍內。關於是否核准在公共場域張掛商業或非商業廣告，如欲審查其內容，廢棄物清理法並非其適合之法律依據。是故，依廢棄物清理法之授權而制定之法規命令，如有審查廣告物之內容的規定，該法規命令之制定已逾越授權範圍。</w:t>
      </w:r>
    </w:p>
    <w:p w:rsidR="00C1187E" w:rsidRPr="00142E7D" w:rsidRDefault="00C1187E" w:rsidP="00255BEA">
      <w:pPr>
        <w:kinsoku w:val="0"/>
        <w:overflowPunct w:val="0"/>
        <w:adjustRightInd w:val="0"/>
        <w:snapToGrid w:val="0"/>
        <w:spacing w:line="391" w:lineRule="exact"/>
        <w:jc w:val="both"/>
        <w:rPr>
          <w:rFonts w:ascii="標楷體" w:hAnsi="標楷體"/>
          <w:kern w:val="0"/>
          <w:sz w:val="28"/>
          <w:szCs w:val="28"/>
        </w:rPr>
      </w:pPr>
      <w:r w:rsidRPr="00142E7D">
        <w:rPr>
          <w:rFonts w:ascii="標楷體" w:hAnsi="標楷體"/>
          <w:kern w:val="0"/>
          <w:sz w:val="28"/>
          <w:szCs w:val="28"/>
        </w:rPr>
        <w:t>六、環境保護為自治事項</w:t>
      </w:r>
    </w:p>
    <w:p w:rsidR="00C1187E" w:rsidRPr="00142E7D" w:rsidRDefault="00C1187E" w:rsidP="00255BEA">
      <w:pPr>
        <w:kinsoku w:val="0"/>
        <w:overflowPunct w:val="0"/>
        <w:adjustRightInd w:val="0"/>
        <w:snapToGrid w:val="0"/>
        <w:spacing w:line="391" w:lineRule="exact"/>
        <w:ind w:left="561" w:firstLine="561"/>
        <w:jc w:val="both"/>
        <w:rPr>
          <w:rFonts w:ascii="標楷體" w:hAnsi="標楷體"/>
          <w:kern w:val="0"/>
          <w:sz w:val="28"/>
          <w:szCs w:val="28"/>
        </w:rPr>
      </w:pPr>
      <w:r w:rsidRPr="00142E7D">
        <w:rPr>
          <w:rFonts w:ascii="標楷體" w:hAnsi="標楷體"/>
          <w:kern w:val="0"/>
          <w:sz w:val="28"/>
          <w:szCs w:val="28"/>
        </w:rPr>
        <w:t>依地方制度法，直轄市衛生管理及直轄市環境保護為直轄市（第十八條），縣（市）衛生管理及縣（市）環境保護為縣（市）（第十九條），鄉（鎮、市）廢棄物清除及處理為鄉（鎮、市）（第二十條），山地原住民區廢棄物清除及處理為山地原住民區（第八十三條之三）之自治事項。就自治事項，地方自治團體依憲法或地方制度法規定，得自為立法並執行（第二條）。</w:t>
      </w:r>
    </w:p>
    <w:p w:rsidR="00A10C0F" w:rsidRPr="00142E7D" w:rsidRDefault="00C1187E" w:rsidP="00255BEA">
      <w:pPr>
        <w:kinsoku w:val="0"/>
        <w:overflowPunct w:val="0"/>
        <w:adjustRightInd w:val="0"/>
        <w:snapToGrid w:val="0"/>
        <w:spacing w:line="391" w:lineRule="exact"/>
        <w:ind w:left="561" w:firstLine="561"/>
        <w:jc w:val="both"/>
        <w:rPr>
          <w:rFonts w:ascii="標楷體" w:hAnsi="標楷體" w:hint="eastAsia"/>
          <w:kern w:val="0"/>
          <w:sz w:val="28"/>
          <w:szCs w:val="28"/>
        </w:rPr>
      </w:pPr>
      <w:r w:rsidRPr="00142E7D">
        <w:rPr>
          <w:rFonts w:ascii="標楷體" w:hAnsi="標楷體"/>
          <w:kern w:val="0"/>
          <w:sz w:val="28"/>
          <w:szCs w:val="28"/>
        </w:rPr>
        <w:t>廢棄物清理法第二十七條第十一款之規定對於依地方制度法之上開規定所定之地方自治權，是否有限制的意義，值得檢討。應採否定之見解。惟當關於環境保護有關事項，認為地方政府有自治權時，須有關於其自治法規之違反責任的地方法規為其配套。目前由於該配套規定之欠缺，使關於環境保護之地方法規不完全。</w:t>
      </w:r>
    </w:p>
    <w:p w:rsidR="00242DB9" w:rsidRPr="00142E7D" w:rsidRDefault="00242DB9" w:rsidP="00255BEA">
      <w:pPr>
        <w:kinsoku w:val="0"/>
        <w:overflowPunct w:val="0"/>
        <w:adjustRightInd w:val="0"/>
        <w:snapToGrid w:val="0"/>
        <w:spacing w:line="391" w:lineRule="exact"/>
        <w:ind w:left="561" w:firstLine="561"/>
        <w:jc w:val="both"/>
        <w:rPr>
          <w:rFonts w:ascii="標楷體" w:hAnsi="標楷體"/>
          <w:kern w:val="0"/>
          <w:sz w:val="28"/>
          <w:szCs w:val="28"/>
        </w:rPr>
      </w:pPr>
    </w:p>
    <w:p w:rsidR="0005327F" w:rsidRPr="00142E7D" w:rsidRDefault="0005327F" w:rsidP="00255BEA">
      <w:pPr>
        <w:kinsoku w:val="0"/>
        <w:overflowPunct w:val="0"/>
        <w:adjustRightInd w:val="0"/>
        <w:snapToGrid w:val="0"/>
        <w:spacing w:line="391" w:lineRule="exact"/>
        <w:ind w:left="958" w:right="641"/>
        <w:jc w:val="both"/>
        <w:rPr>
          <w:rFonts w:ascii="華康粗黑體" w:eastAsia="華康粗黑體" w:hAnsi="標楷體"/>
          <w:kern w:val="0"/>
          <w:sz w:val="28"/>
          <w:szCs w:val="28"/>
        </w:rPr>
        <w:sectPr w:rsidR="0005327F" w:rsidRPr="00142E7D" w:rsidSect="007A5CBE">
          <w:pgSz w:w="11906" w:h="16838"/>
          <w:pgMar w:top="1418" w:right="1134" w:bottom="851" w:left="1134" w:header="851" w:footer="992" w:gutter="0"/>
          <w:cols w:space="425"/>
          <w:docGrid w:linePitch="360"/>
        </w:sectPr>
      </w:pPr>
    </w:p>
    <w:p w:rsidR="00ED009B" w:rsidRPr="00142E7D" w:rsidRDefault="00E939D9" w:rsidP="00255BEA">
      <w:pPr>
        <w:kinsoku w:val="0"/>
        <w:overflowPunct w:val="0"/>
        <w:adjustRightInd w:val="0"/>
        <w:snapToGrid w:val="0"/>
        <w:spacing w:line="391" w:lineRule="exact"/>
        <w:ind w:left="958" w:right="641"/>
        <w:jc w:val="both"/>
        <w:rPr>
          <w:rFonts w:ascii="標楷體" w:hAnsi="標楷體"/>
          <w:kern w:val="0"/>
          <w:sz w:val="28"/>
          <w:szCs w:val="28"/>
        </w:rPr>
      </w:pPr>
      <w:r w:rsidRPr="00142E7D">
        <w:rPr>
          <w:rFonts w:ascii="華康粗黑體" w:eastAsia="華康粗黑體" w:hAnsi="標楷體" w:hint="eastAsia"/>
          <w:kern w:val="0"/>
          <w:sz w:val="28"/>
          <w:szCs w:val="28"/>
        </w:rPr>
        <w:lastRenderedPageBreak/>
        <w:t>協同</w:t>
      </w:r>
      <w:r w:rsidRPr="00142E7D">
        <w:rPr>
          <w:rFonts w:eastAsia="華康粗黑體" w:hint="eastAsia"/>
          <w:sz w:val="28"/>
          <w:szCs w:val="28"/>
        </w:rPr>
        <w:t>意見書</w:t>
      </w:r>
      <w:r w:rsidRPr="00142E7D">
        <w:rPr>
          <w:rFonts w:ascii="標楷體" w:hAnsi="標楷體"/>
          <w:kern w:val="0"/>
          <w:sz w:val="28"/>
          <w:szCs w:val="28"/>
        </w:rPr>
        <w:t xml:space="preserve">　　　　　　　　　　　　　　</w:t>
      </w:r>
      <w:r w:rsidR="001A4BEF" w:rsidRPr="00142E7D">
        <w:rPr>
          <w:rFonts w:ascii="標楷體" w:hAnsi="標楷體"/>
          <w:kern w:val="0"/>
          <w:sz w:val="28"/>
          <w:szCs w:val="28"/>
        </w:rPr>
        <w:t>葉百修</w:t>
      </w:r>
      <w:r w:rsidRPr="00142E7D">
        <w:rPr>
          <w:rFonts w:ascii="標楷體" w:hAnsi="標楷體"/>
          <w:kern w:val="0"/>
          <w:sz w:val="28"/>
          <w:szCs w:val="28"/>
        </w:rPr>
        <w:t>大法官　提出</w:t>
      </w:r>
    </w:p>
    <w:p w:rsidR="001E13D1" w:rsidRPr="00142E7D" w:rsidRDefault="001E13D1" w:rsidP="00255BEA">
      <w:pPr>
        <w:kinsoku w:val="0"/>
        <w:overflowPunct w:val="0"/>
        <w:adjustRightInd w:val="0"/>
        <w:snapToGrid w:val="0"/>
        <w:spacing w:line="391" w:lineRule="exact"/>
        <w:ind w:firstLine="595"/>
        <w:jc w:val="both"/>
        <w:rPr>
          <w:rFonts w:ascii="標楷體" w:hAnsi="標楷體"/>
          <w:kern w:val="0"/>
          <w:sz w:val="28"/>
          <w:szCs w:val="28"/>
        </w:rPr>
      </w:pPr>
      <w:r w:rsidRPr="00142E7D">
        <w:rPr>
          <w:rFonts w:ascii="標楷體" w:hAnsi="標楷體"/>
          <w:kern w:val="0"/>
          <w:sz w:val="28"/>
          <w:szCs w:val="28"/>
        </w:rPr>
        <w:t>本件解釋聲請人於中華民國九十八年六月間，在臺南市中西區民族路與永福路道路兩側張掛抗議中共及宣揚法輪大法好布條等物品，經</w:t>
      </w:r>
      <w:r w:rsidR="00DD4611" w:rsidRPr="00142E7D">
        <w:rPr>
          <w:rFonts w:ascii="標楷體" w:hAnsi="標楷體"/>
          <w:kern w:val="0"/>
          <w:sz w:val="28"/>
          <w:szCs w:val="28"/>
        </w:rPr>
        <w:t>臺</w:t>
      </w:r>
      <w:r w:rsidRPr="00142E7D">
        <w:rPr>
          <w:rFonts w:ascii="標楷體" w:hAnsi="標楷體"/>
          <w:kern w:val="0"/>
          <w:sz w:val="28"/>
          <w:szCs w:val="28"/>
        </w:rPr>
        <w:t>南市環境保護局以聲請人之行為，有違該局依據廢棄物清理法第二十七條第十一款規定（下稱系爭規定）：「在指定清除地區內嚴禁有下列行為：……十一、其他經主管機關公告之污染環境行為」之授權，於九十一年十二月九日以南市環廢字第</w:t>
      </w:r>
      <w:r w:rsidR="00DD4611" w:rsidRPr="00142E7D">
        <w:rPr>
          <w:rFonts w:ascii="標楷體" w:hAnsi="標楷體"/>
          <w:kern w:val="0"/>
          <w:sz w:val="28"/>
          <w:szCs w:val="28"/>
        </w:rPr>
        <w:t>○</w:t>
      </w:r>
      <w:r w:rsidRPr="00142E7D">
        <w:rPr>
          <w:rFonts w:ascii="標楷體" w:hAnsi="標楷體"/>
          <w:kern w:val="0"/>
          <w:sz w:val="28"/>
          <w:szCs w:val="28"/>
        </w:rPr>
        <w:t>九一</w:t>
      </w:r>
      <w:r w:rsidR="00DD4611" w:rsidRPr="00142E7D">
        <w:rPr>
          <w:rFonts w:ascii="標楷體" w:hAnsi="標楷體"/>
          <w:kern w:val="0"/>
          <w:sz w:val="28"/>
          <w:szCs w:val="28"/>
        </w:rPr>
        <w:t>○</w:t>
      </w:r>
      <w:r w:rsidRPr="00142E7D">
        <w:rPr>
          <w:rFonts w:ascii="標楷體" w:hAnsi="標楷體"/>
          <w:kern w:val="0"/>
          <w:sz w:val="28"/>
          <w:szCs w:val="28"/>
        </w:rPr>
        <w:t>四</w:t>
      </w:r>
      <w:r w:rsidR="00DD4611" w:rsidRPr="00142E7D">
        <w:rPr>
          <w:rFonts w:ascii="標楷體" w:hAnsi="標楷體"/>
          <w:kern w:val="0"/>
          <w:sz w:val="28"/>
          <w:szCs w:val="28"/>
        </w:rPr>
        <w:t>○</w:t>
      </w:r>
      <w:r w:rsidRPr="00142E7D">
        <w:rPr>
          <w:rFonts w:ascii="標楷體" w:hAnsi="標楷體"/>
          <w:kern w:val="0"/>
          <w:sz w:val="28"/>
          <w:szCs w:val="28"/>
        </w:rPr>
        <w:t>二三四三一號公告（該府改制後於一</w:t>
      </w:r>
      <w:r w:rsidR="00DD4611" w:rsidRPr="00142E7D">
        <w:rPr>
          <w:rFonts w:ascii="標楷體" w:hAnsi="標楷體"/>
          <w:kern w:val="0"/>
          <w:sz w:val="28"/>
          <w:szCs w:val="28"/>
        </w:rPr>
        <w:t>○○</w:t>
      </w:r>
      <w:r w:rsidRPr="00142E7D">
        <w:rPr>
          <w:rFonts w:ascii="標楷體" w:hAnsi="標楷體"/>
          <w:kern w:val="0"/>
          <w:sz w:val="28"/>
          <w:szCs w:val="28"/>
        </w:rPr>
        <w:t>年一月十三日以南市府環管字第一</w:t>
      </w:r>
      <w:r w:rsidR="00DD4611" w:rsidRPr="00142E7D">
        <w:rPr>
          <w:rFonts w:ascii="標楷體" w:hAnsi="標楷體"/>
          <w:kern w:val="0"/>
          <w:sz w:val="28"/>
          <w:szCs w:val="28"/>
        </w:rPr>
        <w:t>○○○○</w:t>
      </w:r>
      <w:r w:rsidRPr="00142E7D">
        <w:rPr>
          <w:rFonts w:ascii="標楷體" w:hAnsi="標楷體"/>
          <w:kern w:val="0"/>
          <w:sz w:val="28"/>
          <w:szCs w:val="28"/>
        </w:rPr>
        <w:t>五</w:t>
      </w:r>
      <w:r w:rsidR="00DD4611" w:rsidRPr="00142E7D">
        <w:rPr>
          <w:rFonts w:ascii="標楷體" w:hAnsi="標楷體"/>
          <w:kern w:val="0"/>
          <w:sz w:val="28"/>
          <w:szCs w:val="28"/>
        </w:rPr>
        <w:t>○</w:t>
      </w:r>
      <w:r w:rsidRPr="00142E7D">
        <w:rPr>
          <w:rFonts w:ascii="標楷體" w:hAnsi="標楷體"/>
          <w:kern w:val="0"/>
          <w:sz w:val="28"/>
          <w:szCs w:val="28"/>
        </w:rPr>
        <w:t>七</w:t>
      </w:r>
      <w:r w:rsidR="00DD4611" w:rsidRPr="00142E7D">
        <w:rPr>
          <w:rFonts w:ascii="標楷體" w:hAnsi="標楷體"/>
          <w:kern w:val="0"/>
          <w:sz w:val="28"/>
          <w:szCs w:val="28"/>
        </w:rPr>
        <w:t>○</w:t>
      </w:r>
      <w:r w:rsidRPr="00142E7D">
        <w:rPr>
          <w:rFonts w:ascii="標楷體" w:hAnsi="標楷體"/>
          <w:kern w:val="0"/>
          <w:sz w:val="28"/>
          <w:szCs w:val="28"/>
        </w:rPr>
        <w:t>一</w:t>
      </w:r>
      <w:r w:rsidR="00DD4611" w:rsidRPr="00142E7D">
        <w:rPr>
          <w:rFonts w:ascii="標楷體" w:hAnsi="標楷體"/>
          <w:kern w:val="0"/>
          <w:sz w:val="28"/>
          <w:szCs w:val="28"/>
        </w:rPr>
        <w:t>○</w:t>
      </w:r>
      <w:r w:rsidRPr="00142E7D">
        <w:rPr>
          <w:rFonts w:ascii="標楷體" w:hAnsi="標楷體"/>
          <w:kern w:val="0"/>
          <w:sz w:val="28"/>
          <w:szCs w:val="28"/>
        </w:rPr>
        <w:t>號公告重行發布，內容相當；下併稱系爭公告）：「公告事項：一、本市清除地區內，未經主管機關核准，於道路、牆壁、樑柱、電桿、樹木、橋樑、水溝、池塘或其他土地定著物張掛、懸繫、黏貼、噴漆、粉刷、樹立、釘定、夾插、置放或其他方法設置廣告物者，為污染環境行為。二、前項所稱之『道路』，指公路、街道、巷弄、安全島、人行道、廣場、騎樓、走廊或其他供公眾通行之地方。……」之規定而予以裁處罰鍰。聲請人不服提起行政爭訟後均遭駁回，乃向本院聲請解釋憲法，主張：系爭規定所謂「指定清除地區」及其未明確規範「廣告物」之定義，有牴觸憲法第二十三條之法律明確性及法律授權明確性原則；系爭公告無論廣告物所涉及之言論內容價值高低而一律予以管制，有違廢棄物清理法第一條之立法目的而屬涵括過廣，牴觸憲法第二十三條之比例原則，侵害人民受憲法第十一條保障之言論自由等語。</w:t>
      </w:r>
    </w:p>
    <w:p w:rsidR="001E13D1" w:rsidRPr="00142E7D" w:rsidRDefault="001E13D1" w:rsidP="00255BEA">
      <w:pPr>
        <w:kinsoku w:val="0"/>
        <w:overflowPunct w:val="0"/>
        <w:adjustRightInd w:val="0"/>
        <w:snapToGrid w:val="0"/>
        <w:spacing w:line="391" w:lineRule="exact"/>
        <w:ind w:firstLine="595"/>
        <w:jc w:val="both"/>
        <w:rPr>
          <w:rFonts w:ascii="標楷體" w:hAnsi="標楷體"/>
          <w:kern w:val="0"/>
          <w:sz w:val="28"/>
          <w:szCs w:val="28"/>
        </w:rPr>
      </w:pPr>
      <w:r w:rsidRPr="00142E7D">
        <w:rPr>
          <w:rFonts w:ascii="標楷體" w:hAnsi="標楷體"/>
          <w:kern w:val="0"/>
          <w:sz w:val="28"/>
          <w:szCs w:val="28"/>
        </w:rPr>
        <w:t>本院以聲請人之聲請符合受理要件並作成本件解釋，認定系爭規定並未牴觸法律授權明確性原則；而系爭公告「不問設置廣告物是否有礙環境衛生與國民健康，及是否已達與廢棄物清理法第二十七條前十款所定行為類型污染環境相當之程度，即認該設置行為為污染行為，概予禁止並處罰，已逾越母法授權之範圍，與法律保留原則尚有未符」等結論，本席敬表贊同。本件解釋所涉及之系爭規定與系爭公告，形式上涉及國家與地方政府對於環境污染行為之管制，實質上卻因為系爭公告對於認定有無環境污染之廣告物設置管理，因為廣告物所指涉之內容，會涉及人民以廣告物作為行使其言論自由之工具，乃具有重要之憲法價值。本席認為本件解釋多數意見並未充分就所涉言論自由限制之憲法爭議部分詳予論述，致使本件解釋徒為法規範形式違憲審查之判斷，大幅減低本件解釋之重要性，亦無助於本件解釋所涉憲法爭議之解決，爰提出協同意見如后。</w:t>
      </w:r>
    </w:p>
    <w:p w:rsidR="001E13D1" w:rsidRPr="00142E7D" w:rsidRDefault="001E13D1" w:rsidP="00255BEA">
      <w:pPr>
        <w:kinsoku w:val="0"/>
        <w:overflowPunct w:val="0"/>
        <w:adjustRightInd w:val="0"/>
        <w:snapToGrid w:val="0"/>
        <w:spacing w:line="391" w:lineRule="exact"/>
        <w:jc w:val="both"/>
        <w:rPr>
          <w:rFonts w:ascii="標楷體" w:hAnsi="標楷體"/>
          <w:b/>
          <w:kern w:val="0"/>
          <w:sz w:val="28"/>
          <w:szCs w:val="28"/>
        </w:rPr>
      </w:pPr>
      <w:r w:rsidRPr="00142E7D">
        <w:rPr>
          <w:rFonts w:ascii="標楷體" w:hAnsi="標楷體"/>
          <w:b/>
          <w:kern w:val="0"/>
          <w:sz w:val="28"/>
          <w:szCs w:val="28"/>
        </w:rPr>
        <w:t>一、廣告物內容依其性質涉及不同基本權利，其違憲審查基準亦隨之不同</w:t>
      </w:r>
    </w:p>
    <w:p w:rsidR="001E13D1" w:rsidRPr="00142E7D" w:rsidRDefault="001E13D1" w:rsidP="00255BEA">
      <w:pPr>
        <w:kinsoku w:val="0"/>
        <w:overflowPunct w:val="0"/>
        <w:adjustRightInd w:val="0"/>
        <w:snapToGrid w:val="0"/>
        <w:spacing w:line="391" w:lineRule="exact"/>
        <w:ind w:left="561" w:firstLine="561"/>
        <w:jc w:val="both"/>
        <w:rPr>
          <w:rFonts w:ascii="標楷體" w:hAnsi="標楷體"/>
          <w:kern w:val="0"/>
          <w:sz w:val="28"/>
          <w:szCs w:val="28"/>
        </w:rPr>
      </w:pPr>
      <w:r w:rsidRPr="00142E7D">
        <w:rPr>
          <w:rFonts w:ascii="標楷體" w:hAnsi="標楷體"/>
          <w:kern w:val="0"/>
          <w:sz w:val="28"/>
          <w:szCs w:val="28"/>
        </w:rPr>
        <w:t>本件解釋多數意見以廣告兼具意見表達性質，從而認定本件解釋系爭公告對未經核准設置廣告物予以處罰，泛稱屬言論自由或其他憲法基本權利之限制。本院歷來解釋，固就廣告本身及管制所涉及之憲法基本權利，曾認定分別涉及工作權（本院釋字第二</w:t>
      </w:r>
      <w:r w:rsidR="00DD4611" w:rsidRPr="00142E7D">
        <w:rPr>
          <w:rFonts w:ascii="標楷體" w:hAnsi="標楷體"/>
          <w:kern w:val="0"/>
          <w:sz w:val="28"/>
          <w:szCs w:val="28"/>
        </w:rPr>
        <w:t>○</w:t>
      </w:r>
      <w:r w:rsidRPr="00142E7D">
        <w:rPr>
          <w:rFonts w:ascii="標楷體" w:hAnsi="標楷體"/>
          <w:kern w:val="0"/>
          <w:sz w:val="28"/>
          <w:szCs w:val="28"/>
        </w:rPr>
        <w:t>六號解釋參照）、兼具財產權及</w:t>
      </w:r>
      <w:r w:rsidRPr="00142E7D">
        <w:rPr>
          <w:rFonts w:ascii="標楷體" w:hAnsi="標楷體"/>
          <w:kern w:val="0"/>
          <w:sz w:val="28"/>
          <w:szCs w:val="28"/>
        </w:rPr>
        <w:lastRenderedPageBreak/>
        <w:t>言論自由（本院釋字第四一四號、第五七七號解釋參照）、兼具財產權及人身自由（本院釋字第五九四號解釋參照）等不同基本權利。人民不同基本權利之侵害，於憲法違憲審查判斷之基準認定，亦隨之不同，例如前開釋字第四一四號及第五七七號解釋所涉及之商業廣告或釋字第六二三號解釋涉及之性交易之訊息散布廣告，本院皆以其涉及公共利益之程度，予以較嚴格之審查。</w:t>
      </w:r>
    </w:p>
    <w:p w:rsidR="001E13D1" w:rsidRPr="00142E7D" w:rsidRDefault="001E13D1" w:rsidP="00255BEA">
      <w:pPr>
        <w:kinsoku w:val="0"/>
        <w:overflowPunct w:val="0"/>
        <w:adjustRightInd w:val="0"/>
        <w:snapToGrid w:val="0"/>
        <w:spacing w:line="391" w:lineRule="exact"/>
        <w:ind w:left="561" w:firstLine="561"/>
        <w:jc w:val="both"/>
        <w:rPr>
          <w:rFonts w:ascii="標楷體" w:hAnsi="標楷體"/>
          <w:kern w:val="0"/>
          <w:sz w:val="28"/>
          <w:szCs w:val="28"/>
        </w:rPr>
      </w:pPr>
      <w:r w:rsidRPr="00142E7D">
        <w:rPr>
          <w:rFonts w:ascii="標楷體" w:hAnsi="標楷體"/>
          <w:kern w:val="0"/>
          <w:sz w:val="28"/>
          <w:szCs w:val="28"/>
        </w:rPr>
        <w:t>是以系爭公告對未經核准設置之廣告物予以管制處罰，其違憲程度之判斷，自應依其涉及基本權利之類型不同而有異，多數意見就此僅以形式判斷，認定系爭公告不問設置廣告物是否違反廢棄物清理法第一條及第二十七條前十款之立法意旨，逕認凡未經核准設置廣告物即屬污染環境行為，概予禁止處罰，逾越系爭規定之授權範圍，與法律保留原則不符，並要求主管機關通盤考量系爭公告否准設置廣告物對人民言論自由或其他基本權利限制之必要性與適當性，顯與本院涉及廣告之解釋方法略有調整。換言之，廣告物內容依其性質而涉及不同基本權利，其違憲審查之判斷標準即有所不同，例如對於商業言論與財產權，立法者可為較嚴格之管制；若涉及政治言論，對於事前管制而可能直接審查言論內容本身，本院審查基準則較為嚴格（本院釋字第六四四號解釋參照）。而對於言論自由行使之時間、地點及方式管制而不涉及言論之內容與目的者，本院係以立法者為維持社會秩序及增進公共利益所必要，而屬立法自由形成之範圍（本院釋字第四四五號解釋參照）。亦即本院歷來關於言論自由之解釋，已建立如美國司法實務以管制方式區分是否以內容或目的為主</w:t>
      </w:r>
      <w:r w:rsidR="00654FBB" w:rsidRPr="00142E7D">
        <w:rPr>
          <w:rFonts w:ascii="標楷體" w:hAnsi="標楷體"/>
          <w:kern w:val="0"/>
          <w:sz w:val="28"/>
          <w:szCs w:val="28"/>
        </w:rPr>
        <w:t>（</w:t>
      </w:r>
      <w:r w:rsidRPr="00142E7D">
        <w:rPr>
          <w:rFonts w:ascii="標楷體" w:hAnsi="標楷體"/>
          <w:kern w:val="0"/>
          <w:sz w:val="28"/>
          <w:szCs w:val="28"/>
        </w:rPr>
        <w:t>content-based</w:t>
      </w:r>
      <w:r w:rsidR="00654FBB" w:rsidRPr="00142E7D">
        <w:rPr>
          <w:rFonts w:ascii="標楷體" w:hAnsi="標楷體"/>
          <w:kern w:val="0"/>
          <w:sz w:val="28"/>
          <w:szCs w:val="28"/>
        </w:rPr>
        <w:t>）</w:t>
      </w:r>
      <w:r w:rsidRPr="00142E7D">
        <w:rPr>
          <w:rFonts w:ascii="標楷體" w:hAnsi="標楷體"/>
          <w:kern w:val="0"/>
          <w:sz w:val="28"/>
          <w:szCs w:val="28"/>
        </w:rPr>
        <w:t>或屬不涉言論內容</w:t>
      </w:r>
      <w:r w:rsidR="00654FBB" w:rsidRPr="00142E7D">
        <w:rPr>
          <w:rFonts w:ascii="標楷體" w:hAnsi="標楷體"/>
          <w:kern w:val="0"/>
          <w:sz w:val="28"/>
          <w:szCs w:val="28"/>
        </w:rPr>
        <w:t>（</w:t>
      </w:r>
      <w:r w:rsidRPr="00142E7D">
        <w:rPr>
          <w:rFonts w:ascii="標楷體" w:hAnsi="標楷體"/>
          <w:kern w:val="0"/>
          <w:sz w:val="28"/>
          <w:szCs w:val="28"/>
        </w:rPr>
        <w:t>content-neutral</w:t>
      </w:r>
      <w:r w:rsidR="00654FBB" w:rsidRPr="00142E7D">
        <w:rPr>
          <w:rFonts w:ascii="標楷體" w:hAnsi="標楷體"/>
          <w:kern w:val="0"/>
          <w:sz w:val="28"/>
          <w:szCs w:val="28"/>
        </w:rPr>
        <w:t>）</w:t>
      </w:r>
      <w:r w:rsidRPr="00142E7D">
        <w:rPr>
          <w:rFonts w:ascii="標楷體" w:hAnsi="標楷體"/>
          <w:kern w:val="0"/>
          <w:sz w:val="28"/>
          <w:szCs w:val="28"/>
        </w:rPr>
        <w:t>之雙軌理論，以及以管制內容之價值高低區分之雙階理論等審查模式。是系爭公告違憲性之判斷，自將因廣告物之內容與設置時間、地點、方式之不同而有異。</w:t>
      </w:r>
    </w:p>
    <w:p w:rsidR="001E13D1" w:rsidRPr="00142E7D" w:rsidRDefault="001E13D1" w:rsidP="00255BEA">
      <w:pPr>
        <w:kinsoku w:val="0"/>
        <w:overflowPunct w:val="0"/>
        <w:adjustRightInd w:val="0"/>
        <w:snapToGrid w:val="0"/>
        <w:spacing w:line="391" w:lineRule="exact"/>
        <w:ind w:left="561" w:firstLine="561"/>
        <w:jc w:val="both"/>
        <w:rPr>
          <w:rFonts w:ascii="標楷體" w:hAnsi="標楷體"/>
          <w:kern w:val="0"/>
          <w:sz w:val="28"/>
          <w:szCs w:val="28"/>
        </w:rPr>
      </w:pPr>
      <w:r w:rsidRPr="00142E7D">
        <w:rPr>
          <w:rFonts w:ascii="標楷體" w:hAnsi="標楷體"/>
          <w:kern w:val="0"/>
          <w:sz w:val="28"/>
          <w:szCs w:val="28"/>
        </w:rPr>
        <w:t>以本件解釋聲請之原因案件為例，涉及聲請人政治與宗教言論之訴求，系爭公告以事前核准之方式加以管制，即非其他廣告物內容可以比擬。多數意見固然以系爭公告非為限制人民言論自由或其他權利而設，未就系爭公告之合憲性予以具體審查，然系爭公告實質上限制人民言論自由，顯為不爭之事實，亦為聲請人所明確主張，本院即應予以具體判斷，而非如多數意見以旁論輕輕放下。</w:t>
      </w:r>
    </w:p>
    <w:p w:rsidR="001E13D1" w:rsidRPr="00142E7D" w:rsidRDefault="001E13D1" w:rsidP="00255BEA">
      <w:pPr>
        <w:kinsoku w:val="0"/>
        <w:overflowPunct w:val="0"/>
        <w:adjustRightInd w:val="0"/>
        <w:snapToGrid w:val="0"/>
        <w:spacing w:line="391" w:lineRule="exact"/>
        <w:ind w:left="561" w:hanging="561"/>
        <w:jc w:val="both"/>
        <w:rPr>
          <w:rFonts w:ascii="標楷體" w:hAnsi="標楷體"/>
          <w:b/>
          <w:kern w:val="0"/>
          <w:sz w:val="28"/>
          <w:szCs w:val="28"/>
        </w:rPr>
      </w:pPr>
      <w:r w:rsidRPr="00142E7D">
        <w:rPr>
          <w:rFonts w:ascii="標楷體" w:hAnsi="標楷體"/>
          <w:b/>
          <w:kern w:val="0"/>
          <w:sz w:val="28"/>
          <w:szCs w:val="28"/>
        </w:rPr>
        <w:t>二、廣告物既為表達廣告內容之工具，依其內容而受憲法言論自由保障，自應與廢棄物之認定標準不同，系爭公告逕依系爭規定為授權依據，即有不合</w:t>
      </w:r>
    </w:p>
    <w:p w:rsidR="00661022" w:rsidRPr="00142E7D" w:rsidRDefault="001E13D1" w:rsidP="00661022">
      <w:pPr>
        <w:kinsoku w:val="0"/>
        <w:overflowPunct w:val="0"/>
        <w:adjustRightInd w:val="0"/>
        <w:snapToGrid w:val="0"/>
        <w:spacing w:line="391" w:lineRule="exact"/>
        <w:ind w:left="561" w:firstLine="561"/>
        <w:jc w:val="distribute"/>
        <w:rPr>
          <w:rFonts w:ascii="標楷體" w:hAnsi="標楷體" w:hint="eastAsia"/>
          <w:kern w:val="0"/>
          <w:sz w:val="28"/>
          <w:szCs w:val="28"/>
        </w:rPr>
      </w:pPr>
      <w:r w:rsidRPr="00142E7D">
        <w:rPr>
          <w:rFonts w:ascii="標楷體" w:hAnsi="標楷體"/>
          <w:kern w:val="0"/>
          <w:sz w:val="28"/>
          <w:szCs w:val="28"/>
        </w:rPr>
        <w:t>其次，從廢棄物清理法第二條第一項規定可知，該法所指廢棄物，區分為一般與事業廢棄物兩種，且均以廢棄物須已達影響人體健康或污染環境衛生為要件。此亦多數意見以廢棄物清理法第一條及第二十七條第三款及第十款規定合併觀察，認定系爭規定授權主管機關以「公告」而認定「</w:t>
      </w:r>
      <w:r w:rsidRPr="00142E7D">
        <w:rPr>
          <w:rFonts w:ascii="標楷體" w:hAnsi="標楷體"/>
          <w:kern w:val="0"/>
          <w:sz w:val="28"/>
          <w:szCs w:val="28"/>
        </w:rPr>
        <w:lastRenderedPageBreak/>
        <w:t>污染環境行為」，業已具體明確而與憲法第二十三條之法律授權明確性無違。然而綜觀廢棄物清理法相關規定，並無界定何謂「污染」，而多數意見以該法第二十七條前十款規定整體觀察，系爭規定之公告禁止行為，仍須達到與之所定行為類型污染環境相當之程度，然除第一款及第五款至第九款尚可認明確規範所謂污染環境行為外，其餘規定仍充滿不確定法律概</w:t>
      </w:r>
    </w:p>
    <w:p w:rsidR="001E13D1" w:rsidRPr="00142E7D" w:rsidRDefault="001E13D1" w:rsidP="006476C6">
      <w:pPr>
        <w:kinsoku w:val="0"/>
        <w:overflowPunct w:val="0"/>
        <w:adjustRightInd w:val="0"/>
        <w:snapToGrid w:val="0"/>
        <w:spacing w:line="408" w:lineRule="exact"/>
        <w:ind w:left="561"/>
        <w:jc w:val="both"/>
        <w:rPr>
          <w:rFonts w:ascii="標楷體" w:hAnsi="標楷體"/>
          <w:kern w:val="0"/>
          <w:sz w:val="28"/>
          <w:szCs w:val="28"/>
        </w:rPr>
      </w:pPr>
      <w:r w:rsidRPr="00142E7D">
        <w:rPr>
          <w:rFonts w:ascii="標楷體" w:hAnsi="標楷體"/>
          <w:kern w:val="0"/>
          <w:sz w:val="28"/>
          <w:szCs w:val="28"/>
        </w:rPr>
        <w:t>念，例如第二款、第十款所稱「污染」、第三款所稱「有礙衛生整潔之物」等，於系爭規定之規範有待確定前，又如何要求系爭公告已具明確授權？若認系爭規定符合法律授權明確性原則，則系爭公告明確以未經核准設置廣告物而「認定」為污染環境行為，又如何指稱系爭公告禁止之設置行為非「污染」行為？</w:t>
      </w:r>
      <w:r w:rsidRPr="00142E7D">
        <w:rPr>
          <w:rStyle w:val="ab"/>
          <w:rFonts w:ascii="標楷體" w:hAnsi="標楷體"/>
          <w:kern w:val="0"/>
          <w:sz w:val="28"/>
          <w:szCs w:val="28"/>
        </w:rPr>
        <w:footnoteReference w:id="3"/>
      </w:r>
      <w:r w:rsidRPr="00142E7D">
        <w:rPr>
          <w:rFonts w:ascii="標楷體" w:hAnsi="標楷體"/>
          <w:kern w:val="0"/>
          <w:sz w:val="28"/>
          <w:szCs w:val="28"/>
        </w:rPr>
        <w:t>因此，系爭公告所為之廣告物設置管制，關鍵不在於設置行為是否為污染行為，而係廣告物本身是否為廢棄物而足以污染環境或有礙衛生整潔。</w:t>
      </w:r>
    </w:p>
    <w:p w:rsidR="006476C6" w:rsidRPr="00142E7D" w:rsidRDefault="001E13D1" w:rsidP="006476C6">
      <w:pPr>
        <w:kinsoku w:val="0"/>
        <w:overflowPunct w:val="0"/>
        <w:adjustRightInd w:val="0"/>
        <w:snapToGrid w:val="0"/>
        <w:spacing w:line="408" w:lineRule="exact"/>
        <w:ind w:left="561" w:firstLine="561"/>
        <w:jc w:val="both"/>
        <w:rPr>
          <w:rFonts w:ascii="標楷體" w:hAnsi="標楷體" w:hint="eastAsia"/>
          <w:kern w:val="0"/>
          <w:sz w:val="28"/>
          <w:szCs w:val="28"/>
        </w:rPr>
      </w:pPr>
      <w:r w:rsidRPr="00142E7D">
        <w:rPr>
          <w:rFonts w:ascii="標楷體" w:hAnsi="標楷體"/>
          <w:kern w:val="0"/>
          <w:sz w:val="28"/>
          <w:szCs w:val="28"/>
        </w:rPr>
        <w:t>再者，任何言論之表現或行使，均需透過一定方式，無論是口語或文字傳達，均需工具與場所而為制度規範上的配合，因此，憲法保障人民言論自由，並非僅保障人民有表意或不表意之自由，而同時保障人民有透過一定媒介表意之自由與權利。例如於現代傳播媒體科技下，本院於釋字第三六四號、第六七八號解釋肯認人民有平等「接近使用傳播媒體」之權利；透過一定組織社團方式與結社自由集體表意之保障，於本院釋字第六四四號、第七三三號解釋予以肯定；透過一定組織與集會遊行自由集體表意之保障，於本院釋字第四四五號解釋及第七一八號解釋予以肯認；透過人民個人行使新聞自由之保障，於本院釋字第六八九號解釋予以肯認。因此，對於言論自由保障之範圍，及於言論表現之工具與場所，應為本院歷來解釋及外國違憲審查實務上</w:t>
      </w:r>
      <w:r w:rsidRPr="00142E7D">
        <w:rPr>
          <w:rStyle w:val="ab"/>
          <w:rFonts w:ascii="標楷體" w:hAnsi="標楷體"/>
          <w:kern w:val="0"/>
          <w:sz w:val="28"/>
          <w:szCs w:val="28"/>
        </w:rPr>
        <w:footnoteReference w:id="4"/>
      </w:r>
      <w:r w:rsidRPr="00142E7D">
        <w:rPr>
          <w:rFonts w:ascii="標楷體" w:hAnsi="標楷體"/>
          <w:kern w:val="0"/>
          <w:sz w:val="28"/>
          <w:szCs w:val="28"/>
        </w:rPr>
        <w:t>所肯認。然而在現代社會資源分配不均之現實條件下，人民對於言論自由之表達，除了透過網路等新興傳播媒體而於個人臉書、網站、部落格等工具或方法，避免因為言論表現之工具或方法之</w:t>
      </w:r>
      <w:r w:rsidRPr="00142E7D">
        <w:rPr>
          <w:rFonts w:ascii="標楷體" w:hAnsi="標楷體"/>
          <w:kern w:val="0"/>
          <w:sz w:val="28"/>
          <w:szCs w:val="28"/>
        </w:rPr>
        <w:lastRenderedPageBreak/>
        <w:t>限制而因此限制或剝奪表意自由外，以最直接、簡易的廣告物表達言論，亦應受憲法言論自由保障，而釋憲者亦應重視此種表意工具或方法之管制而侵害人民言論自由之可能性。特別是當廣告物之內容涉及所謂高價值言論如政治性言論時，對於廣告物之管制，即應謹慎為之，釋憲者於審查基準上亦應有所不同，其保障具體內容，亦應如本院釋字第四四五號解釋所</w:t>
      </w:r>
      <w:r w:rsidR="00331235" w:rsidRPr="00142E7D">
        <w:rPr>
          <w:rFonts w:ascii="標楷體" w:hAnsi="標楷體"/>
          <w:kern w:val="0"/>
          <w:sz w:val="28"/>
          <w:szCs w:val="28"/>
        </w:rPr>
        <w:t>稱：</w:t>
      </w:r>
    </w:p>
    <w:p w:rsidR="001E13D1" w:rsidRPr="00142E7D" w:rsidRDefault="001E13D1" w:rsidP="00331235">
      <w:pPr>
        <w:tabs>
          <w:tab w:val="left" w:pos="9072"/>
        </w:tabs>
        <w:kinsoku w:val="0"/>
        <w:overflowPunct w:val="0"/>
        <w:adjustRightInd w:val="0"/>
        <w:snapToGrid w:val="0"/>
        <w:spacing w:line="402" w:lineRule="exact"/>
        <w:ind w:left="1134" w:right="539"/>
        <w:jc w:val="both"/>
        <w:rPr>
          <w:rFonts w:ascii="標楷體" w:hAnsi="標楷體"/>
          <w:kern w:val="0"/>
          <w:sz w:val="28"/>
          <w:szCs w:val="28"/>
        </w:rPr>
      </w:pPr>
      <w:r w:rsidRPr="00142E7D">
        <w:rPr>
          <w:rFonts w:ascii="標楷體" w:hAnsi="標楷體"/>
          <w:kern w:val="0"/>
          <w:sz w:val="28"/>
          <w:szCs w:val="28"/>
        </w:rPr>
        <w:t>對於一般不易接近或使用媒體言論管道之人，集會自由係保障其公開表達意見之重要途徑。……國家在消極方面應保障人民有此自由而不予干預；積極方面應提供適當集會場所，並保護集會、遊行之安全，使其得以順利進行。……以法律限制集會、遊行之權利，除應遵守憲法第二十三條必要性原則外，尚須符合明確性原則，使主管機關於決定是否限制人民之此項權利時，有明確規定其要件之法律為依據，人民亦得據此，依正當法律程序陳述己見，以維護憲法所保障之權利。</w:t>
      </w:r>
    </w:p>
    <w:p w:rsidR="001E13D1" w:rsidRPr="00142E7D" w:rsidRDefault="001E13D1" w:rsidP="006476C6">
      <w:pPr>
        <w:kinsoku w:val="0"/>
        <w:overflowPunct w:val="0"/>
        <w:adjustRightInd w:val="0"/>
        <w:snapToGrid w:val="0"/>
        <w:spacing w:line="402" w:lineRule="exact"/>
        <w:ind w:left="561" w:hanging="561"/>
        <w:jc w:val="both"/>
        <w:rPr>
          <w:rFonts w:ascii="標楷體" w:hAnsi="標楷體"/>
          <w:b/>
          <w:kern w:val="0"/>
          <w:sz w:val="28"/>
          <w:szCs w:val="28"/>
        </w:rPr>
      </w:pPr>
      <w:r w:rsidRPr="00142E7D">
        <w:rPr>
          <w:rFonts w:ascii="標楷體" w:hAnsi="標楷體"/>
          <w:b/>
          <w:kern w:val="0"/>
          <w:sz w:val="28"/>
          <w:szCs w:val="28"/>
        </w:rPr>
        <w:t>三、廣告物之設置地點涉及公物利用合法性與正當性之判斷：重新思考雙軌與雙階理論之審查基準</w:t>
      </w:r>
    </w:p>
    <w:p w:rsidR="001E13D1" w:rsidRPr="00142E7D" w:rsidRDefault="001E13D1" w:rsidP="006476C6">
      <w:pPr>
        <w:kinsoku w:val="0"/>
        <w:overflowPunct w:val="0"/>
        <w:adjustRightInd w:val="0"/>
        <w:snapToGrid w:val="0"/>
        <w:spacing w:line="402" w:lineRule="exact"/>
        <w:ind w:left="561" w:firstLine="561"/>
        <w:jc w:val="both"/>
        <w:rPr>
          <w:rFonts w:ascii="標楷體" w:hAnsi="標楷體"/>
          <w:kern w:val="0"/>
          <w:sz w:val="28"/>
          <w:szCs w:val="28"/>
        </w:rPr>
      </w:pPr>
      <w:r w:rsidRPr="00142E7D">
        <w:rPr>
          <w:rFonts w:ascii="標楷體" w:hAnsi="標楷體"/>
          <w:kern w:val="0"/>
          <w:sz w:val="28"/>
          <w:szCs w:val="28"/>
        </w:rPr>
        <w:t>如同前述釋字第四四五號解釋所稱，「對於一般不易接近或使用媒體言論管道之人，集會自由係保障其公開表達意見之重要途徑」，人民透過設置廣告物之方式，亦屬因不易接近或使用媒體言論管道之重要途徑，除了因其廣告物內容而決定事前管制之合憲性與正當性之外，廣告物設置之時間、地點、方式，是否即如釋字第四四五號解釋所稱，「有關時間、地點及方式等未涉及集會、遊行之目的或內容之事項，為維持社會秩序及增進公共利益所必要，屬立法自由形成之範圍」，亦值進一步商榷。</w:t>
      </w:r>
    </w:p>
    <w:p w:rsidR="001E13D1" w:rsidRPr="00142E7D" w:rsidRDefault="001E13D1" w:rsidP="006476C6">
      <w:pPr>
        <w:kinsoku w:val="0"/>
        <w:overflowPunct w:val="0"/>
        <w:adjustRightInd w:val="0"/>
        <w:snapToGrid w:val="0"/>
        <w:spacing w:line="402" w:lineRule="exact"/>
        <w:ind w:left="561" w:firstLine="561"/>
        <w:jc w:val="both"/>
        <w:rPr>
          <w:rFonts w:ascii="標楷體" w:hAnsi="標楷體"/>
          <w:kern w:val="0"/>
          <w:sz w:val="28"/>
          <w:szCs w:val="28"/>
        </w:rPr>
      </w:pPr>
      <w:r w:rsidRPr="00142E7D">
        <w:rPr>
          <w:rFonts w:ascii="標楷體" w:hAnsi="標楷體"/>
          <w:kern w:val="0"/>
          <w:sz w:val="28"/>
          <w:szCs w:val="28"/>
        </w:rPr>
        <w:t>本件解釋系爭公告係以未經主管機關「核准」，於道路、牆壁、樑柱、電桿、樹木、橋樑、水溝、池塘或其他土地定著物設置廣告物，即認定為污染環境行為，「一律」予以禁止處罰，形式上並未區分廣告物之內容而有不同規範，性質上屬於言論自由關於地點及方式之事前管制，依照釋字第四四五號解釋之意旨，釋憲者似乎無須提高審查基準而與言論內容管制等同觀之。然就釋字第四四五號解釋就保障集會遊行自由所確立之原則，「國家在消極方面應保障人民有此自由而不予干預；積極方面應提供適當集會場所，並保護集會、遊行之安全，使其得以順利進行」，則就集會遊行之地點，就不應輕易由立法者以形成自由予以限制。</w:t>
      </w:r>
    </w:p>
    <w:p w:rsidR="00661022" w:rsidRPr="00142E7D" w:rsidRDefault="001E13D1" w:rsidP="006476C6">
      <w:pPr>
        <w:kinsoku w:val="0"/>
        <w:overflowPunct w:val="0"/>
        <w:adjustRightInd w:val="0"/>
        <w:snapToGrid w:val="0"/>
        <w:spacing w:line="402" w:lineRule="exact"/>
        <w:ind w:left="561" w:firstLine="561"/>
        <w:jc w:val="distribute"/>
        <w:rPr>
          <w:rFonts w:ascii="標楷體" w:hAnsi="標楷體" w:hint="eastAsia"/>
          <w:kern w:val="0"/>
          <w:sz w:val="28"/>
          <w:szCs w:val="28"/>
        </w:rPr>
      </w:pPr>
      <w:r w:rsidRPr="00142E7D">
        <w:rPr>
          <w:rFonts w:ascii="標楷體" w:hAnsi="標楷體"/>
          <w:kern w:val="0"/>
          <w:sz w:val="28"/>
          <w:szCs w:val="28"/>
        </w:rPr>
        <w:t>若以憲法保障言論自由之意旨，在於「言論自由有實現自我、溝通意見、追求真理、滿足人民知的權利，形成公意，促進各種合理的政治及社會活動之功能，乃維持民主多元社會正常發展不可或缺之機制」，則言論</w:t>
      </w:r>
      <w:r w:rsidRPr="00142E7D">
        <w:rPr>
          <w:rFonts w:ascii="標楷體" w:hAnsi="標楷體"/>
          <w:kern w:val="0"/>
          <w:sz w:val="28"/>
          <w:szCs w:val="28"/>
        </w:rPr>
        <w:lastRenderedPageBreak/>
        <w:t>內容之事前管制，確係「限制人民表現自我、實現自我，所限制之言論亦無從進入言論思想之自由市場，而無法為思想、意見或資訊之傳遞與交流，不僅使得思想、言論匱乏，更危險的是將使執政者代替大眾選擇，而唯有其喜好或符合其利益之言論或思想方得以呈現或傳布，與憲法保障人民</w:t>
      </w:r>
    </w:p>
    <w:p w:rsidR="001E13D1" w:rsidRPr="00142E7D" w:rsidRDefault="001E13D1" w:rsidP="00661022">
      <w:pPr>
        <w:kinsoku w:val="0"/>
        <w:overflowPunct w:val="0"/>
        <w:adjustRightInd w:val="0"/>
        <w:snapToGrid w:val="0"/>
        <w:spacing w:line="391" w:lineRule="exact"/>
        <w:ind w:left="561"/>
        <w:jc w:val="both"/>
        <w:rPr>
          <w:rFonts w:ascii="標楷體" w:hAnsi="標楷體"/>
          <w:kern w:val="0"/>
          <w:sz w:val="28"/>
          <w:szCs w:val="28"/>
        </w:rPr>
      </w:pPr>
      <w:r w:rsidRPr="00142E7D">
        <w:rPr>
          <w:rFonts w:ascii="標楷體" w:hAnsi="標楷體"/>
          <w:kern w:val="0"/>
          <w:sz w:val="28"/>
          <w:szCs w:val="28"/>
        </w:rPr>
        <w:t>言論自由之意旨，根本背道而馳」</w:t>
      </w:r>
      <w:r w:rsidRPr="00142E7D">
        <w:rPr>
          <w:rStyle w:val="ab"/>
          <w:rFonts w:ascii="標楷體" w:hAnsi="標楷體"/>
          <w:kern w:val="0"/>
          <w:sz w:val="28"/>
          <w:szCs w:val="28"/>
        </w:rPr>
        <w:footnoteReference w:id="5"/>
      </w:r>
      <w:r w:rsidRPr="00142E7D">
        <w:rPr>
          <w:rFonts w:ascii="標楷體" w:hAnsi="標楷體"/>
          <w:kern w:val="0"/>
          <w:sz w:val="28"/>
          <w:szCs w:val="28"/>
        </w:rPr>
        <w:t>。然而，對於言論行使的時間、地點及方式之事前管制，並不當然就沒有不當限制言論自由之疑慮，甚至對於時間、地點及方式之事前管制，可能根本阻絕任何言論的散布與接收，其效果上即與言論內容之事前管制並無分別，亦即對於以言論管制是否涉及言論內容、目的或者與之無關之言論中立之管制，其管制手段之分別與釋憲者隨之適用審查基準不同之基本假設與原則，釋憲者亦應審慎適用。尤有甚者，一旦釋憲者為此分別，亦容易導致立法者率以言論表現或行使之時間、地點及方式之事前管制，迴避對於言論內容之事前管制而容易招致釋憲者以嚴格基準予以審查之風險</w:t>
      </w:r>
      <w:r w:rsidRPr="00142E7D">
        <w:rPr>
          <w:rStyle w:val="ab"/>
          <w:rFonts w:ascii="標楷體" w:hAnsi="標楷體"/>
          <w:kern w:val="0"/>
          <w:sz w:val="28"/>
          <w:szCs w:val="28"/>
        </w:rPr>
        <w:footnoteReference w:id="6"/>
      </w:r>
      <w:r w:rsidRPr="00142E7D">
        <w:rPr>
          <w:rFonts w:ascii="標楷體" w:hAnsi="標楷體"/>
          <w:kern w:val="0"/>
          <w:sz w:val="28"/>
          <w:szCs w:val="28"/>
        </w:rPr>
        <w:t>。</w:t>
      </w:r>
    </w:p>
    <w:p w:rsidR="00C23706" w:rsidRPr="00142E7D" w:rsidRDefault="001E13D1" w:rsidP="00661022">
      <w:pPr>
        <w:kinsoku w:val="0"/>
        <w:overflowPunct w:val="0"/>
        <w:adjustRightInd w:val="0"/>
        <w:snapToGrid w:val="0"/>
        <w:spacing w:line="391" w:lineRule="exact"/>
        <w:ind w:left="561" w:firstLine="561"/>
        <w:jc w:val="both"/>
        <w:rPr>
          <w:rFonts w:ascii="標楷體" w:hAnsi="標楷體"/>
          <w:kern w:val="0"/>
          <w:sz w:val="28"/>
          <w:szCs w:val="28"/>
        </w:rPr>
      </w:pPr>
      <w:r w:rsidRPr="00142E7D">
        <w:rPr>
          <w:rFonts w:ascii="標楷體" w:hAnsi="標楷體"/>
          <w:kern w:val="0"/>
          <w:sz w:val="28"/>
          <w:szCs w:val="28"/>
        </w:rPr>
        <w:t>因此，本件解釋系爭公告對於廣告物設置地點與方式之事前審查，是否僅依其非為限制人民言論自由所設而無須進一步具體審查，多數意見於此可能鑑於其事前管制無涉言論內容而留由主管機關通盤考量，然若未就其實質影響言論自由之效果予以闡述，恐仍將有本席上開疑慮之存在。再者，多數意見雖然亦以「公共場所於不妨礙其通常使用方式之範圍內，亦非不得為言論表達及意見溝通」一語</w:t>
      </w:r>
      <w:r w:rsidRPr="00142E7D">
        <w:rPr>
          <w:rStyle w:val="ab"/>
          <w:rFonts w:ascii="標楷體" w:hAnsi="標楷體"/>
          <w:kern w:val="0"/>
          <w:sz w:val="28"/>
          <w:szCs w:val="28"/>
        </w:rPr>
        <w:footnoteReference w:id="7"/>
      </w:r>
      <w:r w:rsidRPr="00142E7D">
        <w:rPr>
          <w:rFonts w:ascii="標楷體" w:hAnsi="標楷體"/>
          <w:kern w:val="0"/>
          <w:sz w:val="28"/>
          <w:szCs w:val="28"/>
        </w:rPr>
        <w:t>，提醒立法者對於言論表現行使之場所、地點之管制正當性與合理性，然何謂公共場所？何謂通常使用方式及如何構成妨礙，多數意見均未予以明確界定，此種於公共場所形成言論表達之憲政慣例而為「公共論壇」</w:t>
      </w:r>
      <w:r w:rsidR="00654FBB" w:rsidRPr="00142E7D">
        <w:rPr>
          <w:rFonts w:ascii="標楷體" w:hAnsi="標楷體"/>
          <w:kern w:val="0"/>
          <w:sz w:val="28"/>
          <w:szCs w:val="28"/>
        </w:rPr>
        <w:t>（</w:t>
      </w:r>
      <w:r w:rsidRPr="00142E7D">
        <w:rPr>
          <w:rFonts w:ascii="標楷體" w:hAnsi="標楷體"/>
          <w:kern w:val="0"/>
          <w:sz w:val="28"/>
          <w:szCs w:val="28"/>
        </w:rPr>
        <w:t>public forum</w:t>
      </w:r>
      <w:r w:rsidR="00654FBB" w:rsidRPr="00142E7D">
        <w:rPr>
          <w:rFonts w:ascii="標楷體" w:hAnsi="標楷體"/>
          <w:kern w:val="0"/>
          <w:sz w:val="28"/>
          <w:szCs w:val="28"/>
        </w:rPr>
        <w:t>）</w:t>
      </w:r>
      <w:r w:rsidRPr="00142E7D">
        <w:rPr>
          <w:rFonts w:ascii="標楷體" w:hAnsi="標楷體"/>
          <w:kern w:val="0"/>
          <w:sz w:val="28"/>
          <w:szCs w:val="28"/>
        </w:rPr>
        <w:t>之說</w:t>
      </w:r>
      <w:r w:rsidRPr="00142E7D">
        <w:rPr>
          <w:rStyle w:val="ab"/>
          <w:rFonts w:ascii="標楷體" w:hAnsi="標楷體"/>
          <w:kern w:val="0"/>
          <w:sz w:val="28"/>
          <w:szCs w:val="28"/>
        </w:rPr>
        <w:footnoteReference w:id="8"/>
      </w:r>
      <w:r w:rsidRPr="00142E7D">
        <w:rPr>
          <w:rFonts w:ascii="標楷體" w:hAnsi="標楷體"/>
          <w:kern w:val="0"/>
          <w:sz w:val="28"/>
          <w:szCs w:val="28"/>
        </w:rPr>
        <w:t>，在我國憲法規範架構與民主社會文化之發展下，應如何與言論自由之保障相結合，公共論壇是否僅限於公共場所？私人場所</w:t>
      </w:r>
      <w:r w:rsidRPr="00142E7D">
        <w:rPr>
          <w:rStyle w:val="ab"/>
          <w:rFonts w:ascii="標楷體" w:hAnsi="標楷體"/>
          <w:kern w:val="0"/>
          <w:sz w:val="28"/>
          <w:szCs w:val="28"/>
        </w:rPr>
        <w:footnoteReference w:id="9"/>
      </w:r>
      <w:r w:rsidRPr="00142E7D">
        <w:rPr>
          <w:rFonts w:ascii="標楷體" w:hAnsi="標楷體"/>
          <w:kern w:val="0"/>
          <w:sz w:val="28"/>
          <w:szCs w:val="28"/>
        </w:rPr>
        <w:t>或受管制之場所地點，例如臺北一</w:t>
      </w:r>
      <w:r w:rsidR="00DD4611" w:rsidRPr="00142E7D">
        <w:rPr>
          <w:rFonts w:ascii="標楷體" w:hAnsi="標楷體"/>
          <w:kern w:val="0"/>
          <w:sz w:val="28"/>
          <w:szCs w:val="28"/>
        </w:rPr>
        <w:t>○</w:t>
      </w:r>
      <w:r w:rsidRPr="00142E7D">
        <w:rPr>
          <w:rFonts w:ascii="標楷體" w:hAnsi="標楷體"/>
          <w:kern w:val="0"/>
          <w:sz w:val="28"/>
          <w:szCs w:val="28"/>
        </w:rPr>
        <w:t>一大樓正門廣場、各法院或行政機關前廣場、學校、圖書館、機場、大眾運</w:t>
      </w:r>
      <w:r w:rsidRPr="00142E7D">
        <w:rPr>
          <w:rFonts w:ascii="標楷體" w:hAnsi="標楷體"/>
          <w:kern w:val="0"/>
          <w:sz w:val="28"/>
          <w:szCs w:val="28"/>
        </w:rPr>
        <w:lastRenderedPageBreak/>
        <w:t>輸系統等場所地點，乃至於非物理上之實體場所、地點如公司內部郵件信箱、臉書專頁或網路電子布告欄等，是否亦有公共論壇之適用，公私機關團體即不得任意予以限制人民接近使用作為表達言論之途徑？限制之目的又為何？所謂公共利益如本件解釋系爭公告所欲追求之環境衛生、整潔是否即足以限制廣告物設置之事前審查？</w:t>
      </w:r>
      <w:r w:rsidRPr="00142E7D">
        <w:rPr>
          <w:rStyle w:val="ab"/>
          <w:rFonts w:ascii="標楷體" w:hAnsi="標楷體"/>
          <w:kern w:val="0"/>
          <w:sz w:val="28"/>
          <w:szCs w:val="28"/>
        </w:rPr>
        <w:footnoteReference w:id="10"/>
      </w:r>
      <w:r w:rsidRPr="00142E7D">
        <w:rPr>
          <w:rFonts w:ascii="標楷體" w:hAnsi="標楷體"/>
          <w:kern w:val="0"/>
          <w:sz w:val="28"/>
          <w:szCs w:val="28"/>
        </w:rPr>
        <w:t>依據本院釋字第四四五號解釋之意旨，國家有無積極設立公共論壇之義務？有無可能造成言論表達之場所地點之二次限制？抑或是在言論表達途徑之選擇上，有優先順序而僅於無適當途徑時，始有廣泛的場所、地點之選擇自由？</w:t>
      </w:r>
      <w:r w:rsidRPr="00142E7D">
        <w:rPr>
          <w:rStyle w:val="ab"/>
          <w:rFonts w:ascii="標楷體" w:hAnsi="標楷體"/>
          <w:kern w:val="0"/>
          <w:sz w:val="28"/>
          <w:szCs w:val="28"/>
        </w:rPr>
        <w:footnoteReference w:id="11"/>
      </w:r>
      <w:r w:rsidRPr="00142E7D">
        <w:rPr>
          <w:rFonts w:ascii="標楷體" w:hAnsi="標楷體"/>
          <w:kern w:val="0"/>
          <w:sz w:val="28"/>
          <w:szCs w:val="28"/>
        </w:rPr>
        <w:t>由於本件解釋以系爭公告作為審查客體而受限其規範內容與適用範圍，多數意見誠不易亦不宜過度擴張解釋，而選擇以旁論方式提醒立法者。為免立法者不察，本席爰提出協同意見如上以作補充。</w:t>
      </w:r>
    </w:p>
    <w:p w:rsidR="00D3125F" w:rsidRPr="00142E7D" w:rsidRDefault="00D3125F" w:rsidP="00661022">
      <w:pPr>
        <w:kinsoku w:val="0"/>
        <w:overflowPunct w:val="0"/>
        <w:adjustRightInd w:val="0"/>
        <w:snapToGrid w:val="0"/>
        <w:spacing w:line="391" w:lineRule="exact"/>
        <w:jc w:val="both"/>
        <w:rPr>
          <w:rFonts w:ascii="標楷體" w:hAnsi="標楷體"/>
          <w:kern w:val="0"/>
          <w:sz w:val="28"/>
          <w:szCs w:val="28"/>
        </w:rPr>
        <w:sectPr w:rsidR="00D3125F" w:rsidRPr="00142E7D" w:rsidSect="007A5CBE">
          <w:footnotePr>
            <w:numRestart w:val="eachSect"/>
          </w:footnotePr>
          <w:pgSz w:w="11906" w:h="16838"/>
          <w:pgMar w:top="1418" w:right="1134" w:bottom="851" w:left="1134" w:header="851" w:footer="992" w:gutter="0"/>
          <w:cols w:space="425"/>
          <w:docGrid w:linePitch="360"/>
        </w:sectPr>
      </w:pPr>
    </w:p>
    <w:p w:rsidR="00BA4262" w:rsidRPr="00142E7D" w:rsidRDefault="00BA4262" w:rsidP="00FC6E8B">
      <w:pPr>
        <w:kinsoku w:val="0"/>
        <w:overflowPunct w:val="0"/>
        <w:spacing w:line="400" w:lineRule="exact"/>
        <w:jc w:val="both"/>
        <w:textAlignment w:val="baseline"/>
        <w:rPr>
          <w:kern w:val="0"/>
          <w:sz w:val="28"/>
        </w:rPr>
      </w:pPr>
      <w:r w:rsidRPr="00820633">
        <w:rPr>
          <w:spacing w:val="114"/>
          <w:kern w:val="0"/>
          <w:sz w:val="28"/>
          <w:fitText w:val="3459" w:id="1115434496"/>
        </w:rPr>
        <w:lastRenderedPageBreak/>
        <w:t>10</w:t>
      </w:r>
      <w:r w:rsidRPr="00820633">
        <w:rPr>
          <w:rFonts w:hint="eastAsia"/>
          <w:spacing w:val="114"/>
          <w:kern w:val="0"/>
          <w:sz w:val="28"/>
          <w:fitText w:val="3459" w:id="1115434496"/>
        </w:rPr>
        <w:t>5</w:t>
      </w:r>
      <w:r w:rsidRPr="00820633">
        <w:rPr>
          <w:rFonts w:hAnsi="標楷體"/>
          <w:spacing w:val="114"/>
          <w:kern w:val="0"/>
          <w:sz w:val="28"/>
          <w:fitText w:val="3459" w:id="1115434496"/>
        </w:rPr>
        <w:t>年</w:t>
      </w:r>
      <w:r w:rsidRPr="00820633">
        <w:rPr>
          <w:rFonts w:hint="eastAsia"/>
          <w:spacing w:val="114"/>
          <w:kern w:val="0"/>
          <w:sz w:val="28"/>
          <w:fitText w:val="3459" w:id="1115434496"/>
        </w:rPr>
        <w:t>2</w:t>
      </w:r>
      <w:r w:rsidRPr="00820633">
        <w:rPr>
          <w:rFonts w:hAnsi="標楷體"/>
          <w:spacing w:val="114"/>
          <w:kern w:val="0"/>
          <w:sz w:val="28"/>
          <w:fitText w:val="3459" w:id="1115434496"/>
        </w:rPr>
        <w:t>月</w:t>
      </w:r>
      <w:r w:rsidRPr="00820633">
        <w:rPr>
          <w:rFonts w:hAnsi="標楷體" w:hint="eastAsia"/>
          <w:spacing w:val="114"/>
          <w:kern w:val="0"/>
          <w:sz w:val="28"/>
          <w:fitText w:val="3459" w:id="1115434496"/>
        </w:rPr>
        <w:t>15</w:t>
      </w:r>
      <w:r w:rsidRPr="00820633">
        <w:rPr>
          <w:rFonts w:hAnsi="標楷體"/>
          <w:spacing w:val="2"/>
          <w:kern w:val="0"/>
          <w:sz w:val="28"/>
          <w:fitText w:val="3459" w:id="1115434496"/>
        </w:rPr>
        <w:t>日</w:t>
      </w:r>
    </w:p>
    <w:p w:rsidR="00BA4262" w:rsidRDefault="00BA4262" w:rsidP="002151AC">
      <w:pPr>
        <w:kinsoku w:val="0"/>
        <w:overflowPunct w:val="0"/>
        <w:spacing w:line="400" w:lineRule="exact"/>
        <w:jc w:val="both"/>
        <w:textAlignment w:val="baseline"/>
        <w:rPr>
          <w:rFonts w:hAnsi="標楷體" w:hint="eastAsia"/>
          <w:kern w:val="0"/>
          <w:sz w:val="28"/>
        </w:rPr>
      </w:pPr>
      <w:r w:rsidRPr="00820633">
        <w:rPr>
          <w:rFonts w:hAnsi="標楷體"/>
          <w:spacing w:val="8"/>
          <w:w w:val="95"/>
          <w:kern w:val="0"/>
          <w:sz w:val="28"/>
          <w:fitText w:val="3459" w:id="1115434497"/>
        </w:rPr>
        <w:t>院台大二字第</w:t>
      </w:r>
      <w:r w:rsidRPr="00820633">
        <w:rPr>
          <w:spacing w:val="8"/>
          <w:w w:val="95"/>
          <w:kern w:val="0"/>
          <w:sz w:val="28"/>
          <w:fitText w:val="3459" w:id="1115434497"/>
        </w:rPr>
        <w:t>10</w:t>
      </w:r>
      <w:r w:rsidRPr="00820633">
        <w:rPr>
          <w:rFonts w:hint="eastAsia"/>
          <w:spacing w:val="8"/>
          <w:w w:val="95"/>
          <w:kern w:val="0"/>
          <w:sz w:val="28"/>
          <w:fitText w:val="3459" w:id="1115434497"/>
        </w:rPr>
        <w:t>50004319</w:t>
      </w:r>
      <w:r w:rsidRPr="00820633">
        <w:rPr>
          <w:rFonts w:hAnsi="標楷體"/>
          <w:spacing w:val="-23"/>
          <w:w w:val="95"/>
          <w:kern w:val="0"/>
          <w:sz w:val="28"/>
          <w:fitText w:val="3459" w:id="1115434497"/>
        </w:rPr>
        <w:t>號</w:t>
      </w:r>
    </w:p>
    <w:p w:rsidR="00BA4262" w:rsidRPr="00142E7D" w:rsidRDefault="00BA4262" w:rsidP="002151AC">
      <w:pPr>
        <w:kinsoku w:val="0"/>
        <w:overflowPunct w:val="0"/>
        <w:spacing w:after="120" w:line="400" w:lineRule="exact"/>
        <w:jc w:val="both"/>
        <w:textAlignment w:val="baseline"/>
      </w:pPr>
      <w:r>
        <w:rPr>
          <w:rFonts w:hAnsi="標楷體" w:hint="eastAsia"/>
          <w:kern w:val="0"/>
          <w:sz w:val="28"/>
        </w:rPr>
        <w:t>公布更正</w:t>
      </w:r>
    </w:p>
    <w:p w:rsidR="001A4BEF" w:rsidRPr="00142E7D" w:rsidRDefault="001A4BEF" w:rsidP="00661022">
      <w:pPr>
        <w:kinsoku w:val="0"/>
        <w:overflowPunct w:val="0"/>
        <w:adjustRightInd w:val="0"/>
        <w:snapToGrid w:val="0"/>
        <w:spacing w:line="391" w:lineRule="exact"/>
        <w:ind w:left="958" w:right="641"/>
        <w:jc w:val="both"/>
        <w:rPr>
          <w:rFonts w:ascii="標楷體" w:hAnsi="標楷體"/>
          <w:kern w:val="0"/>
          <w:sz w:val="28"/>
          <w:szCs w:val="28"/>
        </w:rPr>
      </w:pPr>
      <w:r w:rsidRPr="00142E7D">
        <w:rPr>
          <w:rFonts w:ascii="華康粗黑體" w:eastAsia="華康粗黑體" w:hAnsi="標楷體" w:hint="eastAsia"/>
          <w:kern w:val="0"/>
          <w:sz w:val="28"/>
          <w:szCs w:val="28"/>
        </w:rPr>
        <w:t>協同</w:t>
      </w:r>
      <w:r w:rsidRPr="00142E7D">
        <w:rPr>
          <w:rFonts w:eastAsia="華康粗黑體" w:hint="eastAsia"/>
          <w:sz w:val="28"/>
          <w:szCs w:val="28"/>
        </w:rPr>
        <w:t>意見書</w:t>
      </w:r>
      <w:r w:rsidRPr="00142E7D">
        <w:rPr>
          <w:rFonts w:ascii="標楷體" w:hAnsi="標楷體"/>
          <w:kern w:val="0"/>
          <w:sz w:val="28"/>
          <w:szCs w:val="28"/>
        </w:rPr>
        <w:t xml:space="preserve">　　　　　　　　　　　　　　陳春生大法官　提出</w:t>
      </w:r>
    </w:p>
    <w:p w:rsidR="004753EA" w:rsidRPr="00142E7D" w:rsidRDefault="004753EA" w:rsidP="00661022">
      <w:pPr>
        <w:kinsoku w:val="0"/>
        <w:overflowPunct w:val="0"/>
        <w:adjustRightInd w:val="0"/>
        <w:snapToGrid w:val="0"/>
        <w:spacing w:line="391" w:lineRule="exact"/>
        <w:jc w:val="both"/>
        <w:rPr>
          <w:rFonts w:ascii="標楷體" w:hAnsi="標楷體"/>
          <w:kern w:val="0"/>
          <w:sz w:val="28"/>
          <w:szCs w:val="28"/>
        </w:rPr>
      </w:pPr>
      <w:r w:rsidRPr="00142E7D">
        <w:rPr>
          <w:rFonts w:ascii="標楷體" w:hAnsi="標楷體"/>
          <w:kern w:val="0"/>
          <w:sz w:val="28"/>
          <w:szCs w:val="28"/>
        </w:rPr>
        <w:t>壹、前言</w:t>
      </w:r>
    </w:p>
    <w:p w:rsidR="004753EA" w:rsidRPr="00142E7D" w:rsidRDefault="004753EA" w:rsidP="00661022">
      <w:pPr>
        <w:kinsoku w:val="0"/>
        <w:overflowPunct w:val="0"/>
        <w:adjustRightInd w:val="0"/>
        <w:snapToGrid w:val="0"/>
        <w:spacing w:line="391" w:lineRule="exact"/>
        <w:ind w:left="561" w:firstLine="561"/>
        <w:jc w:val="both"/>
        <w:rPr>
          <w:rFonts w:ascii="標楷體" w:hAnsi="標楷體"/>
          <w:kern w:val="0"/>
          <w:sz w:val="28"/>
          <w:szCs w:val="28"/>
        </w:rPr>
      </w:pPr>
      <w:r w:rsidRPr="00142E7D">
        <w:rPr>
          <w:rFonts w:ascii="標楷體" w:hAnsi="標楷體"/>
          <w:kern w:val="0"/>
          <w:sz w:val="28"/>
          <w:szCs w:val="28"/>
        </w:rPr>
        <w:t>本號解釋宣示，廢棄物清理法第二十七條第一款規定「在指定清除地區內嚴禁有下列行為：……十一、其他經主管機關公告之污染環境行為。」與憲法第二十三條之法律授權明確性原則尚無違背；又臺南市政府</w:t>
      </w:r>
      <w:smartTag w:uri="urn:schemas-microsoft-com:office:smarttags" w:element="chsdate">
        <w:smartTagPr>
          <w:attr w:name="IsROCDate" w:val="True"/>
          <w:attr w:name="IsLunarDate" w:val="False"/>
          <w:attr w:name="Day" w:val="9"/>
          <w:attr w:name="Month" w:val="12"/>
          <w:attr w:name="Year" w:val="2002"/>
        </w:smartTagPr>
        <w:r w:rsidRPr="00142E7D">
          <w:rPr>
            <w:rFonts w:ascii="標楷體" w:hAnsi="標楷體"/>
            <w:kern w:val="0"/>
            <w:sz w:val="28"/>
            <w:szCs w:val="28"/>
          </w:rPr>
          <w:t>中華民國九十一年十二月九日</w:t>
        </w:r>
      </w:smartTag>
      <w:r w:rsidRPr="00142E7D">
        <w:rPr>
          <w:rFonts w:ascii="標楷體" w:hAnsi="標楷體"/>
          <w:kern w:val="0"/>
          <w:sz w:val="28"/>
          <w:szCs w:val="28"/>
        </w:rPr>
        <w:t>南市環廢字第</w:t>
      </w:r>
      <w:r w:rsidR="00DD4611" w:rsidRPr="00142E7D">
        <w:rPr>
          <w:rFonts w:ascii="標楷體" w:hAnsi="標楷體"/>
          <w:kern w:val="0"/>
          <w:sz w:val="28"/>
          <w:szCs w:val="28"/>
        </w:rPr>
        <w:t>○</w:t>
      </w:r>
      <w:r w:rsidRPr="00142E7D">
        <w:rPr>
          <w:rFonts w:ascii="標楷體" w:hAnsi="標楷體"/>
          <w:kern w:val="0"/>
          <w:sz w:val="28"/>
          <w:szCs w:val="28"/>
        </w:rPr>
        <w:t>九一</w:t>
      </w:r>
      <w:r w:rsidR="00DD4611" w:rsidRPr="00142E7D">
        <w:rPr>
          <w:rFonts w:ascii="標楷體" w:hAnsi="標楷體"/>
          <w:kern w:val="0"/>
          <w:sz w:val="28"/>
          <w:szCs w:val="28"/>
        </w:rPr>
        <w:t>○</w:t>
      </w:r>
      <w:r w:rsidRPr="00142E7D">
        <w:rPr>
          <w:rFonts w:ascii="標楷體" w:hAnsi="標楷體"/>
          <w:kern w:val="0"/>
          <w:sz w:val="28"/>
          <w:szCs w:val="28"/>
        </w:rPr>
        <w:t>四</w:t>
      </w:r>
      <w:r w:rsidR="00DD4611" w:rsidRPr="00142E7D">
        <w:rPr>
          <w:rFonts w:ascii="標楷體" w:hAnsi="標楷體"/>
          <w:kern w:val="0"/>
          <w:sz w:val="28"/>
          <w:szCs w:val="28"/>
        </w:rPr>
        <w:t>○</w:t>
      </w:r>
      <w:r w:rsidRPr="00142E7D">
        <w:rPr>
          <w:rFonts w:ascii="標楷體" w:hAnsi="標楷體"/>
          <w:kern w:val="0"/>
          <w:sz w:val="28"/>
          <w:szCs w:val="28"/>
        </w:rPr>
        <w:t>二三四三一號公告之公告事項一、二，不問設置廣告物是否有礙環境衛生與國民健康，及是否已達與廢棄物清理法第二十七條前十款所定行為類型之污染環境相當之程度，即認該設置行為為污染行為，概予禁止並處罰，已逾越母法授權之範圍，與法律保留原則尚有未符，應自本解釋公布之日起，至遲於屆滿三個月時失其效力之見解，本席敬表同意。惟對於解釋文中雖以憲法第二十三條法律保留原則作為審查基準，而未對當事人所受何種憲法保障之基本權利受限制為論述，只於理由書中以無拘束力之</w:t>
      </w:r>
      <w:r w:rsidRPr="00142E7D">
        <w:rPr>
          <w:rFonts w:ascii="標楷體" w:hAnsi="標楷體"/>
          <w:kern w:val="0"/>
          <w:sz w:val="28"/>
          <w:szCs w:val="28"/>
          <w:lang w:val="fr-FR"/>
        </w:rPr>
        <w:t>「</w:t>
      </w:r>
      <w:r w:rsidRPr="00142E7D">
        <w:rPr>
          <w:rFonts w:ascii="標楷體" w:hAnsi="標楷體"/>
          <w:kern w:val="0"/>
          <w:sz w:val="28"/>
          <w:szCs w:val="28"/>
        </w:rPr>
        <w:t>併此指明」方式提及言論自由之保障，未對可能受限制之宗教自由、藝術自由或一般行為自由等為闡述；又本件解釋與傳統公物利用關係之運用亦密切相關，但解釋中幾無著墨。因此，就上述兩點，謹述個人協同見如下。</w:t>
      </w:r>
    </w:p>
    <w:p w:rsidR="004753EA" w:rsidRPr="00142E7D" w:rsidRDefault="004753EA" w:rsidP="00661022">
      <w:pPr>
        <w:kinsoku w:val="0"/>
        <w:overflowPunct w:val="0"/>
        <w:adjustRightInd w:val="0"/>
        <w:snapToGrid w:val="0"/>
        <w:spacing w:line="391" w:lineRule="exact"/>
        <w:ind w:left="561" w:hanging="561"/>
        <w:jc w:val="both"/>
        <w:rPr>
          <w:rFonts w:ascii="標楷體" w:hAnsi="標楷體"/>
          <w:kern w:val="0"/>
          <w:sz w:val="28"/>
          <w:szCs w:val="28"/>
        </w:rPr>
      </w:pPr>
      <w:r w:rsidRPr="00142E7D">
        <w:rPr>
          <w:rFonts w:ascii="標楷體" w:hAnsi="標楷體"/>
          <w:kern w:val="0"/>
          <w:sz w:val="28"/>
          <w:szCs w:val="28"/>
        </w:rPr>
        <w:t>貳、本件所涉憲法保障之基本權利－一般行為自由、宗教自由、藝術自由、言論自由與公共論壇</w:t>
      </w:r>
    </w:p>
    <w:p w:rsidR="004753EA" w:rsidRPr="00142E7D" w:rsidRDefault="004753EA" w:rsidP="00661022">
      <w:pPr>
        <w:kinsoku w:val="0"/>
        <w:overflowPunct w:val="0"/>
        <w:adjustRightInd w:val="0"/>
        <w:snapToGrid w:val="0"/>
        <w:spacing w:line="391" w:lineRule="exact"/>
        <w:ind w:left="284"/>
        <w:jc w:val="both"/>
        <w:rPr>
          <w:rFonts w:ascii="標楷體" w:hAnsi="標楷體"/>
          <w:kern w:val="0"/>
          <w:sz w:val="28"/>
          <w:szCs w:val="28"/>
        </w:rPr>
      </w:pPr>
      <w:r w:rsidRPr="00142E7D">
        <w:rPr>
          <w:rFonts w:ascii="標楷體" w:hAnsi="標楷體"/>
          <w:kern w:val="0"/>
          <w:sz w:val="28"/>
          <w:szCs w:val="28"/>
        </w:rPr>
        <w:t>一、一般行為自由</w:t>
      </w:r>
    </w:p>
    <w:p w:rsidR="004753EA" w:rsidRPr="00142E7D" w:rsidRDefault="004753EA" w:rsidP="00661022">
      <w:pPr>
        <w:kinsoku w:val="0"/>
        <w:overflowPunct w:val="0"/>
        <w:adjustRightInd w:val="0"/>
        <w:snapToGrid w:val="0"/>
        <w:spacing w:line="391" w:lineRule="exact"/>
        <w:ind w:left="1446" w:hanging="851"/>
        <w:jc w:val="both"/>
        <w:rPr>
          <w:rFonts w:ascii="標楷體" w:hAnsi="標楷體"/>
          <w:kern w:val="0"/>
          <w:sz w:val="28"/>
          <w:szCs w:val="28"/>
          <w:lang w:val="fr-FR"/>
        </w:rPr>
      </w:pPr>
      <w:r w:rsidRPr="00142E7D">
        <w:rPr>
          <w:rFonts w:ascii="標楷體" w:hAnsi="標楷體"/>
          <w:kern w:val="0"/>
          <w:sz w:val="28"/>
          <w:szCs w:val="28"/>
        </w:rPr>
        <w:t>（一）</w:t>
      </w:r>
      <w:r w:rsidRPr="00142E7D">
        <w:rPr>
          <w:rFonts w:ascii="標楷體" w:hAnsi="標楷體"/>
          <w:kern w:val="0"/>
          <w:sz w:val="28"/>
          <w:szCs w:val="28"/>
          <w:lang w:val="fr-FR"/>
        </w:rPr>
        <w:t>本件原因案件之當事人</w:t>
      </w:r>
      <w:r w:rsidRPr="00142E7D">
        <w:rPr>
          <w:rFonts w:ascii="標楷體" w:hAnsi="標楷體"/>
          <w:kern w:val="0"/>
          <w:sz w:val="28"/>
          <w:szCs w:val="28"/>
        </w:rPr>
        <w:t>乃主張</w:t>
      </w:r>
      <w:r w:rsidRPr="00142E7D">
        <w:rPr>
          <w:rFonts w:ascii="標楷體" w:hAnsi="標楷體"/>
          <w:kern w:val="0"/>
          <w:sz w:val="28"/>
          <w:szCs w:val="28"/>
          <w:lang w:val="fr-FR"/>
        </w:rPr>
        <w:t>，無論言論文宣之張掛、懸繫是否對環境衛生與國民健康有所影響，採取一律禁止之手段，逸脫廢棄物清理法之規範目的，如同事前限制人民之言論自由，違反比例原則等語，即明白主張憲法所保障之言論自由受限制。而本案系爭規定之廢棄物清理法，其立法目的係為清除、處理廢棄物，改善環境衛生，維護國民健康（第一條），而並非專以規制言論自由為目的。因此，從另一角度觀察，此時似不須問受系爭規定規制者其動機為何，而當事人首先即可能受憲法第二十二條一般行為自由之保障。而對於一般行為自由，如本院釋字第六八九</w:t>
      </w:r>
      <w:r w:rsidRPr="00142E7D">
        <w:rPr>
          <w:rFonts w:ascii="標楷體" w:hAnsi="標楷體"/>
          <w:kern w:val="0"/>
          <w:sz w:val="28"/>
          <w:szCs w:val="28"/>
          <w:lang w:val="de-DE"/>
        </w:rPr>
        <w:t>號解釋理由書所宣示：</w:t>
      </w:r>
      <w:r w:rsidRPr="00142E7D">
        <w:rPr>
          <w:rFonts w:ascii="標楷體" w:hAnsi="標楷體"/>
          <w:kern w:val="0"/>
          <w:sz w:val="28"/>
          <w:szCs w:val="28"/>
          <w:lang w:val="fr-CH"/>
        </w:rPr>
        <w:t>「</w:t>
      </w:r>
      <w:r w:rsidRPr="00142E7D">
        <w:rPr>
          <w:rFonts w:ascii="標楷體" w:hAnsi="標楷體"/>
          <w:kern w:val="0"/>
          <w:sz w:val="28"/>
          <w:szCs w:val="28"/>
        </w:rPr>
        <w:t>基於人性尊嚴之理念，個人主體性及人格之自由發展，應受憲法保障（本院釋字第六</w:t>
      </w:r>
      <w:r w:rsidR="00DD4611" w:rsidRPr="00142E7D">
        <w:rPr>
          <w:rFonts w:ascii="標楷體" w:hAnsi="標楷體"/>
          <w:kern w:val="0"/>
          <w:sz w:val="28"/>
          <w:szCs w:val="28"/>
        </w:rPr>
        <w:t>○</w:t>
      </w:r>
      <w:r w:rsidRPr="00142E7D">
        <w:rPr>
          <w:rFonts w:ascii="標楷體" w:hAnsi="標楷體"/>
          <w:kern w:val="0"/>
          <w:sz w:val="28"/>
          <w:szCs w:val="28"/>
        </w:rPr>
        <w:t>三號解釋參照）。為維護個人主體性及人格自由發展，除憲法已保障之各項自由外，於不妨害社會秩序公共利益之前提下，人民依其意志作為或不作為之一般行為自由，亦受憲</w:t>
      </w:r>
      <w:r w:rsidRPr="00142E7D">
        <w:rPr>
          <w:rFonts w:ascii="標楷體" w:hAnsi="標楷體"/>
          <w:kern w:val="0"/>
          <w:sz w:val="28"/>
          <w:szCs w:val="28"/>
        </w:rPr>
        <w:lastRenderedPageBreak/>
        <w:t>法第二十二條所保障。</w:t>
      </w:r>
      <w:r w:rsidRPr="00142E7D">
        <w:rPr>
          <w:rFonts w:ascii="標楷體" w:hAnsi="標楷體"/>
          <w:kern w:val="0"/>
          <w:sz w:val="28"/>
          <w:szCs w:val="28"/>
          <w:lang w:val="fr-CH"/>
        </w:rPr>
        <w:t>」之意旨，亦即</w:t>
      </w:r>
      <w:r w:rsidRPr="00142E7D">
        <w:rPr>
          <w:rFonts w:ascii="標楷體" w:hAnsi="標楷體"/>
          <w:kern w:val="0"/>
          <w:sz w:val="28"/>
          <w:szCs w:val="28"/>
          <w:lang w:val="fr-FR"/>
        </w:rPr>
        <w:t>德國法上之「</w:t>
      </w:r>
      <w:r w:rsidRPr="00142E7D">
        <w:rPr>
          <w:rFonts w:ascii="標楷體" w:hAnsi="標楷體"/>
          <w:kern w:val="0"/>
          <w:sz w:val="28"/>
          <w:szCs w:val="28"/>
        </w:rPr>
        <w:t>人民依其意志有作為或不作為</w:t>
      </w:r>
      <w:r w:rsidRPr="00142E7D">
        <w:rPr>
          <w:rFonts w:ascii="標楷體" w:hAnsi="標楷體"/>
          <w:kern w:val="0"/>
          <w:sz w:val="28"/>
          <w:szCs w:val="28"/>
          <w:lang w:val="fr-FR"/>
        </w:rPr>
        <w:t>」</w:t>
      </w:r>
      <w:r w:rsidR="00654FBB" w:rsidRPr="00142E7D">
        <w:rPr>
          <w:rFonts w:ascii="標楷體" w:hAnsi="標楷體"/>
          <w:kern w:val="0"/>
          <w:sz w:val="28"/>
          <w:szCs w:val="28"/>
          <w:lang w:val="fr-FR"/>
        </w:rPr>
        <w:t>（</w:t>
      </w:r>
      <w:r w:rsidRPr="00142E7D">
        <w:rPr>
          <w:rFonts w:ascii="標楷體" w:hAnsi="標楷體"/>
          <w:kern w:val="0"/>
          <w:sz w:val="28"/>
          <w:szCs w:val="28"/>
          <w:lang w:val="fr-FR"/>
        </w:rPr>
        <w:t>tun und lassen, was er will</w:t>
      </w:r>
      <w:r w:rsidR="00654FBB" w:rsidRPr="00142E7D">
        <w:rPr>
          <w:rFonts w:ascii="標楷體" w:hAnsi="標楷體"/>
          <w:kern w:val="0"/>
          <w:sz w:val="28"/>
          <w:szCs w:val="28"/>
          <w:lang w:val="fr-FR"/>
        </w:rPr>
        <w:t>）</w:t>
      </w:r>
      <w:r w:rsidRPr="00142E7D">
        <w:rPr>
          <w:rFonts w:ascii="標楷體" w:hAnsi="標楷體"/>
          <w:kern w:val="0"/>
          <w:sz w:val="28"/>
          <w:szCs w:val="28"/>
          <w:lang w:val="fr-FR"/>
        </w:rPr>
        <w:t>之一般行為自由</w:t>
      </w:r>
      <w:r w:rsidR="00654FBB" w:rsidRPr="00142E7D">
        <w:rPr>
          <w:rFonts w:ascii="標楷體" w:hAnsi="標楷體"/>
          <w:kern w:val="0"/>
          <w:sz w:val="28"/>
          <w:szCs w:val="28"/>
          <w:lang w:val="fr-FR"/>
        </w:rPr>
        <w:t>（</w:t>
      </w:r>
      <w:r w:rsidRPr="00142E7D">
        <w:rPr>
          <w:rFonts w:ascii="標楷體" w:hAnsi="標楷體"/>
          <w:kern w:val="0"/>
          <w:sz w:val="28"/>
          <w:szCs w:val="28"/>
          <w:lang w:val="fr-FR"/>
        </w:rPr>
        <w:t xml:space="preserve">BverfGE 80, 137, </w:t>
      </w:r>
      <w:smartTag w:uri="urn:schemas-microsoft-com:office:smarttags" w:element="chmetcnv">
        <w:smartTagPr>
          <w:attr w:name="TCSC" w:val="0"/>
          <w:attr w:name="NumberType" w:val="1"/>
          <w:attr w:name="Negative" w:val="False"/>
          <w:attr w:name="HasSpace" w:val="False"/>
          <w:attr w:name="SourceValue" w:val="152"/>
          <w:attr w:name="UnitName" w:val="F"/>
        </w:smartTagPr>
        <w:r w:rsidRPr="00142E7D">
          <w:rPr>
            <w:rFonts w:ascii="標楷體" w:hAnsi="標楷體"/>
            <w:kern w:val="0"/>
            <w:sz w:val="28"/>
            <w:szCs w:val="28"/>
            <w:lang w:val="fr-FR"/>
          </w:rPr>
          <w:t>152f</w:t>
        </w:r>
      </w:smartTag>
      <w:r w:rsidRPr="00142E7D">
        <w:rPr>
          <w:rFonts w:ascii="標楷體" w:hAnsi="標楷體"/>
          <w:kern w:val="0"/>
          <w:sz w:val="28"/>
          <w:szCs w:val="28"/>
          <w:lang w:val="fr-FR"/>
        </w:rPr>
        <w:t>.</w:t>
      </w:r>
      <w:r w:rsidR="00654FBB" w:rsidRPr="00142E7D">
        <w:rPr>
          <w:rFonts w:ascii="標楷體" w:hAnsi="標楷體"/>
          <w:kern w:val="0"/>
          <w:sz w:val="28"/>
          <w:szCs w:val="28"/>
          <w:lang w:val="fr-FR"/>
        </w:rPr>
        <w:t>）</w:t>
      </w:r>
      <w:r w:rsidRPr="00142E7D">
        <w:rPr>
          <w:rFonts w:ascii="標楷體" w:hAnsi="標楷體"/>
          <w:kern w:val="0"/>
          <w:sz w:val="28"/>
          <w:szCs w:val="28"/>
          <w:lang w:val="fr-FR"/>
        </w:rPr>
        <w:t>。</w:t>
      </w:r>
      <w:r w:rsidRPr="00142E7D">
        <w:rPr>
          <w:rFonts w:ascii="標楷體" w:hAnsi="標楷體"/>
          <w:kern w:val="0"/>
          <w:sz w:val="28"/>
          <w:szCs w:val="28"/>
          <w:lang w:val="fr-CH"/>
        </w:rPr>
        <w:t>換言之，本解釋另一思考方式為，若系爭規定並非以言論自由為限制之目的，則</w:t>
      </w:r>
      <w:r w:rsidRPr="00142E7D">
        <w:rPr>
          <w:rFonts w:ascii="標楷體" w:hAnsi="標楷體"/>
          <w:kern w:val="0"/>
          <w:sz w:val="28"/>
          <w:szCs w:val="28"/>
        </w:rPr>
        <w:t>以一般行為自由作為審查原則亦為一思考方向，因為</w:t>
      </w:r>
      <w:r w:rsidRPr="00142E7D">
        <w:rPr>
          <w:rFonts w:ascii="標楷體" w:hAnsi="標楷體"/>
          <w:kern w:val="0"/>
          <w:sz w:val="28"/>
          <w:szCs w:val="28"/>
          <w:lang w:val="fr-FR"/>
        </w:rPr>
        <w:t>，從一般行為自由角度，自不必再強調當事人之行為動機</w:t>
      </w:r>
      <w:r w:rsidRPr="00142E7D">
        <w:rPr>
          <w:rStyle w:val="ab"/>
          <w:rFonts w:ascii="標楷體" w:hAnsi="標楷體"/>
          <w:kern w:val="0"/>
          <w:sz w:val="28"/>
          <w:szCs w:val="28"/>
          <w:lang w:val="fr-FR"/>
        </w:rPr>
        <w:footnoteReference w:id="12"/>
      </w:r>
      <w:r w:rsidRPr="00142E7D">
        <w:rPr>
          <w:rFonts w:ascii="標楷體" w:hAnsi="標楷體"/>
          <w:kern w:val="0"/>
          <w:sz w:val="28"/>
          <w:szCs w:val="28"/>
          <w:lang w:val="fr-FR"/>
        </w:rPr>
        <w:t>。</w:t>
      </w:r>
    </w:p>
    <w:p w:rsidR="004753EA" w:rsidRPr="00142E7D" w:rsidRDefault="004753EA" w:rsidP="00661022">
      <w:pPr>
        <w:kinsoku w:val="0"/>
        <w:overflowPunct w:val="0"/>
        <w:adjustRightInd w:val="0"/>
        <w:snapToGrid w:val="0"/>
        <w:spacing w:line="391" w:lineRule="exact"/>
        <w:ind w:left="1435" w:firstLine="561"/>
        <w:jc w:val="both"/>
        <w:rPr>
          <w:rFonts w:ascii="標楷體" w:hAnsi="標楷體"/>
          <w:kern w:val="0"/>
          <w:sz w:val="28"/>
          <w:szCs w:val="28"/>
        </w:rPr>
      </w:pPr>
      <w:r w:rsidRPr="00142E7D">
        <w:rPr>
          <w:rFonts w:ascii="標楷體" w:hAnsi="標楷體"/>
          <w:kern w:val="0"/>
          <w:sz w:val="28"/>
          <w:szCs w:val="28"/>
        </w:rPr>
        <w:t>而系爭公告，乃根據廢棄物清理法第二十七條第十一款規定：「……十一、其他經主管機關公告之污染環境行為」而發布，要求當事人須先經過核准方得為之。</w:t>
      </w:r>
    </w:p>
    <w:p w:rsidR="004753EA" w:rsidRPr="00142E7D" w:rsidRDefault="004753EA" w:rsidP="00661022">
      <w:pPr>
        <w:kinsoku w:val="0"/>
        <w:overflowPunct w:val="0"/>
        <w:adjustRightInd w:val="0"/>
        <w:snapToGrid w:val="0"/>
        <w:spacing w:line="391" w:lineRule="exact"/>
        <w:ind w:left="1435" w:firstLine="561"/>
        <w:jc w:val="both"/>
        <w:rPr>
          <w:rFonts w:ascii="標楷體" w:hAnsi="標楷體"/>
          <w:kern w:val="0"/>
          <w:sz w:val="28"/>
          <w:szCs w:val="28"/>
        </w:rPr>
      </w:pPr>
      <w:r w:rsidRPr="00142E7D">
        <w:rPr>
          <w:rFonts w:ascii="標楷體" w:hAnsi="標楷體"/>
          <w:kern w:val="0"/>
          <w:sz w:val="28"/>
          <w:szCs w:val="28"/>
        </w:rPr>
        <w:t>按臺南市政府</w:t>
      </w:r>
      <w:smartTag w:uri="urn:schemas-microsoft-com:office:smarttags" w:element="chsdate">
        <w:smartTagPr>
          <w:attr w:name="IsROCDate" w:val="True"/>
          <w:attr w:name="IsLunarDate" w:val="False"/>
          <w:attr w:name="Day" w:val="9"/>
          <w:attr w:name="Month" w:val="12"/>
          <w:attr w:name="Year" w:val="2002"/>
        </w:smartTagPr>
        <w:r w:rsidRPr="00142E7D">
          <w:rPr>
            <w:rFonts w:ascii="標楷體" w:hAnsi="標楷體"/>
            <w:kern w:val="0"/>
            <w:sz w:val="28"/>
            <w:szCs w:val="28"/>
          </w:rPr>
          <w:t>中華民國九十一年十二月九日</w:t>
        </w:r>
      </w:smartTag>
      <w:r w:rsidRPr="00142E7D">
        <w:rPr>
          <w:rFonts w:ascii="標楷體" w:hAnsi="標楷體"/>
          <w:kern w:val="0"/>
          <w:sz w:val="28"/>
          <w:szCs w:val="28"/>
        </w:rPr>
        <w:t>南市環廢字第</w:t>
      </w:r>
      <w:r w:rsidR="00DD4611" w:rsidRPr="00142E7D">
        <w:rPr>
          <w:rFonts w:ascii="標楷體" w:hAnsi="標楷體"/>
          <w:kern w:val="0"/>
          <w:sz w:val="28"/>
          <w:szCs w:val="28"/>
        </w:rPr>
        <w:t>○</w:t>
      </w:r>
      <w:r w:rsidRPr="00142E7D">
        <w:rPr>
          <w:rFonts w:ascii="標楷體" w:hAnsi="標楷體"/>
          <w:kern w:val="0"/>
          <w:sz w:val="28"/>
          <w:szCs w:val="28"/>
        </w:rPr>
        <w:t>九一</w:t>
      </w:r>
      <w:r w:rsidR="00DD4611" w:rsidRPr="00142E7D">
        <w:rPr>
          <w:rFonts w:ascii="標楷體" w:hAnsi="標楷體"/>
          <w:kern w:val="0"/>
          <w:sz w:val="28"/>
          <w:szCs w:val="28"/>
        </w:rPr>
        <w:t>○</w:t>
      </w:r>
      <w:r w:rsidRPr="00142E7D">
        <w:rPr>
          <w:rFonts w:ascii="標楷體" w:hAnsi="標楷體"/>
          <w:kern w:val="0"/>
          <w:sz w:val="28"/>
          <w:szCs w:val="28"/>
        </w:rPr>
        <w:t>四</w:t>
      </w:r>
      <w:r w:rsidR="00DD4611" w:rsidRPr="00142E7D">
        <w:rPr>
          <w:rFonts w:ascii="標楷體" w:hAnsi="標楷體"/>
          <w:kern w:val="0"/>
          <w:sz w:val="28"/>
          <w:szCs w:val="28"/>
        </w:rPr>
        <w:t>○</w:t>
      </w:r>
      <w:r w:rsidRPr="00142E7D">
        <w:rPr>
          <w:rFonts w:ascii="標楷體" w:hAnsi="標楷體"/>
          <w:kern w:val="0"/>
          <w:sz w:val="28"/>
          <w:szCs w:val="28"/>
        </w:rPr>
        <w:t>二三四三一號公告一之內容：「一、本市清除地區內，未經主管機關核准，於道路、牆壁、樑柱、電桿、樹木、橋樑、水溝、池塘或其他土地定著物張掛、懸繫、黏貼、噴漆、粉刷、樹立、釘定、夾插、置放或其他方法設置廣告物者，為污染環境行為。」，其前半段接近廢棄物清理法第二十七條第二款規定；後半段污染環境之行為較接近同條第十款規定。先不論其內容事項是否須經主管機關核准，先探求系爭公告結合廢棄物清理法第二十七條第二款與第十款，可否針對廣告物為禁止？從下述傳統公物利用關係，針對公共用物之非一般使用情況，主管機關得要求當事人須先獲得許可或特許方得使用公物，此自為法之所許。換言之，主管機關根據第十一款規定，應有此種權力。</w:t>
      </w:r>
    </w:p>
    <w:p w:rsidR="004753EA" w:rsidRPr="00142E7D" w:rsidRDefault="004753EA" w:rsidP="00661022">
      <w:pPr>
        <w:kinsoku w:val="0"/>
        <w:overflowPunct w:val="0"/>
        <w:adjustRightInd w:val="0"/>
        <w:snapToGrid w:val="0"/>
        <w:spacing w:line="391" w:lineRule="exact"/>
        <w:ind w:left="1446" w:hanging="851"/>
        <w:jc w:val="both"/>
        <w:rPr>
          <w:rFonts w:ascii="標楷體" w:hAnsi="標楷體"/>
          <w:kern w:val="0"/>
          <w:sz w:val="28"/>
          <w:szCs w:val="28"/>
        </w:rPr>
      </w:pPr>
      <w:r w:rsidRPr="00142E7D">
        <w:rPr>
          <w:rFonts w:ascii="標楷體" w:hAnsi="標楷體"/>
          <w:kern w:val="0"/>
          <w:sz w:val="28"/>
          <w:szCs w:val="28"/>
        </w:rPr>
        <w:t>（二）宗教自由、</w:t>
      </w:r>
      <w:r w:rsidRPr="00142E7D">
        <w:rPr>
          <w:rFonts w:ascii="標楷體" w:hAnsi="標楷體"/>
          <w:kern w:val="0"/>
          <w:sz w:val="28"/>
          <w:szCs w:val="28"/>
          <w:lang w:val="fr-FR"/>
        </w:rPr>
        <w:t>藝術</w:t>
      </w:r>
      <w:r w:rsidRPr="00142E7D">
        <w:rPr>
          <w:rFonts w:ascii="標楷體" w:hAnsi="標楷體"/>
          <w:kern w:val="0"/>
          <w:sz w:val="28"/>
          <w:szCs w:val="28"/>
        </w:rPr>
        <w:t>自由、言論自由與其他憲法保障基本權利</w:t>
      </w:r>
    </w:p>
    <w:p w:rsidR="004753EA" w:rsidRPr="00142E7D" w:rsidRDefault="004753EA" w:rsidP="00661022">
      <w:pPr>
        <w:kinsoku w:val="0"/>
        <w:overflowPunct w:val="0"/>
        <w:adjustRightInd w:val="0"/>
        <w:snapToGrid w:val="0"/>
        <w:spacing w:line="391" w:lineRule="exact"/>
        <w:ind w:left="1435" w:firstLine="561"/>
        <w:jc w:val="both"/>
        <w:rPr>
          <w:rFonts w:ascii="標楷體" w:hAnsi="標楷體"/>
          <w:kern w:val="0"/>
          <w:sz w:val="28"/>
          <w:szCs w:val="28"/>
        </w:rPr>
      </w:pPr>
      <w:r w:rsidRPr="00142E7D">
        <w:rPr>
          <w:rFonts w:ascii="標楷體" w:hAnsi="標楷體"/>
          <w:kern w:val="0"/>
          <w:sz w:val="28"/>
          <w:szCs w:val="28"/>
        </w:rPr>
        <w:t>至於本案是否涉及言論自由，宗教自由、藝術自由等憲法保障之基本權利，正如解釋理由書中所述，系爭公告非為限制人民言論自由或其他憲法所保障之基本權利而設，然於具體個案可能因主管機關對於廣告物之內容及設置之時間、地點、方式之審查，造成限制人民言論自由或其他憲法所保障之基本權利之結果。換言之，其可能造成對言論自由之限制，並非直接而是間接之效果，另一方面，本案除對言論自由外，亦可能間接產生對宗教自由、藝術自由或其他憲法所保障基本權利之限制結果。</w:t>
      </w:r>
    </w:p>
    <w:p w:rsidR="004753EA" w:rsidRPr="00142E7D" w:rsidRDefault="004753EA" w:rsidP="00661022">
      <w:pPr>
        <w:kinsoku w:val="0"/>
        <w:overflowPunct w:val="0"/>
        <w:adjustRightInd w:val="0"/>
        <w:snapToGrid w:val="0"/>
        <w:spacing w:line="391" w:lineRule="exact"/>
        <w:ind w:left="1446" w:hanging="851"/>
        <w:jc w:val="both"/>
        <w:rPr>
          <w:rFonts w:ascii="標楷體" w:hAnsi="標楷體"/>
          <w:kern w:val="0"/>
          <w:sz w:val="28"/>
          <w:szCs w:val="28"/>
          <w:lang w:val="fr-FR"/>
        </w:rPr>
      </w:pPr>
      <w:r w:rsidRPr="00142E7D">
        <w:rPr>
          <w:rFonts w:ascii="標楷體" w:hAnsi="標楷體"/>
          <w:kern w:val="0"/>
          <w:sz w:val="28"/>
          <w:szCs w:val="28"/>
        </w:rPr>
        <w:t>（三）</w:t>
      </w:r>
      <w:r w:rsidRPr="00142E7D">
        <w:rPr>
          <w:rFonts w:ascii="標楷體" w:hAnsi="標楷體"/>
          <w:kern w:val="0"/>
          <w:sz w:val="28"/>
          <w:szCs w:val="28"/>
          <w:lang w:val="fr-FR"/>
        </w:rPr>
        <w:t>臺南市政府之系爭公告，其依據為廢棄物清理法第二十七條第十一款及第五十條授權，至於環境權，因為第二十七條本身所要保護的就是維持環境整潔，而與該法益有衝突的個人行為應受節制，所以</w:t>
      </w:r>
      <w:r w:rsidRPr="00142E7D">
        <w:rPr>
          <w:rFonts w:ascii="標楷體" w:hAnsi="標楷體"/>
          <w:kern w:val="0"/>
          <w:sz w:val="28"/>
          <w:szCs w:val="28"/>
          <w:lang w:val="fr-FR"/>
        </w:rPr>
        <w:lastRenderedPageBreak/>
        <w:t>對受限制的行為人而言，受侵害的並非環境權。系爭規定之廢棄物清理法，其立法目的係為清除、處理廢棄物，改善環境衛生，維護國民健康（第一條），而並非專以規制言論自由為目的，因此，本案所涉及者，應屬一般行為自由。</w:t>
      </w:r>
    </w:p>
    <w:p w:rsidR="004753EA" w:rsidRPr="00142E7D" w:rsidRDefault="004753EA" w:rsidP="00661022">
      <w:pPr>
        <w:kinsoku w:val="0"/>
        <w:overflowPunct w:val="0"/>
        <w:adjustRightInd w:val="0"/>
        <w:snapToGrid w:val="0"/>
        <w:spacing w:line="391" w:lineRule="exact"/>
        <w:ind w:left="284"/>
        <w:jc w:val="both"/>
        <w:rPr>
          <w:rFonts w:ascii="標楷體" w:hAnsi="標楷體"/>
          <w:kern w:val="0"/>
          <w:sz w:val="28"/>
          <w:szCs w:val="28"/>
        </w:rPr>
      </w:pPr>
      <w:r w:rsidRPr="00142E7D">
        <w:rPr>
          <w:rFonts w:ascii="標楷體" w:hAnsi="標楷體"/>
          <w:kern w:val="0"/>
          <w:sz w:val="28"/>
          <w:szCs w:val="28"/>
        </w:rPr>
        <w:t>二、公共論壇－以日本為例</w:t>
      </w:r>
    </w:p>
    <w:p w:rsidR="004753EA" w:rsidRPr="00142E7D" w:rsidRDefault="004753EA" w:rsidP="00661022">
      <w:pPr>
        <w:kinsoku w:val="0"/>
        <w:overflowPunct w:val="0"/>
        <w:adjustRightInd w:val="0"/>
        <w:snapToGrid w:val="0"/>
        <w:spacing w:line="391" w:lineRule="exact"/>
        <w:ind w:left="1418" w:hanging="851"/>
        <w:jc w:val="both"/>
        <w:rPr>
          <w:rFonts w:ascii="標楷體" w:hAnsi="標楷體"/>
          <w:kern w:val="0"/>
          <w:sz w:val="28"/>
          <w:szCs w:val="28"/>
        </w:rPr>
      </w:pPr>
      <w:r w:rsidRPr="00142E7D">
        <w:rPr>
          <w:rFonts w:ascii="標楷體" w:hAnsi="標楷體"/>
          <w:kern w:val="0"/>
          <w:sz w:val="28"/>
          <w:szCs w:val="28"/>
        </w:rPr>
        <w:t>（一）日本最高裁昭和62年3月3日</w:t>
      </w:r>
      <w:r w:rsidR="00DD4611" w:rsidRPr="00142E7D">
        <w:rPr>
          <w:rFonts w:ascii="標楷體" w:hAnsi="標楷體"/>
          <w:kern w:val="0"/>
          <w:sz w:val="28"/>
          <w:szCs w:val="28"/>
        </w:rPr>
        <w:t>（</w:t>
      </w:r>
      <w:r w:rsidRPr="00142E7D">
        <w:rPr>
          <w:rFonts w:ascii="標楷體" w:hAnsi="標楷體"/>
          <w:kern w:val="0"/>
          <w:sz w:val="28"/>
          <w:szCs w:val="28"/>
        </w:rPr>
        <w:t>1987年</w:t>
      </w:r>
      <w:r w:rsidR="00DD4611" w:rsidRPr="00142E7D">
        <w:rPr>
          <w:rFonts w:ascii="標楷體" w:hAnsi="標楷體"/>
          <w:kern w:val="0"/>
          <w:sz w:val="28"/>
          <w:szCs w:val="28"/>
        </w:rPr>
        <w:t>）</w:t>
      </w:r>
      <w:r w:rsidRPr="00142E7D">
        <w:rPr>
          <w:rFonts w:ascii="標楷體" w:hAnsi="標楷體"/>
          <w:kern w:val="0"/>
          <w:sz w:val="28"/>
          <w:szCs w:val="28"/>
        </w:rPr>
        <w:t>第三小法廷判決</w:t>
      </w:r>
    </w:p>
    <w:p w:rsidR="004753EA" w:rsidRPr="00142E7D" w:rsidRDefault="004753EA" w:rsidP="00661022">
      <w:pPr>
        <w:kinsoku w:val="0"/>
        <w:overflowPunct w:val="0"/>
        <w:adjustRightInd w:val="0"/>
        <w:snapToGrid w:val="0"/>
        <w:spacing w:line="391" w:lineRule="exact"/>
        <w:ind w:left="2269" w:hanging="851"/>
        <w:jc w:val="both"/>
        <w:rPr>
          <w:rFonts w:ascii="標楷體" w:hAnsi="標楷體"/>
          <w:kern w:val="0"/>
          <w:sz w:val="28"/>
          <w:szCs w:val="28"/>
          <w:lang w:val="fr-FR"/>
        </w:rPr>
      </w:pPr>
      <w:r w:rsidRPr="00142E7D">
        <w:rPr>
          <w:rFonts w:ascii="標楷體" w:hAnsi="標楷體"/>
          <w:kern w:val="0"/>
          <w:sz w:val="28"/>
          <w:szCs w:val="28"/>
        </w:rPr>
        <w:t>最高法院判決指出：</w:t>
      </w:r>
    </w:p>
    <w:p w:rsidR="004753EA" w:rsidRPr="00142E7D" w:rsidRDefault="004753EA" w:rsidP="00661022">
      <w:pPr>
        <w:kinsoku w:val="0"/>
        <w:overflowPunct w:val="0"/>
        <w:adjustRightInd w:val="0"/>
        <w:snapToGrid w:val="0"/>
        <w:spacing w:line="391" w:lineRule="exact"/>
        <w:ind w:left="1418" w:firstLine="561"/>
        <w:jc w:val="both"/>
        <w:rPr>
          <w:rFonts w:ascii="標楷體" w:hAnsi="標楷體"/>
          <w:kern w:val="0"/>
          <w:sz w:val="28"/>
          <w:szCs w:val="28"/>
        </w:rPr>
      </w:pPr>
      <w:r w:rsidRPr="00142E7D">
        <w:rPr>
          <w:rFonts w:ascii="標楷體" w:hAnsi="標楷體"/>
          <w:kern w:val="0"/>
          <w:sz w:val="28"/>
          <w:szCs w:val="28"/>
          <w:lang w:val="fr-FR"/>
        </w:rPr>
        <w:t>「大分縣屋外廣告物條例係基於大分縣屋外廣告物法而制定，與</w:t>
      </w:r>
      <w:r w:rsidRPr="00142E7D">
        <w:rPr>
          <w:rFonts w:ascii="標楷體" w:hAnsi="標楷體"/>
          <w:kern w:val="0"/>
          <w:sz w:val="28"/>
          <w:szCs w:val="28"/>
        </w:rPr>
        <w:t>前述法律相同，係為維持美觀風致（景）及防止對公眾之危害，對屋外廣告物表示之場所及方法與對於屋外廣告物其設置與維持，所為必要之規制而制定。此乃基於以國民之文化生活之向上為目的之憲法目的下，維持都市之美觀風致，乃為保持公共福祉，前揭程度之規制，係為公共福祉，應解為對表現自由之受允許的必要且合理之限制。因此，對Y於本件所為，適用同條例第三十三條第一號、第四條第一項第三號規定所為處罰，也並不違法憲法第二十一條第一項。」</w:t>
      </w:r>
    </w:p>
    <w:p w:rsidR="004753EA" w:rsidRPr="00142E7D" w:rsidRDefault="004753EA" w:rsidP="00661022">
      <w:pPr>
        <w:kinsoku w:val="0"/>
        <w:overflowPunct w:val="0"/>
        <w:adjustRightInd w:val="0"/>
        <w:snapToGrid w:val="0"/>
        <w:spacing w:line="391" w:lineRule="exact"/>
        <w:ind w:left="2269" w:hanging="851"/>
        <w:jc w:val="both"/>
        <w:rPr>
          <w:rFonts w:ascii="標楷體" w:hAnsi="標楷體"/>
          <w:kern w:val="0"/>
          <w:sz w:val="28"/>
          <w:szCs w:val="28"/>
        </w:rPr>
      </w:pPr>
      <w:r w:rsidRPr="00142E7D">
        <w:rPr>
          <w:rFonts w:ascii="標楷體" w:hAnsi="標楷體"/>
          <w:kern w:val="0"/>
          <w:sz w:val="28"/>
          <w:szCs w:val="28"/>
        </w:rPr>
        <w:t>對於此判決，伊藤正己法官提出補充意見：</w:t>
      </w:r>
    </w:p>
    <w:p w:rsidR="004753EA" w:rsidRPr="00142E7D" w:rsidRDefault="005F1A39" w:rsidP="00661022">
      <w:pPr>
        <w:kinsoku w:val="0"/>
        <w:overflowPunct w:val="0"/>
        <w:adjustRightInd w:val="0"/>
        <w:snapToGrid w:val="0"/>
        <w:spacing w:line="391" w:lineRule="exact"/>
        <w:ind w:left="1730" w:hanging="284"/>
        <w:jc w:val="both"/>
        <w:rPr>
          <w:rFonts w:ascii="標楷體" w:hAnsi="標楷體"/>
          <w:kern w:val="0"/>
          <w:sz w:val="28"/>
          <w:szCs w:val="28"/>
        </w:rPr>
      </w:pPr>
      <w:r w:rsidRPr="00142E7D">
        <w:rPr>
          <w:rFonts w:ascii="標楷體" w:hAnsi="標楷體" w:hint="eastAsia"/>
          <w:kern w:val="0"/>
          <w:sz w:val="28"/>
          <w:szCs w:val="28"/>
        </w:rPr>
        <w:t>1.</w:t>
      </w:r>
      <w:r w:rsidR="004753EA" w:rsidRPr="00142E7D">
        <w:rPr>
          <w:rFonts w:ascii="標楷體" w:hAnsi="標楷體"/>
          <w:kern w:val="0"/>
          <w:sz w:val="28"/>
          <w:szCs w:val="28"/>
        </w:rPr>
        <w:t>本條例規制對象之屋外廣告物，很明顯地包含傳達政治意見、資訊之招貼物、海報等，這些物件在公眾容易進入眼簾之場所，揭示物件，係具有非常容易將意見、資訊傳達效果之方法。再者，與於街頭等傳佈廣告物等方法相比，此具有永續地廣範圍地傳佈於人的效果之優點，且費用低廉，特別是對於有經濟負擔者，係簡便、有效果之傳達表現之方法。“如此，將廣告物、海報等貼附於適當場所、物件，雖道路、公園等性質各異，我將之稱為具公共論壇性質者。”、“如此則特別欲對關於思想、意見為規制時，只以維持美觀風致與公共福祉相符之目的便加以規制，輕易地為合憲判斷，乃過於速斷。”</w:t>
      </w:r>
    </w:p>
    <w:p w:rsidR="004753EA" w:rsidRPr="00142E7D" w:rsidRDefault="005F1A39" w:rsidP="00661022">
      <w:pPr>
        <w:kinsoku w:val="0"/>
        <w:overflowPunct w:val="0"/>
        <w:adjustRightInd w:val="0"/>
        <w:snapToGrid w:val="0"/>
        <w:spacing w:line="391" w:lineRule="exact"/>
        <w:ind w:left="1730" w:hanging="284"/>
        <w:jc w:val="both"/>
        <w:rPr>
          <w:rFonts w:ascii="標楷體" w:hAnsi="標楷體"/>
          <w:kern w:val="0"/>
          <w:sz w:val="28"/>
          <w:szCs w:val="28"/>
        </w:rPr>
      </w:pPr>
      <w:r w:rsidRPr="00142E7D">
        <w:rPr>
          <w:rFonts w:ascii="標楷體" w:hAnsi="標楷體" w:hint="eastAsia"/>
          <w:kern w:val="0"/>
          <w:sz w:val="28"/>
          <w:szCs w:val="28"/>
        </w:rPr>
        <w:t>2.</w:t>
      </w:r>
      <w:r w:rsidR="004753EA" w:rsidRPr="00142E7D">
        <w:rPr>
          <w:rFonts w:ascii="標楷體" w:hAnsi="標楷體"/>
          <w:kern w:val="0"/>
          <w:sz w:val="28"/>
          <w:szCs w:val="28"/>
        </w:rPr>
        <w:t>「街頭中散佈廣告物、演說或其他廣告活動等作為傳達同樣內容之方法，這些與廣告物之揭出，即使其性質相異，公共揭示場是經充分之準備，被禁止之場所、物件係受限定，這些以外，能作為貼附對象，適合向公眾傳達之處亦廣泛存在時，則本條例所作之規制，我想也不能認為違憲」「本件中，所有上述之點並不清楚」，「又獲得所有者同意，利用私人房屋或牆壁等作為揭出場所也是可能」，但</w:t>
      </w:r>
      <w:r w:rsidR="004753EA" w:rsidRPr="00142E7D">
        <w:rPr>
          <w:rFonts w:ascii="標楷體" w:hAnsi="標楷體"/>
          <w:kern w:val="0"/>
          <w:sz w:val="28"/>
          <w:szCs w:val="28"/>
          <w:lang w:val="de-DE"/>
        </w:rPr>
        <w:t>「一般，想獲得所有權人同意，其難易程度很難預測，關於表現自由之保障，特別是對無法獲得一般社會大眾共鳴之思想表現，對其加以確保（保障），更具有重要意義。從</w:t>
      </w:r>
      <w:r w:rsidR="004753EA" w:rsidRPr="00142E7D">
        <w:rPr>
          <w:rFonts w:ascii="標楷體" w:hAnsi="標楷體"/>
          <w:kern w:val="0"/>
          <w:sz w:val="28"/>
          <w:szCs w:val="28"/>
          <w:lang w:val="de-DE"/>
        </w:rPr>
        <w:lastRenderedPageBreak/>
        <w:t>此角度思考，對此種表現欲得所有者同意，未必容易，因此，利用私有場所、物件作為表現場所之可能，不能過大評價」。</w:t>
      </w:r>
    </w:p>
    <w:p w:rsidR="004753EA" w:rsidRPr="00142E7D" w:rsidRDefault="005F1A39" w:rsidP="00661022">
      <w:pPr>
        <w:kinsoku w:val="0"/>
        <w:overflowPunct w:val="0"/>
        <w:adjustRightInd w:val="0"/>
        <w:snapToGrid w:val="0"/>
        <w:spacing w:line="391" w:lineRule="exact"/>
        <w:ind w:left="1730" w:hanging="284"/>
        <w:jc w:val="both"/>
        <w:rPr>
          <w:rFonts w:ascii="標楷體" w:hAnsi="標楷體"/>
          <w:kern w:val="0"/>
          <w:sz w:val="28"/>
          <w:szCs w:val="28"/>
        </w:rPr>
      </w:pPr>
      <w:r w:rsidRPr="00142E7D">
        <w:rPr>
          <w:rFonts w:ascii="標楷體" w:hAnsi="標楷體" w:hint="eastAsia"/>
          <w:kern w:val="0"/>
          <w:sz w:val="28"/>
          <w:szCs w:val="28"/>
          <w:lang w:val="de-DE"/>
        </w:rPr>
        <w:t>3.</w:t>
      </w:r>
      <w:r w:rsidR="004753EA" w:rsidRPr="00142E7D">
        <w:rPr>
          <w:rFonts w:ascii="標楷體" w:hAnsi="標楷體"/>
          <w:kern w:val="0"/>
          <w:sz w:val="28"/>
          <w:szCs w:val="28"/>
          <w:lang w:val="de-DE"/>
        </w:rPr>
        <w:t>「本條例與表現之內容完全無關，而是為美觀風致之維持等目的，對屋外廣告物之揭出場所、方法</w:t>
      </w:r>
      <w:r w:rsidR="004753EA" w:rsidRPr="00142E7D">
        <w:rPr>
          <w:rFonts w:ascii="標楷體" w:hAnsi="標楷體"/>
          <w:kern w:val="0"/>
          <w:sz w:val="28"/>
          <w:szCs w:val="28"/>
        </w:rPr>
        <w:t>所為</w:t>
      </w:r>
      <w:r w:rsidR="004753EA" w:rsidRPr="00142E7D">
        <w:rPr>
          <w:rFonts w:ascii="標楷體" w:hAnsi="標楷體"/>
          <w:kern w:val="0"/>
          <w:sz w:val="28"/>
          <w:szCs w:val="28"/>
          <w:lang w:val="de-DE"/>
        </w:rPr>
        <w:t>一般性規制」，「此種情況，適用嚴格之基準，未必適當」，但「依照這些事件之具體情事，諸如廣告物貼附之場所具有何性質？其周圍情況如何？所貼附廣告物之數量、形狀、揭出之方式等，綜合地考量。其地域美觀風致受侵害之程度，與揭出廣告物之表現所具有之利益加以比較衡量結果，當表現之價值所具有之利益，優越於維持美觀風致之利益時，本條例所規定之課處刑事罰，則其適用即難免於違憲」。在本件「事實關係下，即使謹慎為前述考量，原判決肯認Y於本件所為之可罰性，亦可肯定。</w:t>
      </w:r>
      <w:r w:rsidR="004753EA" w:rsidRPr="00142E7D">
        <w:rPr>
          <w:rFonts w:ascii="標楷體" w:hAnsi="標楷體"/>
          <w:kern w:val="0"/>
          <w:sz w:val="28"/>
          <w:szCs w:val="28"/>
          <w:lang w:val="de-DE" w:eastAsia="ja-JP"/>
        </w:rPr>
        <w:t>」</w:t>
      </w:r>
    </w:p>
    <w:p w:rsidR="004753EA" w:rsidRPr="00142E7D" w:rsidRDefault="004753EA" w:rsidP="00661022">
      <w:pPr>
        <w:kinsoku w:val="0"/>
        <w:overflowPunct w:val="0"/>
        <w:adjustRightInd w:val="0"/>
        <w:snapToGrid w:val="0"/>
        <w:spacing w:line="391" w:lineRule="exact"/>
        <w:ind w:left="1418" w:hanging="851"/>
        <w:jc w:val="both"/>
        <w:rPr>
          <w:rFonts w:ascii="標楷體" w:hAnsi="標楷體"/>
          <w:kern w:val="0"/>
          <w:sz w:val="28"/>
          <w:szCs w:val="28"/>
        </w:rPr>
      </w:pPr>
      <w:r w:rsidRPr="00142E7D">
        <w:rPr>
          <w:rFonts w:ascii="標楷體" w:hAnsi="標楷體"/>
          <w:kern w:val="0"/>
          <w:sz w:val="28"/>
          <w:szCs w:val="28"/>
        </w:rPr>
        <w:t>（二）基於補充落實接近使用傳播媒體角度</w:t>
      </w:r>
    </w:p>
    <w:p w:rsidR="004753EA" w:rsidRPr="00142E7D" w:rsidRDefault="004753EA" w:rsidP="00661022">
      <w:pPr>
        <w:kinsoku w:val="0"/>
        <w:overflowPunct w:val="0"/>
        <w:adjustRightInd w:val="0"/>
        <w:snapToGrid w:val="0"/>
        <w:spacing w:line="391" w:lineRule="exact"/>
        <w:ind w:left="1418" w:firstLine="561"/>
        <w:jc w:val="both"/>
        <w:rPr>
          <w:rFonts w:ascii="標楷體" w:hAnsi="標楷體"/>
          <w:kern w:val="0"/>
          <w:sz w:val="28"/>
          <w:szCs w:val="28"/>
        </w:rPr>
      </w:pPr>
      <w:r w:rsidRPr="00142E7D">
        <w:rPr>
          <w:rFonts w:ascii="標楷體" w:hAnsi="標楷體"/>
          <w:kern w:val="0"/>
          <w:sz w:val="28"/>
          <w:szCs w:val="28"/>
        </w:rPr>
        <w:t>現代社會雖網路之運用與傳佈非常方便與活絡，除本院過去釋字第三六四號解釋所宣告之接近媒體使用權外，國民能言論表達之管道與方式亦愈加多元，但無可否認，仍有不少國民不能或不便運用網路，傳統之與於街頭等傳佈廣告物等言論表達方法，對其而言，仍屬費用低廉，特別是對於有經濟負擔者，係簡便、有效果之表現方法，在我國社會，似仍不能不加考慮。</w:t>
      </w:r>
    </w:p>
    <w:p w:rsidR="00096AD1" w:rsidRPr="00142E7D" w:rsidRDefault="004753EA" w:rsidP="00096AD1">
      <w:pPr>
        <w:kinsoku w:val="0"/>
        <w:overflowPunct w:val="0"/>
        <w:adjustRightInd w:val="0"/>
        <w:snapToGrid w:val="0"/>
        <w:spacing w:line="391" w:lineRule="exact"/>
        <w:ind w:left="1418" w:firstLine="561"/>
        <w:jc w:val="distribute"/>
        <w:rPr>
          <w:rFonts w:ascii="標楷體" w:hAnsi="標楷體" w:hint="eastAsia"/>
          <w:kern w:val="0"/>
          <w:sz w:val="28"/>
          <w:szCs w:val="28"/>
        </w:rPr>
      </w:pPr>
      <w:r w:rsidRPr="00142E7D">
        <w:rPr>
          <w:rFonts w:ascii="標楷體" w:hAnsi="標楷體"/>
          <w:kern w:val="0"/>
          <w:sz w:val="28"/>
          <w:szCs w:val="28"/>
        </w:rPr>
        <w:t>本院釋字第三六四號解釋所確立之對於人民平等</w:t>
      </w:r>
      <w:r w:rsidRPr="00142E7D">
        <w:rPr>
          <w:rFonts w:ascii="標楷體" w:hAnsi="標楷體"/>
          <w:kern w:val="0"/>
          <w:sz w:val="28"/>
          <w:szCs w:val="28"/>
          <w:lang w:val="fr-FR"/>
        </w:rPr>
        <w:t>「接近使用傳播媒體」</w:t>
      </w:r>
      <w:r w:rsidRPr="00142E7D">
        <w:rPr>
          <w:rFonts w:ascii="標楷體" w:hAnsi="標楷體"/>
          <w:kern w:val="0"/>
          <w:sz w:val="28"/>
          <w:szCs w:val="28"/>
        </w:rPr>
        <w:t>意旨之落實角度，亦應考慮使公共空間之利用，亦能作為</w:t>
      </w:r>
    </w:p>
    <w:p w:rsidR="004753EA" w:rsidRPr="00142E7D" w:rsidRDefault="004753EA" w:rsidP="00096AD1">
      <w:pPr>
        <w:kinsoku w:val="0"/>
        <w:overflowPunct w:val="0"/>
        <w:adjustRightInd w:val="0"/>
        <w:snapToGrid w:val="0"/>
        <w:spacing w:line="404" w:lineRule="exact"/>
        <w:ind w:left="1418"/>
        <w:jc w:val="both"/>
        <w:rPr>
          <w:rFonts w:ascii="標楷體" w:hAnsi="標楷體"/>
          <w:kern w:val="0"/>
          <w:sz w:val="28"/>
          <w:szCs w:val="28"/>
        </w:rPr>
      </w:pPr>
      <w:r w:rsidRPr="00142E7D">
        <w:rPr>
          <w:rFonts w:ascii="標楷體" w:hAnsi="標楷體"/>
          <w:kern w:val="0"/>
          <w:sz w:val="28"/>
          <w:szCs w:val="28"/>
        </w:rPr>
        <w:t>表達言論自由之地點與方式。</w:t>
      </w:r>
    </w:p>
    <w:p w:rsidR="004753EA" w:rsidRPr="00142E7D" w:rsidRDefault="004753EA" w:rsidP="00096AD1">
      <w:pPr>
        <w:kinsoku w:val="0"/>
        <w:overflowPunct w:val="0"/>
        <w:adjustRightInd w:val="0"/>
        <w:snapToGrid w:val="0"/>
        <w:spacing w:line="404" w:lineRule="exact"/>
        <w:ind w:left="284"/>
        <w:jc w:val="both"/>
        <w:rPr>
          <w:rFonts w:ascii="標楷體" w:hAnsi="標楷體"/>
          <w:kern w:val="0"/>
          <w:sz w:val="28"/>
          <w:szCs w:val="28"/>
        </w:rPr>
      </w:pPr>
      <w:r w:rsidRPr="00142E7D">
        <w:rPr>
          <w:rFonts w:ascii="標楷體" w:hAnsi="標楷體"/>
          <w:kern w:val="0"/>
          <w:sz w:val="28"/>
          <w:szCs w:val="28"/>
        </w:rPr>
        <w:t>三、其他受憲法保障之基本權利</w:t>
      </w:r>
    </w:p>
    <w:p w:rsidR="004753EA" w:rsidRPr="00142E7D" w:rsidRDefault="004753EA" w:rsidP="00096AD1">
      <w:pPr>
        <w:kinsoku w:val="0"/>
        <w:overflowPunct w:val="0"/>
        <w:adjustRightInd w:val="0"/>
        <w:snapToGrid w:val="0"/>
        <w:spacing w:line="404" w:lineRule="exact"/>
        <w:ind w:left="1418" w:hanging="851"/>
        <w:jc w:val="both"/>
        <w:rPr>
          <w:rFonts w:ascii="標楷體" w:hAnsi="標楷體"/>
          <w:kern w:val="0"/>
          <w:sz w:val="28"/>
          <w:szCs w:val="28"/>
        </w:rPr>
      </w:pPr>
      <w:r w:rsidRPr="00142E7D">
        <w:rPr>
          <w:rFonts w:ascii="標楷體" w:hAnsi="標楷體"/>
          <w:kern w:val="0"/>
          <w:sz w:val="28"/>
          <w:szCs w:val="28"/>
        </w:rPr>
        <w:t>（一）本號解釋理由書指出，</w:t>
      </w:r>
      <w:r w:rsidRPr="00142E7D">
        <w:rPr>
          <w:rFonts w:ascii="標楷體" w:hAnsi="標楷體"/>
          <w:kern w:val="0"/>
          <w:sz w:val="28"/>
          <w:szCs w:val="28"/>
          <w:lang w:val="fr-FR"/>
        </w:rPr>
        <w:t>「主管機關於依本解釋意旨修正系爭公告時，應通盤考量其可能造成言論自由或其他憲法上所保障之基本權利限制之必要性與適當性」</w:t>
      </w:r>
      <w:r w:rsidRPr="00142E7D">
        <w:rPr>
          <w:rFonts w:ascii="標楷體" w:hAnsi="標楷體"/>
          <w:kern w:val="0"/>
          <w:sz w:val="28"/>
          <w:szCs w:val="28"/>
        </w:rPr>
        <w:t>等語，值得肯定。</w:t>
      </w:r>
    </w:p>
    <w:p w:rsidR="004753EA" w:rsidRPr="00142E7D" w:rsidRDefault="004753EA" w:rsidP="00096AD1">
      <w:pPr>
        <w:kinsoku w:val="0"/>
        <w:overflowPunct w:val="0"/>
        <w:adjustRightInd w:val="0"/>
        <w:snapToGrid w:val="0"/>
        <w:spacing w:line="404" w:lineRule="exact"/>
        <w:ind w:left="1418" w:firstLine="561"/>
        <w:jc w:val="both"/>
        <w:rPr>
          <w:rFonts w:ascii="標楷體" w:hAnsi="標楷體"/>
          <w:kern w:val="0"/>
          <w:sz w:val="28"/>
          <w:szCs w:val="28"/>
        </w:rPr>
      </w:pPr>
      <w:r w:rsidRPr="00142E7D">
        <w:rPr>
          <w:rFonts w:ascii="標楷體" w:hAnsi="標楷體"/>
          <w:kern w:val="0"/>
          <w:sz w:val="28"/>
          <w:szCs w:val="28"/>
        </w:rPr>
        <w:t>在本案，多數大法官認為宗教自由為言論自由所吸收，因此不予討論。可是在現今時代，有些其他自由是言論自由、宗教自由或藝術自由等憲法列舉之自由權利所無法涵括？德國的一般行為自由，乃隨著時代發展，其運用愈來愈多。過去只是從消極防止公權力侵害角度觀察，現在變成包含個人積極追求幸福或人格發展權利之視野考量。</w:t>
      </w:r>
    </w:p>
    <w:p w:rsidR="004753EA" w:rsidRPr="00142E7D" w:rsidRDefault="004753EA" w:rsidP="00096AD1">
      <w:pPr>
        <w:kinsoku w:val="0"/>
        <w:overflowPunct w:val="0"/>
        <w:adjustRightInd w:val="0"/>
        <w:snapToGrid w:val="0"/>
        <w:spacing w:line="404" w:lineRule="exact"/>
        <w:ind w:left="1418" w:hanging="851"/>
        <w:jc w:val="both"/>
        <w:rPr>
          <w:rFonts w:ascii="標楷體" w:hAnsi="標楷體"/>
          <w:kern w:val="0"/>
          <w:sz w:val="28"/>
          <w:szCs w:val="28"/>
        </w:rPr>
      </w:pPr>
      <w:r w:rsidRPr="00142E7D">
        <w:rPr>
          <w:rFonts w:ascii="標楷體" w:hAnsi="標楷體"/>
          <w:kern w:val="0"/>
          <w:sz w:val="28"/>
          <w:szCs w:val="28"/>
        </w:rPr>
        <w:t>（二）本案廢棄物清理事務有無辦法涵蓋既有之憲法所列舉之基本權利？例如在歐、美、日本，甚至我國目前日漸增多之無人機（空拍機）在公共空間操作、飛行之案例，是屬表現自由、或其他何種自由？</w:t>
      </w:r>
      <w:r w:rsidRPr="00142E7D">
        <w:rPr>
          <w:rFonts w:ascii="標楷體" w:hAnsi="標楷體"/>
          <w:kern w:val="0"/>
          <w:sz w:val="28"/>
          <w:szCs w:val="28"/>
        </w:rPr>
        <w:lastRenderedPageBreak/>
        <w:t>一般行為自由於現在社會運用相當廣泛，尤其重視保障積極發展個人人格自由或追求幸福權利方面，例如於德國，甚至將在沙灘上騎馬、於都市餵養鴿子等行為，亦可劃歸一般行為自由領域</w:t>
      </w:r>
      <w:r w:rsidRPr="00142E7D">
        <w:rPr>
          <w:rStyle w:val="ab"/>
          <w:rFonts w:ascii="標楷體" w:hAnsi="標楷體"/>
          <w:kern w:val="0"/>
          <w:sz w:val="28"/>
          <w:szCs w:val="28"/>
        </w:rPr>
        <w:footnoteReference w:id="13"/>
      </w:r>
      <w:r w:rsidRPr="00142E7D">
        <w:rPr>
          <w:rFonts w:ascii="標楷體" w:hAnsi="標楷體"/>
          <w:kern w:val="0"/>
          <w:sz w:val="28"/>
          <w:szCs w:val="28"/>
        </w:rPr>
        <w:t>。所以，本案思考上若屬一般行為自由之論述，此時會產生對憲法第二十二條一般行為之限制，是否合乎比例原則的問題。</w:t>
      </w:r>
    </w:p>
    <w:p w:rsidR="004753EA" w:rsidRPr="00142E7D" w:rsidRDefault="00437877" w:rsidP="00096AD1">
      <w:pPr>
        <w:kinsoku w:val="0"/>
        <w:overflowPunct w:val="0"/>
        <w:adjustRightInd w:val="0"/>
        <w:snapToGrid w:val="0"/>
        <w:spacing w:line="404" w:lineRule="exact"/>
        <w:jc w:val="both"/>
        <w:rPr>
          <w:rFonts w:ascii="標楷體" w:hAnsi="標楷體"/>
          <w:kern w:val="0"/>
          <w:sz w:val="28"/>
          <w:szCs w:val="28"/>
        </w:rPr>
      </w:pPr>
      <w:r w:rsidRPr="00142E7D">
        <w:rPr>
          <w:rFonts w:ascii="標楷體" w:hAnsi="標楷體" w:hint="eastAsia"/>
          <w:kern w:val="0"/>
          <w:sz w:val="28"/>
          <w:szCs w:val="28"/>
        </w:rPr>
        <w:t>參</w:t>
      </w:r>
      <w:r w:rsidR="004753EA" w:rsidRPr="00142E7D">
        <w:rPr>
          <w:rFonts w:ascii="標楷體" w:hAnsi="標楷體"/>
          <w:kern w:val="0"/>
          <w:sz w:val="28"/>
          <w:szCs w:val="28"/>
        </w:rPr>
        <w:t>、與公物使用關係之關聯</w:t>
      </w:r>
    </w:p>
    <w:p w:rsidR="004753EA" w:rsidRPr="00142E7D" w:rsidRDefault="004753EA" w:rsidP="00096AD1">
      <w:pPr>
        <w:kinsoku w:val="0"/>
        <w:overflowPunct w:val="0"/>
        <w:adjustRightInd w:val="0"/>
        <w:snapToGrid w:val="0"/>
        <w:spacing w:line="404" w:lineRule="exact"/>
        <w:ind w:left="561" w:firstLine="561"/>
        <w:jc w:val="both"/>
        <w:rPr>
          <w:rFonts w:ascii="標楷體" w:hAnsi="標楷體"/>
          <w:kern w:val="0"/>
          <w:sz w:val="28"/>
          <w:szCs w:val="28"/>
        </w:rPr>
      </w:pPr>
      <w:r w:rsidRPr="00142E7D">
        <w:rPr>
          <w:rFonts w:ascii="標楷體" w:hAnsi="標楷體"/>
          <w:kern w:val="0"/>
          <w:sz w:val="28"/>
          <w:szCs w:val="28"/>
        </w:rPr>
        <w:t>解釋理由書第三段指出，廣告兼具意見表達之性質，屬於憲法第十一條所保障之言論範疇（本院釋字第四一四號、第六二三號解釋參照），而公共場所於不妨礙其通常使用方式之範圍內，亦非不得為言論表達及意見溝通之見解顯示，本件因廢棄物清理法之適用，牽涉當事人公物之使用與限制，連帶引起諸如言論自由等憲法上所保障基本權利受侵害之疑慮，因此，理解行政法學上關於公物之使用與管理之法律關係，為有意義與必要的課題。而解釋理由若從公物使用出發，是否有涵蓋不足或規範漏洞問題，如下所述，本席認為應不至於發生。</w:t>
      </w:r>
    </w:p>
    <w:p w:rsidR="004753EA" w:rsidRPr="00142E7D" w:rsidRDefault="004753EA" w:rsidP="00096AD1">
      <w:pPr>
        <w:kinsoku w:val="0"/>
        <w:overflowPunct w:val="0"/>
        <w:adjustRightInd w:val="0"/>
        <w:snapToGrid w:val="0"/>
        <w:spacing w:line="404" w:lineRule="exact"/>
        <w:ind w:left="284"/>
        <w:jc w:val="both"/>
        <w:rPr>
          <w:rFonts w:ascii="標楷體" w:hAnsi="標楷體"/>
          <w:kern w:val="0"/>
          <w:sz w:val="28"/>
          <w:szCs w:val="28"/>
        </w:rPr>
      </w:pPr>
      <w:r w:rsidRPr="00142E7D">
        <w:rPr>
          <w:rFonts w:ascii="標楷體" w:hAnsi="標楷體"/>
          <w:kern w:val="0"/>
          <w:sz w:val="28"/>
          <w:szCs w:val="28"/>
        </w:rPr>
        <w:t>一</w:t>
      </w:r>
      <w:r w:rsidR="00594C9D">
        <w:rPr>
          <w:rFonts w:ascii="標楷體" w:hAnsi="標楷體" w:hint="eastAsia"/>
          <w:kern w:val="0"/>
          <w:sz w:val="28"/>
          <w:szCs w:val="28"/>
        </w:rPr>
        <w:t xml:space="preserve"> </w:t>
      </w:r>
      <w:r w:rsidRPr="00142E7D">
        <w:rPr>
          <w:rFonts w:ascii="標楷體" w:hAnsi="標楷體"/>
          <w:kern w:val="0"/>
          <w:sz w:val="28"/>
          <w:szCs w:val="28"/>
        </w:rPr>
        <w:t>公物與公共用物、一般使用（通常使用）與特別使用。</w:t>
      </w:r>
    </w:p>
    <w:p w:rsidR="00096AD1" w:rsidRPr="00142E7D" w:rsidRDefault="004753EA" w:rsidP="00096AD1">
      <w:pPr>
        <w:kinsoku w:val="0"/>
        <w:overflowPunct w:val="0"/>
        <w:adjustRightInd w:val="0"/>
        <w:snapToGrid w:val="0"/>
        <w:spacing w:line="404" w:lineRule="exact"/>
        <w:ind w:left="879" w:firstLine="539"/>
        <w:jc w:val="distribute"/>
        <w:rPr>
          <w:rFonts w:ascii="標楷體" w:hAnsi="標楷體" w:hint="eastAsia"/>
          <w:kern w:val="0"/>
          <w:sz w:val="28"/>
          <w:szCs w:val="28"/>
        </w:rPr>
      </w:pPr>
      <w:r w:rsidRPr="00142E7D">
        <w:rPr>
          <w:rFonts w:ascii="標楷體" w:hAnsi="標楷體"/>
          <w:kern w:val="0"/>
          <w:sz w:val="28"/>
          <w:szCs w:val="28"/>
        </w:rPr>
        <w:t>關於公物，我國主要規範法源為國有財產法。依國有財產法第四條規定，國有財產分為公務用、公共用及事業用國有財產。國內學者對於公物有各種分類，惟關於公物使用關係，其論述則大同小異，尤其與德</w:t>
      </w:r>
    </w:p>
    <w:p w:rsidR="004753EA" w:rsidRPr="00142E7D" w:rsidRDefault="004753EA" w:rsidP="00096AD1">
      <w:pPr>
        <w:kinsoku w:val="0"/>
        <w:overflowPunct w:val="0"/>
        <w:adjustRightInd w:val="0"/>
        <w:snapToGrid w:val="0"/>
        <w:spacing w:line="391" w:lineRule="exact"/>
        <w:ind w:left="879"/>
        <w:jc w:val="both"/>
        <w:rPr>
          <w:rFonts w:ascii="標楷體" w:hAnsi="標楷體"/>
          <w:kern w:val="0"/>
          <w:sz w:val="28"/>
          <w:szCs w:val="28"/>
        </w:rPr>
      </w:pPr>
      <w:r w:rsidRPr="00142E7D">
        <w:rPr>
          <w:rFonts w:ascii="標楷體" w:hAnsi="標楷體"/>
          <w:kern w:val="0"/>
          <w:sz w:val="28"/>
          <w:szCs w:val="28"/>
        </w:rPr>
        <w:t>國、日本學界實務界之論述相通</w:t>
      </w:r>
      <w:r w:rsidRPr="00142E7D">
        <w:rPr>
          <w:rStyle w:val="ab"/>
          <w:rFonts w:ascii="標楷體" w:hAnsi="標楷體"/>
          <w:kern w:val="0"/>
          <w:sz w:val="28"/>
          <w:szCs w:val="28"/>
        </w:rPr>
        <w:footnoteReference w:id="14"/>
      </w:r>
      <w:r w:rsidRPr="00142E7D">
        <w:rPr>
          <w:rFonts w:ascii="標楷體" w:hAnsi="標楷體"/>
          <w:kern w:val="0"/>
          <w:sz w:val="28"/>
          <w:szCs w:val="28"/>
        </w:rPr>
        <w:t>。而所謂公共用物，指經行政主體提供公眾自由在該物使用目的範圍內，且無需特別許可而使用之物，例如道路、橋樑、廣場、河川等</w:t>
      </w:r>
      <w:r w:rsidR="002F5125" w:rsidRPr="00142E7D">
        <w:rPr>
          <w:rStyle w:val="ab"/>
          <w:rFonts w:ascii="標楷體" w:hAnsi="標楷體"/>
          <w:kern w:val="0"/>
          <w:sz w:val="28"/>
          <w:szCs w:val="28"/>
        </w:rPr>
        <w:footnoteReference w:id="15"/>
      </w:r>
      <w:r w:rsidRPr="00142E7D">
        <w:rPr>
          <w:rFonts w:ascii="標楷體" w:hAnsi="標楷體"/>
          <w:kern w:val="0"/>
          <w:sz w:val="28"/>
          <w:szCs w:val="28"/>
        </w:rPr>
        <w:t>。但欲超出該物使用目的範圍而為特殊使用者，例外需經許可，例如在道路舉辦路跑、設攤，設自動販賣機等。</w:t>
      </w:r>
    </w:p>
    <w:p w:rsidR="004753EA" w:rsidRPr="00142E7D" w:rsidRDefault="004753EA" w:rsidP="00661022">
      <w:pPr>
        <w:kinsoku w:val="0"/>
        <w:overflowPunct w:val="0"/>
        <w:adjustRightInd w:val="0"/>
        <w:snapToGrid w:val="0"/>
        <w:spacing w:line="391" w:lineRule="exact"/>
        <w:ind w:left="879" w:firstLine="539"/>
        <w:jc w:val="both"/>
        <w:rPr>
          <w:rFonts w:ascii="標楷體" w:hAnsi="標楷體"/>
          <w:kern w:val="0"/>
          <w:sz w:val="28"/>
          <w:szCs w:val="28"/>
          <w:shd w:val="pct15" w:color="auto" w:fill="FFFFFF"/>
        </w:rPr>
      </w:pPr>
      <w:r w:rsidRPr="00142E7D">
        <w:rPr>
          <w:rFonts w:ascii="標楷體" w:hAnsi="標楷體"/>
          <w:kern w:val="0"/>
          <w:sz w:val="28"/>
          <w:szCs w:val="28"/>
        </w:rPr>
        <w:t>廣告物表達之空間概可分為私有物、公用物、公共用物三類，一般言，公物乃提供公用之物，但可分為公用物與公共用物。換言之，道路、河川等公共用物，其本質在於提供不特定多數之公眾之用。而實務上</w:t>
      </w:r>
      <w:r w:rsidRPr="00142E7D">
        <w:rPr>
          <w:rFonts w:ascii="標楷體" w:hAnsi="標楷體"/>
          <w:kern w:val="0"/>
          <w:sz w:val="28"/>
          <w:szCs w:val="28"/>
        </w:rPr>
        <w:lastRenderedPageBreak/>
        <w:t>因公物之性質不同，在相關法律有個別規定。例如，道路交通管理處罰條例第八十二條第一項第八款。</w:t>
      </w:r>
    </w:p>
    <w:p w:rsidR="004753EA" w:rsidRPr="00142E7D" w:rsidRDefault="004753EA" w:rsidP="00661022">
      <w:pPr>
        <w:kinsoku w:val="0"/>
        <w:overflowPunct w:val="0"/>
        <w:adjustRightInd w:val="0"/>
        <w:snapToGrid w:val="0"/>
        <w:spacing w:line="391" w:lineRule="exact"/>
        <w:ind w:left="879" w:firstLine="539"/>
        <w:jc w:val="both"/>
        <w:rPr>
          <w:rFonts w:ascii="標楷體" w:hAnsi="標楷體"/>
          <w:kern w:val="0"/>
          <w:sz w:val="28"/>
          <w:szCs w:val="28"/>
        </w:rPr>
      </w:pPr>
      <w:r w:rsidRPr="00142E7D">
        <w:rPr>
          <w:rFonts w:ascii="標楷體" w:hAnsi="標楷體"/>
          <w:kern w:val="0"/>
          <w:sz w:val="28"/>
          <w:szCs w:val="28"/>
        </w:rPr>
        <w:t>相對地，關於公用物，例如機關之建築物、國公立學校之校舍等，實際上得使用之人，應依法律所限制得使用者之範圍為前提，機關之建築物，即使各種各樣外部人民時常出入，但終究其目的乃提供公務員勤務之用，通常非公物管理法之規範對象，而毋寧說係屬中央或地方財產之目的外使用問題</w:t>
      </w:r>
      <w:r w:rsidRPr="00142E7D">
        <w:rPr>
          <w:rStyle w:val="ab"/>
          <w:rFonts w:ascii="標楷體" w:hAnsi="標楷體"/>
          <w:kern w:val="0"/>
          <w:sz w:val="28"/>
          <w:szCs w:val="28"/>
        </w:rPr>
        <w:footnoteReference w:id="16"/>
      </w:r>
      <w:r w:rsidRPr="00142E7D">
        <w:rPr>
          <w:rFonts w:ascii="標楷體" w:hAnsi="標楷體"/>
          <w:kern w:val="0"/>
          <w:sz w:val="28"/>
          <w:szCs w:val="28"/>
        </w:rPr>
        <w:t>。</w:t>
      </w:r>
    </w:p>
    <w:p w:rsidR="004753EA" w:rsidRPr="00142E7D" w:rsidRDefault="004753EA" w:rsidP="00661022">
      <w:pPr>
        <w:kinsoku w:val="0"/>
        <w:overflowPunct w:val="0"/>
        <w:adjustRightInd w:val="0"/>
        <w:snapToGrid w:val="0"/>
        <w:spacing w:line="391" w:lineRule="exact"/>
        <w:ind w:left="851" w:hanging="567"/>
        <w:jc w:val="both"/>
        <w:rPr>
          <w:rFonts w:ascii="標楷體" w:hAnsi="標楷體"/>
          <w:kern w:val="0"/>
          <w:sz w:val="28"/>
          <w:szCs w:val="28"/>
        </w:rPr>
      </w:pPr>
      <w:r w:rsidRPr="00142E7D">
        <w:rPr>
          <w:rFonts w:ascii="標楷體" w:hAnsi="標楷體"/>
          <w:kern w:val="0"/>
          <w:sz w:val="28"/>
          <w:szCs w:val="28"/>
        </w:rPr>
        <w:t>二、公共用物之使用關係，基本上為一般、通常（自由）使用。相對的為許可使用與特許使用。</w:t>
      </w:r>
    </w:p>
    <w:p w:rsidR="004753EA" w:rsidRPr="00142E7D" w:rsidRDefault="004753EA" w:rsidP="00661022">
      <w:pPr>
        <w:kinsoku w:val="0"/>
        <w:overflowPunct w:val="0"/>
        <w:adjustRightInd w:val="0"/>
        <w:snapToGrid w:val="0"/>
        <w:spacing w:line="391" w:lineRule="exact"/>
        <w:ind w:left="1418" w:hanging="851"/>
        <w:jc w:val="both"/>
        <w:rPr>
          <w:rFonts w:ascii="標楷體" w:hAnsi="標楷體"/>
          <w:kern w:val="0"/>
          <w:sz w:val="28"/>
          <w:szCs w:val="28"/>
        </w:rPr>
      </w:pPr>
      <w:r w:rsidRPr="00142E7D">
        <w:rPr>
          <w:rFonts w:ascii="標楷體" w:hAnsi="標楷體"/>
          <w:kern w:val="0"/>
          <w:sz w:val="28"/>
          <w:szCs w:val="28"/>
        </w:rPr>
        <w:t>（一）一般使用</w:t>
      </w:r>
    </w:p>
    <w:p w:rsidR="004753EA" w:rsidRPr="00142E7D" w:rsidRDefault="004753EA" w:rsidP="00661022">
      <w:pPr>
        <w:kinsoku w:val="0"/>
        <w:overflowPunct w:val="0"/>
        <w:adjustRightInd w:val="0"/>
        <w:snapToGrid w:val="0"/>
        <w:spacing w:line="391" w:lineRule="exact"/>
        <w:ind w:left="1418" w:firstLine="561"/>
        <w:jc w:val="both"/>
        <w:rPr>
          <w:rFonts w:ascii="標楷體" w:hAnsi="標楷體"/>
          <w:kern w:val="0"/>
          <w:sz w:val="28"/>
          <w:szCs w:val="28"/>
          <w:shd w:val="pct15" w:color="auto" w:fill="FFFFFF"/>
        </w:rPr>
      </w:pPr>
      <w:r w:rsidRPr="00142E7D">
        <w:rPr>
          <w:rFonts w:ascii="標楷體" w:hAnsi="標楷體"/>
          <w:kern w:val="0"/>
          <w:sz w:val="28"/>
          <w:szCs w:val="28"/>
        </w:rPr>
        <w:t>所謂一般使用指民眾不用為任何意思表示，而得利用公物之謂。如道路上開車、河川就航、海灘戲水等。公共用物之基本方式即為一般使用</w:t>
      </w:r>
      <w:r w:rsidR="004C7AFA" w:rsidRPr="00142E7D">
        <w:rPr>
          <w:rStyle w:val="ab"/>
          <w:rFonts w:ascii="標楷體" w:hAnsi="標楷體"/>
          <w:kern w:val="0"/>
          <w:sz w:val="28"/>
          <w:szCs w:val="28"/>
        </w:rPr>
        <w:footnoteReference w:id="17"/>
      </w:r>
      <w:r w:rsidRPr="00142E7D">
        <w:rPr>
          <w:rFonts w:ascii="標楷體" w:hAnsi="標楷體"/>
          <w:kern w:val="0"/>
          <w:sz w:val="28"/>
          <w:szCs w:val="28"/>
        </w:rPr>
        <w:t>。但此非完全自由，須遵從法律</w:t>
      </w:r>
      <w:r w:rsidR="004C7AFA" w:rsidRPr="00142E7D">
        <w:rPr>
          <w:rStyle w:val="ab"/>
          <w:rFonts w:ascii="標楷體" w:hAnsi="標楷體"/>
          <w:kern w:val="0"/>
          <w:sz w:val="28"/>
          <w:szCs w:val="28"/>
        </w:rPr>
        <w:footnoteReference w:id="18"/>
      </w:r>
      <w:r w:rsidRPr="00142E7D">
        <w:rPr>
          <w:rFonts w:ascii="標楷體" w:hAnsi="標楷體"/>
          <w:kern w:val="0"/>
          <w:sz w:val="28"/>
          <w:szCs w:val="28"/>
        </w:rPr>
        <w:t>或管理者之規定而受限制。又時常亦須服從公物警察所為之限制，如道路交通管理處罰條例第八十二條第一項規定。</w:t>
      </w:r>
    </w:p>
    <w:p w:rsidR="004753EA" w:rsidRPr="00142E7D" w:rsidRDefault="004753EA" w:rsidP="00661022">
      <w:pPr>
        <w:kinsoku w:val="0"/>
        <w:overflowPunct w:val="0"/>
        <w:adjustRightInd w:val="0"/>
        <w:snapToGrid w:val="0"/>
        <w:spacing w:line="391" w:lineRule="exact"/>
        <w:ind w:left="1418" w:hanging="851"/>
        <w:jc w:val="both"/>
        <w:rPr>
          <w:rFonts w:ascii="標楷體" w:hAnsi="標楷體"/>
          <w:kern w:val="0"/>
          <w:sz w:val="28"/>
          <w:szCs w:val="28"/>
        </w:rPr>
      </w:pPr>
      <w:r w:rsidRPr="00142E7D">
        <w:rPr>
          <w:rFonts w:ascii="標楷體" w:hAnsi="標楷體"/>
          <w:kern w:val="0"/>
          <w:sz w:val="28"/>
          <w:szCs w:val="28"/>
        </w:rPr>
        <w:t>（二）許可使用</w:t>
      </w:r>
    </w:p>
    <w:p w:rsidR="004753EA" w:rsidRPr="00142E7D" w:rsidRDefault="004753EA" w:rsidP="00661022">
      <w:pPr>
        <w:kinsoku w:val="0"/>
        <w:overflowPunct w:val="0"/>
        <w:adjustRightInd w:val="0"/>
        <w:snapToGrid w:val="0"/>
        <w:spacing w:line="391" w:lineRule="exact"/>
        <w:ind w:left="1418" w:firstLine="561"/>
        <w:jc w:val="both"/>
        <w:rPr>
          <w:rFonts w:ascii="標楷體" w:hAnsi="標楷體"/>
          <w:kern w:val="0"/>
          <w:sz w:val="28"/>
          <w:szCs w:val="28"/>
        </w:rPr>
      </w:pPr>
      <w:r w:rsidRPr="00142E7D">
        <w:rPr>
          <w:rFonts w:ascii="標楷體" w:hAnsi="標楷體"/>
          <w:kern w:val="0"/>
          <w:sz w:val="28"/>
          <w:szCs w:val="28"/>
        </w:rPr>
        <w:t>許可使用指基本上屬自由使用領域，但事先對使用行為禁止，只有當申請獲得許可後，方解除禁止而得使用之制度</w:t>
      </w:r>
      <w:r w:rsidR="004C7AFA" w:rsidRPr="00142E7D">
        <w:rPr>
          <w:rStyle w:val="ab"/>
          <w:rFonts w:ascii="標楷體" w:hAnsi="標楷體"/>
          <w:kern w:val="0"/>
          <w:sz w:val="28"/>
          <w:szCs w:val="28"/>
        </w:rPr>
        <w:footnoteReference w:id="19"/>
      </w:r>
      <w:r w:rsidRPr="00142E7D">
        <w:rPr>
          <w:rFonts w:ascii="標楷體" w:hAnsi="標楷體"/>
          <w:kern w:val="0"/>
          <w:sz w:val="28"/>
          <w:szCs w:val="28"/>
        </w:rPr>
        <w:t>。此一許可，概念上可能同時包含公物管理作用上之許可，同時是公物警察上之警察許可。例如道路上之工事作業，同時須道路法與道路交通雙方之許可。</w:t>
      </w:r>
    </w:p>
    <w:p w:rsidR="004753EA" w:rsidRPr="00142E7D" w:rsidRDefault="004753EA" w:rsidP="00661022">
      <w:pPr>
        <w:kinsoku w:val="0"/>
        <w:overflowPunct w:val="0"/>
        <w:adjustRightInd w:val="0"/>
        <w:snapToGrid w:val="0"/>
        <w:spacing w:line="391" w:lineRule="exact"/>
        <w:ind w:left="1418" w:firstLine="561"/>
        <w:jc w:val="both"/>
        <w:rPr>
          <w:rFonts w:ascii="標楷體" w:hAnsi="標楷體"/>
          <w:kern w:val="0"/>
          <w:sz w:val="28"/>
          <w:szCs w:val="28"/>
          <w:shd w:val="pct15" w:color="auto" w:fill="FFFFFF"/>
        </w:rPr>
      </w:pPr>
      <w:r w:rsidRPr="00142E7D">
        <w:rPr>
          <w:rFonts w:ascii="標楷體" w:hAnsi="標楷體"/>
          <w:kern w:val="0"/>
          <w:sz w:val="28"/>
          <w:szCs w:val="28"/>
        </w:rPr>
        <w:t>公共用物如超出該物使用目的之範圍，則須經許可</w:t>
      </w:r>
      <w:r w:rsidR="00E816E2" w:rsidRPr="00142E7D">
        <w:rPr>
          <w:rStyle w:val="ab"/>
          <w:rFonts w:ascii="標楷體" w:hAnsi="標楷體"/>
          <w:kern w:val="0"/>
          <w:sz w:val="28"/>
          <w:szCs w:val="28"/>
        </w:rPr>
        <w:footnoteReference w:id="20"/>
      </w:r>
      <w:r w:rsidRPr="00142E7D">
        <w:rPr>
          <w:rFonts w:ascii="標楷體" w:hAnsi="標楷體"/>
          <w:kern w:val="0"/>
          <w:sz w:val="28"/>
          <w:szCs w:val="28"/>
        </w:rPr>
        <w:t>，例如道路交通管理處罰條例第八十二條第一項第五、六、八、九、十款，其中第八款即有關廣告物之設置問題。</w:t>
      </w:r>
    </w:p>
    <w:p w:rsidR="004753EA" w:rsidRPr="00142E7D" w:rsidRDefault="004753EA" w:rsidP="00661022">
      <w:pPr>
        <w:kinsoku w:val="0"/>
        <w:overflowPunct w:val="0"/>
        <w:adjustRightInd w:val="0"/>
        <w:snapToGrid w:val="0"/>
        <w:spacing w:line="391" w:lineRule="exact"/>
        <w:ind w:left="1418" w:hanging="851"/>
        <w:jc w:val="both"/>
        <w:rPr>
          <w:rFonts w:ascii="標楷體" w:hAnsi="標楷體"/>
          <w:kern w:val="0"/>
          <w:sz w:val="28"/>
          <w:szCs w:val="28"/>
        </w:rPr>
      </w:pPr>
      <w:r w:rsidRPr="00142E7D">
        <w:rPr>
          <w:rFonts w:ascii="標楷體" w:hAnsi="標楷體"/>
          <w:kern w:val="0"/>
          <w:sz w:val="28"/>
          <w:szCs w:val="28"/>
        </w:rPr>
        <w:t>（三）特許使用</w:t>
      </w:r>
    </w:p>
    <w:p w:rsidR="004753EA" w:rsidRPr="00142E7D" w:rsidRDefault="004753EA" w:rsidP="00661022">
      <w:pPr>
        <w:kinsoku w:val="0"/>
        <w:overflowPunct w:val="0"/>
        <w:adjustRightInd w:val="0"/>
        <w:snapToGrid w:val="0"/>
        <w:spacing w:line="391" w:lineRule="exact"/>
        <w:ind w:left="1418" w:firstLine="561"/>
        <w:jc w:val="both"/>
        <w:rPr>
          <w:rFonts w:ascii="標楷體" w:hAnsi="標楷體"/>
          <w:kern w:val="0"/>
          <w:sz w:val="28"/>
          <w:szCs w:val="28"/>
        </w:rPr>
      </w:pPr>
      <w:r w:rsidRPr="00142E7D">
        <w:rPr>
          <w:rFonts w:ascii="標楷體" w:hAnsi="標楷體"/>
          <w:kern w:val="0"/>
          <w:sz w:val="28"/>
          <w:szCs w:val="28"/>
        </w:rPr>
        <w:t>特許使用指公物之使用須由公物管理權者設定特別之使用權方得行使之謂。例如於道路設置電線桿、埋設瓦斯管線等。特許使用非自由使用，因此就該公物，承認特定人之特定的排他利用。但因使公共用物，因此排他性有其界限</w:t>
      </w:r>
      <w:r w:rsidRPr="00142E7D">
        <w:rPr>
          <w:rStyle w:val="ab"/>
          <w:rFonts w:ascii="標楷體" w:hAnsi="標楷體"/>
          <w:kern w:val="0"/>
          <w:sz w:val="28"/>
          <w:szCs w:val="28"/>
        </w:rPr>
        <w:footnoteReference w:id="21"/>
      </w:r>
      <w:r w:rsidRPr="00142E7D">
        <w:rPr>
          <w:rFonts w:ascii="標楷體" w:hAnsi="標楷體"/>
          <w:kern w:val="0"/>
          <w:sz w:val="28"/>
          <w:szCs w:val="28"/>
        </w:rPr>
        <w:t>。</w:t>
      </w:r>
    </w:p>
    <w:p w:rsidR="004753EA" w:rsidRPr="00142E7D" w:rsidRDefault="004753EA" w:rsidP="00661022">
      <w:pPr>
        <w:kinsoku w:val="0"/>
        <w:overflowPunct w:val="0"/>
        <w:adjustRightInd w:val="0"/>
        <w:snapToGrid w:val="0"/>
        <w:spacing w:line="391" w:lineRule="exact"/>
        <w:ind w:left="1418" w:hanging="851"/>
        <w:jc w:val="both"/>
        <w:rPr>
          <w:rFonts w:ascii="標楷體" w:hAnsi="標楷體"/>
          <w:kern w:val="0"/>
          <w:sz w:val="28"/>
          <w:szCs w:val="28"/>
        </w:rPr>
      </w:pPr>
      <w:r w:rsidRPr="00142E7D">
        <w:rPr>
          <w:rFonts w:ascii="標楷體" w:hAnsi="標楷體"/>
          <w:kern w:val="0"/>
          <w:sz w:val="28"/>
          <w:szCs w:val="28"/>
        </w:rPr>
        <w:lastRenderedPageBreak/>
        <w:t>（四）公共用物使用關係之問題點</w:t>
      </w:r>
    </w:p>
    <w:p w:rsidR="004753EA" w:rsidRPr="00142E7D" w:rsidRDefault="00973F1D" w:rsidP="00661022">
      <w:pPr>
        <w:kinsoku w:val="0"/>
        <w:overflowPunct w:val="0"/>
        <w:adjustRightInd w:val="0"/>
        <w:snapToGrid w:val="0"/>
        <w:spacing w:line="391" w:lineRule="exact"/>
        <w:ind w:left="1702" w:hanging="284"/>
        <w:jc w:val="both"/>
        <w:rPr>
          <w:rFonts w:ascii="標楷體" w:hAnsi="標楷體"/>
          <w:kern w:val="0"/>
          <w:sz w:val="28"/>
          <w:szCs w:val="28"/>
        </w:rPr>
      </w:pPr>
      <w:r w:rsidRPr="00142E7D">
        <w:rPr>
          <w:rFonts w:ascii="標楷體" w:hAnsi="標楷體"/>
          <w:kern w:val="0"/>
          <w:sz w:val="28"/>
          <w:szCs w:val="28"/>
        </w:rPr>
        <w:t>1.</w:t>
      </w:r>
      <w:r w:rsidR="004753EA" w:rsidRPr="00142E7D">
        <w:rPr>
          <w:rFonts w:ascii="標楷體" w:hAnsi="標楷體"/>
          <w:kern w:val="0"/>
          <w:sz w:val="28"/>
          <w:szCs w:val="28"/>
        </w:rPr>
        <w:t>公共用物之使用關係，只是承認一般人之使用自由而已，而非設定使用權利</w:t>
      </w:r>
    </w:p>
    <w:p w:rsidR="004753EA" w:rsidRPr="00142E7D" w:rsidRDefault="004753EA" w:rsidP="00661022">
      <w:pPr>
        <w:kinsoku w:val="0"/>
        <w:overflowPunct w:val="0"/>
        <w:adjustRightInd w:val="0"/>
        <w:snapToGrid w:val="0"/>
        <w:spacing w:line="391" w:lineRule="exact"/>
        <w:ind w:left="1701" w:firstLine="561"/>
        <w:jc w:val="both"/>
        <w:rPr>
          <w:rFonts w:ascii="標楷體" w:hAnsi="標楷體"/>
          <w:kern w:val="0"/>
          <w:sz w:val="28"/>
          <w:szCs w:val="28"/>
        </w:rPr>
      </w:pPr>
      <w:r w:rsidRPr="00142E7D">
        <w:rPr>
          <w:rFonts w:ascii="標楷體" w:hAnsi="標楷體"/>
          <w:kern w:val="0"/>
          <w:sz w:val="28"/>
          <w:szCs w:val="28"/>
        </w:rPr>
        <w:t>公共用物使用關係之最原來型態為自由使用。自由使用為公共用物使用之最大特色。亦即，個人在社會中之本來就被允許的自由活動。但此與私人本來之自由領域之承認不同，此自由利用，其前提為公共用物目前提供為公共使用，因此其使用，只是承認一般人之使用自由而已，而非設定使用權利，因此，當廢止道路，使不再能自由使用時，向來之利用者，不能主張自由使用權，而攻擊該廢止處分違法，亦即就道路廢止處分，不具原告適格地位。但公共用物之廢止，若產生日常生活或日常業務之顯然障礙之情況，日本下級審法院，則有承認原告適格者。公用廢止並非屬管理者之完全裁量權，管理者有維持保存公物適合其目的之義務。因此，不能任意地使其公用廢止，而須待公物已失其供公的目的之用之必要已不存在時方可</w:t>
      </w:r>
      <w:r w:rsidRPr="00142E7D">
        <w:rPr>
          <w:rStyle w:val="ab"/>
          <w:rFonts w:ascii="標楷體" w:hAnsi="標楷體"/>
          <w:kern w:val="0"/>
          <w:sz w:val="28"/>
          <w:szCs w:val="28"/>
        </w:rPr>
        <w:footnoteReference w:id="22"/>
      </w:r>
      <w:r w:rsidRPr="00142E7D">
        <w:rPr>
          <w:rFonts w:ascii="標楷體" w:hAnsi="標楷體"/>
          <w:kern w:val="0"/>
          <w:sz w:val="28"/>
          <w:szCs w:val="28"/>
        </w:rPr>
        <w:t>。</w:t>
      </w:r>
    </w:p>
    <w:p w:rsidR="004753EA" w:rsidRPr="00142E7D" w:rsidRDefault="00C20E4E" w:rsidP="00661022">
      <w:pPr>
        <w:kinsoku w:val="0"/>
        <w:overflowPunct w:val="0"/>
        <w:adjustRightInd w:val="0"/>
        <w:snapToGrid w:val="0"/>
        <w:spacing w:line="391" w:lineRule="exact"/>
        <w:ind w:left="1701" w:firstLine="561"/>
        <w:jc w:val="both"/>
        <w:rPr>
          <w:rFonts w:ascii="標楷體" w:hAnsi="標楷體"/>
          <w:kern w:val="0"/>
          <w:sz w:val="28"/>
          <w:szCs w:val="28"/>
        </w:rPr>
      </w:pPr>
      <w:r w:rsidRPr="00142E7D">
        <w:rPr>
          <w:rFonts w:hint="eastAsia"/>
          <w:sz w:val="28"/>
          <w:szCs w:val="28"/>
        </w:rPr>
        <w:t>國內學者亦有認為，</w:t>
      </w:r>
      <w:r w:rsidR="004753EA" w:rsidRPr="00142E7D">
        <w:rPr>
          <w:rFonts w:ascii="標楷體" w:hAnsi="標楷體"/>
          <w:kern w:val="0"/>
          <w:sz w:val="28"/>
          <w:szCs w:val="28"/>
        </w:rPr>
        <w:t>對現有供一般使用之公用道路，基於憲法第二十二條對人民行動自由之保障，人民應有對於已提供作為公用道路為一般使用之公權利，而非僅有反射利益。但人民之權利尚不及於新設或繼續維持之既有道路</w:t>
      </w:r>
      <w:r w:rsidR="00DD5910" w:rsidRPr="00142E7D">
        <w:rPr>
          <w:rFonts w:hint="eastAsia"/>
          <w:sz w:val="28"/>
          <w:szCs w:val="28"/>
        </w:rPr>
        <w:t>，值得參考</w:t>
      </w:r>
      <w:r w:rsidR="00DD5910" w:rsidRPr="00142E7D">
        <w:rPr>
          <w:rStyle w:val="ab"/>
          <w:sz w:val="28"/>
          <w:szCs w:val="28"/>
        </w:rPr>
        <w:footnoteReference w:id="23"/>
      </w:r>
      <w:r w:rsidR="004753EA" w:rsidRPr="00142E7D">
        <w:rPr>
          <w:rFonts w:ascii="標楷體" w:hAnsi="標楷體"/>
          <w:kern w:val="0"/>
          <w:sz w:val="28"/>
          <w:szCs w:val="28"/>
        </w:rPr>
        <w:t>。</w:t>
      </w:r>
    </w:p>
    <w:p w:rsidR="004753EA" w:rsidRPr="00142E7D" w:rsidRDefault="00973F1D" w:rsidP="00661022">
      <w:pPr>
        <w:kinsoku w:val="0"/>
        <w:overflowPunct w:val="0"/>
        <w:adjustRightInd w:val="0"/>
        <w:snapToGrid w:val="0"/>
        <w:spacing w:line="391" w:lineRule="exact"/>
        <w:ind w:left="1702" w:hanging="284"/>
        <w:jc w:val="both"/>
        <w:rPr>
          <w:rFonts w:ascii="標楷體" w:hAnsi="標楷體"/>
          <w:kern w:val="0"/>
          <w:sz w:val="28"/>
          <w:szCs w:val="28"/>
        </w:rPr>
      </w:pPr>
      <w:r w:rsidRPr="00142E7D">
        <w:rPr>
          <w:rFonts w:ascii="標楷體" w:hAnsi="標楷體"/>
          <w:kern w:val="0"/>
          <w:sz w:val="28"/>
          <w:szCs w:val="28"/>
        </w:rPr>
        <w:t>2.</w:t>
      </w:r>
      <w:r w:rsidR="004753EA" w:rsidRPr="00142E7D">
        <w:rPr>
          <w:rFonts w:ascii="標楷體" w:hAnsi="標楷體"/>
          <w:kern w:val="0"/>
          <w:sz w:val="28"/>
          <w:szCs w:val="28"/>
        </w:rPr>
        <w:t>當私人對公務之自由使用受到第三人之妨害時，應認為此乃屬民法上之不法行為問題</w:t>
      </w:r>
      <w:r w:rsidR="004753EA" w:rsidRPr="00142E7D">
        <w:rPr>
          <w:rStyle w:val="ab"/>
          <w:rFonts w:ascii="標楷體" w:hAnsi="標楷體"/>
          <w:kern w:val="0"/>
          <w:sz w:val="28"/>
          <w:szCs w:val="28"/>
        </w:rPr>
        <w:footnoteReference w:id="24"/>
      </w:r>
      <w:r w:rsidR="004753EA" w:rsidRPr="00142E7D">
        <w:rPr>
          <w:rFonts w:ascii="標楷體" w:hAnsi="標楷體"/>
          <w:kern w:val="0"/>
          <w:sz w:val="28"/>
          <w:szCs w:val="28"/>
        </w:rPr>
        <w:t>。</w:t>
      </w:r>
    </w:p>
    <w:p w:rsidR="004753EA" w:rsidRPr="00142E7D" w:rsidRDefault="002102D1" w:rsidP="00661022">
      <w:pPr>
        <w:kinsoku w:val="0"/>
        <w:overflowPunct w:val="0"/>
        <w:adjustRightInd w:val="0"/>
        <w:snapToGrid w:val="0"/>
        <w:spacing w:line="391" w:lineRule="exact"/>
        <w:ind w:left="1702" w:hanging="284"/>
        <w:jc w:val="both"/>
        <w:rPr>
          <w:rFonts w:ascii="標楷體" w:hAnsi="標楷體"/>
          <w:kern w:val="0"/>
          <w:sz w:val="28"/>
          <w:szCs w:val="28"/>
        </w:rPr>
      </w:pPr>
      <w:r w:rsidRPr="00142E7D">
        <w:rPr>
          <w:rFonts w:ascii="標楷體" w:hAnsi="標楷體"/>
          <w:kern w:val="0"/>
          <w:sz w:val="28"/>
          <w:szCs w:val="28"/>
        </w:rPr>
        <w:t>3.</w:t>
      </w:r>
      <w:r w:rsidR="004753EA" w:rsidRPr="00142E7D">
        <w:rPr>
          <w:rFonts w:ascii="標楷體" w:hAnsi="標楷體"/>
          <w:kern w:val="0"/>
          <w:sz w:val="28"/>
          <w:szCs w:val="28"/>
        </w:rPr>
        <w:t>隨時代演變與社會發展，自由使用權內容，其本身亦非不變，例如，何謂妨害他人之自由使用權，則須依使用內容，彈性地解釋。</w:t>
      </w:r>
    </w:p>
    <w:p w:rsidR="004753EA" w:rsidRPr="00142E7D" w:rsidRDefault="002102D1" w:rsidP="00661022">
      <w:pPr>
        <w:kinsoku w:val="0"/>
        <w:overflowPunct w:val="0"/>
        <w:adjustRightInd w:val="0"/>
        <w:snapToGrid w:val="0"/>
        <w:spacing w:line="391" w:lineRule="exact"/>
        <w:ind w:left="1702" w:hanging="284"/>
        <w:jc w:val="both"/>
        <w:rPr>
          <w:rFonts w:ascii="標楷體" w:hAnsi="標楷體"/>
          <w:kern w:val="0"/>
          <w:sz w:val="28"/>
          <w:szCs w:val="28"/>
        </w:rPr>
      </w:pPr>
      <w:r w:rsidRPr="00142E7D">
        <w:rPr>
          <w:rFonts w:ascii="標楷體" w:hAnsi="標楷體"/>
          <w:kern w:val="0"/>
          <w:sz w:val="28"/>
          <w:szCs w:val="28"/>
        </w:rPr>
        <w:t>4.</w:t>
      </w:r>
      <w:r w:rsidR="004753EA" w:rsidRPr="00142E7D">
        <w:rPr>
          <w:rFonts w:ascii="標楷體" w:hAnsi="標楷體"/>
          <w:kern w:val="0"/>
          <w:sz w:val="28"/>
          <w:szCs w:val="28"/>
        </w:rPr>
        <w:t>許可使用與特許使用之分類，及自由權利之回復與創設之區別之營業上許可與企業特許，我國現行法未必以此為基準區分，但有些情況仍有其存在價值。</w:t>
      </w:r>
    </w:p>
    <w:p w:rsidR="004753EA" w:rsidRPr="00142E7D" w:rsidRDefault="002102D1" w:rsidP="00661022">
      <w:pPr>
        <w:kinsoku w:val="0"/>
        <w:overflowPunct w:val="0"/>
        <w:adjustRightInd w:val="0"/>
        <w:snapToGrid w:val="0"/>
        <w:spacing w:line="391" w:lineRule="exact"/>
        <w:ind w:left="1702" w:hanging="284"/>
        <w:jc w:val="both"/>
        <w:rPr>
          <w:rFonts w:ascii="標楷體" w:hAnsi="標楷體"/>
          <w:kern w:val="0"/>
          <w:sz w:val="28"/>
          <w:szCs w:val="28"/>
        </w:rPr>
      </w:pPr>
      <w:r w:rsidRPr="00142E7D">
        <w:rPr>
          <w:rFonts w:ascii="標楷體" w:hAnsi="標楷體"/>
          <w:kern w:val="0"/>
          <w:sz w:val="28"/>
          <w:szCs w:val="28"/>
        </w:rPr>
        <w:t>5.</w:t>
      </w:r>
      <w:r w:rsidR="004753EA" w:rsidRPr="00142E7D">
        <w:rPr>
          <w:rFonts w:ascii="標楷體" w:hAnsi="標楷體"/>
          <w:kern w:val="0"/>
          <w:sz w:val="28"/>
          <w:szCs w:val="28"/>
        </w:rPr>
        <w:t>何謂一般使用（通常使用），有時不易判斷，例如河川之利用，游泳或洗衣，是否一般使用？道路除提供人行走，若鋪設光纖，促進資訊流通，是否通常使用？本案關於公物所包含公共空間中，是否為言論表達亦為通常使用，是否亦承認作為公共論壇，亦為通常使用？即有討論空間。</w:t>
      </w:r>
    </w:p>
    <w:p w:rsidR="004753EA" w:rsidRPr="00142E7D" w:rsidRDefault="004753EA" w:rsidP="00661022">
      <w:pPr>
        <w:kinsoku w:val="0"/>
        <w:overflowPunct w:val="0"/>
        <w:adjustRightInd w:val="0"/>
        <w:snapToGrid w:val="0"/>
        <w:spacing w:line="391" w:lineRule="exact"/>
        <w:ind w:left="1702" w:hanging="284"/>
        <w:jc w:val="both"/>
        <w:rPr>
          <w:rFonts w:ascii="標楷體" w:hAnsi="標楷體"/>
          <w:kern w:val="0"/>
          <w:sz w:val="28"/>
          <w:szCs w:val="28"/>
        </w:rPr>
      </w:pPr>
      <w:r w:rsidRPr="00142E7D">
        <w:rPr>
          <w:rFonts w:ascii="標楷體" w:hAnsi="標楷體"/>
          <w:kern w:val="0"/>
          <w:sz w:val="28"/>
          <w:szCs w:val="28"/>
        </w:rPr>
        <w:lastRenderedPageBreak/>
        <w:t>6.公共用物之使用許可，得適用行政處分附款之規定，即得附條件、期限等。</w:t>
      </w:r>
    </w:p>
    <w:p w:rsidR="004753EA" w:rsidRPr="00142E7D" w:rsidRDefault="004753EA" w:rsidP="00661022">
      <w:pPr>
        <w:kinsoku w:val="0"/>
        <w:overflowPunct w:val="0"/>
        <w:adjustRightInd w:val="0"/>
        <w:snapToGrid w:val="0"/>
        <w:spacing w:line="391" w:lineRule="exact"/>
        <w:ind w:left="851" w:hanging="567"/>
        <w:jc w:val="both"/>
        <w:rPr>
          <w:rFonts w:ascii="標楷體" w:hAnsi="標楷體"/>
          <w:kern w:val="0"/>
          <w:sz w:val="28"/>
          <w:szCs w:val="28"/>
        </w:rPr>
      </w:pPr>
      <w:r w:rsidRPr="00142E7D">
        <w:rPr>
          <w:rFonts w:ascii="標楷體" w:hAnsi="標楷體"/>
          <w:kern w:val="0"/>
          <w:sz w:val="28"/>
          <w:szCs w:val="28"/>
        </w:rPr>
        <w:t>二、公用物之使用關係</w:t>
      </w:r>
    </w:p>
    <w:p w:rsidR="004753EA" w:rsidRPr="00142E7D" w:rsidRDefault="004753EA" w:rsidP="00661022">
      <w:pPr>
        <w:kinsoku w:val="0"/>
        <w:overflowPunct w:val="0"/>
        <w:adjustRightInd w:val="0"/>
        <w:snapToGrid w:val="0"/>
        <w:spacing w:line="391" w:lineRule="exact"/>
        <w:ind w:left="1390" w:hanging="851"/>
        <w:jc w:val="both"/>
        <w:rPr>
          <w:rFonts w:ascii="標楷體" w:hAnsi="標楷體"/>
          <w:kern w:val="0"/>
          <w:sz w:val="28"/>
          <w:szCs w:val="28"/>
        </w:rPr>
      </w:pPr>
      <w:r w:rsidRPr="00142E7D">
        <w:rPr>
          <w:rFonts w:ascii="標楷體" w:hAnsi="標楷體"/>
          <w:kern w:val="0"/>
          <w:sz w:val="28"/>
          <w:szCs w:val="28"/>
        </w:rPr>
        <w:t>（一）公用物之使用之本來使用</w:t>
      </w:r>
    </w:p>
    <w:p w:rsidR="004753EA" w:rsidRPr="00142E7D" w:rsidRDefault="004753EA" w:rsidP="00661022">
      <w:pPr>
        <w:kinsoku w:val="0"/>
        <w:overflowPunct w:val="0"/>
        <w:adjustRightInd w:val="0"/>
        <w:snapToGrid w:val="0"/>
        <w:spacing w:line="391" w:lineRule="exact"/>
        <w:ind w:left="1389" w:firstLine="561"/>
        <w:jc w:val="both"/>
        <w:rPr>
          <w:rFonts w:ascii="標楷體" w:hAnsi="標楷體"/>
          <w:kern w:val="0"/>
          <w:sz w:val="28"/>
          <w:szCs w:val="28"/>
        </w:rPr>
      </w:pPr>
      <w:r w:rsidRPr="00142E7D">
        <w:rPr>
          <w:rFonts w:ascii="標楷體" w:hAnsi="標楷體"/>
          <w:kern w:val="0"/>
          <w:sz w:val="28"/>
          <w:szCs w:val="28"/>
        </w:rPr>
        <w:t>公用物又稱行政使用之公物，指為達成行政任務直接使用之物。但僅為行政主體或行政機關供內部使用之公物，又稱公務用物，例如警察與軍隊之裝備、公務大樓及其動產。</w:t>
      </w:r>
    </w:p>
    <w:p w:rsidR="004753EA" w:rsidRPr="00142E7D" w:rsidRDefault="004753EA" w:rsidP="00661022">
      <w:pPr>
        <w:kinsoku w:val="0"/>
        <w:overflowPunct w:val="0"/>
        <w:adjustRightInd w:val="0"/>
        <w:snapToGrid w:val="0"/>
        <w:spacing w:line="391" w:lineRule="exact"/>
        <w:ind w:left="1389" w:firstLine="561"/>
        <w:jc w:val="both"/>
        <w:rPr>
          <w:rFonts w:ascii="標楷體" w:hAnsi="標楷體"/>
          <w:kern w:val="0"/>
          <w:sz w:val="28"/>
          <w:szCs w:val="28"/>
        </w:rPr>
      </w:pPr>
      <w:r w:rsidRPr="00142E7D">
        <w:rPr>
          <w:rFonts w:ascii="標楷體" w:hAnsi="標楷體"/>
          <w:kern w:val="0"/>
          <w:sz w:val="28"/>
          <w:szCs w:val="28"/>
        </w:rPr>
        <w:t>公用物不論是公家機關之建築物，或是國立大學之建築物，該當建築物之存在，均為提供特定行政目的之用，管理者有依其目的管理之義務。進入該建築物者，須服從管理者之管理權（廳舍管理權、校舍管理權、醫院管理權等）。</w:t>
      </w:r>
    </w:p>
    <w:p w:rsidR="004753EA" w:rsidRPr="00142E7D" w:rsidRDefault="004753EA" w:rsidP="00661022">
      <w:pPr>
        <w:kinsoku w:val="0"/>
        <w:overflowPunct w:val="0"/>
        <w:adjustRightInd w:val="0"/>
        <w:snapToGrid w:val="0"/>
        <w:spacing w:line="391" w:lineRule="exact"/>
        <w:ind w:left="1390" w:hanging="851"/>
        <w:jc w:val="both"/>
        <w:rPr>
          <w:rFonts w:ascii="標楷體" w:hAnsi="標楷體"/>
          <w:kern w:val="0"/>
          <w:sz w:val="28"/>
          <w:szCs w:val="28"/>
        </w:rPr>
      </w:pPr>
      <w:r w:rsidRPr="00142E7D">
        <w:rPr>
          <w:rFonts w:ascii="標楷體" w:hAnsi="標楷體"/>
          <w:kern w:val="0"/>
          <w:sz w:val="28"/>
          <w:szCs w:val="28"/>
        </w:rPr>
        <w:t>（二）公用物之目的外使用</w:t>
      </w:r>
    </w:p>
    <w:p w:rsidR="004753EA" w:rsidRPr="00142E7D" w:rsidRDefault="004753EA" w:rsidP="00661022">
      <w:pPr>
        <w:kinsoku w:val="0"/>
        <w:overflowPunct w:val="0"/>
        <w:adjustRightInd w:val="0"/>
        <w:snapToGrid w:val="0"/>
        <w:spacing w:line="391" w:lineRule="exact"/>
        <w:ind w:left="1389" w:firstLine="561"/>
        <w:jc w:val="both"/>
        <w:rPr>
          <w:rFonts w:ascii="標楷體" w:hAnsi="標楷體"/>
          <w:kern w:val="0"/>
          <w:sz w:val="28"/>
          <w:szCs w:val="28"/>
        </w:rPr>
      </w:pPr>
      <w:r w:rsidRPr="00142E7D">
        <w:rPr>
          <w:rFonts w:ascii="標楷體" w:hAnsi="標楷體"/>
          <w:kern w:val="0"/>
          <w:sz w:val="28"/>
          <w:szCs w:val="28"/>
        </w:rPr>
        <w:t>目的外使用一般亦及於公共用物，如道路法、河川法般，公物之目的外使用，吸收於該當法律之許可制度。因此，所適用之範圍為法定外公共用物及公用物，實務上較多者為公用物。以下敘述公用物之目的外使用之問題點：</w:t>
      </w:r>
    </w:p>
    <w:p w:rsidR="004753EA" w:rsidRPr="00142E7D" w:rsidRDefault="00882CAE" w:rsidP="00661022">
      <w:pPr>
        <w:kinsoku w:val="0"/>
        <w:overflowPunct w:val="0"/>
        <w:adjustRightInd w:val="0"/>
        <w:snapToGrid w:val="0"/>
        <w:spacing w:line="391" w:lineRule="exact"/>
        <w:ind w:left="1702" w:hanging="284"/>
        <w:jc w:val="both"/>
        <w:rPr>
          <w:rFonts w:ascii="標楷體" w:hAnsi="標楷體"/>
          <w:kern w:val="0"/>
          <w:sz w:val="28"/>
          <w:szCs w:val="28"/>
        </w:rPr>
      </w:pPr>
      <w:r w:rsidRPr="00142E7D">
        <w:rPr>
          <w:rFonts w:ascii="標楷體" w:hAnsi="標楷體"/>
          <w:kern w:val="0"/>
          <w:sz w:val="28"/>
          <w:szCs w:val="28"/>
        </w:rPr>
        <w:t>1.</w:t>
      </w:r>
      <w:r w:rsidR="004753EA" w:rsidRPr="00142E7D">
        <w:rPr>
          <w:rFonts w:ascii="標楷體" w:hAnsi="標楷體"/>
          <w:kern w:val="0"/>
          <w:sz w:val="28"/>
          <w:szCs w:val="28"/>
        </w:rPr>
        <w:t>在具體情況究為公用物之目的內使用或目的外使用，有時並不易判斷。例如於公官署之建築物中經營職員用之餐廳、開商店、設置職員團體事務所等。但日本學者認為，討論是否目的外使用有時並無實益，因無論目的內或目的外使用，均須經許可亦可能。又使用費用之徵收，無論是否目的外使用，均可能適用</w:t>
      </w:r>
      <w:r w:rsidR="00214F8F" w:rsidRPr="00142E7D">
        <w:rPr>
          <w:rStyle w:val="ab"/>
          <w:rFonts w:ascii="標楷體" w:hAnsi="標楷體"/>
          <w:kern w:val="0"/>
          <w:sz w:val="28"/>
          <w:szCs w:val="28"/>
        </w:rPr>
        <w:footnoteReference w:id="25"/>
      </w:r>
      <w:r w:rsidR="004753EA" w:rsidRPr="00142E7D">
        <w:rPr>
          <w:rFonts w:ascii="標楷體" w:hAnsi="標楷體"/>
          <w:kern w:val="0"/>
          <w:sz w:val="28"/>
          <w:szCs w:val="28"/>
        </w:rPr>
        <w:t>。</w:t>
      </w:r>
    </w:p>
    <w:p w:rsidR="004753EA" w:rsidRPr="00142E7D" w:rsidRDefault="00882CAE" w:rsidP="00661022">
      <w:pPr>
        <w:kinsoku w:val="0"/>
        <w:overflowPunct w:val="0"/>
        <w:adjustRightInd w:val="0"/>
        <w:snapToGrid w:val="0"/>
        <w:spacing w:line="391" w:lineRule="exact"/>
        <w:ind w:left="1702" w:hanging="284"/>
        <w:jc w:val="both"/>
        <w:rPr>
          <w:rFonts w:ascii="標楷體" w:hAnsi="標楷體"/>
          <w:kern w:val="0"/>
          <w:sz w:val="28"/>
          <w:szCs w:val="28"/>
        </w:rPr>
      </w:pPr>
      <w:r w:rsidRPr="00142E7D">
        <w:rPr>
          <w:rFonts w:ascii="標楷體" w:hAnsi="標楷體"/>
          <w:kern w:val="0"/>
          <w:sz w:val="28"/>
          <w:szCs w:val="28"/>
        </w:rPr>
        <w:t>2.</w:t>
      </w:r>
      <w:r w:rsidR="004753EA" w:rsidRPr="00142E7D">
        <w:rPr>
          <w:rFonts w:ascii="標楷體" w:hAnsi="標楷體"/>
          <w:kern w:val="0"/>
          <w:sz w:val="28"/>
          <w:szCs w:val="28"/>
        </w:rPr>
        <w:t>關於公用物之目的內或目的外使用，有時不易明確區分。若依國有財產法則應依行政財產是否有效利用之角度掌握之。而近年國家地方自治團體從財政角度，重視效率性，因此將廳舍等公用財產，出租給民間，以促進國有財產有效率之運用。此種出借給民間之方式，無論是否屬公用物之目的外使用，此乃平行於公用物之合目的使用外，另一使用方式。</w:t>
      </w:r>
    </w:p>
    <w:p w:rsidR="004753EA" w:rsidRPr="00142E7D" w:rsidRDefault="004753EA" w:rsidP="00661022">
      <w:pPr>
        <w:kinsoku w:val="0"/>
        <w:overflowPunct w:val="0"/>
        <w:adjustRightInd w:val="0"/>
        <w:snapToGrid w:val="0"/>
        <w:spacing w:line="391" w:lineRule="exact"/>
        <w:ind w:left="851" w:hanging="567"/>
        <w:jc w:val="both"/>
        <w:rPr>
          <w:rFonts w:ascii="標楷體" w:hAnsi="標楷體"/>
          <w:kern w:val="0"/>
          <w:sz w:val="28"/>
          <w:szCs w:val="28"/>
        </w:rPr>
      </w:pPr>
      <w:r w:rsidRPr="00142E7D">
        <w:rPr>
          <w:rFonts w:ascii="標楷體" w:hAnsi="標楷體"/>
          <w:kern w:val="0"/>
          <w:sz w:val="28"/>
          <w:szCs w:val="28"/>
        </w:rPr>
        <w:t>三、公物使用之結論：</w:t>
      </w:r>
    </w:p>
    <w:p w:rsidR="004753EA" w:rsidRPr="00142E7D" w:rsidRDefault="007E708C" w:rsidP="00661022">
      <w:pPr>
        <w:kinsoku w:val="0"/>
        <w:overflowPunct w:val="0"/>
        <w:adjustRightInd w:val="0"/>
        <w:snapToGrid w:val="0"/>
        <w:spacing w:line="391" w:lineRule="exact"/>
        <w:ind w:left="851" w:hanging="284"/>
        <w:jc w:val="both"/>
        <w:rPr>
          <w:rFonts w:ascii="標楷體" w:hAnsi="標楷體"/>
          <w:kern w:val="0"/>
          <w:sz w:val="28"/>
          <w:szCs w:val="28"/>
        </w:rPr>
      </w:pPr>
      <w:r w:rsidRPr="00142E7D">
        <w:rPr>
          <w:rFonts w:ascii="標楷體" w:hAnsi="標楷體" w:hint="eastAsia"/>
          <w:kern w:val="0"/>
          <w:sz w:val="28"/>
          <w:szCs w:val="28"/>
        </w:rPr>
        <w:t>1.</w:t>
      </w:r>
      <w:r w:rsidR="004753EA" w:rsidRPr="00142E7D">
        <w:rPr>
          <w:rFonts w:ascii="標楷體" w:hAnsi="標楷體"/>
          <w:kern w:val="0"/>
          <w:sz w:val="28"/>
          <w:szCs w:val="28"/>
        </w:rPr>
        <w:t>無論公共用物或公用物均有可能透過許可程序限制人民使用。</w:t>
      </w:r>
    </w:p>
    <w:p w:rsidR="004753EA" w:rsidRPr="00142E7D" w:rsidRDefault="00882CAE" w:rsidP="00661022">
      <w:pPr>
        <w:kinsoku w:val="0"/>
        <w:overflowPunct w:val="0"/>
        <w:adjustRightInd w:val="0"/>
        <w:snapToGrid w:val="0"/>
        <w:spacing w:line="391" w:lineRule="exact"/>
        <w:ind w:left="851" w:hanging="284"/>
        <w:jc w:val="both"/>
        <w:rPr>
          <w:rFonts w:ascii="標楷體" w:hAnsi="標楷體"/>
          <w:kern w:val="0"/>
          <w:sz w:val="28"/>
          <w:szCs w:val="28"/>
        </w:rPr>
      </w:pPr>
      <w:r w:rsidRPr="00142E7D">
        <w:rPr>
          <w:rFonts w:ascii="標楷體" w:hAnsi="標楷體"/>
          <w:kern w:val="0"/>
          <w:sz w:val="28"/>
          <w:szCs w:val="28"/>
        </w:rPr>
        <w:t>2.</w:t>
      </w:r>
      <w:r w:rsidR="004753EA" w:rsidRPr="00142E7D">
        <w:rPr>
          <w:rFonts w:ascii="標楷體" w:hAnsi="標楷體"/>
          <w:kern w:val="0"/>
          <w:sz w:val="28"/>
          <w:szCs w:val="28"/>
        </w:rPr>
        <w:t>論及一般使用、通常使用，係指公共用物情況；至於公用物，應從是否公用物之目的外使用角度論之，此時公物管理機關具有廳舍等公用物之管理權管理之。</w:t>
      </w:r>
    </w:p>
    <w:p w:rsidR="004753EA" w:rsidRPr="00142E7D" w:rsidRDefault="00882CAE" w:rsidP="00661022">
      <w:pPr>
        <w:kinsoku w:val="0"/>
        <w:overflowPunct w:val="0"/>
        <w:adjustRightInd w:val="0"/>
        <w:snapToGrid w:val="0"/>
        <w:spacing w:line="391" w:lineRule="exact"/>
        <w:ind w:left="851" w:hanging="284"/>
        <w:jc w:val="both"/>
        <w:rPr>
          <w:rFonts w:ascii="標楷體" w:hAnsi="標楷體" w:hint="eastAsia"/>
          <w:kern w:val="0"/>
          <w:sz w:val="28"/>
          <w:szCs w:val="28"/>
        </w:rPr>
      </w:pPr>
      <w:r w:rsidRPr="00142E7D">
        <w:rPr>
          <w:rFonts w:ascii="標楷體" w:hAnsi="標楷體"/>
          <w:kern w:val="0"/>
          <w:sz w:val="28"/>
          <w:szCs w:val="28"/>
        </w:rPr>
        <w:t>3.</w:t>
      </w:r>
      <w:r w:rsidR="004753EA" w:rsidRPr="00142E7D">
        <w:rPr>
          <w:rFonts w:ascii="標楷體" w:hAnsi="標楷體"/>
          <w:kern w:val="0"/>
          <w:sz w:val="28"/>
          <w:szCs w:val="28"/>
        </w:rPr>
        <w:t>公共用物之使用關係，只是承認一般人之使用自由而已，而非設定使用權利</w:t>
      </w:r>
      <w:r w:rsidR="00214F8F" w:rsidRPr="00142E7D">
        <w:rPr>
          <w:rFonts w:ascii="標楷體" w:hAnsi="標楷體" w:hint="eastAsia"/>
          <w:kern w:val="0"/>
          <w:sz w:val="28"/>
          <w:szCs w:val="28"/>
        </w:rPr>
        <w:t>。</w:t>
      </w:r>
    </w:p>
    <w:p w:rsidR="004753EA" w:rsidRPr="00142E7D" w:rsidRDefault="00882CAE" w:rsidP="00661022">
      <w:pPr>
        <w:kinsoku w:val="0"/>
        <w:overflowPunct w:val="0"/>
        <w:adjustRightInd w:val="0"/>
        <w:snapToGrid w:val="0"/>
        <w:spacing w:line="391" w:lineRule="exact"/>
        <w:ind w:left="851" w:hanging="284"/>
        <w:jc w:val="both"/>
        <w:rPr>
          <w:rFonts w:ascii="標楷體" w:hAnsi="標楷體"/>
          <w:kern w:val="0"/>
          <w:sz w:val="28"/>
          <w:szCs w:val="28"/>
        </w:rPr>
      </w:pPr>
      <w:r w:rsidRPr="00142E7D">
        <w:rPr>
          <w:rFonts w:ascii="標楷體" w:hAnsi="標楷體"/>
          <w:kern w:val="0"/>
          <w:sz w:val="28"/>
          <w:szCs w:val="28"/>
        </w:rPr>
        <w:lastRenderedPageBreak/>
        <w:t>4.</w:t>
      </w:r>
      <w:r w:rsidR="004753EA" w:rsidRPr="00142E7D">
        <w:rPr>
          <w:rFonts w:ascii="標楷體" w:hAnsi="標楷體"/>
          <w:kern w:val="0"/>
          <w:sz w:val="28"/>
          <w:szCs w:val="28"/>
        </w:rPr>
        <w:t>公物使用應隨時代發展而與時俱進：</w:t>
      </w:r>
    </w:p>
    <w:p w:rsidR="004753EA" w:rsidRPr="00142E7D" w:rsidRDefault="004753EA" w:rsidP="00661022">
      <w:pPr>
        <w:kinsoku w:val="0"/>
        <w:overflowPunct w:val="0"/>
        <w:adjustRightInd w:val="0"/>
        <w:snapToGrid w:val="0"/>
        <w:spacing w:line="391" w:lineRule="exact"/>
        <w:ind w:left="1418" w:hanging="709"/>
        <w:jc w:val="both"/>
        <w:rPr>
          <w:rFonts w:ascii="標楷體" w:hAnsi="標楷體"/>
          <w:kern w:val="0"/>
          <w:sz w:val="28"/>
          <w:szCs w:val="28"/>
        </w:rPr>
      </w:pPr>
      <w:r w:rsidRPr="00142E7D">
        <w:rPr>
          <w:rFonts w:ascii="標楷體" w:hAnsi="標楷體"/>
          <w:kern w:val="0"/>
          <w:sz w:val="28"/>
          <w:szCs w:val="28"/>
        </w:rPr>
        <w:t>（1）公物使用應可補充落實接近媒體使用權與得作為某一形式之公共論壇。</w:t>
      </w:r>
    </w:p>
    <w:p w:rsidR="004753EA" w:rsidRPr="00142E7D" w:rsidRDefault="004753EA" w:rsidP="00661022">
      <w:pPr>
        <w:kinsoku w:val="0"/>
        <w:overflowPunct w:val="0"/>
        <w:adjustRightInd w:val="0"/>
        <w:snapToGrid w:val="0"/>
        <w:spacing w:line="391" w:lineRule="exact"/>
        <w:ind w:left="1418" w:hanging="709"/>
        <w:jc w:val="both"/>
        <w:rPr>
          <w:rFonts w:ascii="標楷體" w:hAnsi="標楷體"/>
          <w:kern w:val="0"/>
          <w:sz w:val="28"/>
          <w:szCs w:val="28"/>
        </w:rPr>
      </w:pPr>
      <w:r w:rsidRPr="00142E7D">
        <w:rPr>
          <w:rFonts w:ascii="標楷體" w:hAnsi="標楷體"/>
          <w:kern w:val="0"/>
          <w:sz w:val="28"/>
          <w:szCs w:val="28"/>
        </w:rPr>
        <w:t>（2）公物之存在無法與周圍環境隔絕，因此，公物之管理也須從環境管理角度考量</w:t>
      </w:r>
      <w:r w:rsidR="00214F8F" w:rsidRPr="00142E7D">
        <w:rPr>
          <w:rStyle w:val="ab"/>
          <w:rFonts w:ascii="標楷體" w:hAnsi="標楷體"/>
          <w:kern w:val="0"/>
          <w:sz w:val="28"/>
          <w:szCs w:val="28"/>
        </w:rPr>
        <w:footnoteReference w:id="26"/>
      </w:r>
      <w:r w:rsidRPr="00142E7D">
        <w:rPr>
          <w:rFonts w:ascii="標楷體" w:hAnsi="標楷體"/>
          <w:kern w:val="0"/>
          <w:sz w:val="28"/>
          <w:szCs w:val="28"/>
        </w:rPr>
        <w:t>。除地面上外，地下之光纖管線、地下水、空中之無人機（空拍機）之管理等均須與時俱進，因此在公物使用關係中，牽涉廣告物之管理時，須注意如本案之言論自由及其他受憲法保障之權利。</w:t>
      </w:r>
    </w:p>
    <w:p w:rsidR="004753EA" w:rsidRPr="00142E7D" w:rsidRDefault="004753EA" w:rsidP="00661022">
      <w:pPr>
        <w:kinsoku w:val="0"/>
        <w:overflowPunct w:val="0"/>
        <w:adjustRightInd w:val="0"/>
        <w:snapToGrid w:val="0"/>
        <w:spacing w:line="391" w:lineRule="exact"/>
        <w:jc w:val="both"/>
        <w:rPr>
          <w:rFonts w:ascii="標楷體" w:hAnsi="標楷體"/>
          <w:kern w:val="0"/>
          <w:sz w:val="28"/>
          <w:szCs w:val="28"/>
        </w:rPr>
      </w:pPr>
      <w:r w:rsidRPr="00142E7D">
        <w:rPr>
          <w:rFonts w:ascii="標楷體" w:hAnsi="標楷體"/>
          <w:kern w:val="0"/>
          <w:sz w:val="28"/>
          <w:szCs w:val="28"/>
        </w:rPr>
        <w:t>肆、結語－制定廣告物法之必要</w:t>
      </w:r>
    </w:p>
    <w:p w:rsidR="004753EA" w:rsidRPr="00142E7D" w:rsidRDefault="004753EA" w:rsidP="001276AE">
      <w:pPr>
        <w:kinsoku w:val="0"/>
        <w:overflowPunct w:val="0"/>
        <w:adjustRightInd w:val="0"/>
        <w:snapToGrid w:val="0"/>
        <w:spacing w:line="391" w:lineRule="exact"/>
        <w:ind w:firstLine="602"/>
        <w:jc w:val="both"/>
        <w:rPr>
          <w:rFonts w:ascii="標楷體" w:hAnsi="標楷體"/>
          <w:kern w:val="0"/>
          <w:sz w:val="28"/>
          <w:szCs w:val="28"/>
        </w:rPr>
      </w:pPr>
      <w:r w:rsidRPr="00142E7D">
        <w:rPr>
          <w:rFonts w:ascii="標楷體" w:hAnsi="標楷體"/>
          <w:kern w:val="0"/>
          <w:sz w:val="28"/>
          <w:szCs w:val="28"/>
        </w:rPr>
        <w:t>基於以下理由，我國應有制定廣告物法專法之必要：</w:t>
      </w:r>
    </w:p>
    <w:p w:rsidR="004753EA" w:rsidRPr="00142E7D" w:rsidRDefault="004753EA" w:rsidP="001276AE">
      <w:pPr>
        <w:tabs>
          <w:tab w:val="left" w:pos="3240"/>
        </w:tabs>
        <w:kinsoku w:val="0"/>
        <w:overflowPunct w:val="0"/>
        <w:adjustRightInd w:val="0"/>
        <w:snapToGrid w:val="0"/>
        <w:spacing w:line="391" w:lineRule="exact"/>
        <w:ind w:left="1162" w:hanging="567"/>
        <w:jc w:val="both"/>
        <w:rPr>
          <w:rFonts w:ascii="標楷體" w:hAnsi="標楷體"/>
          <w:kern w:val="0"/>
          <w:sz w:val="28"/>
          <w:szCs w:val="28"/>
        </w:rPr>
      </w:pPr>
      <w:r w:rsidRPr="00142E7D">
        <w:rPr>
          <w:rFonts w:ascii="標楷體" w:hAnsi="標楷體"/>
          <w:kern w:val="0"/>
          <w:sz w:val="28"/>
          <w:szCs w:val="28"/>
        </w:rPr>
        <w:t>一、隨時代與社會發展，須規範之事項愈專業與複雜化，應有上位階之中央法律統一規制。例如廣告業者、與環保相關之光污染等、透過中央法律之制定，可統一中央與地方，以及主管機關與目的事業主管機關間之權限界分、相關重要概念之界定，例如，何謂廣告物。</w:t>
      </w:r>
    </w:p>
    <w:p w:rsidR="004753EA" w:rsidRPr="00142E7D" w:rsidRDefault="004753EA" w:rsidP="00DF4BDF">
      <w:pPr>
        <w:tabs>
          <w:tab w:val="left" w:pos="3240"/>
        </w:tabs>
        <w:kinsoku w:val="0"/>
        <w:overflowPunct w:val="0"/>
        <w:adjustRightInd w:val="0"/>
        <w:snapToGrid w:val="0"/>
        <w:spacing w:line="391" w:lineRule="exact"/>
        <w:ind w:left="1162" w:hanging="567"/>
        <w:jc w:val="both"/>
        <w:rPr>
          <w:rFonts w:ascii="標楷體" w:hAnsi="標楷體"/>
          <w:kern w:val="0"/>
          <w:sz w:val="28"/>
          <w:szCs w:val="28"/>
        </w:rPr>
      </w:pPr>
      <w:r w:rsidRPr="00142E7D">
        <w:rPr>
          <w:rFonts w:ascii="標楷體" w:hAnsi="標楷體"/>
          <w:kern w:val="0"/>
          <w:sz w:val="28"/>
          <w:szCs w:val="28"/>
        </w:rPr>
        <w:t>二、與其他現行法律之整合，例如廢棄物清理法、道路交通處管理罰條例、水利法、文化資產保存法、公路法等，以避免機關間多頭馬車或兩不管之情況。</w:t>
      </w:r>
    </w:p>
    <w:p w:rsidR="004753EA" w:rsidRPr="00142E7D" w:rsidRDefault="004753EA" w:rsidP="00DF4BDF">
      <w:pPr>
        <w:tabs>
          <w:tab w:val="left" w:pos="3240"/>
        </w:tabs>
        <w:kinsoku w:val="0"/>
        <w:overflowPunct w:val="0"/>
        <w:adjustRightInd w:val="0"/>
        <w:snapToGrid w:val="0"/>
        <w:spacing w:line="391" w:lineRule="exact"/>
        <w:ind w:left="1162" w:hanging="567"/>
        <w:jc w:val="both"/>
        <w:rPr>
          <w:rFonts w:ascii="標楷體" w:hAnsi="標楷體"/>
          <w:kern w:val="0"/>
          <w:sz w:val="28"/>
          <w:szCs w:val="28"/>
        </w:rPr>
      </w:pPr>
      <w:r w:rsidRPr="00142E7D">
        <w:rPr>
          <w:rFonts w:ascii="標楷體" w:hAnsi="標楷體"/>
          <w:kern w:val="0"/>
          <w:sz w:val="28"/>
          <w:szCs w:val="28"/>
        </w:rPr>
        <w:t>三、納入對廣告業者之管理、監督規範，此對廣告物之管理，可收事半功倍之效。</w:t>
      </w:r>
    </w:p>
    <w:p w:rsidR="001A4BEF" w:rsidRPr="00142E7D" w:rsidRDefault="004753EA" w:rsidP="00DF4BDF">
      <w:pPr>
        <w:tabs>
          <w:tab w:val="left" w:pos="3240"/>
        </w:tabs>
        <w:kinsoku w:val="0"/>
        <w:overflowPunct w:val="0"/>
        <w:adjustRightInd w:val="0"/>
        <w:snapToGrid w:val="0"/>
        <w:spacing w:line="391" w:lineRule="exact"/>
        <w:ind w:left="1162" w:hanging="567"/>
        <w:jc w:val="both"/>
        <w:rPr>
          <w:rFonts w:ascii="標楷體" w:hAnsi="標楷體" w:hint="eastAsia"/>
          <w:kern w:val="0"/>
          <w:sz w:val="28"/>
          <w:szCs w:val="28"/>
          <w:lang w:val="de-DE"/>
        </w:rPr>
      </w:pPr>
      <w:r w:rsidRPr="00142E7D">
        <w:rPr>
          <w:rFonts w:ascii="標楷體" w:hAnsi="標楷體"/>
          <w:kern w:val="0"/>
          <w:sz w:val="28"/>
          <w:szCs w:val="28"/>
        </w:rPr>
        <w:t>四、在公共場所，人民之一般行為自由及其他自由權利，很容易與廣告物之規制而競合或衝突，此時須專業與細膩之法規範。因此，應在法律中明定類似本號解釋理由書中之文字，如</w:t>
      </w:r>
      <w:r w:rsidRPr="00142E7D">
        <w:rPr>
          <w:rFonts w:ascii="標楷體" w:hAnsi="標楷體"/>
          <w:kern w:val="0"/>
          <w:sz w:val="28"/>
          <w:szCs w:val="28"/>
          <w:lang w:val="de-DE"/>
        </w:rPr>
        <w:t>「本法及依本法訂定之自治條例於適用時，應注意避免對人民之言論自由，或其他憲法上所保障基本權利為不當之侵害。</w:t>
      </w:r>
      <w:r w:rsidRPr="00142E7D">
        <w:rPr>
          <w:rFonts w:ascii="標楷體" w:hAnsi="標楷體"/>
          <w:kern w:val="0"/>
          <w:sz w:val="28"/>
          <w:szCs w:val="28"/>
          <w:lang w:val="de-DE" w:eastAsia="ja-JP"/>
        </w:rPr>
        <w:t>」</w:t>
      </w:r>
      <w:r w:rsidRPr="00142E7D">
        <w:rPr>
          <w:rStyle w:val="ab"/>
          <w:rFonts w:ascii="標楷體" w:hAnsi="標楷體"/>
          <w:kern w:val="0"/>
          <w:sz w:val="28"/>
          <w:szCs w:val="28"/>
          <w:lang w:val="de-DE" w:eastAsia="ja-JP"/>
        </w:rPr>
        <w:footnoteReference w:id="27"/>
      </w:r>
    </w:p>
    <w:p w:rsidR="002E55EF" w:rsidRPr="00142E7D" w:rsidRDefault="002E55EF" w:rsidP="00661022">
      <w:pPr>
        <w:tabs>
          <w:tab w:val="left" w:pos="3240"/>
        </w:tabs>
        <w:kinsoku w:val="0"/>
        <w:overflowPunct w:val="0"/>
        <w:adjustRightInd w:val="0"/>
        <w:snapToGrid w:val="0"/>
        <w:spacing w:line="391" w:lineRule="exact"/>
        <w:ind w:left="1191" w:hanging="567"/>
        <w:jc w:val="both"/>
        <w:rPr>
          <w:rFonts w:ascii="標楷體" w:hAnsi="標楷體" w:hint="eastAsia"/>
          <w:kern w:val="0"/>
          <w:sz w:val="28"/>
          <w:szCs w:val="28"/>
        </w:rPr>
      </w:pPr>
    </w:p>
    <w:p w:rsidR="00B80F04" w:rsidRPr="00142E7D" w:rsidRDefault="00B80F04" w:rsidP="00661022">
      <w:pPr>
        <w:kinsoku w:val="0"/>
        <w:overflowPunct w:val="0"/>
        <w:adjustRightInd w:val="0"/>
        <w:snapToGrid w:val="0"/>
        <w:spacing w:line="391" w:lineRule="exact"/>
        <w:ind w:left="958" w:right="641"/>
        <w:jc w:val="both"/>
        <w:rPr>
          <w:rFonts w:ascii="華康粗黑體" w:eastAsia="華康粗黑體" w:hAnsi="標楷體"/>
          <w:kern w:val="0"/>
          <w:sz w:val="28"/>
          <w:szCs w:val="28"/>
        </w:rPr>
        <w:sectPr w:rsidR="00B80F04" w:rsidRPr="00142E7D" w:rsidSect="003A5CBE">
          <w:footnotePr>
            <w:numRestart w:val="eachSect"/>
          </w:footnotePr>
          <w:pgSz w:w="11906" w:h="16838"/>
          <w:pgMar w:top="1418" w:right="1134" w:bottom="851" w:left="1134" w:header="851" w:footer="992" w:gutter="0"/>
          <w:cols w:space="425"/>
          <w:docGrid w:linePitch="360"/>
        </w:sectPr>
      </w:pPr>
    </w:p>
    <w:p w:rsidR="001A4BEF" w:rsidRPr="00142E7D" w:rsidRDefault="001A4BEF" w:rsidP="00661022">
      <w:pPr>
        <w:kinsoku w:val="0"/>
        <w:overflowPunct w:val="0"/>
        <w:adjustRightInd w:val="0"/>
        <w:snapToGrid w:val="0"/>
        <w:spacing w:line="391" w:lineRule="exact"/>
        <w:ind w:left="958" w:right="641"/>
        <w:jc w:val="both"/>
        <w:rPr>
          <w:rFonts w:ascii="標楷體" w:hAnsi="標楷體"/>
          <w:kern w:val="0"/>
          <w:sz w:val="28"/>
          <w:szCs w:val="28"/>
        </w:rPr>
      </w:pPr>
      <w:r w:rsidRPr="00142E7D">
        <w:rPr>
          <w:rFonts w:ascii="華康粗黑體" w:eastAsia="華康粗黑體" w:hAnsi="標楷體" w:hint="eastAsia"/>
          <w:kern w:val="0"/>
          <w:sz w:val="28"/>
          <w:szCs w:val="28"/>
        </w:rPr>
        <w:lastRenderedPageBreak/>
        <w:t>協同</w:t>
      </w:r>
      <w:r w:rsidRPr="00142E7D">
        <w:rPr>
          <w:rFonts w:eastAsia="華康粗黑體" w:hint="eastAsia"/>
          <w:sz w:val="28"/>
          <w:szCs w:val="28"/>
        </w:rPr>
        <w:t>意見書</w:t>
      </w:r>
      <w:r w:rsidRPr="00142E7D">
        <w:rPr>
          <w:rFonts w:ascii="標楷體" w:hAnsi="標楷體"/>
          <w:kern w:val="0"/>
          <w:sz w:val="28"/>
          <w:szCs w:val="28"/>
        </w:rPr>
        <w:t xml:space="preserve">　　　　　　　　　　　　　　陳碧玉大法官　提出</w:t>
      </w:r>
    </w:p>
    <w:p w:rsidR="004753EA" w:rsidRPr="00142E7D" w:rsidRDefault="004753EA" w:rsidP="00661022">
      <w:pPr>
        <w:kinsoku w:val="0"/>
        <w:overflowPunct w:val="0"/>
        <w:adjustRightInd w:val="0"/>
        <w:snapToGrid w:val="0"/>
        <w:spacing w:line="391" w:lineRule="exact"/>
        <w:ind w:firstLine="561"/>
        <w:jc w:val="both"/>
        <w:rPr>
          <w:rFonts w:ascii="標楷體" w:hAnsi="標楷體"/>
          <w:kern w:val="0"/>
          <w:sz w:val="28"/>
          <w:szCs w:val="28"/>
        </w:rPr>
      </w:pPr>
      <w:r w:rsidRPr="00142E7D">
        <w:rPr>
          <w:rFonts w:ascii="標楷體" w:hAnsi="標楷體"/>
          <w:kern w:val="0"/>
          <w:sz w:val="28"/>
          <w:szCs w:val="28"/>
        </w:rPr>
        <w:t>本案爭點為臺南市政府於中華民國九十一年十二月九日依據廢棄物清理法第二十七條第十一款規定（下稱系爭規定）授權發布之南市環廢字第</w:t>
      </w:r>
      <w:r w:rsidR="00DD4611" w:rsidRPr="00142E7D">
        <w:rPr>
          <w:rFonts w:ascii="標楷體" w:hAnsi="標楷體"/>
          <w:kern w:val="0"/>
          <w:sz w:val="28"/>
          <w:szCs w:val="28"/>
        </w:rPr>
        <w:t>○</w:t>
      </w:r>
      <w:r w:rsidRPr="00142E7D">
        <w:rPr>
          <w:rFonts w:ascii="標楷體" w:hAnsi="標楷體"/>
          <w:kern w:val="0"/>
          <w:sz w:val="28"/>
          <w:szCs w:val="28"/>
        </w:rPr>
        <w:t>九一</w:t>
      </w:r>
      <w:r w:rsidR="00DD4611" w:rsidRPr="00142E7D">
        <w:rPr>
          <w:rFonts w:ascii="標楷體" w:hAnsi="標楷體"/>
          <w:kern w:val="0"/>
          <w:sz w:val="28"/>
          <w:szCs w:val="28"/>
        </w:rPr>
        <w:t>○</w:t>
      </w:r>
      <w:r w:rsidRPr="00142E7D">
        <w:rPr>
          <w:rFonts w:ascii="標楷體" w:hAnsi="標楷體"/>
          <w:kern w:val="0"/>
          <w:sz w:val="28"/>
          <w:szCs w:val="28"/>
        </w:rPr>
        <w:t>四</w:t>
      </w:r>
      <w:r w:rsidR="00DD4611" w:rsidRPr="00142E7D">
        <w:rPr>
          <w:rFonts w:ascii="標楷體" w:hAnsi="標楷體"/>
          <w:kern w:val="0"/>
          <w:sz w:val="28"/>
          <w:szCs w:val="28"/>
        </w:rPr>
        <w:t>○</w:t>
      </w:r>
      <w:r w:rsidRPr="00142E7D">
        <w:rPr>
          <w:rFonts w:ascii="標楷體" w:hAnsi="標楷體"/>
          <w:kern w:val="0"/>
          <w:sz w:val="28"/>
          <w:szCs w:val="28"/>
        </w:rPr>
        <w:t>二三四三一號公告</w:t>
      </w:r>
      <w:r w:rsidR="00DD4611" w:rsidRPr="00142E7D">
        <w:rPr>
          <w:rFonts w:ascii="標楷體" w:hAnsi="標楷體"/>
          <w:kern w:val="0"/>
          <w:sz w:val="28"/>
          <w:szCs w:val="28"/>
        </w:rPr>
        <w:t>（</w:t>
      </w:r>
      <w:r w:rsidRPr="00142E7D">
        <w:rPr>
          <w:rFonts w:ascii="標楷體" w:hAnsi="標楷體"/>
          <w:kern w:val="0"/>
          <w:sz w:val="28"/>
          <w:szCs w:val="28"/>
        </w:rPr>
        <w:t>該府改制後於一</w:t>
      </w:r>
      <w:r w:rsidR="00DD4611" w:rsidRPr="00142E7D">
        <w:rPr>
          <w:rFonts w:ascii="標楷體" w:hAnsi="標楷體"/>
          <w:kern w:val="0"/>
          <w:sz w:val="28"/>
          <w:szCs w:val="28"/>
        </w:rPr>
        <w:t>○○</w:t>
      </w:r>
      <w:r w:rsidRPr="00142E7D">
        <w:rPr>
          <w:rFonts w:ascii="標楷體" w:hAnsi="標楷體"/>
          <w:kern w:val="0"/>
          <w:sz w:val="28"/>
          <w:szCs w:val="28"/>
        </w:rPr>
        <w:t>年一月十三日以南市府環管字第一</w:t>
      </w:r>
      <w:r w:rsidR="00DD4611" w:rsidRPr="00142E7D">
        <w:rPr>
          <w:rFonts w:ascii="標楷體" w:hAnsi="標楷體"/>
          <w:kern w:val="0"/>
          <w:sz w:val="28"/>
          <w:szCs w:val="28"/>
        </w:rPr>
        <w:t>○○○○</w:t>
      </w:r>
      <w:r w:rsidRPr="00142E7D">
        <w:rPr>
          <w:rFonts w:ascii="標楷體" w:hAnsi="標楷體"/>
          <w:kern w:val="0"/>
          <w:sz w:val="28"/>
          <w:szCs w:val="28"/>
        </w:rPr>
        <w:t>五</w:t>
      </w:r>
      <w:r w:rsidR="00DD4611" w:rsidRPr="00142E7D">
        <w:rPr>
          <w:rFonts w:ascii="標楷體" w:hAnsi="標楷體"/>
          <w:kern w:val="0"/>
          <w:sz w:val="28"/>
          <w:szCs w:val="28"/>
        </w:rPr>
        <w:t>○</w:t>
      </w:r>
      <w:r w:rsidRPr="00142E7D">
        <w:rPr>
          <w:rFonts w:ascii="標楷體" w:hAnsi="標楷體"/>
          <w:kern w:val="0"/>
          <w:sz w:val="28"/>
          <w:szCs w:val="28"/>
        </w:rPr>
        <w:t>七</w:t>
      </w:r>
      <w:r w:rsidR="00DD4611" w:rsidRPr="00142E7D">
        <w:rPr>
          <w:rFonts w:ascii="標楷體" w:hAnsi="標楷體"/>
          <w:kern w:val="0"/>
          <w:sz w:val="28"/>
          <w:szCs w:val="28"/>
        </w:rPr>
        <w:t>○</w:t>
      </w:r>
      <w:r w:rsidRPr="00142E7D">
        <w:rPr>
          <w:rFonts w:ascii="標楷體" w:hAnsi="標楷體"/>
          <w:kern w:val="0"/>
          <w:sz w:val="28"/>
          <w:szCs w:val="28"/>
        </w:rPr>
        <w:t>一</w:t>
      </w:r>
      <w:r w:rsidR="00DD4611" w:rsidRPr="00142E7D">
        <w:rPr>
          <w:rFonts w:ascii="標楷體" w:hAnsi="標楷體"/>
          <w:kern w:val="0"/>
          <w:sz w:val="28"/>
          <w:szCs w:val="28"/>
        </w:rPr>
        <w:t>○</w:t>
      </w:r>
      <w:r w:rsidRPr="00142E7D">
        <w:rPr>
          <w:rFonts w:ascii="標楷體" w:hAnsi="標楷體"/>
          <w:kern w:val="0"/>
          <w:sz w:val="28"/>
          <w:szCs w:val="28"/>
        </w:rPr>
        <w:t>號公告，重行發布相當之內容，下併稱系爭公告）是否逾越系爭規定之授權範圍，違反法律保留原則。</w:t>
      </w:r>
    </w:p>
    <w:p w:rsidR="004753EA" w:rsidRPr="00142E7D" w:rsidRDefault="004753EA" w:rsidP="00661022">
      <w:pPr>
        <w:kinsoku w:val="0"/>
        <w:overflowPunct w:val="0"/>
        <w:adjustRightInd w:val="0"/>
        <w:snapToGrid w:val="0"/>
        <w:spacing w:line="391" w:lineRule="exact"/>
        <w:ind w:firstLine="561"/>
        <w:jc w:val="both"/>
        <w:rPr>
          <w:rFonts w:ascii="標楷體" w:hAnsi="標楷體"/>
          <w:kern w:val="0"/>
          <w:sz w:val="28"/>
          <w:szCs w:val="28"/>
        </w:rPr>
      </w:pPr>
      <w:r w:rsidRPr="00142E7D">
        <w:rPr>
          <w:rFonts w:ascii="標楷體" w:hAnsi="標楷體"/>
          <w:kern w:val="0"/>
          <w:sz w:val="28"/>
          <w:szCs w:val="28"/>
        </w:rPr>
        <w:t>按環境衛生與人民健康之促進與維護息息相關。廢棄物清理法（下稱廢清法）之立法目的在於改善環境衛生與維護國民健康，具有重大公共利益，採取之廢棄物應予清理、環境污染行為應予禁止之手段，如為達成上開目的所必要且適當，即難謂與比例原則有違。然禁止人民於公共空間為不逾越其通常使用目的之行為，為對人民受憲法保障之行為自由權之限制，從而與系爭有關之設置廣告物行為，如何成為「環境污染行為」？其要件為何？自應以法律定之。如以命令定之，除授權之目的、內容及範圍應具體明確外，主管機關據以發布之命令，亦不得逾越授權之範圍，始為憲法所許。</w:t>
      </w:r>
    </w:p>
    <w:p w:rsidR="004753EA" w:rsidRPr="00142E7D" w:rsidRDefault="004753EA" w:rsidP="00661022">
      <w:pPr>
        <w:kinsoku w:val="0"/>
        <w:overflowPunct w:val="0"/>
        <w:adjustRightInd w:val="0"/>
        <w:snapToGrid w:val="0"/>
        <w:spacing w:line="391" w:lineRule="exact"/>
        <w:ind w:firstLine="561"/>
        <w:jc w:val="both"/>
        <w:rPr>
          <w:rFonts w:ascii="標楷體" w:hAnsi="標楷體"/>
          <w:kern w:val="0"/>
          <w:sz w:val="28"/>
          <w:szCs w:val="28"/>
        </w:rPr>
      </w:pPr>
      <w:r w:rsidRPr="00142E7D">
        <w:rPr>
          <w:rFonts w:ascii="標楷體" w:hAnsi="標楷體"/>
          <w:kern w:val="0"/>
          <w:sz w:val="28"/>
          <w:szCs w:val="28"/>
        </w:rPr>
        <w:t>廢清法第二十七條、第五十條第三款為禁止人民為污染環境行為並予以處罰之規定，其中第二十七條前十款以列舉方式規定「環境污染行為」之態樣，並於第十一款規定：「在指定清除地區內嚴禁有下列行為：……十一、其他經主管機關公告之污染環境行為。」是主管機關據此授權規定公告應禁止之「環境污染行為」，自須達到與前十款所定行為類型污染環境相當之程度。第五十條第三款為結果犯之處罰規定，對於造成環境污染結果之行為人，裁處新台幣一千二百元以上六千元以下罰鍰，經限期改善，屆期仍未完成改善者，按日連續處罰。</w:t>
      </w:r>
    </w:p>
    <w:p w:rsidR="004753EA" w:rsidRPr="00142E7D" w:rsidRDefault="004753EA" w:rsidP="00661022">
      <w:pPr>
        <w:kinsoku w:val="0"/>
        <w:overflowPunct w:val="0"/>
        <w:adjustRightInd w:val="0"/>
        <w:snapToGrid w:val="0"/>
        <w:spacing w:line="391" w:lineRule="exact"/>
        <w:ind w:firstLine="561"/>
        <w:jc w:val="both"/>
        <w:rPr>
          <w:rFonts w:ascii="標楷體" w:hAnsi="標楷體"/>
          <w:kern w:val="0"/>
          <w:sz w:val="28"/>
          <w:szCs w:val="28"/>
        </w:rPr>
      </w:pPr>
      <w:r w:rsidRPr="00142E7D">
        <w:rPr>
          <w:rFonts w:ascii="標楷體" w:hAnsi="標楷體"/>
          <w:kern w:val="0"/>
          <w:sz w:val="28"/>
          <w:szCs w:val="28"/>
        </w:rPr>
        <w:t>廢清法第二十七條第十款規定：「張貼或噴漆廣告污染定著物」之行為為環境污染行為，應予禁止，明定其構成要件有三：以張貼或噴漆之方法為之、將廣告置於定著物上，以及造成污染該定著物之結果。此為設置廣告於定著物上為污染環境行為之法定要件規定，缺一不可。縣市主管機關所發布之關於設置廣告物於定著物上，為污染環境行為之法規命令，其構成要件自應相當。</w:t>
      </w:r>
    </w:p>
    <w:p w:rsidR="004753EA" w:rsidRPr="00142E7D" w:rsidRDefault="004753EA" w:rsidP="00661022">
      <w:pPr>
        <w:kinsoku w:val="0"/>
        <w:overflowPunct w:val="0"/>
        <w:adjustRightInd w:val="0"/>
        <w:snapToGrid w:val="0"/>
        <w:spacing w:line="391" w:lineRule="exact"/>
        <w:ind w:firstLine="561"/>
        <w:jc w:val="both"/>
        <w:rPr>
          <w:rFonts w:ascii="標楷體" w:hAnsi="標楷體"/>
          <w:kern w:val="0"/>
          <w:sz w:val="28"/>
          <w:szCs w:val="28"/>
        </w:rPr>
      </w:pPr>
      <w:r w:rsidRPr="00142E7D">
        <w:rPr>
          <w:rFonts w:ascii="標楷體" w:hAnsi="標楷體"/>
          <w:kern w:val="0"/>
          <w:sz w:val="28"/>
          <w:szCs w:val="28"/>
        </w:rPr>
        <w:t>臺南市政府依系爭規定授權發布系爭公告，以管制廣告物之設置行為，其內容為：「一、本市清除地區內，未經主管機關核准，於道路、牆壁、樑柱、電桿、樹木、橋樑、水溝、池塘或其他土地定著物張掛、懸繫、黏貼、噴漆、粉刷、樹立、釘定、夾插、置放或其他方法設置廣告物者，為污染環境行為。二、前項所稱之『道路』，指公路、街道、巷弄、安全島、人行道、廣場、騎樓、走廊或其他供公眾通行之地方。……」。再依臺南市政府環境保護局一</w:t>
      </w:r>
      <w:r w:rsidR="00DD4611" w:rsidRPr="00142E7D">
        <w:rPr>
          <w:rFonts w:ascii="標楷體" w:hAnsi="標楷體"/>
          <w:kern w:val="0"/>
          <w:sz w:val="28"/>
          <w:szCs w:val="28"/>
        </w:rPr>
        <w:t>○○</w:t>
      </w:r>
      <w:r w:rsidRPr="00142E7D">
        <w:rPr>
          <w:rFonts w:ascii="標楷體" w:hAnsi="標楷體"/>
          <w:kern w:val="0"/>
          <w:sz w:val="28"/>
          <w:szCs w:val="28"/>
        </w:rPr>
        <w:t>年一月十一日環管字第一</w:t>
      </w:r>
      <w:r w:rsidR="00DD4611" w:rsidRPr="00142E7D">
        <w:rPr>
          <w:rFonts w:ascii="標楷體" w:hAnsi="標楷體"/>
          <w:kern w:val="0"/>
          <w:sz w:val="28"/>
          <w:szCs w:val="28"/>
        </w:rPr>
        <w:t>○○○○</w:t>
      </w:r>
      <w:r w:rsidRPr="00142E7D">
        <w:rPr>
          <w:rFonts w:ascii="標楷體" w:hAnsi="標楷體"/>
          <w:kern w:val="0"/>
          <w:sz w:val="28"/>
          <w:szCs w:val="28"/>
        </w:rPr>
        <w:t>五</w:t>
      </w:r>
      <w:r w:rsidR="00DD4611" w:rsidRPr="00142E7D">
        <w:rPr>
          <w:rFonts w:ascii="標楷體" w:hAnsi="標楷體"/>
          <w:kern w:val="0"/>
          <w:sz w:val="28"/>
          <w:szCs w:val="28"/>
        </w:rPr>
        <w:t>○</w:t>
      </w:r>
      <w:r w:rsidRPr="00142E7D">
        <w:rPr>
          <w:rFonts w:ascii="標楷體" w:hAnsi="標楷體"/>
          <w:kern w:val="0"/>
          <w:sz w:val="28"/>
          <w:szCs w:val="28"/>
        </w:rPr>
        <w:t>三九九</w:t>
      </w:r>
      <w:r w:rsidR="00DD4611" w:rsidRPr="00142E7D">
        <w:rPr>
          <w:rFonts w:ascii="標楷體" w:hAnsi="標楷體"/>
          <w:kern w:val="0"/>
          <w:sz w:val="28"/>
          <w:szCs w:val="28"/>
        </w:rPr>
        <w:t>○</w:t>
      </w:r>
      <w:r w:rsidRPr="00142E7D">
        <w:rPr>
          <w:rFonts w:ascii="標楷體" w:hAnsi="標楷體"/>
          <w:kern w:val="0"/>
          <w:sz w:val="28"/>
          <w:szCs w:val="28"/>
        </w:rPr>
        <w:t>號公告，將臺南市所轄行政區域均列為指定清除地區以觀，則凡在臺南市政府行政轄區內之任何土地定著物（包括牆壁、樑柱、電桿、樹木、橋樑、水溝、池塘、或公路、街道、巷弄、</w:t>
      </w:r>
      <w:r w:rsidRPr="00142E7D">
        <w:rPr>
          <w:rFonts w:ascii="標楷體" w:hAnsi="標楷體"/>
          <w:kern w:val="0"/>
          <w:sz w:val="28"/>
          <w:szCs w:val="28"/>
        </w:rPr>
        <w:lastRenderedPageBreak/>
        <w:t>安全島、人行道、廣場、騎樓、走廊、其他供公眾通行之地方，或其他土地定著物）上，以任何方法（張掛、懸繫、黏貼、噴漆、粉刷、樹立、釘定、夾插、置放或其他方法）設置廣告物者，是否即為「環境污染行為人」，其認定之唯一準據在於「該廣告物設置前是否已取得主管機關之核准」，未以造成污染定著物之結果為要件，與廢清法第二十七條第十款規定不符。</w:t>
      </w:r>
    </w:p>
    <w:p w:rsidR="004753EA" w:rsidRPr="00142E7D" w:rsidRDefault="004753EA" w:rsidP="00661022">
      <w:pPr>
        <w:kinsoku w:val="0"/>
        <w:overflowPunct w:val="0"/>
        <w:adjustRightInd w:val="0"/>
        <w:snapToGrid w:val="0"/>
        <w:spacing w:line="391" w:lineRule="exact"/>
        <w:ind w:firstLine="561"/>
        <w:jc w:val="both"/>
        <w:rPr>
          <w:rFonts w:ascii="標楷體" w:hAnsi="標楷體"/>
          <w:kern w:val="0"/>
          <w:sz w:val="28"/>
          <w:szCs w:val="28"/>
        </w:rPr>
      </w:pPr>
      <w:r w:rsidRPr="00142E7D">
        <w:rPr>
          <w:rFonts w:ascii="標楷體" w:hAnsi="標楷體"/>
          <w:kern w:val="0"/>
          <w:sz w:val="28"/>
          <w:szCs w:val="28"/>
        </w:rPr>
        <w:t>廣告物非屬廢清法第二條第一項第一款所稱之廢棄物，在未被認定設置行為為環境污染行為前，該廣告物亦非「視同廢棄物</w:t>
      </w:r>
      <w:r w:rsidRPr="00142E7D">
        <w:rPr>
          <w:rStyle w:val="ab"/>
          <w:rFonts w:ascii="標楷體" w:hAnsi="標楷體"/>
          <w:kern w:val="0"/>
          <w:sz w:val="28"/>
          <w:szCs w:val="28"/>
        </w:rPr>
        <w:footnoteReference w:id="28"/>
      </w:r>
      <w:r w:rsidRPr="00142E7D">
        <w:rPr>
          <w:rFonts w:ascii="標楷體" w:hAnsi="標楷體"/>
          <w:kern w:val="0"/>
          <w:sz w:val="28"/>
          <w:szCs w:val="28"/>
        </w:rPr>
        <w:t>（指與維持正常運作兩相權衡後，被捨棄之物）」。設置未經許可之廣告物亦不當然即為環境污染行為。查廣告物管理辦法（內政部於九十三年七月二十三日廢止，改由各縣市以自治法規規範之）係以維護公共安全、城鄉景觀與交通秩序為規範目的（第一條），與廢清法以改善環境衛生與國民健康之目的不同。依該辦法規定，廣告物內容依法應先經目的事業主管機關核准者，須先經該機關核准後，再由廣告物主管機關核准（第六條），對內容為雙重管制；廣告物之文字圖畫不得違反法令規定、妨害公共秩序或善良風俗（第七條）；不得設置廣告物之處所為：一、高岡處所或公園、綠地、名勝、古蹟等內部處所（但經各目的事業主管機關核准者，不在此限）；二、妨礙公共安全或交通安全處所；三、妨礙市容、風景或觀瞻處所；四、妨礙都市計畫或建築工程認為不適當之處所；五、公路兩側禁建限建範圍內不得設置之處所，以及六、其他法令禁止設置之處所（第八條）。張貼廣告之處所則限於政府核准之廣告張貼處（公職人員選舉宣傳或公定宣導另有規定者，從其規定，第十條），如違反上開第八條或第十條關於設置、張貼場所之規定，而符合廢清法處罰規定之要件者，依廢清法處罰（第二十一條）等，對於廣告物之內容與設置場所，採事前管制原則，與廢清法對於廢棄物之清除、污染行為之禁止及處罰為事後管理原則，顯然不同。又依上開規定，設置行為人亦僅於違反關於設置、張貼場所之規定，且符合廢清法處罰規定之要件時，始依廢清法規定處罰。換言之，於禁止場所為廣告物之設置行為，固然違反廣告物管理辦法之相關規定，但必該行為符合廢清法處罰要件—造成污染環境之結果，設置行為人始成為環境污染行為人，而依廢清法規定處罰。系爭公告認設置之廣告物未先經主管機關核准，設置人即為環境污染行為人，逾越授權範圍。</w:t>
      </w:r>
    </w:p>
    <w:p w:rsidR="004753EA" w:rsidRPr="00142E7D" w:rsidRDefault="004753EA" w:rsidP="00661022">
      <w:pPr>
        <w:kinsoku w:val="0"/>
        <w:overflowPunct w:val="0"/>
        <w:adjustRightInd w:val="0"/>
        <w:snapToGrid w:val="0"/>
        <w:spacing w:line="391" w:lineRule="exact"/>
        <w:ind w:firstLine="561"/>
        <w:jc w:val="both"/>
        <w:rPr>
          <w:rFonts w:ascii="標楷體" w:hAnsi="標楷體"/>
          <w:kern w:val="0"/>
          <w:sz w:val="28"/>
          <w:szCs w:val="28"/>
        </w:rPr>
      </w:pPr>
      <w:r w:rsidRPr="00142E7D">
        <w:rPr>
          <w:rFonts w:ascii="標楷體" w:hAnsi="標楷體"/>
          <w:kern w:val="0"/>
          <w:sz w:val="28"/>
          <w:szCs w:val="28"/>
        </w:rPr>
        <w:t>廣告物設置於土地定著物前，除須取得土地所有人之同意外，依上開廣告物管理辦法規定必先取得主管機關之許可。由於廣告物之本質為「視即知悉」</w:t>
      </w:r>
      <w:r w:rsidRPr="00142E7D">
        <w:rPr>
          <w:rFonts w:ascii="標楷體" w:hAnsi="標楷體"/>
          <w:kern w:val="0"/>
          <w:sz w:val="28"/>
          <w:szCs w:val="28"/>
        </w:rPr>
        <w:lastRenderedPageBreak/>
        <w:t>廣告物內容所欲表達之意思，與出版、講學、電影</w:t>
      </w:r>
      <w:r w:rsidRPr="00142E7D">
        <w:rPr>
          <w:rStyle w:val="ab"/>
          <w:rFonts w:ascii="標楷體" w:hAnsi="標楷體"/>
          <w:kern w:val="0"/>
          <w:sz w:val="28"/>
          <w:szCs w:val="28"/>
        </w:rPr>
        <w:footnoteReference w:id="29"/>
      </w:r>
      <w:r w:rsidRPr="00142E7D">
        <w:rPr>
          <w:rFonts w:ascii="標楷體" w:hAnsi="標楷體"/>
          <w:kern w:val="0"/>
          <w:sz w:val="28"/>
          <w:szCs w:val="28"/>
        </w:rPr>
        <w:t>等之內容為何，必須閱讀、觀看後「始得知悉」之情形不同；且廣告物之內容固定，與集會、遊行主張之內容有於進行中變更亦有不同。因此，主管機關於廣告物設置前因審核廣告物之尺寸、材質、設置地點、期間等要素之同時，實質上已對廣告內容進行了事前審核。對於廣告內容為事前審查之規定</w:t>
      </w:r>
      <w:r w:rsidRPr="00142E7D">
        <w:rPr>
          <w:rStyle w:val="ab"/>
          <w:rFonts w:ascii="標楷體" w:hAnsi="標楷體"/>
          <w:kern w:val="0"/>
          <w:sz w:val="28"/>
          <w:szCs w:val="28"/>
        </w:rPr>
        <w:footnoteReference w:id="30"/>
      </w:r>
      <w:r w:rsidRPr="00142E7D">
        <w:rPr>
          <w:rFonts w:ascii="標楷體" w:hAnsi="標楷體"/>
          <w:kern w:val="0"/>
          <w:sz w:val="28"/>
          <w:szCs w:val="28"/>
        </w:rPr>
        <w:t>，是否合憲，乃審查所欲維護之法益與限制言論自由等法益之結果，權衡其是否合乎比例原則而定</w:t>
      </w:r>
      <w:r w:rsidRPr="00142E7D">
        <w:rPr>
          <w:rStyle w:val="ab"/>
          <w:rFonts w:ascii="標楷體" w:hAnsi="標楷體"/>
          <w:kern w:val="0"/>
          <w:sz w:val="28"/>
          <w:szCs w:val="28"/>
        </w:rPr>
        <w:footnoteReference w:id="31"/>
      </w:r>
      <w:r w:rsidRPr="00142E7D">
        <w:rPr>
          <w:rFonts w:ascii="標楷體" w:hAnsi="標楷體"/>
          <w:kern w:val="0"/>
          <w:sz w:val="28"/>
          <w:szCs w:val="28"/>
        </w:rPr>
        <w:t>，不宜一概而論。又倘廣告物因內容、尺寸、材質、設置地點、期間等任一要素不符規定而被否准設置，且該設置之廣告物造成環境污染之結果，被認定為污染環境行為時，設置行為人應依廢清法規定負其責任，言論自由、宗教自由等之維護目的，並不能阻卻該設置行為為污染環境行為之認定。</w:t>
      </w:r>
    </w:p>
    <w:p w:rsidR="004753EA" w:rsidRPr="00142E7D" w:rsidRDefault="004753EA" w:rsidP="00661022">
      <w:pPr>
        <w:kinsoku w:val="0"/>
        <w:overflowPunct w:val="0"/>
        <w:adjustRightInd w:val="0"/>
        <w:snapToGrid w:val="0"/>
        <w:spacing w:line="391" w:lineRule="exact"/>
        <w:ind w:firstLine="561"/>
        <w:jc w:val="both"/>
        <w:rPr>
          <w:rFonts w:ascii="標楷體" w:hAnsi="標楷體"/>
          <w:kern w:val="0"/>
          <w:sz w:val="28"/>
          <w:szCs w:val="28"/>
        </w:rPr>
      </w:pPr>
      <w:r w:rsidRPr="00142E7D">
        <w:rPr>
          <w:rFonts w:ascii="標楷體" w:hAnsi="標楷體"/>
          <w:kern w:val="0"/>
          <w:sz w:val="28"/>
          <w:szCs w:val="28"/>
        </w:rPr>
        <w:t>不問廣告物之管理或污染環境行為之禁止規定，其目的均不在於言論自由及憲法保障之其他基本權利之限制，但因廣告物為所有人意見表達之媒介，事前否准廣告物之設置，或設置後以該設置行為為污染環境行為，進而命行為人應予清除（改善），將會對行為人造成限制言論自由、宗教自由、良心自由等基本權之結果，因此設定廣告物或環境污染行為之審查基準時，應考量衡平不同權益之維護。</w:t>
      </w:r>
    </w:p>
    <w:p w:rsidR="004753EA" w:rsidRPr="00142E7D" w:rsidRDefault="004753EA" w:rsidP="00661022">
      <w:pPr>
        <w:kinsoku w:val="0"/>
        <w:overflowPunct w:val="0"/>
        <w:adjustRightInd w:val="0"/>
        <w:snapToGrid w:val="0"/>
        <w:spacing w:line="391" w:lineRule="exact"/>
        <w:ind w:firstLine="561"/>
        <w:jc w:val="both"/>
        <w:rPr>
          <w:rFonts w:ascii="標楷體" w:hAnsi="標楷體" w:hint="eastAsia"/>
          <w:kern w:val="0"/>
          <w:sz w:val="28"/>
          <w:szCs w:val="28"/>
        </w:rPr>
      </w:pPr>
      <w:r w:rsidRPr="00142E7D">
        <w:rPr>
          <w:rFonts w:ascii="標楷體" w:hAnsi="標楷體"/>
          <w:kern w:val="0"/>
          <w:sz w:val="28"/>
          <w:szCs w:val="28"/>
        </w:rPr>
        <w:lastRenderedPageBreak/>
        <w:t>惟對於「言論自由之限制」乃為設置未經核准之廣告物之行為，經認定為環境污染行為後之附帶結果，若以言論自由之保障為出發點論斷系爭公告之合憲性，未免有離題之嫌。從而，本席贊同本號解釋之多數意見，不特別指出所涉之基本權，僅認系爭公告不問該未經許可而設置之廣告物是否有礙環境衛生，及設置行為是否已達與廢清法第二十七條前十款所定行為類型污染環境相當之程度，即逕以之為污染環境行為，對設置行為人裁處清除及罰鍰處分，逾越授權範圍，違反法律保留原則，應於三個月內修正。爰提出協同意見書如上。</w:t>
      </w:r>
    </w:p>
    <w:p w:rsidR="002E55EF" w:rsidRPr="00142E7D" w:rsidRDefault="002E55EF" w:rsidP="00661022">
      <w:pPr>
        <w:kinsoku w:val="0"/>
        <w:overflowPunct w:val="0"/>
        <w:adjustRightInd w:val="0"/>
        <w:snapToGrid w:val="0"/>
        <w:spacing w:line="391" w:lineRule="exact"/>
        <w:ind w:firstLine="561"/>
        <w:jc w:val="both"/>
        <w:rPr>
          <w:rFonts w:ascii="標楷體" w:hAnsi="標楷體"/>
          <w:b/>
          <w:kern w:val="0"/>
          <w:sz w:val="28"/>
          <w:szCs w:val="28"/>
        </w:rPr>
      </w:pPr>
    </w:p>
    <w:p w:rsidR="006512EA" w:rsidRPr="00142E7D" w:rsidRDefault="006512EA" w:rsidP="00661022">
      <w:pPr>
        <w:kinsoku w:val="0"/>
        <w:overflowPunct w:val="0"/>
        <w:adjustRightInd w:val="0"/>
        <w:snapToGrid w:val="0"/>
        <w:spacing w:line="391" w:lineRule="exact"/>
        <w:ind w:left="958" w:right="641"/>
        <w:jc w:val="both"/>
        <w:rPr>
          <w:rFonts w:ascii="華康粗黑體" w:eastAsia="華康粗黑體" w:hAnsi="標楷體"/>
          <w:kern w:val="0"/>
          <w:sz w:val="28"/>
          <w:szCs w:val="28"/>
        </w:rPr>
        <w:sectPr w:rsidR="006512EA" w:rsidRPr="00142E7D" w:rsidSect="003A5CBE">
          <w:footnotePr>
            <w:numRestart w:val="eachSect"/>
          </w:footnotePr>
          <w:pgSz w:w="11906" w:h="16838"/>
          <w:pgMar w:top="1418" w:right="1134" w:bottom="851" w:left="1134" w:header="851" w:footer="992" w:gutter="0"/>
          <w:cols w:space="425"/>
          <w:docGrid w:linePitch="360"/>
        </w:sectPr>
      </w:pPr>
    </w:p>
    <w:p w:rsidR="001A4BEF" w:rsidRPr="00142E7D" w:rsidRDefault="001A4BEF" w:rsidP="00661022">
      <w:pPr>
        <w:kinsoku w:val="0"/>
        <w:overflowPunct w:val="0"/>
        <w:adjustRightInd w:val="0"/>
        <w:snapToGrid w:val="0"/>
        <w:spacing w:line="391" w:lineRule="exact"/>
        <w:ind w:left="958" w:right="641"/>
        <w:jc w:val="both"/>
        <w:rPr>
          <w:rFonts w:ascii="標楷體" w:hAnsi="標楷體"/>
          <w:kern w:val="0"/>
          <w:sz w:val="28"/>
          <w:szCs w:val="28"/>
        </w:rPr>
      </w:pPr>
      <w:r w:rsidRPr="00142E7D">
        <w:rPr>
          <w:rFonts w:ascii="華康粗黑體" w:eastAsia="華康粗黑體" w:hAnsi="標楷體" w:hint="eastAsia"/>
          <w:kern w:val="0"/>
          <w:sz w:val="28"/>
          <w:szCs w:val="28"/>
        </w:rPr>
        <w:lastRenderedPageBreak/>
        <w:t>協同意見書</w:t>
      </w:r>
      <w:r w:rsidRPr="00142E7D">
        <w:rPr>
          <w:rFonts w:ascii="標楷體" w:hAnsi="標楷體"/>
          <w:kern w:val="0"/>
          <w:sz w:val="28"/>
          <w:szCs w:val="28"/>
        </w:rPr>
        <w:t xml:space="preserve">　　　　　　　　　　　　　　羅昌發大法官　提出</w:t>
      </w:r>
    </w:p>
    <w:p w:rsidR="004753EA" w:rsidRPr="00142E7D" w:rsidRDefault="004753EA" w:rsidP="00661022">
      <w:pPr>
        <w:kinsoku w:val="0"/>
        <w:overflowPunct w:val="0"/>
        <w:adjustRightInd w:val="0"/>
        <w:snapToGrid w:val="0"/>
        <w:spacing w:line="391" w:lineRule="exact"/>
        <w:ind w:firstLine="561"/>
        <w:jc w:val="both"/>
        <w:rPr>
          <w:rFonts w:ascii="標楷體" w:hAnsi="標楷體"/>
          <w:kern w:val="0"/>
          <w:sz w:val="28"/>
          <w:szCs w:val="28"/>
        </w:rPr>
      </w:pPr>
      <w:r w:rsidRPr="00142E7D">
        <w:rPr>
          <w:rFonts w:ascii="標楷體" w:hAnsi="標楷體"/>
          <w:kern w:val="0"/>
          <w:sz w:val="28"/>
          <w:szCs w:val="28"/>
        </w:rPr>
        <w:t>本件表面上涉及較為技術層面之廢棄物清理法及地方主管機關依據廢棄物清理法所發布視為污染行為之公告，實質上則涉及環境衛生（包含市容整潔）、國民健康、人民之言論自由、宗教自由間如何權衡之實體問題。另由於本解釋理由甚為簡略，相關機關解讀本解釋意旨時，易生疑義。為避免相關機關及人民誤認為，基於本解釋，所有街頭廣告之設置將毫無限制；且為釐清人民各項自由權利與環境衛生及國民健康間之關係，本席認為有予補充闡述之必要。爰提出本協同意見書。</w:t>
      </w:r>
    </w:p>
    <w:p w:rsidR="004753EA" w:rsidRPr="00142E7D" w:rsidRDefault="004753EA" w:rsidP="00661022">
      <w:pPr>
        <w:kinsoku w:val="0"/>
        <w:overflowPunct w:val="0"/>
        <w:adjustRightInd w:val="0"/>
        <w:snapToGrid w:val="0"/>
        <w:spacing w:line="391" w:lineRule="exact"/>
        <w:ind w:left="567" w:hanging="567"/>
        <w:jc w:val="both"/>
        <w:rPr>
          <w:rFonts w:ascii="標楷體" w:hAnsi="標楷體"/>
          <w:b/>
          <w:kern w:val="0"/>
          <w:sz w:val="28"/>
          <w:szCs w:val="28"/>
        </w:rPr>
      </w:pPr>
      <w:r w:rsidRPr="00142E7D">
        <w:rPr>
          <w:rFonts w:ascii="標楷體" w:hAnsi="標楷體"/>
          <w:b/>
          <w:kern w:val="0"/>
          <w:sz w:val="28"/>
          <w:szCs w:val="28"/>
        </w:rPr>
        <w:t>壹、有關廢棄物清理法第二十七條第十一款授權主管機關公告污染環境行為之部分</w:t>
      </w:r>
    </w:p>
    <w:p w:rsidR="004753EA" w:rsidRPr="00142E7D" w:rsidRDefault="004753EA" w:rsidP="00661022">
      <w:pPr>
        <w:kinsoku w:val="0"/>
        <w:overflowPunct w:val="0"/>
        <w:adjustRightInd w:val="0"/>
        <w:snapToGrid w:val="0"/>
        <w:spacing w:line="391" w:lineRule="exact"/>
        <w:ind w:left="1190" w:hanging="595"/>
        <w:jc w:val="both"/>
        <w:rPr>
          <w:rFonts w:ascii="標楷體" w:hAnsi="標楷體"/>
          <w:kern w:val="0"/>
          <w:sz w:val="28"/>
          <w:szCs w:val="28"/>
        </w:rPr>
      </w:pPr>
      <w:r w:rsidRPr="00142E7D">
        <w:rPr>
          <w:rFonts w:ascii="標楷體" w:hAnsi="標楷體"/>
          <w:kern w:val="0"/>
          <w:sz w:val="28"/>
          <w:szCs w:val="28"/>
        </w:rPr>
        <w:t>一、廢棄物清理法第二十七條第十一款規定：「在指定清除地區內嚴禁有下列行為：……十一、其他經主管機關公告之污染環境行為。」（下稱系爭規定）多數意見認為，解釋上，主管機關據此發布公告禁止之行為，自須達到與前十款所定行為類型污染環境相當之程度；且由該條其他款（如第三款「於路旁、屋外或屋頂曝晒、堆置有礙衛生整潔之物」及第十款「張貼或噴漆廣告污染定著物」）規定應可推知，該法所稱污染環境行為，不以將廢而不用或擬丟棄之物品為「棄置」之行為為限，而包括其他有害環境衛生與國民健康之行為；故系爭規定尚可合理理解，而與授權明確性原則無違。</w:t>
      </w:r>
    </w:p>
    <w:p w:rsidR="004753EA" w:rsidRPr="00142E7D" w:rsidRDefault="004753EA" w:rsidP="00661022">
      <w:pPr>
        <w:kinsoku w:val="0"/>
        <w:overflowPunct w:val="0"/>
        <w:adjustRightInd w:val="0"/>
        <w:snapToGrid w:val="0"/>
        <w:spacing w:line="391" w:lineRule="exact"/>
        <w:ind w:left="1190" w:hanging="595"/>
        <w:jc w:val="both"/>
        <w:rPr>
          <w:rFonts w:ascii="標楷體" w:hAnsi="標楷體"/>
          <w:kern w:val="0"/>
          <w:sz w:val="28"/>
          <w:szCs w:val="28"/>
        </w:rPr>
      </w:pPr>
      <w:r w:rsidRPr="00142E7D">
        <w:rPr>
          <w:rFonts w:ascii="標楷體" w:hAnsi="標楷體"/>
          <w:kern w:val="0"/>
          <w:sz w:val="28"/>
          <w:szCs w:val="28"/>
        </w:rPr>
        <w:t>二、本席對多數意見有關系爭規定為合憲之結論，敬表同意。由本解釋理由書第一段可知，多數意見並非毫無條件地認為系爭規定合憲；而係在將該規定解讀為「其他經主管機關公告『達到與前十款所定行為類型污染環境相當之程度』之行為」之前提下，始為合憲。故多數意見有關系爭規定之部分，本質上屬於「合憲性解釋」。系爭規定並非空白授權予主管機關發布有關污染環境行為範圍之公告；主管機關依系爭規定發布公告時，自須將污染環境之條件納入其公告之內涵。</w:t>
      </w:r>
    </w:p>
    <w:p w:rsidR="004753EA" w:rsidRPr="00142E7D" w:rsidRDefault="004753EA" w:rsidP="00661022">
      <w:pPr>
        <w:kinsoku w:val="0"/>
        <w:overflowPunct w:val="0"/>
        <w:adjustRightInd w:val="0"/>
        <w:snapToGrid w:val="0"/>
        <w:spacing w:line="391" w:lineRule="exact"/>
        <w:ind w:left="1190" w:hanging="595"/>
        <w:jc w:val="both"/>
        <w:rPr>
          <w:rFonts w:ascii="標楷體" w:hAnsi="標楷體"/>
          <w:kern w:val="0"/>
          <w:sz w:val="28"/>
          <w:szCs w:val="28"/>
        </w:rPr>
      </w:pPr>
      <w:r w:rsidRPr="00142E7D">
        <w:rPr>
          <w:rFonts w:ascii="標楷體" w:hAnsi="標楷體"/>
          <w:kern w:val="0"/>
          <w:sz w:val="28"/>
          <w:szCs w:val="28"/>
        </w:rPr>
        <w:t>三、另多數意見並未界定所謂達到「與廢棄物清理法第二十七條前十款所定行為類型污染環境相當之程度」，係何所指。本席認為，「污染環境」之概念雖非無法合理理解，然由字面而言，該詞可能包括「在特定場所內或於該條第二款所稱之『定著物』上，為非其原來或通常使用目的之放置或設置任何物品之行為，然本質上不當然構成污染環境者」。例如人民在合法集會或遊行時，可能於廣場或道路上放置或設置布條或其他形式之標語，或於地面以易於除去之方式黏貼或以粉筆塗上標語；在其合法集會或遊行過程中，此等行為應非污染行為，其物品則非系爭規定所應涵蓋之廢棄物；應俟其合法集會或遊行之後，仍有未除去時，始構成污染行為。又例如人民在短暫而非長期佔用，</w:t>
      </w:r>
      <w:r w:rsidRPr="00142E7D">
        <w:rPr>
          <w:rFonts w:ascii="標楷體" w:hAnsi="標楷體"/>
          <w:kern w:val="0"/>
          <w:sz w:val="28"/>
          <w:szCs w:val="28"/>
        </w:rPr>
        <w:lastRenderedPageBreak/>
        <w:t>且不妨礙公共場所原來使用功能之情況下，以易於除去之方式設置標語，以表達憲法所保護之言論（如政治、學術、藝術言論）或為宗教教義之宣傳；其設置行為，亦不當然構成為污染行為。再例如，商家於門口牆壁上刊登遷移啟示，或於門口牆壁黏貼對聯或春到、福到等年節標語，亦非當然構成污染行為。系爭規定如未為合憲性之限縮解釋，有可能被主管機關錯誤解讀為包括此等「與廢棄物清理法第二十七條前十款所定行為類型污染環境不相當」之行為。</w:t>
      </w:r>
    </w:p>
    <w:p w:rsidR="004753EA" w:rsidRPr="00142E7D" w:rsidRDefault="004753EA" w:rsidP="00661022">
      <w:pPr>
        <w:kinsoku w:val="0"/>
        <w:overflowPunct w:val="0"/>
        <w:adjustRightInd w:val="0"/>
        <w:snapToGrid w:val="0"/>
        <w:spacing w:line="391" w:lineRule="exact"/>
        <w:ind w:left="1190" w:hanging="595"/>
        <w:jc w:val="both"/>
        <w:rPr>
          <w:rFonts w:ascii="標楷體" w:hAnsi="標楷體"/>
          <w:kern w:val="0"/>
          <w:sz w:val="28"/>
          <w:szCs w:val="28"/>
        </w:rPr>
      </w:pPr>
      <w:r w:rsidRPr="00142E7D">
        <w:rPr>
          <w:rFonts w:ascii="標楷體" w:hAnsi="標楷體"/>
          <w:kern w:val="0"/>
          <w:sz w:val="28"/>
          <w:szCs w:val="28"/>
        </w:rPr>
        <w:t>四、探究所謂「與廢棄物清理法第二十七條前十款所定行為類型污染環境相當之程度」，應先將各該款抽象化，以獲其立法真意，並因而確認是否「相當」。由該條各款觀之，必須屬生活上拋棄或由身體排出者（該條第一款、第六款、第七款、第八款、第九款參照）、經濟活動上排放或拋棄者（第四款、第五款、第六款、第八款、第九款參照）、或其物本質上有礙衛生整潔者（第二款、第三款、第十款參照），始屬該條禁止之污染行為範圍。故所謂須達到「與廢棄物清理法第二十七條前十款所定行為類型污染環境相當之程度」，應指有類於生活、經濟活動或其他活動排放或拋棄，或本質上有礙衛生整潔之情形。前所舉之數例，於集會或遊行時設置布條或其他形式之標語、短暫設置標語以發表應受憲法保障之言論而不妨礙原場所使用者、於門口牆面設置遷移啟示或對聯等，均非排放或拋棄物品或本質上有礙衛生整潔之行為；在本解釋之下，自均非可依系爭規定納入公告，將其視為污染環境行為。</w:t>
      </w:r>
    </w:p>
    <w:p w:rsidR="004753EA" w:rsidRPr="00142E7D" w:rsidRDefault="004753EA" w:rsidP="00661022">
      <w:pPr>
        <w:kinsoku w:val="0"/>
        <w:overflowPunct w:val="0"/>
        <w:adjustRightInd w:val="0"/>
        <w:snapToGrid w:val="0"/>
        <w:spacing w:line="391" w:lineRule="exact"/>
        <w:ind w:left="567" w:hanging="567"/>
        <w:jc w:val="both"/>
        <w:rPr>
          <w:rFonts w:ascii="標楷體" w:hAnsi="標楷體"/>
          <w:b/>
          <w:kern w:val="0"/>
          <w:sz w:val="28"/>
          <w:szCs w:val="28"/>
        </w:rPr>
      </w:pPr>
      <w:r w:rsidRPr="00142E7D">
        <w:rPr>
          <w:rFonts w:ascii="標楷體" w:hAnsi="標楷體"/>
          <w:b/>
          <w:kern w:val="0"/>
          <w:sz w:val="28"/>
          <w:szCs w:val="28"/>
        </w:rPr>
        <w:t>貳、有關地方主管機關公告為污染行為之部分</w:t>
      </w:r>
    </w:p>
    <w:p w:rsidR="004753EA" w:rsidRPr="00142E7D" w:rsidRDefault="004753EA" w:rsidP="00661022">
      <w:pPr>
        <w:kinsoku w:val="0"/>
        <w:overflowPunct w:val="0"/>
        <w:adjustRightInd w:val="0"/>
        <w:snapToGrid w:val="0"/>
        <w:spacing w:line="391" w:lineRule="exact"/>
        <w:ind w:left="1128" w:hanging="561"/>
        <w:jc w:val="both"/>
        <w:rPr>
          <w:rFonts w:ascii="標楷體" w:hAnsi="標楷體"/>
          <w:kern w:val="0"/>
          <w:sz w:val="28"/>
          <w:szCs w:val="28"/>
        </w:rPr>
      </w:pPr>
      <w:r w:rsidRPr="00142E7D">
        <w:rPr>
          <w:rFonts w:ascii="標楷體" w:hAnsi="標楷體"/>
          <w:kern w:val="0"/>
          <w:sz w:val="28"/>
          <w:szCs w:val="28"/>
        </w:rPr>
        <w:t>一、廣告物與廢棄物之關係：所謂廣告物，文義上包括商業與非商業廣告物；為倡導或推動任何個人或團體之理念或業務，而以文字或圖樣於有形之物體上設置者，均可涵蓋在廣告物概念之範圍。廣告物自未必為污染環境之廢棄物。主管機關依據廢棄物清理法而發布規範廣告物設置之公告，自應以廣告物設置行為有污染環境者為限。應先敘明。</w:t>
      </w:r>
    </w:p>
    <w:p w:rsidR="004753EA" w:rsidRPr="00142E7D" w:rsidRDefault="004753EA" w:rsidP="00661022">
      <w:pPr>
        <w:kinsoku w:val="0"/>
        <w:overflowPunct w:val="0"/>
        <w:adjustRightInd w:val="0"/>
        <w:snapToGrid w:val="0"/>
        <w:spacing w:line="391" w:lineRule="exact"/>
        <w:ind w:left="1128" w:hanging="561"/>
        <w:jc w:val="both"/>
        <w:rPr>
          <w:rFonts w:ascii="標楷體" w:hAnsi="標楷體"/>
          <w:kern w:val="0"/>
          <w:sz w:val="28"/>
          <w:szCs w:val="28"/>
        </w:rPr>
      </w:pPr>
      <w:r w:rsidRPr="00142E7D">
        <w:rPr>
          <w:rFonts w:ascii="標楷體" w:hAnsi="標楷體"/>
          <w:kern w:val="0"/>
          <w:sz w:val="28"/>
          <w:szCs w:val="28"/>
        </w:rPr>
        <w:t>二、臺南市政府於九十一年十二月九日依據系爭規定發布南市環廢字第</w:t>
      </w:r>
      <w:r w:rsidR="00DD4611" w:rsidRPr="00142E7D">
        <w:rPr>
          <w:rFonts w:ascii="標楷體" w:hAnsi="標楷體"/>
          <w:kern w:val="0"/>
          <w:sz w:val="28"/>
          <w:szCs w:val="28"/>
        </w:rPr>
        <w:t>○</w:t>
      </w:r>
      <w:r w:rsidRPr="00142E7D">
        <w:rPr>
          <w:rFonts w:ascii="標楷體" w:hAnsi="標楷體"/>
          <w:kern w:val="0"/>
          <w:sz w:val="28"/>
          <w:szCs w:val="28"/>
        </w:rPr>
        <w:t>九一</w:t>
      </w:r>
      <w:r w:rsidR="00DD4611" w:rsidRPr="00142E7D">
        <w:rPr>
          <w:rFonts w:ascii="標楷體" w:hAnsi="標楷體"/>
          <w:kern w:val="0"/>
          <w:sz w:val="28"/>
          <w:szCs w:val="28"/>
        </w:rPr>
        <w:t>○</w:t>
      </w:r>
      <w:r w:rsidRPr="00142E7D">
        <w:rPr>
          <w:rFonts w:ascii="標楷體" w:hAnsi="標楷體"/>
          <w:kern w:val="0"/>
          <w:sz w:val="28"/>
          <w:szCs w:val="28"/>
        </w:rPr>
        <w:t>四</w:t>
      </w:r>
      <w:r w:rsidR="00DD4611" w:rsidRPr="00142E7D">
        <w:rPr>
          <w:rFonts w:ascii="標楷體" w:hAnsi="標楷體"/>
          <w:kern w:val="0"/>
          <w:sz w:val="28"/>
          <w:szCs w:val="28"/>
        </w:rPr>
        <w:t>○</w:t>
      </w:r>
      <w:r w:rsidRPr="00142E7D">
        <w:rPr>
          <w:rFonts w:ascii="標楷體" w:hAnsi="標楷體"/>
          <w:kern w:val="0"/>
          <w:sz w:val="28"/>
          <w:szCs w:val="28"/>
        </w:rPr>
        <w:t>二三四三一號公告及該府改制後於一</w:t>
      </w:r>
      <w:r w:rsidR="00DD4611" w:rsidRPr="00142E7D">
        <w:rPr>
          <w:rFonts w:ascii="標楷體" w:hAnsi="標楷體"/>
          <w:kern w:val="0"/>
          <w:sz w:val="28"/>
          <w:szCs w:val="28"/>
        </w:rPr>
        <w:t>○○</w:t>
      </w:r>
      <w:r w:rsidRPr="00142E7D">
        <w:rPr>
          <w:rFonts w:ascii="標楷體" w:hAnsi="標楷體"/>
          <w:kern w:val="0"/>
          <w:sz w:val="28"/>
          <w:szCs w:val="28"/>
        </w:rPr>
        <w:t>年</w:t>
      </w:r>
      <w:smartTag w:uri="urn:schemas-microsoft-com:office:smarttags" w:element="chsdate">
        <w:smartTagPr>
          <w:attr w:name="Year" w:val="2015"/>
          <w:attr w:name="Month" w:val="1"/>
          <w:attr w:name="Day" w:val="13"/>
          <w:attr w:name="IsLunarDate" w:val="False"/>
          <w:attr w:name="IsROCDate" w:val="False"/>
        </w:smartTagPr>
        <w:r w:rsidRPr="00142E7D">
          <w:rPr>
            <w:rFonts w:ascii="標楷體" w:hAnsi="標楷體"/>
            <w:kern w:val="0"/>
            <w:sz w:val="28"/>
            <w:szCs w:val="28"/>
          </w:rPr>
          <w:t>一月十三日</w:t>
        </w:r>
      </w:smartTag>
      <w:r w:rsidRPr="00142E7D">
        <w:rPr>
          <w:rFonts w:ascii="標楷體" w:hAnsi="標楷體"/>
          <w:kern w:val="0"/>
          <w:sz w:val="28"/>
          <w:szCs w:val="28"/>
        </w:rPr>
        <w:t>重行發布南市府環管字第一</w:t>
      </w:r>
      <w:r w:rsidR="00DD4611" w:rsidRPr="00142E7D">
        <w:rPr>
          <w:rFonts w:ascii="標楷體" w:hAnsi="標楷體"/>
          <w:kern w:val="0"/>
          <w:sz w:val="28"/>
          <w:szCs w:val="28"/>
        </w:rPr>
        <w:t>○○○○</w:t>
      </w:r>
      <w:r w:rsidRPr="00142E7D">
        <w:rPr>
          <w:rFonts w:ascii="標楷體" w:hAnsi="標楷體"/>
          <w:kern w:val="0"/>
          <w:sz w:val="28"/>
          <w:szCs w:val="28"/>
        </w:rPr>
        <w:t>五</w:t>
      </w:r>
      <w:r w:rsidR="00DD4611" w:rsidRPr="00142E7D">
        <w:rPr>
          <w:rFonts w:ascii="標楷體" w:hAnsi="標楷體"/>
          <w:kern w:val="0"/>
          <w:sz w:val="28"/>
          <w:szCs w:val="28"/>
        </w:rPr>
        <w:t>○</w:t>
      </w:r>
      <w:r w:rsidRPr="00142E7D">
        <w:rPr>
          <w:rFonts w:ascii="標楷體" w:hAnsi="標楷體"/>
          <w:kern w:val="0"/>
          <w:sz w:val="28"/>
          <w:szCs w:val="28"/>
        </w:rPr>
        <w:t>七</w:t>
      </w:r>
      <w:r w:rsidR="00DD4611" w:rsidRPr="00142E7D">
        <w:rPr>
          <w:rFonts w:ascii="標楷體" w:hAnsi="標楷體"/>
          <w:kern w:val="0"/>
          <w:sz w:val="28"/>
          <w:szCs w:val="28"/>
        </w:rPr>
        <w:t>○</w:t>
      </w:r>
      <w:r w:rsidRPr="00142E7D">
        <w:rPr>
          <w:rFonts w:ascii="標楷體" w:hAnsi="標楷體"/>
          <w:kern w:val="0"/>
          <w:sz w:val="28"/>
          <w:szCs w:val="28"/>
        </w:rPr>
        <w:t>一</w:t>
      </w:r>
      <w:r w:rsidR="00DD4611" w:rsidRPr="00142E7D">
        <w:rPr>
          <w:rFonts w:ascii="標楷體" w:hAnsi="標楷體"/>
          <w:kern w:val="0"/>
          <w:sz w:val="28"/>
          <w:szCs w:val="28"/>
        </w:rPr>
        <w:t>○</w:t>
      </w:r>
      <w:r w:rsidRPr="00142E7D">
        <w:rPr>
          <w:rFonts w:ascii="標楷體" w:hAnsi="標楷體"/>
          <w:kern w:val="0"/>
          <w:sz w:val="28"/>
          <w:szCs w:val="28"/>
        </w:rPr>
        <w:t>號公告；其公告事項包括：「一、本市清除地區內，未經主管機關核准，於道路、牆壁、樑柱、電桿、樹木、橋樑、水溝、池塘或其他土地定著物張掛、懸繫、黏貼、噴漆、粉刷、樹立、釘定、夾插、置放或其他方法設置廣告物者，為污染環境行為。二、前項所稱之『道路』，指公路、街道、巷弄、安全島、人行道、廣場、騎樓、走廊或其他供公眾通行之地方。」（下稱系爭公告）多數意見認為，其規定不問設置該廣告物是否</w:t>
      </w:r>
      <w:r w:rsidRPr="00142E7D">
        <w:rPr>
          <w:rFonts w:ascii="標楷體" w:hAnsi="標楷體"/>
          <w:kern w:val="0"/>
          <w:sz w:val="28"/>
          <w:szCs w:val="28"/>
        </w:rPr>
        <w:lastRenderedPageBreak/>
        <w:t>有害環境衛生與國民健康，及是否已達廢棄物清理法第二十七條前十款所定行為類型污染環境相當之程度，即認該設置行為為污染行為，而予以禁止並處罰，乃逾越母法授權之範圍。本席敬表同意。</w:t>
      </w:r>
    </w:p>
    <w:p w:rsidR="004753EA" w:rsidRPr="00142E7D" w:rsidRDefault="004753EA" w:rsidP="00661022">
      <w:pPr>
        <w:kinsoku w:val="0"/>
        <w:overflowPunct w:val="0"/>
        <w:adjustRightInd w:val="0"/>
        <w:snapToGrid w:val="0"/>
        <w:spacing w:line="391" w:lineRule="exact"/>
        <w:ind w:left="1128" w:hanging="561"/>
        <w:jc w:val="both"/>
        <w:rPr>
          <w:rFonts w:ascii="標楷體" w:hAnsi="標楷體"/>
          <w:kern w:val="0"/>
          <w:sz w:val="28"/>
          <w:szCs w:val="28"/>
        </w:rPr>
      </w:pPr>
      <w:r w:rsidRPr="00142E7D">
        <w:rPr>
          <w:rFonts w:ascii="標楷體" w:hAnsi="標楷體"/>
          <w:kern w:val="0"/>
          <w:sz w:val="28"/>
          <w:szCs w:val="28"/>
        </w:rPr>
        <w:t>三、由於本解釋宣告系爭公告為違憲，相關機關及民眾或可能誤以為將來對民眾設置廣告物之行為均不得予以管理，並憂心全國各處普遍成為濫設廣告物之天堂。本席認為有釐清必要。實際上系爭公告所列之多數情形，本質上確為污染行為；然其所列者亦有非本質上屬於污染行為之情形。本席認為，系爭公告違憲之關鍵在於其「視為」污染行為之效果（使本質上未必為污染行為者亦遭禁止），以及所列「其他方</w:t>
      </w:r>
      <w:r w:rsidRPr="00142E7D">
        <w:rPr>
          <w:rFonts w:ascii="標楷體" w:hAnsi="標楷體"/>
          <w:spacing w:val="-2"/>
          <w:kern w:val="0"/>
          <w:sz w:val="28"/>
          <w:szCs w:val="28"/>
        </w:rPr>
        <w:t>法」之文義過廣（使其範圍無所不包）。就此自有進一步闡述之必要。</w:t>
      </w:r>
    </w:p>
    <w:p w:rsidR="004753EA" w:rsidRPr="00142E7D" w:rsidRDefault="004753EA" w:rsidP="00661022">
      <w:pPr>
        <w:kinsoku w:val="0"/>
        <w:overflowPunct w:val="0"/>
        <w:adjustRightInd w:val="0"/>
        <w:snapToGrid w:val="0"/>
        <w:spacing w:line="391" w:lineRule="exact"/>
        <w:ind w:left="1128" w:hanging="561"/>
        <w:jc w:val="both"/>
        <w:rPr>
          <w:rFonts w:ascii="標楷體" w:hAnsi="標楷體"/>
          <w:kern w:val="0"/>
          <w:sz w:val="28"/>
          <w:szCs w:val="28"/>
        </w:rPr>
      </w:pPr>
      <w:r w:rsidRPr="00142E7D">
        <w:rPr>
          <w:rFonts w:ascii="標楷體" w:hAnsi="標楷體"/>
          <w:kern w:val="0"/>
          <w:sz w:val="28"/>
          <w:szCs w:val="28"/>
        </w:rPr>
        <w:t>四、系爭公告雖僅稱所列之設置廣告物行為「為」環境污染行為；而非稱「視為」污染環境行為。然其意旨顯然係將此等行為「視為」污染環境行為。以前所舉之情形為例，集會或遊行時之布條或其他形式之標語，如係於道路張掛、懸繫、黏貼、樹立、置放或其他方法設置，則文義上將受系爭公告所涵蓋；因而將被視為污染環境行為，並屬禁止之列；然如前所述，系爭公告所據以發布之母法（即系爭規定），並不應包括禁止此種行為。又例如短暫設置且不妨礙原場所（如廣場或寬闊之人行道）使用而發表憲法保障之政治、學術、宗教等言論之標語，亦將遭視為污染行為，而屬系爭公告禁止之範圍；然系爭公告所據以發布之母法，亦不應包括禁止此種行為。再例如黏貼於商店門口牆面之遷移啟示或有顯示贈與廠商名稱之對聯等，文義上屬於在牆壁上黏貼之廣告物，將遭「視為」污染行為，而屬系爭公告禁止之範圍；然其本質上亦不應在母法禁止範圍之列。凡此均不應被「視為」污染環境行為。此為系爭公告逾越母法之原因之一。</w:t>
      </w:r>
    </w:p>
    <w:p w:rsidR="004753EA" w:rsidRPr="00142E7D" w:rsidRDefault="004753EA" w:rsidP="00661022">
      <w:pPr>
        <w:kinsoku w:val="0"/>
        <w:overflowPunct w:val="0"/>
        <w:adjustRightInd w:val="0"/>
        <w:snapToGrid w:val="0"/>
        <w:spacing w:line="391" w:lineRule="exact"/>
        <w:ind w:left="1128" w:hanging="561"/>
        <w:jc w:val="both"/>
        <w:rPr>
          <w:rStyle w:val="apple-style-span"/>
          <w:rFonts w:ascii="標楷體" w:hAnsi="標楷體"/>
          <w:kern w:val="0"/>
          <w:sz w:val="28"/>
          <w:szCs w:val="28"/>
        </w:rPr>
      </w:pPr>
      <w:r w:rsidRPr="00142E7D">
        <w:rPr>
          <w:rStyle w:val="apple-style-span"/>
          <w:rFonts w:ascii="標楷體" w:hAnsi="標楷體"/>
          <w:kern w:val="0"/>
          <w:sz w:val="28"/>
          <w:szCs w:val="28"/>
        </w:rPr>
        <w:t>五、系爭公告所規定「視為」污染行為之範圍，包括涵蓋甚廣且無客觀標準之「</w:t>
      </w:r>
      <w:r w:rsidRPr="00142E7D">
        <w:rPr>
          <w:rFonts w:ascii="標楷體" w:hAnsi="標楷體"/>
          <w:kern w:val="0"/>
          <w:sz w:val="28"/>
          <w:szCs w:val="28"/>
        </w:rPr>
        <w:t>其他方法設置廣告物」。例如以不影響他人通行或行動之方式，手持小型標語於人行道或廣場走動，或於私人之非營業汽機車上黏貼小型標語而駕駛於道路上等，是否屬應受取締之污染行為，容有疑義；然在系爭公告下，此等情形均可能受此概括文字之涵蓋。系爭公告有關</w:t>
      </w:r>
      <w:r w:rsidRPr="00142E7D">
        <w:rPr>
          <w:rStyle w:val="apple-style-span"/>
          <w:rFonts w:ascii="標楷體" w:hAnsi="標楷體"/>
          <w:kern w:val="0"/>
          <w:sz w:val="28"/>
          <w:szCs w:val="28"/>
        </w:rPr>
        <w:t>「</w:t>
      </w:r>
      <w:r w:rsidRPr="00142E7D">
        <w:rPr>
          <w:rFonts w:ascii="標楷體" w:hAnsi="標楷體"/>
          <w:kern w:val="0"/>
          <w:sz w:val="28"/>
          <w:szCs w:val="28"/>
        </w:rPr>
        <w:t>其他方法設置廣告物」之部分，既無任何客觀標準且其範圍又毫無限制，自亦有逾越母法之疑義。</w:t>
      </w:r>
    </w:p>
    <w:p w:rsidR="004753EA" w:rsidRPr="00142E7D" w:rsidRDefault="00BC7518" w:rsidP="00661022">
      <w:pPr>
        <w:kinsoku w:val="0"/>
        <w:overflowPunct w:val="0"/>
        <w:adjustRightInd w:val="0"/>
        <w:snapToGrid w:val="0"/>
        <w:spacing w:line="391" w:lineRule="exact"/>
        <w:ind w:left="567" w:hanging="567"/>
        <w:jc w:val="both"/>
        <w:rPr>
          <w:rFonts w:ascii="標楷體" w:hAnsi="標楷體"/>
          <w:b/>
          <w:kern w:val="0"/>
          <w:sz w:val="28"/>
          <w:szCs w:val="28"/>
        </w:rPr>
      </w:pPr>
      <w:r>
        <w:rPr>
          <w:rFonts w:ascii="標楷體" w:hAnsi="標楷體"/>
          <w:b/>
          <w:kern w:val="0"/>
          <w:sz w:val="28"/>
          <w:szCs w:val="28"/>
        </w:rPr>
        <w:t>參</w:t>
      </w:r>
      <w:r w:rsidR="004753EA" w:rsidRPr="00142E7D">
        <w:rPr>
          <w:rFonts w:ascii="標楷體" w:hAnsi="標楷體"/>
          <w:b/>
          <w:kern w:val="0"/>
          <w:sz w:val="28"/>
          <w:szCs w:val="28"/>
        </w:rPr>
        <w:t>、有關系爭公告可能因而限制人民言論自由及宗教自由之問題</w:t>
      </w:r>
    </w:p>
    <w:p w:rsidR="004753EA" w:rsidRPr="00142E7D" w:rsidRDefault="004753EA" w:rsidP="00661022">
      <w:pPr>
        <w:kinsoku w:val="0"/>
        <w:overflowPunct w:val="0"/>
        <w:adjustRightInd w:val="0"/>
        <w:snapToGrid w:val="0"/>
        <w:spacing w:line="391" w:lineRule="exact"/>
        <w:ind w:left="1128" w:hanging="561"/>
        <w:jc w:val="both"/>
        <w:rPr>
          <w:rFonts w:ascii="標楷體" w:hAnsi="標楷體"/>
          <w:kern w:val="0"/>
          <w:sz w:val="28"/>
          <w:szCs w:val="28"/>
        </w:rPr>
      </w:pPr>
      <w:r w:rsidRPr="00142E7D">
        <w:rPr>
          <w:rFonts w:ascii="標楷體" w:hAnsi="標楷體"/>
          <w:kern w:val="0"/>
          <w:sz w:val="28"/>
          <w:szCs w:val="28"/>
        </w:rPr>
        <w:t>一、廣告物、廢棄物與言論及宗教自由之關係：如前所述，廢棄物清理法所稱之廢棄物，包括排放或拋棄者，以及雖非排放或拋棄然其物本質上有礙環境衛生與國民健康者；故廣告物可能為廢棄物，亦可能為非廢棄物。另廣告物之內容含有一定言論之表達（含商業或非商業言論</w:t>
      </w:r>
      <w:r w:rsidRPr="00142E7D">
        <w:rPr>
          <w:rFonts w:ascii="標楷體" w:hAnsi="標楷體"/>
          <w:kern w:val="0"/>
          <w:sz w:val="28"/>
          <w:szCs w:val="28"/>
        </w:rPr>
        <w:lastRenderedPageBreak/>
        <w:t>）或宗教教義之宣傳；然言論表達或宗教教義宣傳則未必附著於廣告物。有言論或宗教內涵之廣告物，如已遭拋棄或本質上有礙環境衛生與國民健康者，自屬廢棄物清理法規範之範圍。然此並非謂所有廣告物均得依廢棄物清理法取締。</w:t>
      </w:r>
    </w:p>
    <w:p w:rsidR="004753EA" w:rsidRPr="00142E7D" w:rsidRDefault="004753EA" w:rsidP="00661022">
      <w:pPr>
        <w:kinsoku w:val="0"/>
        <w:overflowPunct w:val="0"/>
        <w:adjustRightInd w:val="0"/>
        <w:snapToGrid w:val="0"/>
        <w:spacing w:line="391" w:lineRule="exact"/>
        <w:ind w:left="1128" w:hanging="561"/>
        <w:jc w:val="both"/>
        <w:rPr>
          <w:rFonts w:ascii="標楷體" w:hAnsi="標楷體"/>
          <w:kern w:val="0"/>
          <w:sz w:val="28"/>
          <w:szCs w:val="28"/>
        </w:rPr>
      </w:pPr>
      <w:r w:rsidRPr="00142E7D">
        <w:rPr>
          <w:rFonts w:ascii="標楷體" w:hAnsi="標楷體"/>
          <w:kern w:val="0"/>
          <w:sz w:val="28"/>
          <w:szCs w:val="28"/>
        </w:rPr>
        <w:t>二、本件涉及聲請人在街道上長期設置布幔等標語，宣傳一定宗教信仰或教義（如記載「法輪大法好」字樣）；且其內容另包括政治訴求（如記載「聲援退出中共黨」、「制止盜賣活人器官」等語）。故其設置廣告物之行為涉及憲法第十一條之言論自由（因聲請人係在我國管轄領域內為言論表達，故屬我國憲法言論自由保障之範圍）及第十三條之信仰宗教自由（雖聲請人係主張該宗教之信仰者在大陸受迫害，然其係在我國領域內宣揚其教義，故屬我國憲法宗教自由保障之範圍）。另由於聲請人在當時所欲表達者係其宗教團體在中國大陸之結社遭迫害，而非在我國之結社自由遭任何限制，故其廣告物遭受取締，尚與我國憲法保障之結社自由無關。基此說明，系爭公告雖在規範廣告物之設置，然其執行，可能溢出於原規範目的之範圍，而造成限制人民憲法上保障之權利（如本件所涉及之言論及宗教自由）之結果。</w:t>
      </w:r>
    </w:p>
    <w:p w:rsidR="004753EA" w:rsidRPr="00142E7D" w:rsidRDefault="004753EA" w:rsidP="00661022">
      <w:pPr>
        <w:kinsoku w:val="0"/>
        <w:overflowPunct w:val="0"/>
        <w:adjustRightInd w:val="0"/>
        <w:snapToGrid w:val="0"/>
        <w:spacing w:line="391" w:lineRule="exact"/>
        <w:ind w:left="1128" w:hanging="561"/>
        <w:jc w:val="both"/>
        <w:rPr>
          <w:rFonts w:ascii="標楷體" w:hAnsi="標楷體"/>
          <w:kern w:val="0"/>
          <w:sz w:val="28"/>
          <w:szCs w:val="28"/>
        </w:rPr>
      </w:pPr>
      <w:r w:rsidRPr="00142E7D">
        <w:rPr>
          <w:rFonts w:ascii="標楷體" w:hAnsi="標楷體"/>
          <w:kern w:val="0"/>
          <w:sz w:val="28"/>
          <w:szCs w:val="28"/>
        </w:rPr>
        <w:t>三、憲法第十一條保障人民之言論自由，乃在確保人民意見得以自由表達及散布。對於發表言論者而言，憲法之保障使其得以實現自我，並進而影響他人；對於其他人而言，則藉由言論自由之保障而可以獲得充分資訊。信仰宗教自由則確保人民思想不受羈絆與良知得以受啟發、支持、維繫或寄託。言論及信仰宗教自由均為維護國家與社會進步及多元發展之重要基石；國家對其干預，均應限於最小之範圍，而不得逾越憲法第二十三條所規定之必要程度。</w:t>
      </w:r>
    </w:p>
    <w:p w:rsidR="004753EA" w:rsidRPr="00142E7D" w:rsidRDefault="004753EA" w:rsidP="00661022">
      <w:pPr>
        <w:kinsoku w:val="0"/>
        <w:overflowPunct w:val="0"/>
        <w:adjustRightInd w:val="0"/>
        <w:snapToGrid w:val="0"/>
        <w:spacing w:line="391" w:lineRule="exact"/>
        <w:ind w:left="1128" w:hanging="561"/>
        <w:jc w:val="both"/>
        <w:rPr>
          <w:rFonts w:ascii="標楷體" w:hAnsi="標楷體"/>
          <w:kern w:val="0"/>
          <w:sz w:val="28"/>
          <w:szCs w:val="28"/>
        </w:rPr>
      </w:pPr>
      <w:r w:rsidRPr="00142E7D">
        <w:rPr>
          <w:rFonts w:ascii="標楷體" w:hAnsi="標楷體"/>
          <w:kern w:val="0"/>
          <w:sz w:val="28"/>
          <w:szCs w:val="28"/>
        </w:rPr>
        <w:t>四、人民在系爭公告所列之公路、人行道、廣場或其他供公眾通行之場所等空間，表達及散布言論及宣揚宗教教義，雖非隨處可見，但亦非難以想像。人民於此等空間為有關政治、學術、宗教等不以獲取財產利益為目的之言論表達或教義之宣傳，不論係以廣告或其他方式呈現，國家本非不得於憲法第二十三條規定之條件下，就其表達之「時間、地點、方式」為合理之限制，以保障環境衛生及國民健康，甚至維護他人之通行及合理利用公共空間等公共利益。要求人民於為此種表達或宣傳時，限於一定之時段（例如要求非於人員往來之尖峰時段設置，以避免干擾通行及他人合理利用相關空間）、一定地點（例如規定不應在狹窄的人行道設置，以避免通行及確保安全）、一定之方式（例如限制布幔或標語之大小或限制發出之音量，以避免干擾他人活動），均屬憲法容許之範圍。然法律或法律授權之命令縱可對以廣告方式為前述言論表達之「時間、地點、方式」為合理限制，仍應注意使</w:t>
      </w:r>
      <w:r w:rsidRPr="00142E7D">
        <w:rPr>
          <w:rFonts w:ascii="標楷體" w:hAnsi="標楷體"/>
          <w:kern w:val="0"/>
          <w:sz w:val="28"/>
          <w:szCs w:val="28"/>
        </w:rPr>
        <w:lastRenderedPageBreak/>
        <w:t>人民之此種言論或信仰仍有適當表達之機會；而不應透過對「時間、地點、方式」之規範，造成完全排除此種言論或宗教信仰於供公眾通行之場所表達或宣揚之合理機會之結果。</w:t>
      </w:r>
    </w:p>
    <w:p w:rsidR="004753EA" w:rsidRPr="00142E7D" w:rsidRDefault="004753EA" w:rsidP="00661022">
      <w:pPr>
        <w:kinsoku w:val="0"/>
        <w:overflowPunct w:val="0"/>
        <w:adjustRightInd w:val="0"/>
        <w:snapToGrid w:val="0"/>
        <w:spacing w:line="391" w:lineRule="exact"/>
        <w:ind w:left="1128" w:hanging="561"/>
        <w:jc w:val="both"/>
        <w:rPr>
          <w:rFonts w:ascii="標楷體" w:hAnsi="標楷體"/>
          <w:kern w:val="0"/>
          <w:sz w:val="28"/>
          <w:szCs w:val="28"/>
        </w:rPr>
      </w:pPr>
      <w:r w:rsidRPr="00142E7D">
        <w:rPr>
          <w:rFonts w:ascii="標楷體" w:hAnsi="標楷體"/>
          <w:kern w:val="0"/>
          <w:sz w:val="28"/>
          <w:szCs w:val="28"/>
        </w:rPr>
        <w:t>五、另系爭公告稱「未經主管機關核准……，為污染環境行為」；據此，主管機關有權對廣告物之設置為事前之審查。如主管機關係審查廣告物設置之「時間、地點、方式」，原則上並無疑義，已如前述；然如係審查廣告之「內容」，則將構成對言論表達及宗教教義之宣傳內容之事前審查。亦即，主管機關於執行系爭公告時，可能因而對以廣告方式呈現之言論表達內容或宗教教義之宣傳內容造成事前審查之結果。就此部分，顯有憲法疑義。蓋在檢視</w:t>
      </w:r>
      <w:r w:rsidRPr="00142E7D">
        <w:rPr>
          <w:rStyle w:val="apple-style-span"/>
          <w:rFonts w:ascii="標楷體" w:hAnsi="標楷體"/>
          <w:kern w:val="0"/>
          <w:sz w:val="28"/>
          <w:szCs w:val="28"/>
        </w:rPr>
        <w:t>憲法第二十三條之必要要件時，應權衡與平衡限制人民權利之規範所擬保障公益之重要性、對於所擬達成的目的可以提供之貢獻或功能、以及該規範對憲法上權利所造成限制或影響之程度；在權衡與平衡此等因素之後，憲法解釋者應進一步考量客觀上是否存有「較不侵害憲法權利」的措施存在。「</w:t>
      </w:r>
      <w:r w:rsidRPr="00142E7D">
        <w:rPr>
          <w:rFonts w:ascii="標楷體" w:hAnsi="標楷體"/>
          <w:kern w:val="0"/>
          <w:sz w:val="28"/>
          <w:szCs w:val="28"/>
        </w:rPr>
        <w:t>環境衛生、國民健康、他人之通行及合理利用公共空間」等公益雖非不重要，然其可能造成人民在憲法所保障之言論及信仰自由等重要權利事先箝制之結果；而為政治、宗教言論「內容」之事先審查，卻又對</w:t>
      </w:r>
      <w:r w:rsidRPr="00142E7D">
        <w:rPr>
          <w:rStyle w:val="apple-style-span"/>
          <w:rFonts w:ascii="標楷體" w:hAnsi="標楷體"/>
          <w:kern w:val="0"/>
          <w:sz w:val="28"/>
          <w:szCs w:val="28"/>
        </w:rPr>
        <w:t>「</w:t>
      </w:r>
      <w:r w:rsidRPr="00142E7D">
        <w:rPr>
          <w:rFonts w:ascii="標楷體" w:hAnsi="標楷體"/>
          <w:kern w:val="0"/>
          <w:sz w:val="28"/>
          <w:szCs w:val="28"/>
        </w:rPr>
        <w:t>環境衛生、國民健康、他人之通行及合理利用公共空間」等公益之維護，無重要功能。並且以對廣告設置之「時間、地點、方式」予以事前審查（而非對其「內容」為事前審查），顯然較不侵害人民之言論及宗教信仰自由，卻又較能達到維護此等公益之目的。主管機關於修正系爭公告時，自應以明確方式規定，避免對政治或宗教言論等造成事前審查之結果。例如，在修正後之公告中規定，如涉及諸如政治或</w:t>
      </w:r>
      <w:r w:rsidRPr="00142E7D">
        <w:rPr>
          <w:rFonts w:ascii="標楷體" w:hAnsi="標楷體"/>
          <w:spacing w:val="-2"/>
          <w:kern w:val="0"/>
          <w:sz w:val="28"/>
          <w:szCs w:val="28"/>
        </w:rPr>
        <w:t>宗教之言論或教義之宣傳，不得要求申請設置廣告者提出廣告之內容。</w:t>
      </w:r>
    </w:p>
    <w:p w:rsidR="001A4BEF" w:rsidRPr="00142E7D" w:rsidRDefault="004753EA" w:rsidP="00661022">
      <w:pPr>
        <w:kinsoku w:val="0"/>
        <w:overflowPunct w:val="0"/>
        <w:adjustRightInd w:val="0"/>
        <w:snapToGrid w:val="0"/>
        <w:spacing w:line="391" w:lineRule="exact"/>
        <w:ind w:left="1128" w:hanging="561"/>
        <w:jc w:val="both"/>
        <w:rPr>
          <w:rFonts w:ascii="標楷體" w:hAnsi="標楷體" w:hint="eastAsia"/>
          <w:kern w:val="0"/>
          <w:sz w:val="28"/>
          <w:szCs w:val="28"/>
        </w:rPr>
      </w:pPr>
      <w:r w:rsidRPr="00142E7D">
        <w:rPr>
          <w:rFonts w:ascii="標楷體" w:hAnsi="標楷體"/>
          <w:kern w:val="0"/>
          <w:sz w:val="28"/>
          <w:szCs w:val="28"/>
        </w:rPr>
        <w:t>六、再者人民於此種空間所為以獲取財產利益為目的之商業性言論，包括以廣告或以其他方式呈現者，除得就言論表達之「時間、地點、方式」為較嚴格之限制外，對言論之「內容」，於有重大公共利益時，亦得為事前或事後之限制。例如主管機關對於藥物廣告之內容，自得基於人民生命與健康維護之重大公共利益，而為「內容」之事前審查。系爭公告適用於商業廣告物時，縱可能因而使主管機關對其「內容」為事前審查，然如確係基於重大公共利益（諸如國民健康、公共秩序、善良風俗），則無違憲疑義。主管機關於修正系爭公告時，自應將廣告物之性質（是否為商業廣告），納入考量，使商業廣告物與前述政治、學術、藝術之言論表達或信仰之宣傳之廣告物，為適當之區別規範。</w:t>
      </w:r>
    </w:p>
    <w:p w:rsidR="002E55EF" w:rsidRPr="00142E7D" w:rsidRDefault="002E55EF" w:rsidP="00661022">
      <w:pPr>
        <w:kinsoku w:val="0"/>
        <w:overflowPunct w:val="0"/>
        <w:adjustRightInd w:val="0"/>
        <w:snapToGrid w:val="0"/>
        <w:spacing w:line="391" w:lineRule="exact"/>
        <w:ind w:left="1128" w:hanging="561"/>
        <w:jc w:val="both"/>
        <w:rPr>
          <w:rFonts w:ascii="標楷體" w:hAnsi="標楷體"/>
          <w:kern w:val="0"/>
          <w:sz w:val="28"/>
          <w:szCs w:val="28"/>
        </w:rPr>
      </w:pPr>
    </w:p>
    <w:p w:rsidR="00674882" w:rsidRPr="00142E7D" w:rsidRDefault="00674882" w:rsidP="00661022">
      <w:pPr>
        <w:kinsoku w:val="0"/>
        <w:overflowPunct w:val="0"/>
        <w:adjustRightInd w:val="0"/>
        <w:snapToGrid w:val="0"/>
        <w:spacing w:line="391" w:lineRule="exact"/>
        <w:ind w:left="958" w:right="641"/>
        <w:jc w:val="both"/>
        <w:rPr>
          <w:rFonts w:ascii="華康粗黑體" w:eastAsia="華康粗黑體" w:hAnsi="標楷體"/>
          <w:kern w:val="0"/>
          <w:sz w:val="28"/>
          <w:szCs w:val="28"/>
        </w:rPr>
        <w:sectPr w:rsidR="00674882" w:rsidRPr="00142E7D" w:rsidSect="00B80F04">
          <w:footnotePr>
            <w:numRestart w:val="eachSect"/>
          </w:footnotePr>
          <w:pgSz w:w="11906" w:h="16838"/>
          <w:pgMar w:top="1418" w:right="1134" w:bottom="851" w:left="1134" w:header="851" w:footer="992" w:gutter="0"/>
          <w:cols w:space="425"/>
          <w:docGrid w:linePitch="360"/>
        </w:sectPr>
      </w:pPr>
    </w:p>
    <w:p w:rsidR="001A4BEF" w:rsidRPr="00142E7D" w:rsidRDefault="001A4BEF" w:rsidP="00661022">
      <w:pPr>
        <w:kinsoku w:val="0"/>
        <w:overflowPunct w:val="0"/>
        <w:adjustRightInd w:val="0"/>
        <w:snapToGrid w:val="0"/>
        <w:spacing w:line="391" w:lineRule="exact"/>
        <w:ind w:left="958" w:right="641"/>
        <w:jc w:val="both"/>
        <w:rPr>
          <w:rFonts w:ascii="標楷體" w:hAnsi="標楷體"/>
          <w:kern w:val="0"/>
          <w:sz w:val="28"/>
          <w:szCs w:val="28"/>
        </w:rPr>
      </w:pPr>
      <w:r w:rsidRPr="00142E7D">
        <w:rPr>
          <w:rFonts w:ascii="華康粗黑體" w:eastAsia="華康粗黑體" w:hAnsi="標楷體" w:hint="eastAsia"/>
          <w:kern w:val="0"/>
          <w:sz w:val="28"/>
          <w:szCs w:val="28"/>
        </w:rPr>
        <w:lastRenderedPageBreak/>
        <w:t>協同</w:t>
      </w:r>
      <w:r w:rsidRPr="00142E7D">
        <w:rPr>
          <w:rFonts w:ascii="華康粗黑體" w:eastAsia="華康粗黑體" w:hAnsi="標楷體"/>
          <w:kern w:val="0"/>
          <w:sz w:val="28"/>
          <w:szCs w:val="28"/>
        </w:rPr>
        <w:t>意見書</w:t>
      </w:r>
      <w:r w:rsidRPr="00142E7D">
        <w:rPr>
          <w:rFonts w:ascii="標楷體" w:hAnsi="標楷體"/>
          <w:kern w:val="0"/>
          <w:sz w:val="28"/>
          <w:szCs w:val="28"/>
        </w:rPr>
        <w:t xml:space="preserve">　　　　　　　　　　　　　　蔡明誠大法官　提出</w:t>
      </w:r>
    </w:p>
    <w:p w:rsidR="004753EA" w:rsidRPr="00142E7D" w:rsidRDefault="004753EA" w:rsidP="00661022">
      <w:pPr>
        <w:kinsoku w:val="0"/>
        <w:overflowPunct w:val="0"/>
        <w:adjustRightInd w:val="0"/>
        <w:snapToGrid w:val="0"/>
        <w:spacing w:line="391" w:lineRule="exact"/>
        <w:ind w:firstLine="561"/>
        <w:jc w:val="both"/>
        <w:rPr>
          <w:rFonts w:ascii="標楷體" w:hAnsi="標楷體"/>
          <w:kern w:val="0"/>
          <w:sz w:val="28"/>
          <w:szCs w:val="28"/>
        </w:rPr>
      </w:pPr>
      <w:r w:rsidRPr="00142E7D">
        <w:rPr>
          <w:rFonts w:ascii="標楷體" w:hAnsi="標楷體"/>
          <w:kern w:val="0"/>
          <w:sz w:val="28"/>
          <w:szCs w:val="28"/>
        </w:rPr>
        <w:t>本解釋認廢棄物清理法第二十七條第十一款規定與憲法第二十三條之法律授權明確性原則尚無違背，及臺南市政府中華民國九十一年十</w:t>
      </w:r>
      <w:smartTag w:uri="urn:schemas-microsoft-com:office:smarttags" w:element="chsdate">
        <w:smartTagPr>
          <w:attr w:name="IsROCDate" w:val="False"/>
          <w:attr w:name="IsLunarDate" w:val="False"/>
          <w:attr w:name="Day" w:val="9"/>
          <w:attr w:name="Month" w:val="2"/>
          <w:attr w:name="Year" w:val="2015"/>
        </w:smartTagPr>
        <w:r w:rsidRPr="00142E7D">
          <w:rPr>
            <w:rFonts w:ascii="標楷體" w:hAnsi="標楷體"/>
            <w:kern w:val="0"/>
            <w:sz w:val="28"/>
            <w:szCs w:val="28"/>
          </w:rPr>
          <w:t>二月九日</w:t>
        </w:r>
      </w:smartTag>
      <w:r w:rsidRPr="00142E7D">
        <w:rPr>
          <w:rFonts w:ascii="標楷體" w:hAnsi="標楷體"/>
          <w:kern w:val="0"/>
          <w:sz w:val="28"/>
          <w:szCs w:val="28"/>
        </w:rPr>
        <w:t>南市環廢字第</w:t>
      </w:r>
      <w:r w:rsidR="00DD4611" w:rsidRPr="00142E7D">
        <w:rPr>
          <w:rFonts w:ascii="標楷體" w:hAnsi="標楷體"/>
          <w:kern w:val="0"/>
          <w:sz w:val="28"/>
          <w:szCs w:val="28"/>
        </w:rPr>
        <w:t>○</w:t>
      </w:r>
      <w:r w:rsidRPr="00142E7D">
        <w:rPr>
          <w:rFonts w:ascii="標楷體" w:hAnsi="標楷體"/>
          <w:kern w:val="0"/>
          <w:sz w:val="28"/>
          <w:szCs w:val="28"/>
        </w:rPr>
        <w:t>九一</w:t>
      </w:r>
      <w:r w:rsidR="00DD4611" w:rsidRPr="00142E7D">
        <w:rPr>
          <w:rFonts w:ascii="標楷體" w:hAnsi="標楷體"/>
          <w:kern w:val="0"/>
          <w:sz w:val="28"/>
          <w:szCs w:val="28"/>
        </w:rPr>
        <w:t>○</w:t>
      </w:r>
      <w:r w:rsidRPr="00142E7D">
        <w:rPr>
          <w:rFonts w:ascii="標楷體" w:hAnsi="標楷體"/>
          <w:kern w:val="0"/>
          <w:sz w:val="28"/>
          <w:szCs w:val="28"/>
        </w:rPr>
        <w:t>四</w:t>
      </w:r>
      <w:r w:rsidR="00DD4611" w:rsidRPr="00142E7D">
        <w:rPr>
          <w:rFonts w:ascii="標楷體" w:hAnsi="標楷體"/>
          <w:kern w:val="0"/>
          <w:sz w:val="28"/>
          <w:szCs w:val="28"/>
        </w:rPr>
        <w:t>○</w:t>
      </w:r>
      <w:r w:rsidRPr="00142E7D">
        <w:rPr>
          <w:rFonts w:ascii="標楷體" w:hAnsi="標楷體"/>
          <w:kern w:val="0"/>
          <w:sz w:val="28"/>
          <w:szCs w:val="28"/>
        </w:rPr>
        <w:t>二三四三一號公告之公告事項一、二（該府改制後於一</w:t>
      </w:r>
      <w:r w:rsidR="00DD4611" w:rsidRPr="00142E7D">
        <w:rPr>
          <w:rFonts w:ascii="標楷體" w:hAnsi="標楷體"/>
          <w:kern w:val="0"/>
          <w:sz w:val="28"/>
          <w:szCs w:val="28"/>
        </w:rPr>
        <w:t>○○</w:t>
      </w:r>
      <w:r w:rsidRPr="00142E7D">
        <w:rPr>
          <w:rFonts w:ascii="標楷體" w:hAnsi="標楷體"/>
          <w:kern w:val="0"/>
          <w:sz w:val="28"/>
          <w:szCs w:val="28"/>
        </w:rPr>
        <w:t>年一月十三日以南市府環管字第一</w:t>
      </w:r>
      <w:r w:rsidR="00DD4611" w:rsidRPr="00142E7D">
        <w:rPr>
          <w:rFonts w:ascii="標楷體" w:hAnsi="標楷體"/>
          <w:kern w:val="0"/>
          <w:sz w:val="28"/>
          <w:szCs w:val="28"/>
        </w:rPr>
        <w:t>○○○○</w:t>
      </w:r>
      <w:r w:rsidRPr="00142E7D">
        <w:rPr>
          <w:rFonts w:ascii="標楷體" w:hAnsi="標楷體"/>
          <w:kern w:val="0"/>
          <w:sz w:val="28"/>
          <w:szCs w:val="28"/>
        </w:rPr>
        <w:t>五</w:t>
      </w:r>
      <w:r w:rsidR="00DD4611" w:rsidRPr="00142E7D">
        <w:rPr>
          <w:rFonts w:ascii="標楷體" w:hAnsi="標楷體"/>
          <w:kern w:val="0"/>
          <w:sz w:val="28"/>
          <w:szCs w:val="28"/>
        </w:rPr>
        <w:t>○</w:t>
      </w:r>
      <w:r w:rsidRPr="00142E7D">
        <w:rPr>
          <w:rFonts w:ascii="標楷體" w:hAnsi="標楷體"/>
          <w:kern w:val="0"/>
          <w:sz w:val="28"/>
          <w:szCs w:val="28"/>
        </w:rPr>
        <w:t>七</w:t>
      </w:r>
      <w:r w:rsidR="00DD4611" w:rsidRPr="00142E7D">
        <w:rPr>
          <w:rFonts w:ascii="標楷體" w:hAnsi="標楷體"/>
          <w:kern w:val="0"/>
          <w:sz w:val="28"/>
          <w:szCs w:val="28"/>
        </w:rPr>
        <w:t>○</w:t>
      </w:r>
      <w:r w:rsidRPr="00142E7D">
        <w:rPr>
          <w:rFonts w:ascii="標楷體" w:hAnsi="標楷體"/>
          <w:kern w:val="0"/>
          <w:sz w:val="28"/>
          <w:szCs w:val="28"/>
        </w:rPr>
        <w:t>一</w:t>
      </w:r>
      <w:r w:rsidR="00DD4611" w:rsidRPr="00142E7D">
        <w:rPr>
          <w:rFonts w:ascii="標楷體" w:hAnsi="標楷體"/>
          <w:kern w:val="0"/>
          <w:sz w:val="28"/>
          <w:szCs w:val="28"/>
        </w:rPr>
        <w:t>○</w:t>
      </w:r>
      <w:r w:rsidRPr="00142E7D">
        <w:rPr>
          <w:rFonts w:ascii="標楷體" w:hAnsi="標楷體"/>
          <w:kern w:val="0"/>
          <w:sz w:val="28"/>
          <w:szCs w:val="28"/>
        </w:rPr>
        <w:t>號公告重行發布，內容相當。下稱系爭公告）有逾越母法授權之範圍，與法律保留原則尚有未符之結論，謹表同意。惟在指定清除地區內設置廣告物之行為，並非純屬於廢棄物清理法與憲法保障基本權利之範疇，因廣告物所呈現之內容、方式或時地等，亦可能與廣告相關法規所欲規範者發生重疊，因此本號解釋仍有進一步闡明之意義。茲提出協同意見如下:</w:t>
      </w:r>
    </w:p>
    <w:p w:rsidR="004753EA" w:rsidRPr="00142E7D" w:rsidRDefault="00F92094" w:rsidP="00661022">
      <w:pPr>
        <w:pStyle w:val="ListParagraph"/>
        <w:kinsoku w:val="0"/>
        <w:overflowPunct w:val="0"/>
        <w:adjustRightInd w:val="0"/>
        <w:snapToGrid w:val="0"/>
        <w:spacing w:line="391" w:lineRule="exact"/>
        <w:ind w:leftChars="0" w:left="0"/>
        <w:jc w:val="both"/>
        <w:rPr>
          <w:rFonts w:ascii="標楷體" w:eastAsia="標楷體" w:hAnsi="標楷體"/>
          <w:b/>
          <w:kern w:val="0"/>
          <w:sz w:val="28"/>
          <w:szCs w:val="28"/>
        </w:rPr>
      </w:pPr>
      <w:r w:rsidRPr="00142E7D">
        <w:rPr>
          <w:rFonts w:ascii="標楷體" w:eastAsia="標楷體" w:hAnsi="標楷體" w:hint="eastAsia"/>
          <w:b/>
          <w:kern w:val="0"/>
          <w:sz w:val="28"/>
          <w:szCs w:val="28"/>
        </w:rPr>
        <w:t>一、</w:t>
      </w:r>
      <w:r w:rsidR="004753EA" w:rsidRPr="00142E7D">
        <w:rPr>
          <w:rFonts w:ascii="標楷體" w:eastAsia="標楷體" w:hAnsi="標楷體"/>
          <w:b/>
          <w:kern w:val="0"/>
          <w:sz w:val="28"/>
          <w:szCs w:val="28"/>
        </w:rPr>
        <w:t>不宜單純依廢棄物清理法處理廣告物設置問題</w:t>
      </w:r>
    </w:p>
    <w:p w:rsidR="004753EA" w:rsidRPr="00142E7D" w:rsidRDefault="004753EA" w:rsidP="00661022">
      <w:pPr>
        <w:pStyle w:val="HTML"/>
        <w:kinsoku w:val="0"/>
        <w:overflowPunct w:val="0"/>
        <w:adjustRightInd w:val="0"/>
        <w:snapToGrid w:val="0"/>
        <w:spacing w:line="391" w:lineRule="exact"/>
        <w:ind w:left="561" w:firstLine="561"/>
        <w:jc w:val="both"/>
        <w:rPr>
          <w:rFonts w:ascii="標楷體" w:eastAsia="標楷體" w:hAnsi="標楷體" w:cs="Times New Roman"/>
          <w:sz w:val="28"/>
          <w:szCs w:val="28"/>
        </w:rPr>
      </w:pPr>
      <w:r w:rsidRPr="00142E7D">
        <w:rPr>
          <w:rFonts w:ascii="標楷體" w:eastAsia="標楷體" w:hAnsi="標楷體" w:cs="Times New Roman"/>
          <w:sz w:val="28"/>
          <w:szCs w:val="28"/>
        </w:rPr>
        <w:t>廢棄物清理法之立法目的，係為有效清除、處理廢棄物，改善環境衛生，維護國民健康</w:t>
      </w:r>
      <w:r w:rsidR="00DD4611" w:rsidRPr="00142E7D">
        <w:rPr>
          <w:rFonts w:ascii="標楷體" w:eastAsia="標楷體" w:hAnsi="標楷體" w:cs="Times New Roman"/>
          <w:sz w:val="28"/>
          <w:szCs w:val="28"/>
        </w:rPr>
        <w:t>（</w:t>
      </w:r>
      <w:r w:rsidRPr="00142E7D">
        <w:rPr>
          <w:rFonts w:ascii="標楷體" w:eastAsia="標楷體" w:hAnsi="標楷體" w:cs="Times New Roman"/>
          <w:sz w:val="28"/>
          <w:szCs w:val="28"/>
        </w:rPr>
        <w:t>該法第一條參照</w:t>
      </w:r>
      <w:r w:rsidR="00DD4611" w:rsidRPr="00142E7D">
        <w:rPr>
          <w:rFonts w:ascii="標楷體" w:eastAsia="標楷體" w:hAnsi="標楷體" w:cs="Times New Roman"/>
          <w:sz w:val="28"/>
          <w:szCs w:val="28"/>
        </w:rPr>
        <w:t>）</w:t>
      </w:r>
      <w:r w:rsidRPr="00142E7D">
        <w:rPr>
          <w:rFonts w:ascii="標楷體" w:eastAsia="標楷體" w:hAnsi="標楷體" w:cs="Times New Roman"/>
          <w:sz w:val="28"/>
          <w:szCs w:val="28"/>
        </w:rPr>
        <w:t>。同法第二十七條第十款規定，在指定清除地區內嚴禁張貼或噴漆廣告污染定著物之行為，此屬於禁止特定地區污染環境行為之例示規定，為避免規範不足，掛一漏萬，另於第十一款概括規定「其他經主管機關公告之污染環境行為」。地方主管機關於實務上，往往依前開第十一款法律授權而發布公告，有如本解釋原因案件所涉及之系爭公告事項，針對廣告物設置之事前核准時，其所列之要件事實，不無與前述第十款規定重疊或重複之情形，並泛稱廣告物，不區分廣告之類型及設置所附著之物，均視同廢棄物，概依廢棄物清理法予以嚴禁取締。</w:t>
      </w:r>
      <w:r w:rsidRPr="00142E7D">
        <w:rPr>
          <w:rStyle w:val="ab"/>
          <w:rFonts w:ascii="標楷體" w:eastAsia="標楷體" w:hAnsi="標楷體" w:cs="Times New Roman"/>
          <w:sz w:val="28"/>
          <w:szCs w:val="28"/>
        </w:rPr>
        <w:footnoteReference w:id="32"/>
      </w:r>
      <w:r w:rsidRPr="00142E7D">
        <w:rPr>
          <w:rFonts w:ascii="標楷體" w:eastAsia="標楷體" w:hAnsi="標楷體" w:cs="Times New Roman"/>
          <w:sz w:val="28"/>
          <w:szCs w:val="28"/>
        </w:rPr>
        <w:t xml:space="preserve"> 此單純以廢棄物處理廣告物設置，仍有商榷之餘地。尤其是廣告物所表現之廣告內容，可能涉及言論或資訊等傳播自由，如單純依廢棄物清理法處理廣告物設置問題，難免有侵害人民之行為自由或言論自由等憲法所保障基本權之疑義。</w:t>
      </w:r>
    </w:p>
    <w:p w:rsidR="004753EA" w:rsidRPr="00142E7D" w:rsidRDefault="007B5EC0" w:rsidP="00661022">
      <w:pPr>
        <w:pStyle w:val="HTML"/>
        <w:kinsoku w:val="0"/>
        <w:overflowPunct w:val="0"/>
        <w:adjustRightInd w:val="0"/>
        <w:snapToGrid w:val="0"/>
        <w:spacing w:line="391" w:lineRule="exact"/>
        <w:jc w:val="both"/>
        <w:rPr>
          <w:rFonts w:ascii="標楷體" w:eastAsia="標楷體" w:hAnsi="標楷體" w:cs="Times New Roman"/>
          <w:b/>
          <w:sz w:val="28"/>
          <w:szCs w:val="28"/>
        </w:rPr>
      </w:pPr>
      <w:r w:rsidRPr="00142E7D">
        <w:rPr>
          <w:rFonts w:ascii="標楷體" w:eastAsia="標楷體" w:hAnsi="標楷體" w:cs="Times New Roman" w:hint="eastAsia"/>
          <w:b/>
          <w:sz w:val="28"/>
          <w:szCs w:val="28"/>
        </w:rPr>
        <w:t>二、</w:t>
      </w:r>
      <w:r w:rsidR="004753EA" w:rsidRPr="00142E7D">
        <w:rPr>
          <w:rFonts w:ascii="標楷體" w:eastAsia="標楷體" w:hAnsi="標楷體" w:cs="Times New Roman"/>
          <w:b/>
          <w:sz w:val="28"/>
          <w:szCs w:val="28"/>
        </w:rPr>
        <w:t>處理廣告物設置時應考量「廣告法」適用問題</w:t>
      </w:r>
    </w:p>
    <w:p w:rsidR="004753EA" w:rsidRPr="00142E7D" w:rsidRDefault="004753EA" w:rsidP="00661022">
      <w:pPr>
        <w:pStyle w:val="HTML"/>
        <w:kinsoku w:val="0"/>
        <w:overflowPunct w:val="0"/>
        <w:adjustRightInd w:val="0"/>
        <w:snapToGrid w:val="0"/>
        <w:spacing w:line="391" w:lineRule="exact"/>
        <w:ind w:left="561" w:firstLine="561"/>
        <w:jc w:val="both"/>
        <w:rPr>
          <w:rFonts w:ascii="標楷體" w:eastAsia="標楷體" w:hAnsi="標楷體" w:cs="Times New Roman"/>
          <w:sz w:val="28"/>
          <w:szCs w:val="28"/>
        </w:rPr>
      </w:pPr>
      <w:r w:rsidRPr="00142E7D">
        <w:rPr>
          <w:rFonts w:ascii="標楷體" w:eastAsia="標楷體" w:hAnsi="標楷體" w:cs="Times New Roman"/>
          <w:sz w:val="28"/>
          <w:szCs w:val="28"/>
        </w:rPr>
        <w:t>規範廣告之立法模式，從外國立法例觀之，有採取綜合式獨立之規範模式，亦有採分散式規範模式，我國屬於後者之立法模式。例如分散規定於廣播電視法、有線廣播電視法、衛星廣播電視法、公平交易法、兒童及少年福利與權益保障法等。例如廣播電視法中，將節目與廣告分開規定，有關廣告內容之禁止規定，準用節目之規定。由此可見，我國將廣告之規範，分別就規範之目的及廣告所呈現不同類型，而將之分散規定於各種不同法規之中，此一便宜性之立法模式，固無可厚非。惟如同時欲對廣告予</w:t>
      </w:r>
      <w:r w:rsidRPr="00142E7D">
        <w:rPr>
          <w:rFonts w:ascii="標楷體" w:eastAsia="標楷體" w:hAnsi="標楷體" w:cs="Times New Roman"/>
          <w:sz w:val="28"/>
          <w:szCs w:val="28"/>
        </w:rPr>
        <w:lastRenderedPageBreak/>
        <w:t>以規制，主管機關不宜單純從設置廣告物所附著之有體形式而逕認其為廢棄物或視同廢棄物，而宜視廣告之性質或內容，依據規範目的、對象，分別為不同範疇之保護及不同程度之限制。諸如廣告內容、方式或時地及廣告物設置行為對公共利益影響之程度，加以保護或限制。其限制如涉及言論內容之事前審查，原則上宜予避免。如有事先核准之必要時，應適用嚴格審查標準。</w:t>
      </w:r>
      <w:r w:rsidRPr="00142E7D">
        <w:rPr>
          <w:rStyle w:val="ab"/>
          <w:rFonts w:ascii="標楷體" w:eastAsia="標楷體" w:hAnsi="標楷體" w:cs="Times New Roman"/>
          <w:sz w:val="28"/>
          <w:szCs w:val="28"/>
        </w:rPr>
        <w:footnoteReference w:id="33"/>
      </w:r>
      <w:r w:rsidRPr="00142E7D">
        <w:rPr>
          <w:rFonts w:ascii="標楷體" w:eastAsia="標楷體" w:hAnsi="標楷體" w:cs="Times New Roman"/>
          <w:sz w:val="28"/>
          <w:szCs w:val="28"/>
        </w:rPr>
        <w:t>再者，對於具有商業性質之廣告，其屬於商業言論</w:t>
      </w:r>
      <w:r w:rsidR="00654FBB" w:rsidRPr="00142E7D">
        <w:rPr>
          <w:rFonts w:ascii="標楷體" w:eastAsia="標楷體" w:hAnsi="標楷體" w:cs="Times New Roman"/>
          <w:sz w:val="28"/>
          <w:szCs w:val="28"/>
        </w:rPr>
        <w:t>（</w:t>
      </w:r>
      <w:r w:rsidRPr="00142E7D">
        <w:rPr>
          <w:rFonts w:ascii="標楷體" w:eastAsia="標楷體" w:hAnsi="標楷體" w:cs="Times New Roman"/>
          <w:sz w:val="28"/>
          <w:szCs w:val="28"/>
        </w:rPr>
        <w:t>commercial speech</w:t>
      </w:r>
      <w:r w:rsidR="00654FBB" w:rsidRPr="00142E7D">
        <w:rPr>
          <w:rFonts w:ascii="標楷體" w:eastAsia="標楷體" w:hAnsi="標楷體" w:cs="Times New Roman"/>
          <w:sz w:val="28"/>
          <w:szCs w:val="28"/>
        </w:rPr>
        <w:t>）</w:t>
      </w:r>
      <w:r w:rsidRPr="00142E7D">
        <w:rPr>
          <w:rFonts w:ascii="標楷體" w:eastAsia="標楷體" w:hAnsi="標楷體" w:cs="Times New Roman"/>
          <w:sz w:val="28"/>
          <w:szCs w:val="28"/>
        </w:rPr>
        <w:t>或經濟性廣告</w:t>
      </w:r>
      <w:r w:rsidR="00654FBB" w:rsidRPr="00142E7D">
        <w:rPr>
          <w:rFonts w:ascii="標楷體" w:eastAsia="標楷體" w:hAnsi="標楷體" w:cs="Times New Roman"/>
          <w:sz w:val="28"/>
          <w:szCs w:val="28"/>
        </w:rPr>
        <w:t>（</w:t>
      </w:r>
      <w:r w:rsidRPr="00142E7D">
        <w:rPr>
          <w:rFonts w:ascii="標楷體" w:eastAsia="標楷體" w:hAnsi="標楷體" w:cs="Times New Roman"/>
          <w:sz w:val="28"/>
          <w:szCs w:val="28"/>
        </w:rPr>
        <w:t>Wirtschaftswerbung</w:t>
      </w:r>
      <w:r w:rsidR="00654FBB" w:rsidRPr="00142E7D">
        <w:rPr>
          <w:rFonts w:ascii="標楷體" w:eastAsia="標楷體" w:hAnsi="標楷體" w:cs="Times New Roman"/>
          <w:sz w:val="28"/>
          <w:szCs w:val="28"/>
        </w:rPr>
        <w:t>）</w:t>
      </w:r>
      <w:r w:rsidRPr="00142E7D">
        <w:rPr>
          <w:rStyle w:val="ab"/>
          <w:rFonts w:ascii="標楷體" w:eastAsia="標楷體" w:hAnsi="標楷體" w:cs="Times New Roman"/>
          <w:sz w:val="28"/>
          <w:szCs w:val="28"/>
        </w:rPr>
        <w:footnoteReference w:id="34"/>
      </w:r>
      <w:r w:rsidRPr="00142E7D">
        <w:rPr>
          <w:rFonts w:ascii="標楷體" w:eastAsia="標楷體" w:hAnsi="標楷體" w:cs="Times New Roman"/>
          <w:sz w:val="28"/>
          <w:szCs w:val="28"/>
        </w:rPr>
        <w:t>，該類廣告因針對內容或內容中立，或其言論價值高底，是否因此在憲法上保障程度有所不同</w:t>
      </w:r>
      <w:r w:rsidR="00DD4611" w:rsidRPr="00142E7D">
        <w:rPr>
          <w:rFonts w:ascii="標楷體" w:eastAsia="標楷體" w:hAnsi="標楷體" w:cs="Times New Roman"/>
          <w:sz w:val="28"/>
          <w:szCs w:val="28"/>
        </w:rPr>
        <w:t>（</w:t>
      </w:r>
      <w:r w:rsidRPr="00142E7D">
        <w:rPr>
          <w:rFonts w:ascii="標楷體" w:eastAsia="標楷體" w:hAnsi="標楷體" w:cs="Times New Roman"/>
          <w:sz w:val="28"/>
          <w:szCs w:val="28"/>
        </w:rPr>
        <w:t>此有稱雙軌、雙階理論</w:t>
      </w:r>
      <w:r w:rsidR="00DD4611" w:rsidRPr="00142E7D">
        <w:rPr>
          <w:rFonts w:ascii="標楷體" w:eastAsia="標楷體" w:hAnsi="標楷體" w:cs="Times New Roman"/>
          <w:sz w:val="28"/>
          <w:szCs w:val="28"/>
        </w:rPr>
        <w:t>）</w:t>
      </w:r>
      <w:r w:rsidRPr="00142E7D">
        <w:rPr>
          <w:rFonts w:ascii="標楷體" w:eastAsia="標楷體" w:hAnsi="標楷體" w:cs="Times New Roman"/>
          <w:sz w:val="28"/>
          <w:szCs w:val="28"/>
        </w:rPr>
        <w:t>，可能有不同之見解。</w:t>
      </w:r>
      <w:r w:rsidRPr="00142E7D">
        <w:rPr>
          <w:rStyle w:val="ab"/>
          <w:rFonts w:ascii="標楷體" w:eastAsia="標楷體" w:hAnsi="標楷體" w:cs="Times New Roman"/>
          <w:sz w:val="28"/>
          <w:szCs w:val="28"/>
        </w:rPr>
        <w:footnoteReference w:id="35"/>
      </w:r>
      <w:r w:rsidRPr="00142E7D">
        <w:rPr>
          <w:rFonts w:ascii="標楷體" w:eastAsia="標楷體" w:hAnsi="標楷體" w:cs="Times New Roman"/>
          <w:sz w:val="28"/>
          <w:szCs w:val="28"/>
        </w:rPr>
        <w:t>惟一般而言，言論自由之保障，可使人民之意見自由流通，取得充分資訊及增進自我實現之機會，此言論包括商業言論</w:t>
      </w:r>
      <w:r w:rsidR="00DD4611" w:rsidRPr="00142E7D">
        <w:rPr>
          <w:rFonts w:ascii="標楷體" w:eastAsia="標楷體" w:hAnsi="標楷體" w:cs="Times New Roman"/>
          <w:sz w:val="28"/>
          <w:szCs w:val="28"/>
        </w:rPr>
        <w:t>（</w:t>
      </w:r>
      <w:r w:rsidRPr="00142E7D">
        <w:rPr>
          <w:rFonts w:ascii="標楷體" w:eastAsia="標楷體" w:hAnsi="標楷體" w:cs="Times New Roman"/>
          <w:sz w:val="28"/>
          <w:szCs w:val="28"/>
        </w:rPr>
        <w:t>如經濟性廣告</w:t>
      </w:r>
      <w:r w:rsidR="00DD4611" w:rsidRPr="00142E7D">
        <w:rPr>
          <w:rFonts w:ascii="標楷體" w:eastAsia="標楷體" w:hAnsi="標楷體" w:cs="Times New Roman"/>
          <w:sz w:val="28"/>
          <w:szCs w:val="28"/>
        </w:rPr>
        <w:t>）</w:t>
      </w:r>
      <w:r w:rsidRPr="00142E7D">
        <w:rPr>
          <w:rFonts w:ascii="標楷體" w:eastAsia="標楷體" w:hAnsi="標楷體" w:cs="Times New Roman"/>
          <w:sz w:val="28"/>
          <w:szCs w:val="28"/>
        </w:rPr>
        <w:t>，並依其性質而有不同之保護範疇及限制之準則，受憲法言論自由之保障，此可參照本院釋字第四一四號解釋之意旨。因此，有關廣告物設置之處理，因廣告物上可能含有廣告內容之意見表現，故應同時考量廣告法規範適用問題，並根據「廣告法」之規範意旨及目的</w:t>
      </w:r>
      <w:r w:rsidR="00654FBB" w:rsidRPr="00142E7D">
        <w:rPr>
          <w:rFonts w:ascii="標楷體" w:eastAsia="標楷體" w:hAnsi="標楷體" w:cs="Times New Roman"/>
          <w:sz w:val="28"/>
          <w:szCs w:val="28"/>
        </w:rPr>
        <w:t>（</w:t>
      </w:r>
      <w:r w:rsidRPr="00142E7D">
        <w:rPr>
          <w:rFonts w:ascii="標楷體" w:eastAsia="標楷體" w:hAnsi="標楷體" w:cs="Times New Roman"/>
          <w:sz w:val="28"/>
          <w:szCs w:val="28"/>
        </w:rPr>
        <w:t>Sinn und Zweck</w:t>
      </w:r>
      <w:r w:rsidR="00654FBB" w:rsidRPr="00142E7D">
        <w:rPr>
          <w:rFonts w:ascii="標楷體" w:eastAsia="標楷體" w:hAnsi="標楷體" w:cs="Times New Roman"/>
          <w:sz w:val="28"/>
          <w:szCs w:val="28"/>
        </w:rPr>
        <w:t>）</w:t>
      </w:r>
      <w:r w:rsidRPr="00142E7D">
        <w:rPr>
          <w:rFonts w:ascii="標楷體" w:eastAsia="標楷體" w:hAnsi="標楷體" w:cs="Times New Roman"/>
          <w:sz w:val="28"/>
          <w:szCs w:val="28"/>
        </w:rPr>
        <w:t>，作出適當且必要之規範。</w:t>
      </w:r>
    </w:p>
    <w:p w:rsidR="004753EA" w:rsidRPr="00142E7D" w:rsidRDefault="00CF5283" w:rsidP="00661022">
      <w:pPr>
        <w:pStyle w:val="ListParagraph"/>
        <w:kinsoku w:val="0"/>
        <w:overflowPunct w:val="0"/>
        <w:adjustRightInd w:val="0"/>
        <w:snapToGrid w:val="0"/>
        <w:spacing w:line="391" w:lineRule="exact"/>
        <w:ind w:leftChars="0" w:left="0"/>
        <w:jc w:val="both"/>
        <w:rPr>
          <w:rFonts w:ascii="標楷體" w:eastAsia="標楷體" w:hAnsi="標楷體"/>
          <w:b/>
          <w:kern w:val="0"/>
          <w:sz w:val="28"/>
          <w:szCs w:val="28"/>
        </w:rPr>
      </w:pPr>
      <w:r w:rsidRPr="00142E7D">
        <w:rPr>
          <w:rFonts w:ascii="標楷體" w:eastAsia="標楷體" w:hAnsi="標楷體" w:hint="eastAsia"/>
          <w:b/>
          <w:kern w:val="0"/>
          <w:sz w:val="28"/>
          <w:szCs w:val="28"/>
        </w:rPr>
        <w:t>三、</w:t>
      </w:r>
      <w:r w:rsidR="004753EA" w:rsidRPr="00142E7D">
        <w:rPr>
          <w:rFonts w:ascii="標楷體" w:eastAsia="標楷體" w:hAnsi="標楷體"/>
          <w:b/>
          <w:kern w:val="0"/>
          <w:sz w:val="28"/>
          <w:szCs w:val="28"/>
        </w:rPr>
        <w:t>從憲法保障基本權觀點，廣告與廣告物宜予區別</w:t>
      </w:r>
    </w:p>
    <w:p w:rsidR="004753EA" w:rsidRPr="00142E7D" w:rsidRDefault="004753EA" w:rsidP="00661022">
      <w:pPr>
        <w:kinsoku w:val="0"/>
        <w:overflowPunct w:val="0"/>
        <w:adjustRightInd w:val="0"/>
        <w:snapToGrid w:val="0"/>
        <w:spacing w:line="391" w:lineRule="exact"/>
        <w:ind w:left="561" w:firstLine="561"/>
        <w:jc w:val="both"/>
        <w:rPr>
          <w:rFonts w:ascii="標楷體" w:hAnsi="標楷體"/>
          <w:kern w:val="0"/>
          <w:sz w:val="28"/>
          <w:szCs w:val="28"/>
        </w:rPr>
      </w:pPr>
      <w:r w:rsidRPr="00142E7D">
        <w:rPr>
          <w:rFonts w:ascii="標楷體" w:hAnsi="標楷體"/>
          <w:kern w:val="0"/>
          <w:sz w:val="28"/>
          <w:szCs w:val="28"/>
        </w:rPr>
        <w:t>廣告兼具意見表達之性質，以付費為常見型態。但如採取廣義解釋，則可能包括不需付費之意見表達或資訊傳播。至於廣告所附著物之型態各</w:t>
      </w:r>
      <w:r w:rsidRPr="00142E7D">
        <w:rPr>
          <w:rFonts w:ascii="標楷體" w:hAnsi="標楷體"/>
          <w:kern w:val="0"/>
          <w:sz w:val="28"/>
          <w:szCs w:val="28"/>
        </w:rPr>
        <w:lastRenderedPageBreak/>
        <w:t>有不同，而呈現出不同形式之廣告物。本件原因案件，涉及廣告物所欲呈現言論表現之廣告，是否宜認為廢棄物或視同廢棄物，概予以取締，不無疑義，已如前述。</w:t>
      </w:r>
    </w:p>
    <w:p w:rsidR="004753EA" w:rsidRPr="00142E7D" w:rsidRDefault="004753EA" w:rsidP="00661022">
      <w:pPr>
        <w:kinsoku w:val="0"/>
        <w:overflowPunct w:val="0"/>
        <w:adjustRightInd w:val="0"/>
        <w:snapToGrid w:val="0"/>
        <w:spacing w:line="391" w:lineRule="exact"/>
        <w:ind w:left="561" w:firstLine="561"/>
        <w:jc w:val="both"/>
        <w:rPr>
          <w:rFonts w:ascii="標楷體" w:hAnsi="標楷體"/>
          <w:kern w:val="0"/>
          <w:sz w:val="28"/>
          <w:szCs w:val="28"/>
        </w:rPr>
      </w:pPr>
      <w:r w:rsidRPr="00142E7D">
        <w:rPr>
          <w:rFonts w:ascii="標楷體" w:hAnsi="標楷體"/>
          <w:kern w:val="0"/>
          <w:sz w:val="28"/>
          <w:szCs w:val="28"/>
        </w:rPr>
        <w:t>廣告之內容，往往利用廣告所附著之物，例如容器、包裝、海報、招牌等廣告物，呈現其語文、圖形、視聽影像等廣告內容，此為廣告相關規定所欲規制之對象。如前所述，我國既未制定綜合性單一廣告法，屬於分散式廣告法之立法模式。本解釋所涉及廣告物，係因廢棄物清理法授權公告之命令，使設置於特定清除區域之廣告物，未經主管機關核准，而被視同廢棄物，地方主管機關據以取締之法令是否牴觸憲法發生疑義。為避免主管機關以規範廢棄物，間接達成限制廣告物設置之目的。如有利用廢棄物清理法，以便宜措施事前規制廣告等商業言論之嫌疑，自應受到嚴格之審查。又因廣告規範係屬於傳播規範之一部分，有關本解釋認為違憲部分，檢討修正涉及廣告物設置或廣告製作等規範，在憲法基本權之保障範圍，除考量傳統言論自由權外，宜留意資訊自由權</w:t>
      </w:r>
      <w:r w:rsidR="00DD4611" w:rsidRPr="00142E7D">
        <w:rPr>
          <w:rFonts w:ascii="標楷體" w:hAnsi="標楷體"/>
          <w:kern w:val="0"/>
          <w:sz w:val="28"/>
          <w:szCs w:val="28"/>
        </w:rPr>
        <w:t>（</w:t>
      </w:r>
      <w:r w:rsidRPr="00142E7D">
        <w:rPr>
          <w:rFonts w:ascii="標楷體" w:hAnsi="標楷體"/>
          <w:kern w:val="0"/>
          <w:sz w:val="28"/>
          <w:szCs w:val="28"/>
        </w:rPr>
        <w:t>如資訊自主權等，釋字第五八六號解釋參照</w:t>
      </w:r>
      <w:r w:rsidR="00DD4611" w:rsidRPr="00142E7D">
        <w:rPr>
          <w:rFonts w:ascii="標楷體" w:hAnsi="標楷體"/>
          <w:kern w:val="0"/>
          <w:sz w:val="28"/>
          <w:szCs w:val="28"/>
        </w:rPr>
        <w:t>）</w:t>
      </w:r>
      <w:r w:rsidRPr="00142E7D">
        <w:rPr>
          <w:rFonts w:ascii="標楷體" w:hAnsi="標楷體"/>
          <w:kern w:val="0"/>
          <w:sz w:val="28"/>
          <w:szCs w:val="28"/>
        </w:rPr>
        <w:t>，及包括媒體自由</w:t>
      </w:r>
      <w:r w:rsidR="00654FBB" w:rsidRPr="00142E7D">
        <w:rPr>
          <w:rFonts w:ascii="標楷體" w:hAnsi="標楷體"/>
          <w:kern w:val="0"/>
          <w:sz w:val="28"/>
          <w:szCs w:val="28"/>
        </w:rPr>
        <w:t>（</w:t>
      </w:r>
      <w:r w:rsidRPr="00142E7D">
        <w:rPr>
          <w:rFonts w:ascii="標楷體" w:hAnsi="標楷體"/>
          <w:kern w:val="0"/>
          <w:sz w:val="28"/>
          <w:szCs w:val="28"/>
        </w:rPr>
        <w:t>Medienfreiheit</w:t>
      </w:r>
      <w:r w:rsidR="00654FBB" w:rsidRPr="00142E7D">
        <w:rPr>
          <w:rFonts w:ascii="標楷體" w:hAnsi="標楷體"/>
          <w:kern w:val="0"/>
          <w:sz w:val="28"/>
          <w:szCs w:val="28"/>
        </w:rPr>
        <w:t>）</w:t>
      </w:r>
      <w:r w:rsidRPr="00142E7D">
        <w:rPr>
          <w:rFonts w:ascii="標楷體" w:hAnsi="標楷體"/>
          <w:kern w:val="0"/>
          <w:sz w:val="28"/>
          <w:szCs w:val="28"/>
        </w:rPr>
        <w:t>等之傳播自由</w:t>
      </w:r>
      <w:r w:rsidR="00654FBB" w:rsidRPr="00142E7D">
        <w:rPr>
          <w:rFonts w:ascii="標楷體" w:hAnsi="標楷體"/>
          <w:kern w:val="0"/>
          <w:sz w:val="28"/>
          <w:szCs w:val="28"/>
        </w:rPr>
        <w:t>（</w:t>
      </w:r>
      <w:r w:rsidRPr="00142E7D">
        <w:rPr>
          <w:rFonts w:ascii="標楷體" w:hAnsi="標楷體"/>
          <w:kern w:val="0"/>
          <w:sz w:val="28"/>
          <w:szCs w:val="28"/>
        </w:rPr>
        <w:t>Kommunikationsfreiheit</w:t>
      </w:r>
      <w:r w:rsidR="00654FBB" w:rsidRPr="00142E7D">
        <w:rPr>
          <w:rFonts w:ascii="標楷體" w:hAnsi="標楷體"/>
          <w:kern w:val="0"/>
          <w:sz w:val="28"/>
          <w:szCs w:val="28"/>
        </w:rPr>
        <w:t>）</w:t>
      </w:r>
      <w:r w:rsidRPr="00142E7D">
        <w:rPr>
          <w:rFonts w:ascii="標楷體" w:hAnsi="標楷體"/>
          <w:kern w:val="0"/>
          <w:sz w:val="28"/>
          <w:szCs w:val="28"/>
        </w:rPr>
        <w:t>基本權之保障、限制</w:t>
      </w:r>
      <w:r w:rsidR="00DD4611" w:rsidRPr="00142E7D">
        <w:rPr>
          <w:rFonts w:ascii="標楷體" w:hAnsi="標楷體"/>
          <w:kern w:val="0"/>
          <w:sz w:val="28"/>
          <w:szCs w:val="28"/>
        </w:rPr>
        <w:t>（</w:t>
      </w:r>
      <w:r w:rsidRPr="00142E7D">
        <w:rPr>
          <w:rFonts w:ascii="標楷體" w:hAnsi="標楷體"/>
          <w:kern w:val="0"/>
          <w:sz w:val="28"/>
          <w:szCs w:val="28"/>
        </w:rPr>
        <w:t>如法律保留原則</w:t>
      </w:r>
      <w:r w:rsidR="00DD4611" w:rsidRPr="00142E7D">
        <w:rPr>
          <w:rFonts w:ascii="標楷體" w:hAnsi="標楷體"/>
          <w:kern w:val="0"/>
          <w:sz w:val="28"/>
          <w:szCs w:val="28"/>
        </w:rPr>
        <w:t>）</w:t>
      </w:r>
      <w:r w:rsidRPr="00142E7D">
        <w:rPr>
          <w:rFonts w:ascii="標楷體" w:hAnsi="標楷體"/>
          <w:kern w:val="0"/>
          <w:sz w:val="28"/>
          <w:szCs w:val="28"/>
        </w:rPr>
        <w:t>及其限制之限制</w:t>
      </w:r>
      <w:r w:rsidR="00654FBB" w:rsidRPr="00142E7D">
        <w:rPr>
          <w:rFonts w:ascii="標楷體" w:hAnsi="標楷體"/>
          <w:kern w:val="0"/>
          <w:sz w:val="28"/>
          <w:szCs w:val="28"/>
        </w:rPr>
        <w:t>（</w:t>
      </w:r>
      <w:r w:rsidRPr="00142E7D">
        <w:rPr>
          <w:rFonts w:ascii="標楷體" w:hAnsi="標楷體"/>
          <w:kern w:val="0"/>
          <w:sz w:val="28"/>
          <w:szCs w:val="28"/>
        </w:rPr>
        <w:t>Schranken-Schranken</w:t>
      </w:r>
      <w:r w:rsidR="00654FBB" w:rsidRPr="00142E7D">
        <w:rPr>
          <w:rFonts w:ascii="標楷體" w:hAnsi="標楷體"/>
          <w:kern w:val="0"/>
          <w:sz w:val="28"/>
          <w:szCs w:val="28"/>
        </w:rPr>
        <w:t>）</w:t>
      </w:r>
      <w:r w:rsidR="00DD4611" w:rsidRPr="00142E7D">
        <w:rPr>
          <w:rFonts w:ascii="標楷體" w:hAnsi="標楷體"/>
          <w:kern w:val="0"/>
          <w:sz w:val="28"/>
          <w:szCs w:val="28"/>
        </w:rPr>
        <w:t>（</w:t>
      </w:r>
      <w:r w:rsidRPr="00142E7D">
        <w:rPr>
          <w:rFonts w:ascii="標楷體" w:hAnsi="標楷體"/>
          <w:kern w:val="0"/>
          <w:sz w:val="28"/>
          <w:szCs w:val="28"/>
        </w:rPr>
        <w:t>如比例原則</w:t>
      </w:r>
      <w:r w:rsidR="00DD4611" w:rsidRPr="00142E7D">
        <w:rPr>
          <w:rFonts w:ascii="標楷體" w:hAnsi="標楷體"/>
          <w:kern w:val="0"/>
          <w:sz w:val="28"/>
          <w:szCs w:val="28"/>
        </w:rPr>
        <w:t>）</w:t>
      </w:r>
      <w:r w:rsidRPr="00142E7D">
        <w:rPr>
          <w:rFonts w:ascii="標楷體" w:hAnsi="標楷體"/>
          <w:kern w:val="0"/>
          <w:sz w:val="28"/>
          <w:szCs w:val="28"/>
        </w:rPr>
        <w:t>。至於廣告物所呈現之廣告內容，未涉及意見表達之言論自由權，單純將廣告物視同廢棄物，處罰污染環境之廣告物設置行為，此行為規範所干預之基本權，因我國未如德國基本法第二條第一項規定從人格自由發展，創設出一般行為自由</w:t>
      </w:r>
      <w:r w:rsidR="00654FBB" w:rsidRPr="00142E7D">
        <w:rPr>
          <w:rFonts w:ascii="標楷體" w:hAnsi="標楷體"/>
          <w:kern w:val="0"/>
          <w:sz w:val="28"/>
          <w:szCs w:val="28"/>
        </w:rPr>
        <w:t>（</w:t>
      </w:r>
      <w:r w:rsidRPr="00142E7D">
        <w:rPr>
          <w:rFonts w:ascii="標楷體" w:hAnsi="標楷體"/>
          <w:kern w:val="0"/>
          <w:sz w:val="28"/>
          <w:szCs w:val="28"/>
        </w:rPr>
        <w:t>allgemeine Handlungsfreiheit</w:t>
      </w:r>
      <w:r w:rsidR="00654FBB" w:rsidRPr="00142E7D">
        <w:rPr>
          <w:rFonts w:ascii="標楷體" w:hAnsi="標楷體"/>
          <w:kern w:val="0"/>
          <w:sz w:val="28"/>
          <w:szCs w:val="28"/>
        </w:rPr>
        <w:t>）</w:t>
      </w:r>
      <w:r w:rsidR="00DD4611" w:rsidRPr="00142E7D">
        <w:rPr>
          <w:rFonts w:ascii="標楷體" w:hAnsi="標楷體"/>
          <w:kern w:val="0"/>
          <w:sz w:val="28"/>
          <w:szCs w:val="28"/>
        </w:rPr>
        <w:t>（</w:t>
      </w:r>
      <w:r w:rsidRPr="00142E7D">
        <w:rPr>
          <w:rFonts w:ascii="標楷體" w:hAnsi="標楷體"/>
          <w:kern w:val="0"/>
          <w:sz w:val="28"/>
          <w:szCs w:val="28"/>
        </w:rPr>
        <w:t>或稱一般自由權</w:t>
      </w:r>
      <w:r w:rsidRPr="00142E7D">
        <w:rPr>
          <w:rStyle w:val="ab"/>
          <w:rFonts w:ascii="標楷體" w:hAnsi="標楷體"/>
          <w:kern w:val="0"/>
          <w:sz w:val="28"/>
          <w:szCs w:val="28"/>
        </w:rPr>
        <w:footnoteReference w:id="36"/>
      </w:r>
      <w:r w:rsidR="00DD4611" w:rsidRPr="00142E7D">
        <w:rPr>
          <w:rFonts w:ascii="標楷體" w:hAnsi="標楷體"/>
          <w:kern w:val="0"/>
          <w:sz w:val="28"/>
          <w:szCs w:val="28"/>
        </w:rPr>
        <w:t>）</w:t>
      </w:r>
      <w:r w:rsidRPr="00142E7D">
        <w:rPr>
          <w:rFonts w:ascii="標楷體" w:hAnsi="標楷體"/>
          <w:kern w:val="0"/>
          <w:sz w:val="28"/>
          <w:szCs w:val="28"/>
        </w:rPr>
        <w:t>，與言論自由競合時，因言論自由權屬於特別自由權，應優先適用。蓋一般行為自由屬於作為適用上補充之攔截性基本權（有稱截堵性基本權）</w:t>
      </w:r>
      <w:r w:rsidR="00654FBB" w:rsidRPr="00142E7D">
        <w:rPr>
          <w:rFonts w:ascii="標楷體" w:hAnsi="標楷體"/>
          <w:kern w:val="0"/>
          <w:sz w:val="28"/>
          <w:szCs w:val="28"/>
        </w:rPr>
        <w:t>（</w:t>
      </w:r>
      <w:r w:rsidRPr="00142E7D">
        <w:rPr>
          <w:rFonts w:ascii="標楷體" w:hAnsi="標楷體"/>
          <w:kern w:val="0"/>
          <w:sz w:val="28"/>
          <w:szCs w:val="28"/>
        </w:rPr>
        <w:t>Auffanggrundsrecht</w:t>
      </w:r>
      <w:r w:rsidR="00654FBB" w:rsidRPr="00142E7D">
        <w:rPr>
          <w:rFonts w:ascii="標楷體" w:hAnsi="標楷體"/>
          <w:kern w:val="0"/>
          <w:sz w:val="28"/>
          <w:szCs w:val="28"/>
        </w:rPr>
        <w:t>）</w:t>
      </w:r>
      <w:r w:rsidRPr="00142E7D">
        <w:rPr>
          <w:rFonts w:ascii="標楷體" w:hAnsi="標楷體"/>
          <w:kern w:val="0"/>
          <w:sz w:val="28"/>
          <w:szCs w:val="28"/>
        </w:rPr>
        <w:t>，亦即一般行為自由之補充性</w:t>
      </w:r>
      <w:r w:rsidR="00654FBB" w:rsidRPr="00142E7D">
        <w:rPr>
          <w:rFonts w:ascii="標楷體" w:hAnsi="標楷體"/>
          <w:kern w:val="0"/>
          <w:sz w:val="28"/>
          <w:szCs w:val="28"/>
        </w:rPr>
        <w:t>（</w:t>
      </w:r>
      <w:r w:rsidRPr="00142E7D">
        <w:rPr>
          <w:rFonts w:ascii="標楷體" w:hAnsi="標楷體"/>
          <w:kern w:val="0"/>
          <w:sz w:val="28"/>
          <w:szCs w:val="28"/>
        </w:rPr>
        <w:t>Subsidiarität</w:t>
      </w:r>
      <w:r w:rsidR="00654FBB" w:rsidRPr="00142E7D">
        <w:rPr>
          <w:rFonts w:ascii="標楷體" w:hAnsi="標楷體"/>
          <w:kern w:val="0"/>
          <w:sz w:val="28"/>
          <w:szCs w:val="28"/>
        </w:rPr>
        <w:t>）</w:t>
      </w:r>
      <w:r w:rsidRPr="00142E7D">
        <w:rPr>
          <w:rStyle w:val="ab"/>
          <w:rFonts w:ascii="標楷體" w:hAnsi="標楷體"/>
          <w:kern w:val="0"/>
          <w:sz w:val="28"/>
          <w:szCs w:val="28"/>
        </w:rPr>
        <w:footnoteReference w:id="37"/>
      </w:r>
      <w:r w:rsidRPr="00142E7D">
        <w:rPr>
          <w:rFonts w:ascii="標楷體" w:hAnsi="標楷體"/>
          <w:kern w:val="0"/>
          <w:sz w:val="28"/>
          <w:szCs w:val="28"/>
        </w:rPr>
        <w:t>。由於我國憲法未明文規定，故宜解為得由憲法第二十二條</w:t>
      </w:r>
      <w:r w:rsidR="00DD4611" w:rsidRPr="00142E7D">
        <w:rPr>
          <w:rFonts w:ascii="標楷體" w:hAnsi="標楷體"/>
          <w:kern w:val="0"/>
          <w:sz w:val="28"/>
          <w:szCs w:val="28"/>
        </w:rPr>
        <w:t>（</w:t>
      </w:r>
      <w:r w:rsidRPr="00142E7D">
        <w:rPr>
          <w:rFonts w:ascii="標楷體" w:hAnsi="標楷體"/>
          <w:kern w:val="0"/>
          <w:sz w:val="28"/>
          <w:szCs w:val="28"/>
        </w:rPr>
        <w:t>有稱為概括基本權</w:t>
      </w:r>
      <w:r w:rsidR="00DD4611" w:rsidRPr="00142E7D">
        <w:rPr>
          <w:rFonts w:ascii="標楷體" w:hAnsi="標楷體"/>
          <w:kern w:val="0"/>
          <w:sz w:val="28"/>
          <w:szCs w:val="28"/>
        </w:rPr>
        <w:t>）</w:t>
      </w:r>
      <w:r w:rsidRPr="00142E7D">
        <w:rPr>
          <w:rFonts w:ascii="標楷體" w:hAnsi="標楷體"/>
          <w:kern w:val="0"/>
          <w:sz w:val="28"/>
          <w:szCs w:val="28"/>
        </w:rPr>
        <w:t>導出一般行為自由基本權，有如人格權</w:t>
      </w:r>
      <w:r w:rsidR="00DD4611" w:rsidRPr="00142E7D">
        <w:rPr>
          <w:rFonts w:ascii="標楷體" w:hAnsi="標楷體"/>
          <w:kern w:val="0"/>
          <w:sz w:val="28"/>
          <w:szCs w:val="28"/>
        </w:rPr>
        <w:t>（</w:t>
      </w:r>
      <w:r w:rsidRPr="00142E7D">
        <w:rPr>
          <w:rFonts w:ascii="標楷體" w:hAnsi="標楷體"/>
          <w:kern w:val="0"/>
          <w:sz w:val="28"/>
          <w:szCs w:val="28"/>
        </w:rPr>
        <w:t>釋字第五八七號及第六六四號等解釋參照</w:t>
      </w:r>
      <w:r w:rsidR="00DD4611" w:rsidRPr="00142E7D">
        <w:rPr>
          <w:rFonts w:ascii="標楷體" w:hAnsi="標楷體"/>
          <w:kern w:val="0"/>
          <w:sz w:val="28"/>
          <w:szCs w:val="28"/>
        </w:rPr>
        <w:t>）</w:t>
      </w:r>
      <w:r w:rsidRPr="00142E7D">
        <w:rPr>
          <w:rFonts w:ascii="標楷體" w:hAnsi="標楷體"/>
          <w:kern w:val="0"/>
          <w:sz w:val="28"/>
          <w:szCs w:val="28"/>
        </w:rPr>
        <w:t>一樣。因此如純從廣告物設置行為，宜認為可能涉及一般行為自由基本權之保障問題。但如論及廣告內容之意見或事實報導等言論表現時，因可能涉及言論自由等自由權，故宜先釐清其所涉及特別自由權之保障範圍、干預及限制等情形，藉以確認廣告所歸屬之基本權類型。</w:t>
      </w:r>
      <w:r w:rsidRPr="00142E7D">
        <w:rPr>
          <w:rFonts w:ascii="標楷體" w:hAnsi="標楷體"/>
          <w:kern w:val="0"/>
          <w:sz w:val="28"/>
          <w:szCs w:val="28"/>
        </w:rPr>
        <w:lastRenderedPageBreak/>
        <w:t>職是，從憲法保障之基本權觀察，宜將廣告與廣告物區別。換言之，廣告所涉及言論之意見表現與該言論所附著媒介之設置，兩者不同，可能適用不同規定，故從憲法觀點，其可能適用憲法上所保障之不同基本權。此外，如有兩種以上基本權或憲法保障之法益</w:t>
      </w:r>
      <w:r w:rsidR="00DD4611" w:rsidRPr="00142E7D">
        <w:rPr>
          <w:rFonts w:ascii="標楷體" w:hAnsi="標楷體"/>
          <w:kern w:val="0"/>
          <w:sz w:val="28"/>
          <w:szCs w:val="28"/>
        </w:rPr>
        <w:t>（</w:t>
      </w:r>
      <w:r w:rsidRPr="00142E7D">
        <w:rPr>
          <w:rFonts w:ascii="標楷體" w:hAnsi="標楷體"/>
          <w:kern w:val="0"/>
          <w:sz w:val="28"/>
          <w:szCs w:val="28"/>
        </w:rPr>
        <w:t>如環境衛生、國民健康、都市景觀、公共安全等</w:t>
      </w:r>
      <w:r w:rsidR="00DD4611" w:rsidRPr="00142E7D">
        <w:rPr>
          <w:rFonts w:ascii="標楷體" w:hAnsi="標楷體"/>
          <w:kern w:val="0"/>
          <w:sz w:val="28"/>
          <w:szCs w:val="28"/>
        </w:rPr>
        <w:t>）</w:t>
      </w:r>
      <w:r w:rsidRPr="00142E7D">
        <w:rPr>
          <w:rFonts w:ascii="標楷體" w:hAnsi="標楷體"/>
          <w:kern w:val="0"/>
          <w:sz w:val="28"/>
          <w:szCs w:val="28"/>
        </w:rPr>
        <w:t>之競合或衝突，似得採取「務實諧和原則」</w:t>
      </w:r>
      <w:r w:rsidRPr="00142E7D">
        <w:rPr>
          <w:rStyle w:val="ab"/>
          <w:rFonts w:ascii="標楷體" w:hAnsi="標楷體"/>
          <w:kern w:val="0"/>
          <w:sz w:val="28"/>
          <w:szCs w:val="28"/>
        </w:rPr>
        <w:footnoteReference w:id="38"/>
      </w:r>
      <w:r w:rsidRPr="00142E7D">
        <w:rPr>
          <w:rFonts w:ascii="標楷體" w:hAnsi="標楷體"/>
          <w:kern w:val="0"/>
          <w:sz w:val="28"/>
          <w:szCs w:val="28"/>
        </w:rPr>
        <w:t>及比例原則予以衡量，以適當保障有關廣告之憲法上基本權。</w:t>
      </w:r>
    </w:p>
    <w:p w:rsidR="004753EA" w:rsidRPr="00142E7D" w:rsidRDefault="004753EA" w:rsidP="00661022">
      <w:pPr>
        <w:kinsoku w:val="0"/>
        <w:overflowPunct w:val="0"/>
        <w:adjustRightInd w:val="0"/>
        <w:snapToGrid w:val="0"/>
        <w:spacing w:line="391" w:lineRule="exact"/>
        <w:jc w:val="both"/>
        <w:rPr>
          <w:rFonts w:ascii="標楷體" w:hAnsi="標楷體"/>
          <w:b/>
          <w:kern w:val="0"/>
          <w:sz w:val="28"/>
          <w:szCs w:val="28"/>
        </w:rPr>
      </w:pPr>
      <w:r w:rsidRPr="00142E7D">
        <w:rPr>
          <w:rFonts w:ascii="標楷體" w:hAnsi="標楷體"/>
          <w:b/>
          <w:kern w:val="0"/>
          <w:sz w:val="28"/>
          <w:szCs w:val="28"/>
        </w:rPr>
        <w:t>四、違憲定期失效宣告之問題</w:t>
      </w:r>
    </w:p>
    <w:p w:rsidR="009801DC" w:rsidRPr="00142E7D" w:rsidRDefault="004753EA" w:rsidP="009801DC">
      <w:pPr>
        <w:kinsoku w:val="0"/>
        <w:overflowPunct w:val="0"/>
        <w:adjustRightInd w:val="0"/>
        <w:snapToGrid w:val="0"/>
        <w:spacing w:line="391" w:lineRule="exact"/>
        <w:ind w:left="561" w:firstLine="561"/>
        <w:jc w:val="distribute"/>
        <w:rPr>
          <w:rFonts w:ascii="標楷體" w:hAnsi="標楷體" w:hint="eastAsia"/>
          <w:kern w:val="0"/>
          <w:sz w:val="28"/>
          <w:szCs w:val="28"/>
        </w:rPr>
      </w:pPr>
      <w:r w:rsidRPr="00142E7D">
        <w:rPr>
          <w:rFonts w:ascii="標楷體" w:hAnsi="標楷體"/>
          <w:kern w:val="0"/>
          <w:sz w:val="28"/>
          <w:szCs w:val="28"/>
        </w:rPr>
        <w:t>本解釋所涉及之系爭公告，係依中央法規廢棄物清理法所為之公告，且此一公告似非其獨有創設，若干其他縣市政府因相互參引，亦發布類似內容之公告。理論上如單獨針對某一地方機關之公告或命令宣告違憲而立即失其效力或無效，固無不可，惟將公告之效力，立即歸於無效，恐其影響層面過廣，因此，本解釋採取類似奧地利式定期失效制度</w:t>
      </w:r>
      <w:r w:rsidRPr="00142E7D">
        <w:rPr>
          <w:rStyle w:val="ab"/>
          <w:rFonts w:ascii="標楷體" w:hAnsi="標楷體"/>
          <w:kern w:val="0"/>
          <w:sz w:val="28"/>
          <w:szCs w:val="28"/>
        </w:rPr>
        <w:footnoteReference w:id="39"/>
      </w:r>
      <w:r w:rsidRPr="00142E7D">
        <w:rPr>
          <w:rFonts w:ascii="標楷體" w:hAnsi="標楷體"/>
          <w:kern w:val="0"/>
          <w:sz w:val="28"/>
          <w:szCs w:val="28"/>
        </w:rPr>
        <w:t>，尚符合向來本院解釋常見之宣告方式。避免因違憲法令立即失效，造成法規真空狀態或法秩序驟然發生重大之衝擊，並為促使主管機關審慎周延立法，以期符合司法院解釋意旨，於不影響司法院宣告法令違憲之本質，因而宣告違憲法令之定期失效。宣告違憲之法令定期失效者，對聲請人之原因案件是否亦有效力，於此另有釋字第七二五號解釋為補充解釋。</w:t>
      </w:r>
      <w:r w:rsidRPr="00142E7D">
        <w:rPr>
          <w:rStyle w:val="ab"/>
          <w:rFonts w:ascii="標楷體" w:hAnsi="標楷體"/>
          <w:kern w:val="0"/>
          <w:sz w:val="28"/>
          <w:szCs w:val="28"/>
        </w:rPr>
        <w:footnoteReference w:id="40"/>
      </w:r>
      <w:r w:rsidRPr="00142E7D">
        <w:rPr>
          <w:rFonts w:ascii="標楷體" w:hAnsi="標楷體"/>
          <w:kern w:val="0"/>
          <w:sz w:val="28"/>
          <w:szCs w:val="28"/>
        </w:rPr>
        <w:t xml:space="preserve"> 惟從我國實務上</w:t>
      </w:r>
    </w:p>
    <w:p w:rsidR="004753EA" w:rsidRPr="00142E7D" w:rsidRDefault="004753EA" w:rsidP="009801DC">
      <w:pPr>
        <w:kinsoku w:val="0"/>
        <w:overflowPunct w:val="0"/>
        <w:adjustRightInd w:val="0"/>
        <w:snapToGrid w:val="0"/>
        <w:spacing w:line="408" w:lineRule="exact"/>
        <w:ind w:left="561"/>
        <w:jc w:val="both"/>
        <w:rPr>
          <w:rFonts w:ascii="標楷體" w:hAnsi="標楷體"/>
          <w:kern w:val="0"/>
          <w:sz w:val="28"/>
          <w:szCs w:val="28"/>
        </w:rPr>
      </w:pPr>
      <w:r w:rsidRPr="00142E7D">
        <w:rPr>
          <w:rFonts w:ascii="標楷體" w:hAnsi="標楷體"/>
          <w:kern w:val="0"/>
          <w:sz w:val="28"/>
          <w:szCs w:val="28"/>
        </w:rPr>
        <w:t>觀察，近年來，宣告定期失效之解釋，略多於以往。定期失效宣告，有時雖有其必要性存在，惟如法律或命令在本質內容上具有不符合憲法價值或公平正義等原則要求，是否宜另定其效力仍在一定期間存續，以待新法令之檢討修正，頗有疑問。實務上，如難期待主管機關或立法機關準時完成</w:t>
      </w:r>
      <w:r w:rsidRPr="00142E7D">
        <w:rPr>
          <w:rFonts w:ascii="標楷體" w:hAnsi="標楷體"/>
          <w:kern w:val="0"/>
          <w:sz w:val="28"/>
          <w:szCs w:val="28"/>
        </w:rPr>
        <w:lastRenderedPageBreak/>
        <w:t>立法、修法或迅速檢討，或無法律上須要等待或準備必要時，原則上宜直接宣告自解釋公布之日立即失效或不予適用，如此較為明確，並從「無效」之文義觀之，似較符合憲法第一百七十一條第一項及第一百七十二條所定法律或命令與憲法牴觸者無效之規範意旨及目的。至於如何解決法令違憲之空窗期，除聲請解釋之原因案件當事人外，其他與憲法解釋標的相關案件者之權利保障或法律救濟，法令經違憲宣告後之適用疑義，均宜有相關規範配合。</w:t>
      </w:r>
    </w:p>
    <w:p w:rsidR="009801DC" w:rsidRPr="00142E7D" w:rsidRDefault="004753EA" w:rsidP="009801DC">
      <w:pPr>
        <w:kinsoku w:val="0"/>
        <w:overflowPunct w:val="0"/>
        <w:adjustRightInd w:val="0"/>
        <w:snapToGrid w:val="0"/>
        <w:spacing w:line="408" w:lineRule="exact"/>
        <w:ind w:left="561" w:firstLine="561"/>
        <w:jc w:val="distribute"/>
        <w:rPr>
          <w:rFonts w:ascii="標楷體" w:hAnsi="標楷體" w:hint="eastAsia"/>
          <w:kern w:val="0"/>
          <w:sz w:val="28"/>
          <w:szCs w:val="28"/>
        </w:rPr>
      </w:pPr>
      <w:r w:rsidRPr="00142E7D">
        <w:rPr>
          <w:rFonts w:ascii="標楷體" w:hAnsi="標楷體"/>
          <w:kern w:val="0"/>
          <w:sz w:val="28"/>
          <w:szCs w:val="28"/>
        </w:rPr>
        <w:t>此外，憲法第一百七十一條第一項及第一百七十二條所定法律或命令與憲法牴觸者無效，係使用「無效」用語，但在大法官解釋，卻使用「失其效力」，偶稱為「停止適用」</w:t>
      </w:r>
      <w:r w:rsidR="00DD4611" w:rsidRPr="00142E7D">
        <w:rPr>
          <w:rFonts w:ascii="標楷體" w:hAnsi="標楷體"/>
          <w:kern w:val="0"/>
          <w:sz w:val="28"/>
          <w:szCs w:val="28"/>
        </w:rPr>
        <w:t>（</w:t>
      </w:r>
      <w:r w:rsidRPr="00142E7D">
        <w:rPr>
          <w:rFonts w:ascii="標楷體" w:hAnsi="標楷體"/>
          <w:kern w:val="0"/>
          <w:sz w:val="28"/>
          <w:szCs w:val="28"/>
        </w:rPr>
        <w:t>釋字第二一八號及第六四一號解釋等參照</w:t>
      </w:r>
      <w:r w:rsidR="00DD4611" w:rsidRPr="00142E7D">
        <w:rPr>
          <w:rFonts w:ascii="標楷體" w:hAnsi="標楷體"/>
          <w:kern w:val="0"/>
          <w:sz w:val="28"/>
          <w:szCs w:val="28"/>
        </w:rPr>
        <w:t>）</w:t>
      </w:r>
      <w:r w:rsidRPr="00142E7D">
        <w:rPr>
          <w:rFonts w:ascii="標楷體" w:hAnsi="標楷體"/>
          <w:kern w:val="0"/>
          <w:sz w:val="28"/>
          <w:szCs w:val="28"/>
        </w:rPr>
        <w:t>。我國學理上有認為前開憲法規定所謂無效，旨在強調憲法具有最高效力，尚不能從中獲致我國釋憲機關解釋的效力採無效主義。我國大法官解釋的效力，全賴其解釋創設。</w:t>
      </w:r>
      <w:r w:rsidRPr="00142E7D">
        <w:rPr>
          <w:rStyle w:val="ab"/>
          <w:rFonts w:ascii="標楷體" w:hAnsi="標楷體"/>
          <w:kern w:val="0"/>
          <w:sz w:val="28"/>
          <w:szCs w:val="28"/>
        </w:rPr>
        <w:footnoteReference w:id="41"/>
      </w:r>
      <w:r w:rsidRPr="00142E7D">
        <w:rPr>
          <w:rFonts w:ascii="標楷體" w:hAnsi="標楷體"/>
          <w:kern w:val="0"/>
          <w:sz w:val="28"/>
          <w:szCs w:val="28"/>
        </w:rPr>
        <w:t xml:space="preserve"> 對此問題，在我國學者間雖有不同見解，惟如本解釋所涉及系爭公告，因不少地方主管機關亦有類似公告或規定之發布，且有認為被宣告違憲之公告並非全部違憲而是部分違憲等情形，若宣告其與憲法不符，使立法者有充分自由形成空間，修正法律，似較符合大法官解釋之意旨。換言之，此時比逕予無效宣告，其所生之衝擊力似較小，故在此情形，可否不逕予為違憲「無效宣告」</w:t>
      </w:r>
      <w:r w:rsidR="00654FBB" w:rsidRPr="00142E7D">
        <w:rPr>
          <w:rFonts w:ascii="標楷體" w:hAnsi="標楷體"/>
          <w:kern w:val="0"/>
          <w:sz w:val="28"/>
          <w:szCs w:val="28"/>
        </w:rPr>
        <w:t>（</w:t>
      </w:r>
      <w:r w:rsidRPr="00142E7D">
        <w:rPr>
          <w:rFonts w:ascii="標楷體" w:hAnsi="標楷體"/>
          <w:kern w:val="0"/>
          <w:sz w:val="28"/>
          <w:szCs w:val="28"/>
        </w:rPr>
        <w:t>Nichtigerklärung</w:t>
      </w:r>
      <w:r w:rsidR="00654FBB" w:rsidRPr="00142E7D">
        <w:rPr>
          <w:rFonts w:ascii="標楷體" w:hAnsi="標楷體"/>
          <w:kern w:val="0"/>
          <w:sz w:val="28"/>
          <w:szCs w:val="28"/>
        </w:rPr>
        <w:t>）</w:t>
      </w:r>
      <w:r w:rsidRPr="00142E7D">
        <w:rPr>
          <w:rFonts w:ascii="標楷體" w:hAnsi="標楷體"/>
          <w:kern w:val="0"/>
          <w:sz w:val="28"/>
          <w:szCs w:val="28"/>
        </w:rPr>
        <w:t>，而另發展出德國式之「與憲法不符」宣告</w:t>
      </w:r>
      <w:r w:rsidR="00654FBB" w:rsidRPr="00142E7D">
        <w:rPr>
          <w:rFonts w:ascii="標楷體" w:hAnsi="標楷體"/>
          <w:kern w:val="0"/>
          <w:sz w:val="28"/>
          <w:szCs w:val="28"/>
        </w:rPr>
        <w:t>（</w:t>
      </w:r>
      <w:r w:rsidRPr="00142E7D">
        <w:rPr>
          <w:rFonts w:ascii="標楷體" w:hAnsi="標楷體"/>
          <w:kern w:val="0"/>
          <w:sz w:val="28"/>
          <w:szCs w:val="28"/>
        </w:rPr>
        <w:t>Unvereinbarerklärung</w:t>
      </w:r>
      <w:r w:rsidR="00654FBB" w:rsidRPr="00142E7D">
        <w:rPr>
          <w:rFonts w:ascii="標楷體" w:hAnsi="標楷體"/>
          <w:kern w:val="0"/>
          <w:sz w:val="28"/>
          <w:szCs w:val="28"/>
        </w:rPr>
        <w:t>）</w:t>
      </w:r>
      <w:r w:rsidRPr="00142E7D">
        <w:rPr>
          <w:rStyle w:val="ab"/>
          <w:rFonts w:ascii="標楷體" w:hAnsi="標楷體"/>
          <w:kern w:val="0"/>
          <w:sz w:val="28"/>
          <w:szCs w:val="28"/>
        </w:rPr>
        <w:footnoteReference w:id="42"/>
      </w:r>
      <w:r w:rsidRPr="00142E7D">
        <w:rPr>
          <w:rFonts w:ascii="標楷體" w:hAnsi="標楷體"/>
          <w:kern w:val="0"/>
          <w:sz w:val="28"/>
          <w:szCs w:val="28"/>
        </w:rPr>
        <w:t>，頗值得考慮。又參照德國學者之見解，德國聯邦憲法法院可為抽象違憲審查與具體違憲審查，特別針對平等原則所為之審查，除違憲無效宣告外</w:t>
      </w:r>
    </w:p>
    <w:p w:rsidR="004753EA" w:rsidRPr="00142E7D" w:rsidRDefault="004753EA" w:rsidP="009801DC">
      <w:pPr>
        <w:kinsoku w:val="0"/>
        <w:overflowPunct w:val="0"/>
        <w:adjustRightInd w:val="0"/>
        <w:snapToGrid w:val="0"/>
        <w:spacing w:line="391" w:lineRule="exact"/>
        <w:ind w:left="561"/>
        <w:jc w:val="both"/>
        <w:rPr>
          <w:rFonts w:ascii="標楷體" w:hAnsi="標楷體"/>
          <w:kern w:val="0"/>
          <w:sz w:val="28"/>
          <w:szCs w:val="28"/>
        </w:rPr>
      </w:pPr>
      <w:r w:rsidRPr="00142E7D">
        <w:rPr>
          <w:rFonts w:ascii="標楷體" w:hAnsi="標楷體"/>
          <w:kern w:val="0"/>
          <w:sz w:val="28"/>
          <w:szCs w:val="28"/>
        </w:rPr>
        <w:t>，另可作出與憲法不符之宣告，並不以具體違憲審查案件為限。</w:t>
      </w:r>
      <w:r w:rsidRPr="00142E7D">
        <w:rPr>
          <w:rStyle w:val="ab"/>
          <w:rFonts w:ascii="標楷體" w:hAnsi="標楷體"/>
          <w:kern w:val="0"/>
          <w:sz w:val="28"/>
          <w:szCs w:val="28"/>
        </w:rPr>
        <w:footnoteReference w:id="43"/>
      </w:r>
      <w:r w:rsidRPr="00142E7D">
        <w:rPr>
          <w:rFonts w:ascii="標楷體" w:hAnsi="標楷體"/>
          <w:kern w:val="0"/>
          <w:sz w:val="28"/>
          <w:szCs w:val="28"/>
        </w:rPr>
        <w:t xml:space="preserve"> 因此，我國大法官解釋雖採取抽象違憲審查制度，且未如德國憲法法院法第七十八條明定，得宣告無效或與憲法未符，惟我國大法官解釋實務上不乏出現「不符」或類此用語之情形，相對於違憲之用語，似較為緩和。本院釋字第二一八號及第六四八號等解釋，亦曾使用「停止適用」之用語，可供參考。故未來本院解釋時，似可再斟酌此種宣告方式之可行性，亦即不宣告</w:t>
      </w:r>
      <w:r w:rsidRPr="00142E7D">
        <w:rPr>
          <w:rFonts w:ascii="標楷體" w:hAnsi="標楷體"/>
          <w:spacing w:val="-2"/>
          <w:kern w:val="0"/>
          <w:sz w:val="28"/>
          <w:szCs w:val="28"/>
        </w:rPr>
        <w:lastRenderedPageBreak/>
        <w:t>「失其效力」或「無效」，而宣告「與憲法不符」而停止適用某抽象規範。</w:t>
      </w:r>
    </w:p>
    <w:p w:rsidR="00DA2BD6" w:rsidRPr="00142E7D" w:rsidRDefault="004753EA" w:rsidP="00661022">
      <w:pPr>
        <w:kinsoku w:val="0"/>
        <w:overflowPunct w:val="0"/>
        <w:adjustRightInd w:val="0"/>
        <w:snapToGrid w:val="0"/>
        <w:spacing w:line="391" w:lineRule="exact"/>
        <w:ind w:firstLine="561"/>
        <w:jc w:val="both"/>
        <w:rPr>
          <w:rFonts w:ascii="標楷體" w:hAnsi="標楷體" w:hint="eastAsia"/>
          <w:kern w:val="0"/>
          <w:sz w:val="28"/>
          <w:szCs w:val="28"/>
        </w:rPr>
      </w:pPr>
      <w:r w:rsidRPr="00142E7D">
        <w:rPr>
          <w:rFonts w:ascii="標楷體" w:hAnsi="標楷體"/>
          <w:kern w:val="0"/>
          <w:sz w:val="28"/>
          <w:szCs w:val="28"/>
        </w:rPr>
        <w:t>綜上，為補充本解釋若干值得再進一步推敲或闡明部分，爰提出協同意見書如上。</w:t>
      </w:r>
    </w:p>
    <w:p w:rsidR="00403C01" w:rsidRPr="00142E7D" w:rsidRDefault="00403C01" w:rsidP="00661022">
      <w:pPr>
        <w:kinsoku w:val="0"/>
        <w:overflowPunct w:val="0"/>
        <w:adjustRightInd w:val="0"/>
        <w:snapToGrid w:val="0"/>
        <w:spacing w:line="391" w:lineRule="exact"/>
        <w:ind w:firstLine="561"/>
        <w:jc w:val="both"/>
        <w:rPr>
          <w:rFonts w:ascii="標楷體" w:hAnsi="標楷體"/>
          <w:kern w:val="0"/>
          <w:sz w:val="28"/>
          <w:szCs w:val="28"/>
        </w:rPr>
      </w:pPr>
    </w:p>
    <w:p w:rsidR="00674882" w:rsidRPr="00142E7D" w:rsidRDefault="00674882" w:rsidP="00661022">
      <w:pPr>
        <w:kinsoku w:val="0"/>
        <w:overflowPunct w:val="0"/>
        <w:adjustRightInd w:val="0"/>
        <w:snapToGrid w:val="0"/>
        <w:spacing w:line="391" w:lineRule="exact"/>
        <w:ind w:left="958" w:right="641"/>
        <w:jc w:val="both"/>
        <w:rPr>
          <w:rFonts w:ascii="華康粗黑體" w:eastAsia="華康粗黑體" w:hAnsi="標楷體"/>
          <w:kern w:val="0"/>
          <w:sz w:val="28"/>
          <w:szCs w:val="28"/>
        </w:rPr>
        <w:sectPr w:rsidR="00674882" w:rsidRPr="00142E7D" w:rsidSect="00B80F04">
          <w:footnotePr>
            <w:numRestart w:val="eachSect"/>
          </w:footnotePr>
          <w:pgSz w:w="11906" w:h="16838"/>
          <w:pgMar w:top="1418" w:right="1134" w:bottom="851" w:left="1134" w:header="851" w:footer="992" w:gutter="0"/>
          <w:cols w:space="425"/>
          <w:docGrid w:linePitch="360"/>
        </w:sectPr>
      </w:pPr>
    </w:p>
    <w:p w:rsidR="00A2056D" w:rsidRPr="00142E7D" w:rsidRDefault="00A2056D" w:rsidP="00661022">
      <w:pPr>
        <w:kinsoku w:val="0"/>
        <w:overflowPunct w:val="0"/>
        <w:adjustRightInd w:val="0"/>
        <w:snapToGrid w:val="0"/>
        <w:spacing w:line="391" w:lineRule="exact"/>
        <w:ind w:left="958" w:right="641"/>
        <w:jc w:val="both"/>
        <w:rPr>
          <w:rFonts w:ascii="標楷體" w:hAnsi="標楷體"/>
          <w:kern w:val="0"/>
          <w:sz w:val="28"/>
          <w:szCs w:val="28"/>
        </w:rPr>
      </w:pPr>
      <w:r w:rsidRPr="00142E7D">
        <w:rPr>
          <w:rFonts w:ascii="華康粗黑體" w:eastAsia="華康粗黑體" w:hAnsi="標楷體" w:hint="eastAsia"/>
          <w:kern w:val="0"/>
          <w:sz w:val="28"/>
          <w:szCs w:val="28"/>
        </w:rPr>
        <w:lastRenderedPageBreak/>
        <w:t>部分協同部分不同意見書</w:t>
      </w:r>
      <w:r w:rsidR="007E5D81" w:rsidRPr="00142E7D">
        <w:rPr>
          <w:rFonts w:ascii="標楷體" w:hAnsi="標楷體"/>
          <w:kern w:val="0"/>
          <w:sz w:val="28"/>
          <w:szCs w:val="28"/>
        </w:rPr>
        <w:t xml:space="preserve">　　　　　　</w:t>
      </w:r>
      <w:r w:rsidRPr="00142E7D">
        <w:rPr>
          <w:rFonts w:ascii="標楷體" w:hAnsi="標楷體"/>
          <w:kern w:val="0"/>
          <w:sz w:val="28"/>
          <w:szCs w:val="28"/>
        </w:rPr>
        <w:t xml:space="preserve">　　</w:t>
      </w:r>
      <w:r w:rsidR="001A4BEF" w:rsidRPr="00142E7D">
        <w:rPr>
          <w:rFonts w:ascii="標楷體" w:hAnsi="標楷體"/>
          <w:kern w:val="0"/>
          <w:sz w:val="28"/>
          <w:szCs w:val="28"/>
        </w:rPr>
        <w:t>陳新民</w:t>
      </w:r>
      <w:r w:rsidRPr="00142E7D">
        <w:rPr>
          <w:rFonts w:ascii="標楷體" w:hAnsi="標楷體"/>
          <w:kern w:val="0"/>
          <w:sz w:val="28"/>
          <w:szCs w:val="28"/>
        </w:rPr>
        <w:t>大法官　提出</w:t>
      </w:r>
    </w:p>
    <w:p w:rsidR="004753EA" w:rsidRPr="00142E7D" w:rsidRDefault="004753EA" w:rsidP="00661022">
      <w:pPr>
        <w:kinsoku w:val="0"/>
        <w:overflowPunct w:val="0"/>
        <w:adjustRightInd w:val="0"/>
        <w:snapToGrid w:val="0"/>
        <w:spacing w:line="391" w:lineRule="exact"/>
        <w:jc w:val="both"/>
        <w:rPr>
          <w:rFonts w:ascii="標楷體" w:hAnsi="標楷體"/>
          <w:b/>
          <w:kern w:val="0"/>
          <w:sz w:val="28"/>
          <w:szCs w:val="28"/>
        </w:rPr>
      </w:pPr>
      <w:r w:rsidRPr="00142E7D">
        <w:rPr>
          <w:rFonts w:ascii="標楷體" w:hAnsi="標楷體"/>
          <w:b/>
          <w:kern w:val="0"/>
          <w:sz w:val="28"/>
          <w:szCs w:val="28"/>
        </w:rPr>
        <w:t>一幅狂野的標語，比一匹橫衝直撞的馬更危險，它不僅對騎士、群眾、玻璃窗造成危害，也危及了放在玻璃櫥窗內易碎的瓷器。</w:t>
      </w:r>
    </w:p>
    <w:p w:rsidR="004753EA" w:rsidRPr="00142E7D" w:rsidRDefault="004753EA" w:rsidP="004A61DF">
      <w:pPr>
        <w:kinsoku w:val="0"/>
        <w:overflowPunct w:val="0"/>
        <w:adjustRightInd w:val="0"/>
        <w:snapToGrid w:val="0"/>
        <w:spacing w:line="391" w:lineRule="exact"/>
        <w:jc w:val="right"/>
        <w:rPr>
          <w:rFonts w:ascii="標楷體" w:hAnsi="標楷體"/>
          <w:b/>
          <w:kern w:val="0"/>
          <w:sz w:val="28"/>
          <w:szCs w:val="28"/>
        </w:rPr>
      </w:pPr>
      <w:r w:rsidRPr="00142E7D">
        <w:rPr>
          <w:rFonts w:ascii="標楷體" w:hAnsi="標楷體"/>
          <w:b/>
          <w:kern w:val="0"/>
          <w:sz w:val="28"/>
          <w:szCs w:val="28"/>
        </w:rPr>
        <w:t>德國大法學家  賴特布魯赫</w:t>
      </w:r>
    </w:p>
    <w:p w:rsidR="004753EA" w:rsidRPr="00142E7D" w:rsidRDefault="004753EA" w:rsidP="00661022">
      <w:pPr>
        <w:kinsoku w:val="0"/>
        <w:overflowPunct w:val="0"/>
        <w:adjustRightInd w:val="0"/>
        <w:snapToGrid w:val="0"/>
        <w:spacing w:line="391" w:lineRule="exact"/>
        <w:ind w:firstLine="561"/>
        <w:jc w:val="both"/>
        <w:rPr>
          <w:rFonts w:ascii="標楷體" w:hAnsi="標楷體"/>
          <w:kern w:val="0"/>
          <w:sz w:val="28"/>
          <w:szCs w:val="28"/>
        </w:rPr>
      </w:pPr>
      <w:r w:rsidRPr="00142E7D">
        <w:rPr>
          <w:rFonts w:ascii="標楷體" w:hAnsi="標楷體"/>
          <w:kern w:val="0"/>
          <w:sz w:val="28"/>
          <w:szCs w:val="28"/>
        </w:rPr>
        <w:t>本席對多數意見針對廢棄物清理法</w:t>
      </w:r>
      <w:r w:rsidR="00DD4611" w:rsidRPr="00142E7D">
        <w:rPr>
          <w:rFonts w:ascii="標楷體" w:hAnsi="標楷體"/>
          <w:kern w:val="0"/>
          <w:sz w:val="28"/>
          <w:szCs w:val="28"/>
        </w:rPr>
        <w:t>（</w:t>
      </w:r>
      <w:r w:rsidRPr="00142E7D">
        <w:rPr>
          <w:rFonts w:ascii="標楷體" w:hAnsi="標楷體"/>
          <w:kern w:val="0"/>
          <w:sz w:val="28"/>
          <w:szCs w:val="28"/>
        </w:rPr>
        <w:t>以下簡稱本法</w:t>
      </w:r>
      <w:r w:rsidR="00DD4611" w:rsidRPr="00142E7D">
        <w:rPr>
          <w:rFonts w:ascii="標楷體" w:hAnsi="標楷體"/>
          <w:kern w:val="0"/>
          <w:sz w:val="28"/>
          <w:szCs w:val="28"/>
        </w:rPr>
        <w:t>）</w:t>
      </w:r>
      <w:r w:rsidRPr="00142E7D">
        <w:rPr>
          <w:rFonts w:ascii="標楷體" w:hAnsi="標楷體"/>
          <w:kern w:val="0"/>
          <w:sz w:val="28"/>
          <w:szCs w:val="28"/>
        </w:rPr>
        <w:t>第二十七條第十一款規定：「在指定清除地區內嚴禁有下列行為：……十一、其他經主管機關公告之污染環境行為。」</w:t>
      </w:r>
      <w:r w:rsidR="00DD4611" w:rsidRPr="00142E7D">
        <w:rPr>
          <w:rFonts w:ascii="標楷體" w:hAnsi="標楷體"/>
          <w:kern w:val="0"/>
          <w:sz w:val="28"/>
          <w:szCs w:val="28"/>
        </w:rPr>
        <w:t>（</w:t>
      </w:r>
      <w:r w:rsidRPr="00142E7D">
        <w:rPr>
          <w:rFonts w:ascii="標楷體" w:hAnsi="標楷體"/>
          <w:kern w:val="0"/>
          <w:sz w:val="28"/>
          <w:szCs w:val="28"/>
        </w:rPr>
        <w:t>以下簡稱系爭規定</w:t>
      </w:r>
      <w:r w:rsidR="00DD4611" w:rsidRPr="00142E7D">
        <w:rPr>
          <w:rFonts w:ascii="標楷體" w:hAnsi="標楷體"/>
          <w:kern w:val="0"/>
          <w:sz w:val="28"/>
          <w:szCs w:val="28"/>
        </w:rPr>
        <w:t>）</w:t>
      </w:r>
      <w:r w:rsidRPr="00142E7D">
        <w:rPr>
          <w:rFonts w:ascii="標楷體" w:hAnsi="標楷體"/>
          <w:kern w:val="0"/>
          <w:sz w:val="28"/>
          <w:szCs w:val="28"/>
        </w:rPr>
        <w:t>，是否牴觸授權明確性原則之問題，認定主管機關臺南市政府據以發布的兩個公告</w:t>
      </w:r>
      <w:r w:rsidR="00DD4611" w:rsidRPr="00142E7D">
        <w:rPr>
          <w:rFonts w:ascii="標楷體" w:hAnsi="標楷體"/>
          <w:kern w:val="0"/>
          <w:sz w:val="28"/>
          <w:szCs w:val="28"/>
        </w:rPr>
        <w:t>（</w:t>
      </w:r>
      <w:r w:rsidRPr="00142E7D">
        <w:rPr>
          <w:rFonts w:ascii="標楷體" w:hAnsi="標楷體"/>
          <w:kern w:val="0"/>
          <w:sz w:val="28"/>
          <w:szCs w:val="28"/>
        </w:rPr>
        <w:t>九十一年十二月九日發布之公告，以及替代其的一</w:t>
      </w:r>
      <w:r w:rsidR="00DD4611" w:rsidRPr="00142E7D">
        <w:rPr>
          <w:rFonts w:ascii="標楷體" w:hAnsi="標楷體"/>
          <w:kern w:val="0"/>
          <w:sz w:val="28"/>
          <w:szCs w:val="28"/>
        </w:rPr>
        <w:t>○○</w:t>
      </w:r>
      <w:r w:rsidRPr="00142E7D">
        <w:rPr>
          <w:rFonts w:ascii="標楷體" w:hAnsi="標楷體"/>
          <w:kern w:val="0"/>
          <w:sz w:val="28"/>
          <w:szCs w:val="28"/>
        </w:rPr>
        <w:t>年</w:t>
      </w:r>
      <w:smartTag w:uri="urn:schemas-microsoft-com:office:smarttags" w:element="chsdate">
        <w:smartTagPr>
          <w:attr w:name="IsROCDate" w:val="False"/>
          <w:attr w:name="IsLunarDate" w:val="False"/>
          <w:attr w:name="Day" w:val="13"/>
          <w:attr w:name="Month" w:val="1"/>
          <w:attr w:name="Year" w:val="2015"/>
        </w:smartTagPr>
        <w:r w:rsidRPr="00142E7D">
          <w:rPr>
            <w:rFonts w:ascii="標楷體" w:hAnsi="標楷體"/>
            <w:kern w:val="0"/>
            <w:sz w:val="28"/>
            <w:szCs w:val="28"/>
          </w:rPr>
          <w:t>一月十三日</w:t>
        </w:r>
      </w:smartTag>
      <w:r w:rsidRPr="00142E7D">
        <w:rPr>
          <w:rFonts w:ascii="標楷體" w:hAnsi="標楷體"/>
          <w:kern w:val="0"/>
          <w:sz w:val="28"/>
          <w:szCs w:val="28"/>
        </w:rPr>
        <w:t>公告，以下簡稱為「臺南市公告」</w:t>
      </w:r>
      <w:r w:rsidR="00DD4611" w:rsidRPr="00142E7D">
        <w:rPr>
          <w:rFonts w:ascii="標楷體" w:hAnsi="標楷體"/>
          <w:kern w:val="0"/>
          <w:sz w:val="28"/>
          <w:szCs w:val="28"/>
        </w:rPr>
        <w:t>）</w:t>
      </w:r>
      <w:r w:rsidRPr="00142E7D">
        <w:rPr>
          <w:rFonts w:ascii="標楷體" w:hAnsi="標楷體"/>
          <w:kern w:val="0"/>
          <w:sz w:val="28"/>
          <w:szCs w:val="28"/>
        </w:rPr>
        <w:t>，規定所有臺南市政府所轄之區域內，所有廣告物的張貼、設置等行為，都要獲得市政府的許可，否則得視為廢棄物，而可由市政府逕予禁止、處罰及清除。乃是不問設置廣告物是否有礙環境衛生與國民健康，及是否已達與廢棄物清理法第二十七條前十款所定行為類型污染環境相當之程度，即認該設置行為為污染行為，概予禁止並處罰，已逾越母法授權之範圍，與法律保留原則尚有未符。就此見解，本席敬表支持。</w:t>
      </w:r>
    </w:p>
    <w:p w:rsidR="004753EA" w:rsidRPr="00142E7D" w:rsidRDefault="004753EA" w:rsidP="00661022">
      <w:pPr>
        <w:kinsoku w:val="0"/>
        <w:overflowPunct w:val="0"/>
        <w:adjustRightInd w:val="0"/>
        <w:snapToGrid w:val="0"/>
        <w:spacing w:line="391" w:lineRule="exact"/>
        <w:ind w:firstLine="561"/>
        <w:jc w:val="both"/>
        <w:rPr>
          <w:rFonts w:ascii="標楷體" w:hAnsi="標楷體"/>
          <w:kern w:val="0"/>
          <w:sz w:val="28"/>
          <w:szCs w:val="28"/>
        </w:rPr>
      </w:pPr>
      <w:r w:rsidRPr="00142E7D">
        <w:rPr>
          <w:rFonts w:ascii="標楷體" w:hAnsi="標楷體"/>
          <w:kern w:val="0"/>
          <w:sz w:val="28"/>
          <w:szCs w:val="28"/>
        </w:rPr>
        <w:t>然而，本席對此部分仍有部分不同的見解，乃是多數意見</w:t>
      </w:r>
      <w:r w:rsidR="00DD4611" w:rsidRPr="00142E7D">
        <w:rPr>
          <w:rFonts w:ascii="標楷體" w:hAnsi="標楷體"/>
          <w:kern w:val="0"/>
          <w:sz w:val="28"/>
          <w:szCs w:val="28"/>
        </w:rPr>
        <w:t>（</w:t>
      </w:r>
      <w:r w:rsidRPr="00142E7D">
        <w:rPr>
          <w:rFonts w:ascii="標楷體" w:hAnsi="標楷體"/>
          <w:kern w:val="0"/>
          <w:sz w:val="28"/>
          <w:szCs w:val="28"/>
        </w:rPr>
        <w:t>理由書</w:t>
      </w:r>
      <w:r w:rsidR="00DD4611" w:rsidRPr="00142E7D">
        <w:rPr>
          <w:rFonts w:ascii="標楷體" w:hAnsi="標楷體"/>
          <w:kern w:val="0"/>
          <w:sz w:val="28"/>
          <w:szCs w:val="28"/>
        </w:rPr>
        <w:t>）</w:t>
      </w:r>
      <w:r w:rsidRPr="00142E7D">
        <w:rPr>
          <w:rFonts w:ascii="標楷體" w:hAnsi="標楷體"/>
          <w:kern w:val="0"/>
          <w:sz w:val="28"/>
          <w:szCs w:val="28"/>
        </w:rPr>
        <w:t>以系爭規定可援用同法條第三款及第十款之規定推知，該法所稱污染環境行為之內涵，不以棄置廢棄物為限，其他有礙環境衛生與國民健康之行為亦屬之。這種見解，乃不當延伸法律明確的特別規定及於系爭規定之內，已經超越了法律授權之範圍。謹提協同意見書以明之。</w:t>
      </w:r>
    </w:p>
    <w:p w:rsidR="004753EA" w:rsidRPr="00142E7D" w:rsidRDefault="004753EA" w:rsidP="00661022">
      <w:pPr>
        <w:kinsoku w:val="0"/>
        <w:overflowPunct w:val="0"/>
        <w:adjustRightInd w:val="0"/>
        <w:snapToGrid w:val="0"/>
        <w:spacing w:line="391" w:lineRule="exact"/>
        <w:ind w:firstLine="561"/>
        <w:jc w:val="both"/>
        <w:rPr>
          <w:rFonts w:ascii="標楷體" w:hAnsi="標楷體"/>
          <w:kern w:val="0"/>
          <w:sz w:val="28"/>
          <w:szCs w:val="28"/>
        </w:rPr>
      </w:pPr>
      <w:r w:rsidRPr="00142E7D">
        <w:rPr>
          <w:rFonts w:ascii="標楷體" w:hAnsi="標楷體"/>
          <w:kern w:val="0"/>
          <w:sz w:val="28"/>
          <w:szCs w:val="28"/>
        </w:rPr>
        <w:t>次而，本號解釋卻是一件未能「對症下藥」，從而導致「捨本逐末」的解釋。由於本案起因於一個宗教團體，為了宣揚某種政治理念，利用於街道邊長期懸掛標語的方式表達之。但因未申請許可，遭主管機關以本法視同廢棄物般強制清除。</w:t>
      </w:r>
    </w:p>
    <w:p w:rsidR="004753EA" w:rsidRPr="00142E7D" w:rsidRDefault="004753EA" w:rsidP="00661022">
      <w:pPr>
        <w:kinsoku w:val="0"/>
        <w:overflowPunct w:val="0"/>
        <w:adjustRightInd w:val="0"/>
        <w:snapToGrid w:val="0"/>
        <w:spacing w:line="391" w:lineRule="exact"/>
        <w:ind w:firstLine="561"/>
        <w:jc w:val="both"/>
        <w:rPr>
          <w:rFonts w:ascii="標楷體" w:hAnsi="標楷體"/>
          <w:kern w:val="0"/>
          <w:sz w:val="28"/>
          <w:szCs w:val="28"/>
        </w:rPr>
      </w:pPr>
      <w:r w:rsidRPr="00142E7D">
        <w:rPr>
          <w:rFonts w:ascii="標楷體" w:hAnsi="標楷體"/>
          <w:kern w:val="0"/>
          <w:sz w:val="28"/>
          <w:szCs w:val="28"/>
        </w:rPr>
        <w:t>因此，本號解釋應將重心置於探究「廣告物設置的許可」，是否應要有一套完整的法源依據之問題。是否必須基於法律保留原則，而非可以由本法藉著比照清除垃圾等廢棄物，將未經過許可程序的廣告物，以「視同為廢棄物」的方式，夾帶授與主管機關擁有廣告物許可權的制度。</w:t>
      </w:r>
    </w:p>
    <w:p w:rsidR="004753EA" w:rsidRPr="00142E7D" w:rsidRDefault="004753EA" w:rsidP="00661022">
      <w:pPr>
        <w:kinsoku w:val="0"/>
        <w:overflowPunct w:val="0"/>
        <w:adjustRightInd w:val="0"/>
        <w:snapToGrid w:val="0"/>
        <w:spacing w:line="391" w:lineRule="exact"/>
        <w:ind w:firstLine="561"/>
        <w:jc w:val="both"/>
        <w:rPr>
          <w:rFonts w:ascii="標楷體" w:hAnsi="標楷體"/>
          <w:kern w:val="0"/>
          <w:sz w:val="28"/>
          <w:szCs w:val="28"/>
        </w:rPr>
      </w:pPr>
      <w:r w:rsidRPr="00142E7D">
        <w:rPr>
          <w:rFonts w:ascii="標楷體" w:hAnsi="標楷體"/>
          <w:kern w:val="0"/>
          <w:sz w:val="28"/>
          <w:szCs w:val="28"/>
        </w:rPr>
        <w:t>然而，多數意見卻未對此廣告物的管制法源，有欠缺法律保留的核心問題，加以論述。反而承認主管機關仍得藉著現行的本法之授權，雖然僅限於決定造成污染環境之廣告物的法源，但仍可維持許可制，卻對「不合法又未構成污染的廣告」的法律效果又未明言，顯然仍須交予自治規章，故效果有限。同時，此只能決定污染性廣告的權限，又以同法條第十款「張貼或噴漆廣告污染定著物」的規定重覆，而有疊床架屋之嫌。</w:t>
      </w:r>
    </w:p>
    <w:p w:rsidR="004753EA" w:rsidRPr="00142E7D" w:rsidRDefault="004753EA" w:rsidP="00661022">
      <w:pPr>
        <w:kinsoku w:val="0"/>
        <w:overflowPunct w:val="0"/>
        <w:adjustRightInd w:val="0"/>
        <w:snapToGrid w:val="0"/>
        <w:spacing w:line="391" w:lineRule="exact"/>
        <w:ind w:firstLine="561"/>
        <w:jc w:val="both"/>
        <w:rPr>
          <w:rFonts w:ascii="標楷體" w:hAnsi="標楷體"/>
          <w:kern w:val="0"/>
          <w:sz w:val="28"/>
          <w:szCs w:val="28"/>
        </w:rPr>
      </w:pPr>
      <w:r w:rsidRPr="00142E7D">
        <w:rPr>
          <w:rFonts w:ascii="標楷體" w:hAnsi="標楷體"/>
          <w:kern w:val="0"/>
          <w:sz w:val="28"/>
          <w:szCs w:val="28"/>
        </w:rPr>
        <w:t>故本席認為，多數意見應宣告臺南市公告有關廣告物的管制規定為違憲，臺南市本即可由自治條例取得規範一般廣告物的法源，毋庸與本法專門處理廢</w:t>
      </w:r>
      <w:r w:rsidRPr="00142E7D">
        <w:rPr>
          <w:rFonts w:ascii="標楷體" w:hAnsi="標楷體"/>
          <w:kern w:val="0"/>
          <w:sz w:val="28"/>
          <w:szCs w:val="28"/>
        </w:rPr>
        <w:lastRenderedPageBreak/>
        <w:t>棄物的立法目的相掛鈎。即可不採狹義的廢棄物概念，作為規範廣告物之公益目的──例如，追求景觀與市容公益等。同時本席也反對多數意見未以重要關聯理論，將主管機關</w:t>
      </w:r>
      <w:r w:rsidR="00DD4611" w:rsidRPr="00142E7D">
        <w:rPr>
          <w:rFonts w:ascii="標楷體" w:hAnsi="標楷體"/>
          <w:kern w:val="0"/>
          <w:sz w:val="28"/>
          <w:szCs w:val="28"/>
        </w:rPr>
        <w:t>（</w:t>
      </w:r>
      <w:r w:rsidRPr="00142E7D">
        <w:rPr>
          <w:rFonts w:ascii="標楷體" w:hAnsi="標楷體"/>
          <w:kern w:val="0"/>
          <w:sz w:val="28"/>
          <w:szCs w:val="28"/>
        </w:rPr>
        <w:t>臺南市政府</w:t>
      </w:r>
      <w:r w:rsidR="00DD4611" w:rsidRPr="00142E7D">
        <w:rPr>
          <w:rFonts w:ascii="標楷體" w:hAnsi="標楷體"/>
          <w:kern w:val="0"/>
          <w:sz w:val="28"/>
          <w:szCs w:val="28"/>
        </w:rPr>
        <w:t>）</w:t>
      </w:r>
      <w:r w:rsidRPr="00142E7D">
        <w:rPr>
          <w:rFonts w:ascii="標楷體" w:hAnsi="標楷體"/>
          <w:kern w:val="0"/>
          <w:sz w:val="28"/>
          <w:szCs w:val="28"/>
        </w:rPr>
        <w:t>制定的「臺南市廣告物管理自治條例」之合憲性納入本號解釋的審查範圍，形成了「雙胞制」，也可能造成規範競合之弊。再者，本席也反對多數意見對廣告認定為保障言論自由為主要法益，而非基於一般的行為自由，將使檢驗的標準輕重失衡，無法自圓其說。</w:t>
      </w:r>
    </w:p>
    <w:p w:rsidR="004753EA" w:rsidRPr="00142E7D" w:rsidRDefault="004753EA" w:rsidP="00661022">
      <w:pPr>
        <w:kinsoku w:val="0"/>
        <w:overflowPunct w:val="0"/>
        <w:adjustRightInd w:val="0"/>
        <w:snapToGrid w:val="0"/>
        <w:spacing w:line="391" w:lineRule="exact"/>
        <w:ind w:firstLine="561"/>
        <w:jc w:val="both"/>
        <w:rPr>
          <w:rFonts w:ascii="標楷體" w:hAnsi="標楷體"/>
          <w:kern w:val="0"/>
          <w:sz w:val="28"/>
          <w:szCs w:val="28"/>
        </w:rPr>
      </w:pPr>
      <w:r w:rsidRPr="00142E7D">
        <w:rPr>
          <w:rFonts w:ascii="標楷體" w:hAnsi="標楷體"/>
          <w:kern w:val="0"/>
          <w:sz w:val="28"/>
          <w:szCs w:val="28"/>
        </w:rPr>
        <w:t>上述不同意見之處，本席雖抒陳再三，然未能蒙持多數意見同仁採納，謹敬提不同意見書於次，再盡言責於萬一也。</w:t>
      </w:r>
    </w:p>
    <w:p w:rsidR="004753EA" w:rsidRPr="00142E7D" w:rsidRDefault="004753EA" w:rsidP="00661022">
      <w:pPr>
        <w:kinsoku w:val="0"/>
        <w:overflowPunct w:val="0"/>
        <w:adjustRightInd w:val="0"/>
        <w:snapToGrid w:val="0"/>
        <w:spacing w:line="391" w:lineRule="exact"/>
        <w:jc w:val="both"/>
        <w:rPr>
          <w:rFonts w:ascii="標楷體" w:hAnsi="標楷體"/>
          <w:b/>
          <w:kern w:val="0"/>
          <w:sz w:val="28"/>
          <w:szCs w:val="28"/>
        </w:rPr>
      </w:pPr>
      <w:r w:rsidRPr="00142E7D">
        <w:rPr>
          <w:rFonts w:ascii="標楷體" w:hAnsi="標楷體"/>
          <w:b/>
          <w:kern w:val="0"/>
          <w:sz w:val="28"/>
          <w:szCs w:val="28"/>
        </w:rPr>
        <w:t>一、協同意見部分</w:t>
      </w:r>
    </w:p>
    <w:p w:rsidR="004753EA" w:rsidRPr="00142E7D" w:rsidRDefault="00DD4611" w:rsidP="00661022">
      <w:pPr>
        <w:kinsoku w:val="0"/>
        <w:overflowPunct w:val="0"/>
        <w:adjustRightInd w:val="0"/>
        <w:snapToGrid w:val="0"/>
        <w:spacing w:line="391" w:lineRule="exact"/>
        <w:ind w:left="284"/>
        <w:jc w:val="both"/>
        <w:rPr>
          <w:rFonts w:ascii="標楷體" w:hAnsi="標楷體"/>
          <w:kern w:val="0"/>
          <w:sz w:val="28"/>
          <w:szCs w:val="28"/>
        </w:rPr>
      </w:pPr>
      <w:r w:rsidRPr="00142E7D">
        <w:rPr>
          <w:rFonts w:ascii="標楷體" w:hAnsi="標楷體"/>
          <w:kern w:val="0"/>
          <w:sz w:val="28"/>
          <w:szCs w:val="28"/>
        </w:rPr>
        <w:t>（</w:t>
      </w:r>
      <w:r w:rsidR="004753EA" w:rsidRPr="00142E7D">
        <w:rPr>
          <w:rFonts w:ascii="標楷體" w:hAnsi="標楷體"/>
          <w:kern w:val="0"/>
          <w:sz w:val="28"/>
          <w:szCs w:val="28"/>
        </w:rPr>
        <w:t>一</w:t>
      </w:r>
      <w:r w:rsidRPr="00142E7D">
        <w:rPr>
          <w:rFonts w:ascii="標楷體" w:hAnsi="標楷體"/>
          <w:kern w:val="0"/>
          <w:sz w:val="28"/>
          <w:szCs w:val="28"/>
        </w:rPr>
        <w:t>）</w:t>
      </w:r>
      <w:r w:rsidR="004753EA" w:rsidRPr="00142E7D">
        <w:rPr>
          <w:rFonts w:ascii="標楷體" w:hAnsi="標楷體"/>
          <w:kern w:val="0"/>
          <w:sz w:val="28"/>
          <w:szCs w:val="28"/>
        </w:rPr>
        <w:t>系爭規定應採嚴格與狹義的解釋</w:t>
      </w:r>
    </w:p>
    <w:p w:rsidR="004753EA" w:rsidRPr="00142E7D" w:rsidRDefault="004753EA" w:rsidP="00661022">
      <w:pPr>
        <w:kinsoku w:val="0"/>
        <w:overflowPunct w:val="0"/>
        <w:adjustRightInd w:val="0"/>
        <w:snapToGrid w:val="0"/>
        <w:spacing w:line="391" w:lineRule="exact"/>
        <w:ind w:left="1134" w:firstLine="561"/>
        <w:jc w:val="both"/>
        <w:rPr>
          <w:rFonts w:ascii="標楷體" w:hAnsi="標楷體"/>
          <w:kern w:val="0"/>
          <w:sz w:val="28"/>
          <w:szCs w:val="28"/>
        </w:rPr>
      </w:pPr>
      <w:r w:rsidRPr="00142E7D">
        <w:rPr>
          <w:rFonts w:ascii="標楷體" w:hAnsi="標楷體"/>
          <w:kern w:val="0"/>
          <w:sz w:val="28"/>
          <w:szCs w:val="28"/>
        </w:rPr>
        <w:t>本號解釋既然以系爭規定為解釋的標的，審查此規定的授權，是否過於抽象與空泛，從而牴觸明確性原則。因此，正確的審查標準，當是把握本法的基本精神，當是重點。</w:t>
      </w:r>
    </w:p>
    <w:p w:rsidR="004753EA" w:rsidRPr="00142E7D" w:rsidRDefault="004753EA" w:rsidP="00661022">
      <w:pPr>
        <w:kinsoku w:val="0"/>
        <w:overflowPunct w:val="0"/>
        <w:adjustRightInd w:val="0"/>
        <w:snapToGrid w:val="0"/>
        <w:spacing w:line="391" w:lineRule="exact"/>
        <w:ind w:left="1134" w:firstLine="561"/>
        <w:jc w:val="both"/>
        <w:rPr>
          <w:rFonts w:ascii="標楷體" w:hAnsi="標楷體"/>
          <w:kern w:val="0"/>
          <w:sz w:val="28"/>
          <w:szCs w:val="28"/>
        </w:rPr>
      </w:pPr>
      <w:r w:rsidRPr="00142E7D">
        <w:rPr>
          <w:rFonts w:ascii="標楷體" w:hAnsi="標楷體"/>
          <w:kern w:val="0"/>
          <w:sz w:val="28"/>
          <w:szCs w:val="28"/>
        </w:rPr>
        <w:t>由母法第一條前段的立法理由：「為有效清除、處理廢棄物，改善環境衛生，維護國民健康，特制定本法」可知，本法只限於「清除廢棄物」，如果非屬廢棄物，即使造成環境污染，亦不可作為規範內容，除非有特別規定，將其定義為「視同廢棄物者」</w:t>
      </w:r>
      <w:r w:rsidRPr="00142E7D">
        <w:rPr>
          <w:rStyle w:val="ab"/>
          <w:rFonts w:ascii="標楷體" w:hAnsi="標楷體"/>
          <w:kern w:val="0"/>
          <w:sz w:val="28"/>
          <w:szCs w:val="28"/>
        </w:rPr>
        <w:footnoteReference w:id="44"/>
      </w:r>
      <w:r w:rsidRPr="00142E7D">
        <w:rPr>
          <w:rFonts w:ascii="標楷體" w:hAnsi="標楷體"/>
          <w:kern w:val="0"/>
          <w:sz w:val="28"/>
          <w:szCs w:val="28"/>
        </w:rPr>
        <w:t>。抑或是廢棄物，即使未造成環境污染，亦可依本法來清理之。顯示本法是緊緊連繫著廢棄物的認定，又鑑於系爭規定的「嚴禁行為」屬性，故應採嚴格與狹義的解釋。故不能任意擴充「廢棄物」及「污染」概念。</w:t>
      </w:r>
    </w:p>
    <w:p w:rsidR="004753EA" w:rsidRPr="00142E7D" w:rsidRDefault="004753EA" w:rsidP="00661022">
      <w:pPr>
        <w:kinsoku w:val="0"/>
        <w:overflowPunct w:val="0"/>
        <w:adjustRightInd w:val="0"/>
        <w:snapToGrid w:val="0"/>
        <w:spacing w:line="391" w:lineRule="exact"/>
        <w:ind w:left="1134" w:firstLine="561"/>
        <w:jc w:val="both"/>
        <w:rPr>
          <w:rFonts w:ascii="標楷體" w:hAnsi="標楷體"/>
          <w:kern w:val="0"/>
          <w:sz w:val="28"/>
          <w:szCs w:val="28"/>
        </w:rPr>
      </w:pPr>
      <w:r w:rsidRPr="00142E7D">
        <w:rPr>
          <w:rFonts w:ascii="標楷體" w:hAnsi="標楷體"/>
          <w:kern w:val="0"/>
          <w:sz w:val="28"/>
          <w:szCs w:val="28"/>
        </w:rPr>
        <w:t>多數意見認定系爭規定僅限於許可主管機關決定何種「造成污染」的廣告，係授權主管機關就指定清除區域內禁止之該法第二十七條所列舉十款行為外，另為補充其他污染環境行為之公告，則主管機關據此發布公告禁止之行為，自須達到與前十款所定行為類型污染環境相當之程度，未逾越授權的範圍，且可推論出此「造成污染」可有明確的範圍。</w:t>
      </w:r>
    </w:p>
    <w:p w:rsidR="004753EA" w:rsidRPr="00142E7D" w:rsidRDefault="004753EA" w:rsidP="00661022">
      <w:pPr>
        <w:kinsoku w:val="0"/>
        <w:overflowPunct w:val="0"/>
        <w:adjustRightInd w:val="0"/>
        <w:snapToGrid w:val="0"/>
        <w:spacing w:line="391" w:lineRule="exact"/>
        <w:ind w:left="1134" w:firstLine="561"/>
        <w:jc w:val="both"/>
        <w:rPr>
          <w:rFonts w:ascii="標楷體" w:hAnsi="標楷體"/>
          <w:kern w:val="0"/>
          <w:sz w:val="28"/>
          <w:szCs w:val="28"/>
        </w:rPr>
      </w:pPr>
      <w:r w:rsidRPr="00142E7D">
        <w:rPr>
          <w:rFonts w:ascii="標楷體" w:hAnsi="標楷體"/>
          <w:kern w:val="0"/>
          <w:sz w:val="28"/>
          <w:szCs w:val="28"/>
        </w:rPr>
        <w:t>系爭規定的詮釋，既然限於「其他有礙</w:t>
      </w:r>
      <w:r w:rsidRPr="00142E7D">
        <w:rPr>
          <w:rStyle w:val="ab"/>
          <w:sz w:val="28"/>
          <w:szCs w:val="28"/>
          <w:vertAlign w:val="baseline"/>
        </w:rPr>
        <w:t>環境衛生</w:t>
      </w:r>
      <w:r w:rsidRPr="00142E7D">
        <w:rPr>
          <w:rFonts w:ascii="標楷體" w:hAnsi="標楷體"/>
          <w:kern w:val="0"/>
          <w:sz w:val="28"/>
          <w:szCs w:val="28"/>
        </w:rPr>
        <w:t>與國民健康之行為」，這是客觀現象，亦即物理狀態呈現出來的有害環境衛生與國民健康，且多半侷限於環保或衛生單位的認定，屬於狹義的「污染環境</w:t>
      </w:r>
      <w:r w:rsidRPr="00142E7D">
        <w:rPr>
          <w:rFonts w:ascii="標楷體" w:hAnsi="標楷體"/>
          <w:kern w:val="0"/>
          <w:sz w:val="28"/>
          <w:szCs w:val="28"/>
        </w:rPr>
        <w:lastRenderedPageBreak/>
        <w:t>之行為」，不能擴張到美學、維護傳統文化價值、甚至調和地方族群、特殊宗教族群與文化等等可概稱為「景觀價值」之其他法益。</w:t>
      </w:r>
    </w:p>
    <w:p w:rsidR="004753EA" w:rsidRPr="00142E7D" w:rsidRDefault="004753EA" w:rsidP="00661022">
      <w:pPr>
        <w:kinsoku w:val="0"/>
        <w:overflowPunct w:val="0"/>
        <w:adjustRightInd w:val="0"/>
        <w:snapToGrid w:val="0"/>
        <w:spacing w:line="391" w:lineRule="exact"/>
        <w:ind w:left="1134" w:firstLine="561"/>
        <w:jc w:val="both"/>
        <w:rPr>
          <w:rFonts w:ascii="標楷體" w:hAnsi="標楷體"/>
          <w:kern w:val="0"/>
          <w:sz w:val="28"/>
          <w:szCs w:val="28"/>
        </w:rPr>
      </w:pPr>
      <w:r w:rsidRPr="00142E7D">
        <w:rPr>
          <w:rFonts w:ascii="標楷體" w:hAnsi="標楷體"/>
          <w:kern w:val="0"/>
          <w:sz w:val="28"/>
          <w:szCs w:val="28"/>
        </w:rPr>
        <w:t>至於上述景觀、市容等其他法益的廣告管理，屬於美學或視覺上的「防止污染」的法益，自可由其他法源中獲得依據</w:t>
      </w:r>
      <w:r w:rsidR="00DD4611" w:rsidRPr="00142E7D">
        <w:rPr>
          <w:rFonts w:ascii="標楷體" w:hAnsi="標楷體"/>
          <w:kern w:val="0"/>
          <w:sz w:val="28"/>
          <w:szCs w:val="28"/>
        </w:rPr>
        <w:t>（</w:t>
      </w:r>
      <w:r w:rsidRPr="00142E7D">
        <w:rPr>
          <w:rFonts w:ascii="標楷體" w:hAnsi="標楷體"/>
          <w:kern w:val="0"/>
          <w:sz w:val="28"/>
          <w:szCs w:val="28"/>
        </w:rPr>
        <w:t>下述</w:t>
      </w:r>
      <w:r w:rsidR="00DD4611" w:rsidRPr="00142E7D">
        <w:rPr>
          <w:rFonts w:ascii="標楷體" w:hAnsi="標楷體"/>
          <w:kern w:val="0"/>
          <w:sz w:val="28"/>
          <w:szCs w:val="28"/>
        </w:rPr>
        <w:t>）</w:t>
      </w:r>
      <w:r w:rsidRPr="00142E7D">
        <w:rPr>
          <w:rFonts w:ascii="標楷體" w:hAnsi="標楷體"/>
          <w:kern w:val="0"/>
          <w:sz w:val="28"/>
          <w:szCs w:val="28"/>
        </w:rPr>
        <w:t>，毋庸與清除廢棄物的本法聯結在一起，而產生有無逾越授權目的的爭議。可惜多數意見未能夠明正言順的將此區分予以論述，否則，更可以正本清源的澄清一般廣告物的規範，可以追求廣義與狹義的美觀、污染等涉及公共利益的立法價值。</w:t>
      </w:r>
    </w:p>
    <w:p w:rsidR="004753EA" w:rsidRPr="00142E7D" w:rsidRDefault="00DD4611" w:rsidP="00661022">
      <w:pPr>
        <w:kinsoku w:val="0"/>
        <w:overflowPunct w:val="0"/>
        <w:adjustRightInd w:val="0"/>
        <w:snapToGrid w:val="0"/>
        <w:spacing w:line="391" w:lineRule="exact"/>
        <w:ind w:left="284"/>
        <w:jc w:val="both"/>
        <w:rPr>
          <w:rFonts w:ascii="標楷體" w:hAnsi="標楷體"/>
          <w:kern w:val="0"/>
          <w:sz w:val="28"/>
          <w:szCs w:val="28"/>
        </w:rPr>
      </w:pPr>
      <w:r w:rsidRPr="00142E7D">
        <w:rPr>
          <w:rFonts w:ascii="標楷體" w:hAnsi="標楷體"/>
          <w:kern w:val="0"/>
          <w:sz w:val="28"/>
          <w:szCs w:val="28"/>
        </w:rPr>
        <w:t>（</w:t>
      </w:r>
      <w:r w:rsidR="004753EA" w:rsidRPr="00142E7D">
        <w:rPr>
          <w:rFonts w:ascii="標楷體" w:hAnsi="標楷體"/>
          <w:kern w:val="0"/>
          <w:sz w:val="28"/>
          <w:szCs w:val="28"/>
        </w:rPr>
        <w:t>二</w:t>
      </w:r>
      <w:r w:rsidRPr="00142E7D">
        <w:rPr>
          <w:rFonts w:ascii="標楷體" w:hAnsi="標楷體"/>
          <w:kern w:val="0"/>
          <w:sz w:val="28"/>
          <w:szCs w:val="28"/>
        </w:rPr>
        <w:t>）</w:t>
      </w:r>
      <w:r w:rsidR="004753EA" w:rsidRPr="00142E7D">
        <w:rPr>
          <w:rFonts w:ascii="標楷體" w:hAnsi="標楷體"/>
          <w:kern w:val="0"/>
          <w:sz w:val="28"/>
          <w:szCs w:val="28"/>
        </w:rPr>
        <w:t>本號解釋擴張了「污染」與「廢棄物」的概念</w:t>
      </w:r>
    </w:p>
    <w:p w:rsidR="004753EA" w:rsidRPr="00142E7D" w:rsidRDefault="004753EA" w:rsidP="00661022">
      <w:pPr>
        <w:kinsoku w:val="0"/>
        <w:overflowPunct w:val="0"/>
        <w:adjustRightInd w:val="0"/>
        <w:snapToGrid w:val="0"/>
        <w:spacing w:line="391" w:lineRule="exact"/>
        <w:ind w:left="1134" w:firstLine="561"/>
        <w:jc w:val="both"/>
        <w:rPr>
          <w:rFonts w:ascii="標楷體" w:hAnsi="標楷體"/>
          <w:kern w:val="0"/>
          <w:sz w:val="28"/>
          <w:szCs w:val="28"/>
        </w:rPr>
      </w:pPr>
      <w:r w:rsidRPr="00142E7D">
        <w:rPr>
          <w:rFonts w:ascii="標楷體" w:hAnsi="標楷體"/>
          <w:kern w:val="0"/>
          <w:sz w:val="28"/>
          <w:szCs w:val="28"/>
        </w:rPr>
        <w:t>雖然多數意見對系爭規定的授權採取狹義與嚴格解釋，但卻又不能夠嚴格把持法律保留的精神，以致於錯誤的將特別的例外規定視為一般規定，可為概括授權的內容。此值得斟酌的見解出現在理由書第一段中：「另從其中第三款：『於路旁、屋外或屋頂曝晒、堆置有礙衛生整潔之物』及第十款：『張貼或噴漆廣告污染定著物』規定應可推知，該法所稱污染環境行為之內涵，不以棄置廢棄物為限，其他有礙環境衛生與國民健康之行為亦屬之。」可知多數意見將第三款與第十款的特別規定昇華為一般性通案概念，並使用於對系爭規定授權範圍的解釋之上。顯然將本法所規定的廢棄物之概念由無使用、保有價值的用品</w:t>
      </w:r>
      <w:r w:rsidRPr="00142E7D">
        <w:rPr>
          <w:rStyle w:val="ab"/>
          <w:rFonts w:ascii="標楷體" w:hAnsi="標楷體"/>
          <w:kern w:val="0"/>
          <w:sz w:val="28"/>
          <w:szCs w:val="28"/>
        </w:rPr>
        <w:footnoteReference w:id="45"/>
      </w:r>
      <w:r w:rsidRPr="00142E7D">
        <w:rPr>
          <w:rFonts w:ascii="標楷體" w:hAnsi="標楷體"/>
          <w:kern w:val="0"/>
          <w:sz w:val="28"/>
          <w:szCs w:val="28"/>
        </w:rPr>
        <w:t>，演變成「具污染影響性」的物品，延伸至其他侵及環境衛生與國民健康的物品之上。這種將「污染物」與「廢棄物」脫勾，使得「廢棄物」的範圍擴充之作法，與系爭規定應採行嚴格的解釋的基本精神不符。</w:t>
      </w:r>
    </w:p>
    <w:p w:rsidR="004753EA" w:rsidRPr="00142E7D" w:rsidRDefault="004753EA" w:rsidP="00661022">
      <w:pPr>
        <w:kinsoku w:val="0"/>
        <w:overflowPunct w:val="0"/>
        <w:adjustRightInd w:val="0"/>
        <w:snapToGrid w:val="0"/>
        <w:spacing w:line="391" w:lineRule="exact"/>
        <w:ind w:left="1134" w:firstLine="561"/>
        <w:jc w:val="both"/>
        <w:rPr>
          <w:rFonts w:ascii="標楷體" w:hAnsi="標楷體"/>
          <w:kern w:val="0"/>
          <w:sz w:val="28"/>
          <w:szCs w:val="28"/>
        </w:rPr>
      </w:pPr>
      <w:r w:rsidRPr="00142E7D">
        <w:rPr>
          <w:rFonts w:ascii="標楷體" w:hAnsi="標楷體"/>
          <w:kern w:val="0"/>
          <w:sz w:val="28"/>
          <w:szCs w:val="28"/>
        </w:rPr>
        <w:t>故本於本法的立法基本精神，本法的解釋應完全限制在純粹的廢棄物之上。本席贊同於必要時，亦可將擬制為廢棄物者</w:t>
      </w:r>
      <w:r w:rsidR="00DD4611" w:rsidRPr="00142E7D">
        <w:rPr>
          <w:rFonts w:ascii="標楷體" w:hAnsi="標楷體"/>
          <w:kern w:val="0"/>
          <w:sz w:val="28"/>
          <w:szCs w:val="28"/>
        </w:rPr>
        <w:t>（</w:t>
      </w:r>
      <w:r w:rsidRPr="00142E7D">
        <w:rPr>
          <w:rFonts w:ascii="標楷體" w:hAnsi="標楷體"/>
          <w:kern w:val="0"/>
          <w:sz w:val="28"/>
          <w:szCs w:val="28"/>
        </w:rPr>
        <w:t>視同廢棄物</w:t>
      </w:r>
      <w:r w:rsidR="00DD4611" w:rsidRPr="00142E7D">
        <w:rPr>
          <w:rFonts w:ascii="標楷體" w:hAnsi="標楷體"/>
          <w:kern w:val="0"/>
          <w:sz w:val="28"/>
          <w:szCs w:val="28"/>
        </w:rPr>
        <w:t>）</w:t>
      </w:r>
      <w:r w:rsidRPr="00142E7D">
        <w:rPr>
          <w:rFonts w:ascii="標楷體" w:hAnsi="標楷體"/>
          <w:kern w:val="0"/>
          <w:sz w:val="28"/>
          <w:szCs w:val="28"/>
        </w:rPr>
        <w:t>，準用本法的規定以求「立法經濟」</w:t>
      </w:r>
      <w:r w:rsidRPr="00142E7D">
        <w:rPr>
          <w:rStyle w:val="ab"/>
          <w:rFonts w:ascii="標楷體" w:hAnsi="標楷體"/>
          <w:kern w:val="0"/>
          <w:sz w:val="28"/>
          <w:szCs w:val="28"/>
        </w:rPr>
        <w:footnoteReference w:id="46"/>
      </w:r>
      <w:r w:rsidRPr="00142E7D">
        <w:rPr>
          <w:rFonts w:ascii="標楷體" w:hAnsi="標楷體"/>
          <w:kern w:val="0"/>
          <w:sz w:val="28"/>
          <w:szCs w:val="28"/>
        </w:rPr>
        <w:t>。但不能贊成這種系爭規定，可以援引法定的特殊例外規定，而造成超越授權目的的後果。</w:t>
      </w:r>
    </w:p>
    <w:p w:rsidR="004753EA" w:rsidRPr="00142E7D" w:rsidRDefault="00DD4611" w:rsidP="00661022">
      <w:pPr>
        <w:kinsoku w:val="0"/>
        <w:overflowPunct w:val="0"/>
        <w:adjustRightInd w:val="0"/>
        <w:snapToGrid w:val="0"/>
        <w:spacing w:line="391" w:lineRule="exact"/>
        <w:ind w:left="284"/>
        <w:jc w:val="both"/>
        <w:rPr>
          <w:rFonts w:ascii="標楷體" w:hAnsi="標楷體"/>
          <w:kern w:val="0"/>
          <w:sz w:val="28"/>
          <w:szCs w:val="28"/>
        </w:rPr>
      </w:pPr>
      <w:r w:rsidRPr="00142E7D">
        <w:rPr>
          <w:rFonts w:ascii="標楷體" w:hAnsi="標楷體"/>
          <w:kern w:val="0"/>
          <w:sz w:val="28"/>
          <w:szCs w:val="28"/>
        </w:rPr>
        <w:t>（</w:t>
      </w:r>
      <w:r w:rsidR="004753EA" w:rsidRPr="00142E7D">
        <w:rPr>
          <w:rFonts w:ascii="標楷體" w:hAnsi="標楷體"/>
          <w:kern w:val="0"/>
          <w:sz w:val="28"/>
          <w:szCs w:val="28"/>
        </w:rPr>
        <w:t>三</w:t>
      </w:r>
      <w:r w:rsidRPr="00142E7D">
        <w:rPr>
          <w:rFonts w:ascii="標楷體" w:hAnsi="標楷體"/>
          <w:kern w:val="0"/>
          <w:sz w:val="28"/>
          <w:szCs w:val="28"/>
        </w:rPr>
        <w:t>）</w:t>
      </w:r>
      <w:r w:rsidR="004753EA" w:rsidRPr="00142E7D">
        <w:rPr>
          <w:rFonts w:ascii="標楷體" w:hAnsi="標楷體"/>
          <w:kern w:val="0"/>
          <w:sz w:val="28"/>
          <w:szCs w:val="28"/>
        </w:rPr>
        <w:t>多數意見承認臺南市政府公告仍可採行許可制，其法律效果有限</w:t>
      </w:r>
    </w:p>
    <w:p w:rsidR="004753EA" w:rsidRPr="00142E7D" w:rsidRDefault="004753EA" w:rsidP="00661022">
      <w:pPr>
        <w:kinsoku w:val="0"/>
        <w:overflowPunct w:val="0"/>
        <w:adjustRightInd w:val="0"/>
        <w:snapToGrid w:val="0"/>
        <w:spacing w:line="391" w:lineRule="exact"/>
        <w:ind w:left="1134" w:firstLine="561"/>
        <w:jc w:val="both"/>
        <w:rPr>
          <w:rFonts w:ascii="標楷體" w:hAnsi="標楷體"/>
          <w:kern w:val="0"/>
          <w:sz w:val="28"/>
          <w:szCs w:val="28"/>
        </w:rPr>
      </w:pPr>
      <w:r w:rsidRPr="00142E7D">
        <w:rPr>
          <w:rFonts w:ascii="標楷體" w:hAnsi="標楷體"/>
          <w:kern w:val="0"/>
          <w:sz w:val="28"/>
          <w:szCs w:val="28"/>
        </w:rPr>
        <w:t>多數意見承認臺南市政府公告並未失效，而僅是在行使系爭規定所賦予之許可權時，對未獲許可的廣告，限定必須造成污染後果，方</w:t>
      </w:r>
      <w:r w:rsidRPr="00142E7D">
        <w:rPr>
          <w:rFonts w:ascii="標楷體" w:hAnsi="標楷體"/>
          <w:kern w:val="0"/>
          <w:sz w:val="28"/>
          <w:szCs w:val="28"/>
        </w:rPr>
        <w:lastRenderedPageBreak/>
        <w:t>得予以清除或課予行政罰鍰之責，即如理由書所述：「以未經主管機關核准，於其所示之場所，以所示之方式設置廣告物者，為污染環境行為，而不問設置廣告物是否有礙環境衛生與國民健康，及是否已達與廢棄物清理法第二十七條前十款所定行為類型污染環境相當之程度，即認該設置行為為污染行為，概予禁止並處罰，已逾越母法授權之範圍，與法律保留原則尚有未符。主管機關應儘速依前開意旨修改相關規範，使未經主管機關核准而設置廣告物者，仍須達到前開污染環境相當之程度，始構成違規之污染環境行為。……」。</w:t>
      </w:r>
    </w:p>
    <w:p w:rsidR="004753EA" w:rsidRPr="00142E7D" w:rsidRDefault="004753EA" w:rsidP="00661022">
      <w:pPr>
        <w:kinsoku w:val="0"/>
        <w:overflowPunct w:val="0"/>
        <w:adjustRightInd w:val="0"/>
        <w:snapToGrid w:val="0"/>
        <w:spacing w:line="391" w:lineRule="exact"/>
        <w:ind w:left="1134" w:firstLine="561"/>
        <w:jc w:val="both"/>
        <w:rPr>
          <w:rFonts w:ascii="標楷體" w:hAnsi="標楷體"/>
          <w:kern w:val="0"/>
          <w:sz w:val="28"/>
          <w:szCs w:val="28"/>
        </w:rPr>
      </w:pPr>
      <w:r w:rsidRPr="00142E7D">
        <w:rPr>
          <w:rFonts w:ascii="標楷體" w:hAnsi="標楷體"/>
          <w:kern w:val="0"/>
          <w:sz w:val="28"/>
          <w:szCs w:val="28"/>
        </w:rPr>
        <w:t>此無異承認地方政府仍然保有一般廣告物的許可權限。經許可者自無污染之虞的問題</w:t>
      </w:r>
      <w:r w:rsidR="00DD4611" w:rsidRPr="00142E7D">
        <w:rPr>
          <w:rFonts w:ascii="標楷體" w:hAnsi="標楷體"/>
          <w:kern w:val="0"/>
          <w:sz w:val="28"/>
          <w:szCs w:val="28"/>
        </w:rPr>
        <w:t>（</w:t>
      </w:r>
      <w:r w:rsidRPr="00142E7D">
        <w:rPr>
          <w:rFonts w:ascii="標楷體" w:hAnsi="標楷體"/>
          <w:kern w:val="0"/>
          <w:sz w:val="28"/>
          <w:szCs w:val="28"/>
        </w:rPr>
        <w:t>這也自始即不構成問題者</w:t>
      </w:r>
      <w:r w:rsidR="00DD4611" w:rsidRPr="00142E7D">
        <w:rPr>
          <w:rFonts w:ascii="標楷體" w:hAnsi="標楷體"/>
          <w:kern w:val="0"/>
          <w:sz w:val="28"/>
          <w:szCs w:val="28"/>
        </w:rPr>
        <w:t>）</w:t>
      </w:r>
      <w:r w:rsidRPr="00142E7D">
        <w:rPr>
          <w:rFonts w:ascii="標楷體" w:hAnsi="標楷體"/>
          <w:kern w:val="0"/>
          <w:sz w:val="28"/>
          <w:szCs w:val="28"/>
        </w:rPr>
        <w:t>，而對未經許可的廣告，即不能逕以處罰，僅限於經主管機關認定造成污染者─且是狹義的污染為限─，方可裁罰與清除。但對於其他未經許可，又未造成污染的廣告物，雖不能適用系爭規定，然主管機關仍可依據地方政府本有的廣告物管理自治規章來予清除。故對人民的違法廣告，一樣會遭到制裁的後果，只不過主管機關將處罰權，由左手</w:t>
      </w:r>
      <w:r w:rsidR="00DD4611" w:rsidRPr="00142E7D">
        <w:rPr>
          <w:rFonts w:ascii="標楷體" w:hAnsi="標楷體"/>
          <w:kern w:val="0"/>
          <w:sz w:val="28"/>
          <w:szCs w:val="28"/>
        </w:rPr>
        <w:t>（</w:t>
      </w:r>
      <w:r w:rsidRPr="00142E7D">
        <w:rPr>
          <w:rFonts w:ascii="標楷體" w:hAnsi="標楷體"/>
          <w:kern w:val="0"/>
          <w:sz w:val="28"/>
          <w:szCs w:val="28"/>
        </w:rPr>
        <w:t>系爭規定</w:t>
      </w:r>
      <w:r w:rsidR="00DD4611" w:rsidRPr="00142E7D">
        <w:rPr>
          <w:rFonts w:ascii="標楷體" w:hAnsi="標楷體"/>
          <w:kern w:val="0"/>
          <w:sz w:val="28"/>
          <w:szCs w:val="28"/>
        </w:rPr>
        <w:t>）</w:t>
      </w:r>
      <w:r w:rsidRPr="00142E7D">
        <w:rPr>
          <w:rFonts w:ascii="標楷體" w:hAnsi="標楷體"/>
          <w:kern w:val="0"/>
          <w:sz w:val="28"/>
          <w:szCs w:val="28"/>
        </w:rPr>
        <w:t>交到右手</w:t>
      </w:r>
      <w:r w:rsidR="00DD4611" w:rsidRPr="00142E7D">
        <w:rPr>
          <w:rFonts w:ascii="標楷體" w:hAnsi="標楷體"/>
          <w:kern w:val="0"/>
          <w:sz w:val="28"/>
          <w:szCs w:val="28"/>
        </w:rPr>
        <w:t>（</w:t>
      </w:r>
      <w:r w:rsidRPr="00142E7D">
        <w:rPr>
          <w:rFonts w:ascii="標楷體" w:hAnsi="標楷體"/>
          <w:kern w:val="0"/>
          <w:sz w:val="28"/>
          <w:szCs w:val="28"/>
        </w:rPr>
        <w:t>自治規章</w:t>
      </w:r>
      <w:r w:rsidR="00DD4611" w:rsidRPr="00142E7D">
        <w:rPr>
          <w:rFonts w:ascii="標楷體" w:hAnsi="標楷體"/>
          <w:kern w:val="0"/>
          <w:sz w:val="28"/>
          <w:szCs w:val="28"/>
        </w:rPr>
        <w:t>）</w:t>
      </w:r>
      <w:r w:rsidRPr="00142E7D">
        <w:rPr>
          <w:rFonts w:ascii="標楷體" w:hAnsi="標楷體"/>
          <w:kern w:val="0"/>
          <w:sz w:val="28"/>
          <w:szCs w:val="28"/>
        </w:rPr>
        <w:t>，本號解釋只扮演著「轉手」的角色罷了。</w:t>
      </w:r>
    </w:p>
    <w:p w:rsidR="004753EA" w:rsidRPr="00142E7D" w:rsidRDefault="004753EA" w:rsidP="00661022">
      <w:pPr>
        <w:kinsoku w:val="0"/>
        <w:overflowPunct w:val="0"/>
        <w:adjustRightInd w:val="0"/>
        <w:snapToGrid w:val="0"/>
        <w:spacing w:line="391" w:lineRule="exact"/>
        <w:ind w:left="1134" w:firstLine="561"/>
        <w:jc w:val="both"/>
        <w:rPr>
          <w:rFonts w:ascii="標楷體" w:hAnsi="標楷體"/>
          <w:kern w:val="0"/>
          <w:sz w:val="28"/>
          <w:szCs w:val="28"/>
        </w:rPr>
      </w:pPr>
      <w:r w:rsidRPr="00142E7D">
        <w:rPr>
          <w:rFonts w:ascii="標楷體" w:hAnsi="標楷體"/>
          <w:kern w:val="0"/>
          <w:sz w:val="28"/>
          <w:szCs w:val="28"/>
        </w:rPr>
        <w:t>如此一來，多數意見承認地方政府根據系爭規定─僅是授權得認定「類同污染物」的權限─仍可擴張到能擁有規範一切廣告物的決定權，享有「廣告物許可制」的立法與裁罰權。惟其法律效果極為有限，反而有賴廣告自治規章，才可以清除其他一切不合法的廣告物也。因此，本號解釋何不明白指明本法應與廣告物的許可程序分離，最多只要將其他法律視同廢棄物的規定準用本法也。本席也已提及之。</w:t>
      </w:r>
    </w:p>
    <w:p w:rsidR="004753EA" w:rsidRPr="00142E7D" w:rsidRDefault="00DD4611" w:rsidP="00661022">
      <w:pPr>
        <w:kinsoku w:val="0"/>
        <w:overflowPunct w:val="0"/>
        <w:adjustRightInd w:val="0"/>
        <w:snapToGrid w:val="0"/>
        <w:spacing w:line="391" w:lineRule="exact"/>
        <w:ind w:left="284"/>
        <w:jc w:val="both"/>
        <w:rPr>
          <w:rFonts w:ascii="標楷體" w:hAnsi="標楷體"/>
          <w:kern w:val="0"/>
          <w:sz w:val="28"/>
          <w:szCs w:val="28"/>
        </w:rPr>
      </w:pPr>
      <w:r w:rsidRPr="00142E7D">
        <w:rPr>
          <w:rFonts w:ascii="標楷體" w:hAnsi="標楷體"/>
          <w:kern w:val="0"/>
          <w:sz w:val="28"/>
          <w:szCs w:val="28"/>
        </w:rPr>
        <w:t>（</w:t>
      </w:r>
      <w:r w:rsidR="004753EA" w:rsidRPr="00142E7D">
        <w:rPr>
          <w:rFonts w:ascii="標楷體" w:hAnsi="標楷體"/>
          <w:kern w:val="0"/>
          <w:sz w:val="28"/>
          <w:szCs w:val="28"/>
        </w:rPr>
        <w:t>四</w:t>
      </w:r>
      <w:r w:rsidRPr="00142E7D">
        <w:rPr>
          <w:rFonts w:ascii="標楷體" w:hAnsi="標楷體"/>
          <w:kern w:val="0"/>
          <w:sz w:val="28"/>
          <w:szCs w:val="28"/>
        </w:rPr>
        <w:t>）</w:t>
      </w:r>
      <w:r w:rsidR="004753EA" w:rsidRPr="00142E7D">
        <w:rPr>
          <w:rFonts w:ascii="標楷體" w:hAnsi="標楷體"/>
          <w:kern w:val="0"/>
          <w:sz w:val="28"/>
          <w:szCs w:val="28"/>
        </w:rPr>
        <w:t>造成「疊床架屋」的重覆規定</w:t>
      </w:r>
    </w:p>
    <w:p w:rsidR="004753EA" w:rsidRPr="00142E7D" w:rsidRDefault="004753EA" w:rsidP="00661022">
      <w:pPr>
        <w:kinsoku w:val="0"/>
        <w:overflowPunct w:val="0"/>
        <w:adjustRightInd w:val="0"/>
        <w:snapToGrid w:val="0"/>
        <w:spacing w:line="391" w:lineRule="exact"/>
        <w:ind w:left="1134" w:firstLine="561"/>
        <w:jc w:val="both"/>
        <w:rPr>
          <w:rFonts w:ascii="標楷體" w:hAnsi="標楷體"/>
          <w:kern w:val="0"/>
          <w:sz w:val="28"/>
          <w:szCs w:val="28"/>
        </w:rPr>
      </w:pPr>
      <w:r w:rsidRPr="00142E7D">
        <w:rPr>
          <w:rFonts w:ascii="標楷體" w:hAnsi="標楷體"/>
          <w:kern w:val="0"/>
          <w:sz w:val="28"/>
          <w:szCs w:val="28"/>
        </w:rPr>
        <w:t>針對會造成污染的廣告物，本法並未忽視此種頗為普遍情形。本法第二十七條第一項第十款規定：「張貼或噴漆廣告污染定著物」，亦為同條文所禁止之行為。在此已經列舉了「可以污染定著物的廣告」，易言之，廣告物任意張貼，而引起環境污染的事務，已可由本款獲得處罰的依據，毋庸再由系爭規定來重覆規定─即如多數意見所要求者─。故多數意見的結論，無疑是一種「疊床架屋」之舉。例如，系爭的臺南市公告：「公告事項：一、本市清除地區內，未經主管機關核准，於道路、牆壁、樑柱、電桿、樹木、橋樑、水溝、池塘或其他土地定著物張掛、懸繫、黏貼、噴漆、粉刷、樹立、釘定、夾插、置放或其他方法設置廣告物者，為污染環境行為。……」很明顯的，即將「其他土地定著物張掛……置放或其他方法設置廣告物者，為污染環境行為。」，豈非第十款的內容乎？</w:t>
      </w:r>
    </w:p>
    <w:p w:rsidR="004753EA" w:rsidRPr="00142E7D" w:rsidRDefault="004753EA" w:rsidP="00661022">
      <w:pPr>
        <w:kinsoku w:val="0"/>
        <w:overflowPunct w:val="0"/>
        <w:adjustRightInd w:val="0"/>
        <w:snapToGrid w:val="0"/>
        <w:spacing w:line="391" w:lineRule="exact"/>
        <w:ind w:left="1134" w:firstLine="561"/>
        <w:jc w:val="both"/>
        <w:rPr>
          <w:rFonts w:ascii="標楷體" w:hAnsi="標楷體"/>
          <w:kern w:val="0"/>
          <w:sz w:val="28"/>
          <w:szCs w:val="28"/>
        </w:rPr>
      </w:pPr>
      <w:r w:rsidRPr="00142E7D">
        <w:rPr>
          <w:rFonts w:ascii="標楷體" w:hAnsi="標楷體"/>
          <w:kern w:val="0"/>
          <w:sz w:val="28"/>
          <w:szCs w:val="28"/>
        </w:rPr>
        <w:t>除本法的重疊規定外，可再試舉一例說明之：</w:t>
      </w:r>
    </w:p>
    <w:p w:rsidR="004753EA" w:rsidRPr="00142E7D" w:rsidRDefault="004753EA" w:rsidP="00661022">
      <w:pPr>
        <w:kinsoku w:val="0"/>
        <w:overflowPunct w:val="0"/>
        <w:adjustRightInd w:val="0"/>
        <w:snapToGrid w:val="0"/>
        <w:spacing w:line="391" w:lineRule="exact"/>
        <w:ind w:left="1134" w:firstLine="561"/>
        <w:jc w:val="both"/>
        <w:rPr>
          <w:rFonts w:ascii="標楷體" w:hAnsi="標楷體"/>
          <w:kern w:val="0"/>
          <w:sz w:val="28"/>
          <w:szCs w:val="28"/>
        </w:rPr>
      </w:pPr>
      <w:r w:rsidRPr="00142E7D">
        <w:rPr>
          <w:rFonts w:ascii="標楷體" w:hAnsi="標楷體"/>
          <w:kern w:val="0"/>
          <w:sz w:val="28"/>
          <w:szCs w:val="28"/>
        </w:rPr>
        <w:lastRenderedPageBreak/>
        <w:t>目前對於競選過後的選戰廣告，並不採利用系爭規定，認定為「視同廢棄物」的方式，而是將之歸為「污染定著物」的廣告，依本法第二十七條第一項第十款規定，處罰與清除之，便是顯例</w:t>
      </w:r>
      <w:r w:rsidRPr="00142E7D">
        <w:rPr>
          <w:rStyle w:val="ab"/>
          <w:rFonts w:ascii="標楷體" w:hAnsi="標楷體"/>
          <w:kern w:val="0"/>
          <w:sz w:val="28"/>
          <w:szCs w:val="28"/>
        </w:rPr>
        <w:footnoteReference w:id="47"/>
      </w:r>
      <w:r w:rsidRPr="00142E7D">
        <w:rPr>
          <w:rFonts w:ascii="標楷體" w:hAnsi="標楷體"/>
          <w:kern w:val="0"/>
          <w:sz w:val="28"/>
          <w:szCs w:val="28"/>
        </w:rPr>
        <w:t>。</w:t>
      </w:r>
    </w:p>
    <w:p w:rsidR="004753EA" w:rsidRPr="00142E7D" w:rsidRDefault="004753EA" w:rsidP="00661022">
      <w:pPr>
        <w:kinsoku w:val="0"/>
        <w:overflowPunct w:val="0"/>
        <w:adjustRightInd w:val="0"/>
        <w:snapToGrid w:val="0"/>
        <w:spacing w:line="391" w:lineRule="exact"/>
        <w:ind w:left="1134" w:firstLine="561"/>
        <w:jc w:val="both"/>
        <w:rPr>
          <w:rFonts w:ascii="標楷體" w:hAnsi="標楷體"/>
          <w:kern w:val="0"/>
          <w:sz w:val="28"/>
          <w:szCs w:val="28"/>
        </w:rPr>
      </w:pPr>
      <w:r w:rsidRPr="00142E7D">
        <w:rPr>
          <w:rFonts w:ascii="標楷體" w:hAnsi="標楷體"/>
          <w:kern w:val="0"/>
          <w:sz w:val="28"/>
          <w:szCs w:val="28"/>
        </w:rPr>
        <w:t>更何況，在何種情形之下，一個廣告物的張貼或噴漆會造成「定著物之污染」，可以由主管機關就個案予以認定，亦可以透過制定「判斷標準」的行政規則，由各下級機關統一行使認定的裁量權</w:t>
      </w:r>
      <w:r w:rsidR="00DD4611" w:rsidRPr="00142E7D">
        <w:rPr>
          <w:rFonts w:ascii="標楷體" w:hAnsi="標楷體"/>
          <w:kern w:val="0"/>
          <w:sz w:val="28"/>
          <w:szCs w:val="28"/>
        </w:rPr>
        <w:t>（</w:t>
      </w:r>
      <w:r w:rsidRPr="00142E7D">
        <w:rPr>
          <w:rFonts w:ascii="標楷體" w:hAnsi="標楷體"/>
          <w:kern w:val="0"/>
          <w:sz w:val="28"/>
          <w:szCs w:val="28"/>
        </w:rPr>
        <w:t>行政程序法第一百五十九條第二項第二款</w:t>
      </w:r>
      <w:r w:rsidR="00DD4611" w:rsidRPr="00142E7D">
        <w:rPr>
          <w:rFonts w:ascii="標楷體" w:hAnsi="標楷體"/>
          <w:kern w:val="0"/>
          <w:sz w:val="28"/>
          <w:szCs w:val="28"/>
        </w:rPr>
        <w:t>）</w:t>
      </w:r>
      <w:r w:rsidRPr="00142E7D">
        <w:rPr>
          <w:rFonts w:ascii="標楷體" w:hAnsi="標楷體"/>
          <w:kern w:val="0"/>
          <w:sz w:val="28"/>
          <w:szCs w:val="28"/>
        </w:rPr>
        <w:t>，毋庸法律的明白授權也。如此一來，可能造成多重立法──有法律依據的法規命令性質之「公告」，及無法律依據之行政規則之「標準」也。</w:t>
      </w:r>
    </w:p>
    <w:p w:rsidR="00225257" w:rsidRPr="00142E7D" w:rsidRDefault="004753EA" w:rsidP="00225257">
      <w:pPr>
        <w:kinsoku w:val="0"/>
        <w:overflowPunct w:val="0"/>
        <w:adjustRightInd w:val="0"/>
        <w:snapToGrid w:val="0"/>
        <w:spacing w:line="391" w:lineRule="exact"/>
        <w:ind w:left="1134" w:firstLine="561"/>
        <w:jc w:val="distribute"/>
        <w:rPr>
          <w:rFonts w:ascii="標楷體" w:hAnsi="標楷體" w:hint="eastAsia"/>
          <w:kern w:val="0"/>
          <w:sz w:val="28"/>
          <w:szCs w:val="28"/>
        </w:rPr>
      </w:pPr>
      <w:r w:rsidRPr="00142E7D">
        <w:rPr>
          <w:rFonts w:ascii="標楷體" w:hAnsi="標楷體"/>
          <w:kern w:val="0"/>
          <w:sz w:val="28"/>
          <w:szCs w:val="28"/>
        </w:rPr>
        <w:t>但無論如何，本款</w:t>
      </w:r>
      <w:r w:rsidR="00DD4611" w:rsidRPr="00142E7D">
        <w:rPr>
          <w:rFonts w:ascii="標楷體" w:hAnsi="標楷體"/>
          <w:kern w:val="0"/>
          <w:sz w:val="28"/>
          <w:szCs w:val="28"/>
        </w:rPr>
        <w:t>（</w:t>
      </w:r>
      <w:r w:rsidRPr="00142E7D">
        <w:rPr>
          <w:rFonts w:ascii="標楷體" w:hAnsi="標楷體"/>
          <w:kern w:val="0"/>
          <w:sz w:val="28"/>
          <w:szCs w:val="28"/>
        </w:rPr>
        <w:t>第十款</w:t>
      </w:r>
      <w:r w:rsidR="00DD4611" w:rsidRPr="00142E7D">
        <w:rPr>
          <w:rFonts w:ascii="標楷體" w:hAnsi="標楷體"/>
          <w:kern w:val="0"/>
          <w:sz w:val="28"/>
          <w:szCs w:val="28"/>
        </w:rPr>
        <w:t>）</w:t>
      </w:r>
      <w:r w:rsidRPr="00142E7D">
        <w:rPr>
          <w:rFonts w:ascii="標楷體" w:hAnsi="標楷體"/>
          <w:kern w:val="0"/>
          <w:sz w:val="28"/>
          <w:szCs w:val="28"/>
        </w:rPr>
        <w:t>的規定，都必須侷限於「造成污染」之虞者，與將廣告物納入一般管制、採行許可制所涉及的景觀或美學價值無涉</w:t>
      </w:r>
      <w:r w:rsidRPr="00142E7D">
        <w:rPr>
          <w:rStyle w:val="ab"/>
          <w:rFonts w:ascii="標楷體" w:hAnsi="標楷體"/>
          <w:kern w:val="0"/>
          <w:sz w:val="28"/>
          <w:szCs w:val="28"/>
        </w:rPr>
        <w:footnoteReference w:id="48"/>
      </w:r>
      <w:r w:rsidRPr="00142E7D">
        <w:rPr>
          <w:rFonts w:ascii="標楷體" w:hAnsi="標楷體"/>
          <w:kern w:val="0"/>
          <w:sz w:val="28"/>
          <w:szCs w:val="28"/>
        </w:rPr>
        <w:t>，故更偏向本號解釋的意旨，是顯示出系爭公告更不應造</w:t>
      </w:r>
    </w:p>
    <w:p w:rsidR="004753EA" w:rsidRPr="00142E7D" w:rsidRDefault="004753EA" w:rsidP="00C03C48">
      <w:pPr>
        <w:kinsoku w:val="0"/>
        <w:overflowPunct w:val="0"/>
        <w:adjustRightInd w:val="0"/>
        <w:snapToGrid w:val="0"/>
        <w:spacing w:line="414" w:lineRule="exact"/>
        <w:ind w:left="1134"/>
        <w:jc w:val="both"/>
        <w:rPr>
          <w:rFonts w:ascii="標楷體" w:hAnsi="標楷體"/>
          <w:kern w:val="0"/>
          <w:sz w:val="28"/>
          <w:szCs w:val="28"/>
        </w:rPr>
      </w:pPr>
      <w:r w:rsidRPr="00142E7D">
        <w:rPr>
          <w:rFonts w:ascii="標楷體" w:hAnsi="標楷體"/>
          <w:kern w:val="0"/>
          <w:sz w:val="28"/>
          <w:szCs w:val="28"/>
        </w:rPr>
        <w:t>成與本款「重覆規定」的結果也。</w:t>
      </w:r>
    </w:p>
    <w:p w:rsidR="004753EA" w:rsidRPr="00142E7D" w:rsidRDefault="004753EA" w:rsidP="00C03C48">
      <w:pPr>
        <w:kinsoku w:val="0"/>
        <w:overflowPunct w:val="0"/>
        <w:adjustRightInd w:val="0"/>
        <w:snapToGrid w:val="0"/>
        <w:spacing w:line="414" w:lineRule="exact"/>
        <w:jc w:val="both"/>
        <w:rPr>
          <w:rFonts w:ascii="標楷體" w:hAnsi="標楷體"/>
          <w:b/>
          <w:kern w:val="0"/>
          <w:sz w:val="28"/>
          <w:szCs w:val="28"/>
        </w:rPr>
      </w:pPr>
      <w:r w:rsidRPr="00142E7D">
        <w:rPr>
          <w:rFonts w:ascii="標楷體" w:hAnsi="標楷體"/>
          <w:b/>
          <w:kern w:val="0"/>
          <w:sz w:val="28"/>
          <w:szCs w:val="28"/>
        </w:rPr>
        <w:t>二、不同意見部分</w:t>
      </w:r>
    </w:p>
    <w:p w:rsidR="004753EA" w:rsidRPr="00142E7D" w:rsidRDefault="00DD4611" w:rsidP="00C03C48">
      <w:pPr>
        <w:kinsoku w:val="0"/>
        <w:overflowPunct w:val="0"/>
        <w:adjustRightInd w:val="0"/>
        <w:snapToGrid w:val="0"/>
        <w:spacing w:line="414" w:lineRule="exact"/>
        <w:ind w:left="1135" w:hanging="851"/>
        <w:jc w:val="both"/>
        <w:rPr>
          <w:rFonts w:ascii="標楷體" w:hAnsi="標楷體"/>
          <w:kern w:val="0"/>
          <w:sz w:val="28"/>
          <w:szCs w:val="28"/>
        </w:rPr>
      </w:pPr>
      <w:r w:rsidRPr="00142E7D">
        <w:rPr>
          <w:rFonts w:ascii="標楷體" w:hAnsi="標楷體"/>
          <w:kern w:val="0"/>
          <w:sz w:val="28"/>
          <w:szCs w:val="28"/>
        </w:rPr>
        <w:t>（</w:t>
      </w:r>
      <w:r w:rsidR="004753EA" w:rsidRPr="00142E7D">
        <w:rPr>
          <w:rFonts w:ascii="標楷體" w:hAnsi="標楷體"/>
          <w:kern w:val="0"/>
          <w:sz w:val="28"/>
          <w:szCs w:val="28"/>
        </w:rPr>
        <w:t>一</w:t>
      </w:r>
      <w:r w:rsidRPr="00142E7D">
        <w:rPr>
          <w:rFonts w:ascii="標楷體" w:hAnsi="標楷體"/>
          <w:kern w:val="0"/>
          <w:sz w:val="28"/>
          <w:szCs w:val="28"/>
        </w:rPr>
        <w:t>）</w:t>
      </w:r>
      <w:r w:rsidR="004753EA" w:rsidRPr="00142E7D">
        <w:rPr>
          <w:rFonts w:ascii="標楷體" w:hAnsi="標楷體"/>
          <w:kern w:val="0"/>
          <w:sz w:val="28"/>
          <w:szCs w:val="28"/>
        </w:rPr>
        <w:t>應宣布臺南市公告為無效──同時將臺南市廣告自治規章納入審查，並承認地方自治團體擁有規範廣告之立法權限</w:t>
      </w:r>
    </w:p>
    <w:p w:rsidR="004753EA" w:rsidRPr="00142E7D" w:rsidRDefault="004753EA" w:rsidP="00C03C48">
      <w:pPr>
        <w:kinsoku w:val="0"/>
        <w:overflowPunct w:val="0"/>
        <w:adjustRightInd w:val="0"/>
        <w:snapToGrid w:val="0"/>
        <w:spacing w:line="414" w:lineRule="exact"/>
        <w:ind w:left="1134" w:firstLine="561"/>
        <w:jc w:val="both"/>
        <w:rPr>
          <w:rFonts w:ascii="標楷體" w:hAnsi="標楷體"/>
          <w:kern w:val="0"/>
          <w:sz w:val="28"/>
          <w:szCs w:val="28"/>
        </w:rPr>
      </w:pPr>
      <w:r w:rsidRPr="00142E7D">
        <w:rPr>
          <w:rFonts w:ascii="標楷體" w:hAnsi="標楷體"/>
          <w:kern w:val="0"/>
          <w:sz w:val="28"/>
          <w:szCs w:val="28"/>
        </w:rPr>
        <w:t>本席認為，本號解釋應宣告現行地方政府依據系爭規定而頒布的廣告規範─採行許可制的公告─為無效，同時此規範廣告一般權限應交由地方自治團體自治規章規範之。然多數意見未採納之。</w:t>
      </w:r>
    </w:p>
    <w:p w:rsidR="004753EA" w:rsidRPr="00142E7D" w:rsidRDefault="004753EA" w:rsidP="00C03C48">
      <w:pPr>
        <w:kinsoku w:val="0"/>
        <w:overflowPunct w:val="0"/>
        <w:adjustRightInd w:val="0"/>
        <w:snapToGrid w:val="0"/>
        <w:spacing w:line="414" w:lineRule="exact"/>
        <w:ind w:left="1134" w:firstLine="561"/>
        <w:jc w:val="both"/>
        <w:rPr>
          <w:rFonts w:ascii="標楷體" w:hAnsi="標楷體"/>
          <w:kern w:val="0"/>
          <w:sz w:val="28"/>
          <w:szCs w:val="28"/>
        </w:rPr>
      </w:pPr>
      <w:r w:rsidRPr="00142E7D">
        <w:rPr>
          <w:rFonts w:ascii="標楷體" w:hAnsi="標楷體"/>
          <w:kern w:val="0"/>
          <w:sz w:val="28"/>
          <w:szCs w:val="28"/>
        </w:rPr>
        <w:t>按廣告規範，如同一般人權事項，可由中央及地方法規限制之。亦即不僅在個別專法之中，國家除了可透過法律，取得廣告物的規範權外，且得授權、委託地方政府執行此類事宜；亦可依據中央與地方分權原則，由地方取得自行規範廣告事宜之權力，以「因地制宜」維護地方的特色。</w:t>
      </w:r>
    </w:p>
    <w:p w:rsidR="00225257" w:rsidRPr="00142E7D" w:rsidRDefault="004753EA" w:rsidP="00C03C48">
      <w:pPr>
        <w:kinsoku w:val="0"/>
        <w:overflowPunct w:val="0"/>
        <w:adjustRightInd w:val="0"/>
        <w:snapToGrid w:val="0"/>
        <w:spacing w:line="414" w:lineRule="exact"/>
        <w:ind w:left="1134" w:firstLine="561"/>
        <w:jc w:val="distribute"/>
        <w:rPr>
          <w:rFonts w:ascii="標楷體" w:hAnsi="標楷體" w:hint="eastAsia"/>
          <w:kern w:val="0"/>
          <w:sz w:val="28"/>
          <w:szCs w:val="28"/>
        </w:rPr>
      </w:pPr>
      <w:r w:rsidRPr="00142E7D">
        <w:rPr>
          <w:rFonts w:ascii="標楷體" w:hAnsi="標楷體"/>
          <w:kern w:val="0"/>
          <w:sz w:val="28"/>
          <w:szCs w:val="28"/>
        </w:rPr>
        <w:lastRenderedPageBreak/>
        <w:t>在前者情形，例如建築法第七條，將固定設立的廣告牌視為「雜項工作物」與其他建築物一般，皆須以獲得許可為前提。而同法第九十七條之三且規定：「一定規模以下之招牌廣告及樹立廣告，得免申請雜項執照。其管理並得簡化，不適用本法全部或一部之規定</w:t>
      </w:r>
      <w:r w:rsidR="00DD4611" w:rsidRPr="00142E7D">
        <w:rPr>
          <w:rFonts w:ascii="標楷體" w:hAnsi="標楷體"/>
          <w:kern w:val="0"/>
          <w:sz w:val="28"/>
          <w:szCs w:val="28"/>
        </w:rPr>
        <w:t>（</w:t>
      </w:r>
      <w:r w:rsidRPr="00142E7D">
        <w:rPr>
          <w:rFonts w:ascii="標楷體" w:hAnsi="標楷體"/>
          <w:kern w:val="0"/>
          <w:sz w:val="28"/>
          <w:szCs w:val="28"/>
        </w:rPr>
        <w:t>第一項</w:t>
      </w:r>
      <w:r w:rsidR="00DD4611" w:rsidRPr="00142E7D">
        <w:rPr>
          <w:rFonts w:ascii="標楷體" w:hAnsi="標楷體"/>
          <w:kern w:val="0"/>
          <w:sz w:val="28"/>
          <w:szCs w:val="28"/>
        </w:rPr>
        <w:t>）</w:t>
      </w:r>
      <w:r w:rsidRPr="00142E7D">
        <w:rPr>
          <w:rFonts w:ascii="標楷體" w:hAnsi="標楷體"/>
          <w:kern w:val="0"/>
          <w:sz w:val="28"/>
          <w:szCs w:val="28"/>
        </w:rPr>
        <w:t xml:space="preserve">。招牌廣告及樹立廣告之設置，應向直轄市、縣 </w:t>
      </w:r>
      <w:r w:rsidR="00DD4611" w:rsidRPr="00142E7D">
        <w:rPr>
          <w:rFonts w:ascii="標楷體" w:hAnsi="標楷體"/>
          <w:kern w:val="0"/>
          <w:sz w:val="28"/>
          <w:szCs w:val="28"/>
        </w:rPr>
        <w:t>（</w:t>
      </w:r>
      <w:r w:rsidRPr="00142E7D">
        <w:rPr>
          <w:rFonts w:ascii="標楷體" w:hAnsi="標楷體"/>
          <w:kern w:val="0"/>
          <w:sz w:val="28"/>
          <w:szCs w:val="28"/>
        </w:rPr>
        <w:t>市</w:t>
      </w:r>
      <w:r w:rsidR="00DD4611" w:rsidRPr="00142E7D">
        <w:rPr>
          <w:rFonts w:ascii="標楷體" w:hAnsi="標楷體"/>
          <w:kern w:val="0"/>
          <w:sz w:val="28"/>
          <w:szCs w:val="28"/>
        </w:rPr>
        <w:t>）</w:t>
      </w:r>
      <w:r w:rsidRPr="00142E7D">
        <w:rPr>
          <w:rFonts w:ascii="標楷體" w:hAnsi="標楷體"/>
          <w:kern w:val="0"/>
          <w:sz w:val="28"/>
          <w:szCs w:val="28"/>
        </w:rPr>
        <w:t xml:space="preserve"> 主管建築機關申請審查許可，直轄市、縣 </w:t>
      </w:r>
      <w:r w:rsidR="00DD4611" w:rsidRPr="00142E7D">
        <w:rPr>
          <w:rFonts w:ascii="標楷體" w:hAnsi="標楷體"/>
          <w:kern w:val="0"/>
          <w:sz w:val="28"/>
          <w:szCs w:val="28"/>
        </w:rPr>
        <w:t>（</w:t>
      </w:r>
      <w:r w:rsidRPr="00142E7D">
        <w:rPr>
          <w:rFonts w:ascii="標楷體" w:hAnsi="標楷體"/>
          <w:kern w:val="0"/>
          <w:sz w:val="28"/>
          <w:szCs w:val="28"/>
        </w:rPr>
        <w:t>市</w:t>
      </w:r>
      <w:r w:rsidR="00DD4611" w:rsidRPr="00142E7D">
        <w:rPr>
          <w:rFonts w:ascii="標楷體" w:hAnsi="標楷體"/>
          <w:kern w:val="0"/>
          <w:sz w:val="28"/>
          <w:szCs w:val="28"/>
        </w:rPr>
        <w:t>）</w:t>
      </w:r>
      <w:r w:rsidRPr="00142E7D">
        <w:rPr>
          <w:rFonts w:ascii="標楷體" w:hAnsi="標楷體"/>
          <w:kern w:val="0"/>
          <w:sz w:val="28"/>
          <w:szCs w:val="28"/>
        </w:rPr>
        <w:t xml:space="preserve"> 主管建築機關得委託相關專業團體審查，其審查費用由申請人負擔</w:t>
      </w:r>
      <w:r w:rsidR="00DD4611" w:rsidRPr="00142E7D">
        <w:rPr>
          <w:rFonts w:ascii="標楷體" w:hAnsi="標楷體"/>
          <w:kern w:val="0"/>
          <w:sz w:val="28"/>
          <w:szCs w:val="28"/>
        </w:rPr>
        <w:t>（</w:t>
      </w:r>
      <w:r w:rsidRPr="00142E7D">
        <w:rPr>
          <w:rFonts w:ascii="標楷體" w:hAnsi="標楷體"/>
          <w:kern w:val="0"/>
          <w:sz w:val="28"/>
          <w:szCs w:val="28"/>
        </w:rPr>
        <w:t>第二項</w:t>
      </w:r>
      <w:r w:rsidR="00DD4611" w:rsidRPr="00142E7D">
        <w:rPr>
          <w:rFonts w:ascii="標楷體" w:hAnsi="標楷體"/>
          <w:kern w:val="0"/>
          <w:sz w:val="28"/>
          <w:szCs w:val="28"/>
        </w:rPr>
        <w:t>）</w:t>
      </w:r>
      <w:r w:rsidRPr="00142E7D">
        <w:rPr>
          <w:rFonts w:ascii="標楷體" w:hAnsi="標楷體"/>
          <w:kern w:val="0"/>
          <w:sz w:val="28"/>
          <w:szCs w:val="28"/>
        </w:rPr>
        <w:t>。」即分別賦予中央機關與地方機關就廣告事務的管理權限。中央機關之內政部，也因此依建築法第九十七條之三第三項之規定，發布「招牌廣告及樹立廣告管理辦法」</w:t>
      </w:r>
      <w:r w:rsidRPr="00142E7D">
        <w:rPr>
          <w:rStyle w:val="ab"/>
          <w:rFonts w:ascii="標楷體" w:hAnsi="標楷體"/>
          <w:kern w:val="0"/>
          <w:sz w:val="28"/>
          <w:szCs w:val="28"/>
        </w:rPr>
        <w:footnoteReference w:id="49"/>
      </w:r>
      <w:r w:rsidRPr="00142E7D">
        <w:rPr>
          <w:rFonts w:ascii="標楷體" w:hAnsi="標楷體"/>
          <w:kern w:val="0"/>
          <w:sz w:val="28"/>
          <w:szCs w:val="28"/>
        </w:rPr>
        <w:t>。地方政府，如臺北市，亦制定「臺北市一定規模以</w:t>
      </w:r>
    </w:p>
    <w:p w:rsidR="004753EA" w:rsidRPr="00142E7D" w:rsidRDefault="004753EA" w:rsidP="00225257">
      <w:pPr>
        <w:kinsoku w:val="0"/>
        <w:overflowPunct w:val="0"/>
        <w:adjustRightInd w:val="0"/>
        <w:snapToGrid w:val="0"/>
        <w:spacing w:line="391" w:lineRule="exact"/>
        <w:ind w:left="1134"/>
        <w:jc w:val="both"/>
        <w:rPr>
          <w:rFonts w:ascii="標楷體" w:hAnsi="標楷體"/>
          <w:kern w:val="0"/>
          <w:sz w:val="28"/>
          <w:szCs w:val="28"/>
        </w:rPr>
      </w:pPr>
      <w:r w:rsidRPr="00142E7D">
        <w:rPr>
          <w:rFonts w:ascii="標楷體" w:hAnsi="標楷體"/>
          <w:kern w:val="0"/>
          <w:sz w:val="28"/>
          <w:szCs w:val="28"/>
        </w:rPr>
        <w:t>下廣告物委託審查作業準則」</w:t>
      </w:r>
      <w:r w:rsidRPr="00142E7D">
        <w:rPr>
          <w:rStyle w:val="ab"/>
          <w:rFonts w:ascii="標楷體" w:hAnsi="標楷體"/>
          <w:kern w:val="0"/>
          <w:sz w:val="28"/>
          <w:szCs w:val="28"/>
        </w:rPr>
        <w:footnoteReference w:id="50"/>
      </w:r>
      <w:r w:rsidRPr="00142E7D">
        <w:rPr>
          <w:rFonts w:ascii="標楷體" w:hAnsi="標楷體"/>
          <w:kern w:val="0"/>
          <w:sz w:val="28"/>
          <w:szCs w:val="28"/>
        </w:rPr>
        <w:t>。另外其他法律，如道路交通管理處罰條例第八十二條第二項，亦規定在一定的條件下，直接將廣告物的設置納入規範，同時，也可採取視同廢棄物之立法方式</w:t>
      </w:r>
      <w:r w:rsidRPr="00142E7D">
        <w:rPr>
          <w:rStyle w:val="ab"/>
          <w:rFonts w:ascii="標楷體" w:hAnsi="標楷體"/>
          <w:kern w:val="0"/>
          <w:sz w:val="28"/>
          <w:szCs w:val="28"/>
        </w:rPr>
        <w:footnoteReference w:id="51"/>
      </w:r>
      <w:r w:rsidRPr="00142E7D">
        <w:rPr>
          <w:rFonts w:ascii="標楷體" w:hAnsi="標楷體"/>
          <w:kern w:val="0"/>
          <w:sz w:val="28"/>
          <w:szCs w:val="28"/>
        </w:rPr>
        <w:t>，而明白地準用本法的規定。</w:t>
      </w:r>
    </w:p>
    <w:p w:rsidR="004753EA" w:rsidRPr="00142E7D" w:rsidRDefault="004753EA" w:rsidP="00661022">
      <w:pPr>
        <w:kinsoku w:val="0"/>
        <w:overflowPunct w:val="0"/>
        <w:adjustRightInd w:val="0"/>
        <w:snapToGrid w:val="0"/>
        <w:spacing w:line="391" w:lineRule="exact"/>
        <w:ind w:left="1134" w:firstLine="561"/>
        <w:jc w:val="both"/>
        <w:rPr>
          <w:rFonts w:ascii="標楷體" w:hAnsi="標楷體"/>
          <w:kern w:val="0"/>
          <w:sz w:val="28"/>
          <w:szCs w:val="28"/>
        </w:rPr>
      </w:pPr>
      <w:r w:rsidRPr="00142E7D">
        <w:rPr>
          <w:rFonts w:ascii="標楷體" w:hAnsi="標楷體"/>
          <w:kern w:val="0"/>
          <w:sz w:val="28"/>
          <w:szCs w:val="28"/>
        </w:rPr>
        <w:t>至於後者，亦即地方政府能斟酌地方特殊的公益考量，包括市容景觀的規劃、保護地方有特色的建築、環境與觀光利益，而依地方自治的中央與地方分權原則之方式，透過制定各種關於廣告物設置的自治條例或自治規章</w:t>
      </w:r>
      <w:r w:rsidRPr="00142E7D">
        <w:rPr>
          <w:rStyle w:val="ab"/>
          <w:rFonts w:ascii="標楷體" w:hAnsi="標楷體"/>
          <w:kern w:val="0"/>
          <w:sz w:val="28"/>
          <w:szCs w:val="28"/>
        </w:rPr>
        <w:footnoteReference w:id="52"/>
      </w:r>
      <w:r w:rsidRPr="00142E7D">
        <w:rPr>
          <w:rFonts w:ascii="標楷體" w:hAnsi="標楷體"/>
          <w:kern w:val="0"/>
          <w:sz w:val="28"/>
          <w:szCs w:val="28"/>
        </w:rPr>
        <w:t>。</w:t>
      </w:r>
    </w:p>
    <w:p w:rsidR="004753EA" w:rsidRPr="00142E7D" w:rsidRDefault="004753EA" w:rsidP="00661022">
      <w:pPr>
        <w:kinsoku w:val="0"/>
        <w:overflowPunct w:val="0"/>
        <w:adjustRightInd w:val="0"/>
        <w:snapToGrid w:val="0"/>
        <w:spacing w:line="391" w:lineRule="exact"/>
        <w:ind w:left="1134" w:firstLine="561"/>
        <w:jc w:val="both"/>
        <w:rPr>
          <w:rFonts w:ascii="標楷體" w:hAnsi="標楷體"/>
          <w:kern w:val="0"/>
          <w:sz w:val="28"/>
          <w:szCs w:val="28"/>
        </w:rPr>
      </w:pPr>
      <w:r w:rsidRPr="00142E7D">
        <w:rPr>
          <w:rFonts w:ascii="標楷體" w:hAnsi="標楷體"/>
          <w:kern w:val="0"/>
          <w:sz w:val="28"/>
          <w:szCs w:val="28"/>
        </w:rPr>
        <w:lastRenderedPageBreak/>
        <w:t>就本號解釋的原因案件而言，臺南市政府本即制定此種法規，例如，九十四年五月二十日</w:t>
      </w:r>
      <w:r w:rsidR="00DD4611" w:rsidRPr="00142E7D">
        <w:rPr>
          <w:rFonts w:ascii="標楷體" w:hAnsi="標楷體"/>
          <w:kern w:val="0"/>
          <w:sz w:val="28"/>
          <w:szCs w:val="28"/>
        </w:rPr>
        <w:t>（</w:t>
      </w:r>
      <w:r w:rsidRPr="00142E7D">
        <w:rPr>
          <w:rFonts w:ascii="標楷體" w:hAnsi="標楷體"/>
          <w:kern w:val="0"/>
          <w:sz w:val="28"/>
          <w:szCs w:val="28"/>
        </w:rPr>
        <w:t>及一</w:t>
      </w:r>
      <w:r w:rsidR="00DD4611" w:rsidRPr="00142E7D">
        <w:rPr>
          <w:rFonts w:ascii="標楷體" w:hAnsi="標楷體"/>
          <w:kern w:val="0"/>
          <w:sz w:val="28"/>
          <w:szCs w:val="28"/>
        </w:rPr>
        <w:t>○</w:t>
      </w:r>
      <w:r w:rsidRPr="00142E7D">
        <w:rPr>
          <w:rFonts w:ascii="標楷體" w:hAnsi="標楷體"/>
          <w:kern w:val="0"/>
          <w:sz w:val="28"/>
          <w:szCs w:val="28"/>
        </w:rPr>
        <w:t>二年十二月二十二日</w:t>
      </w:r>
      <w:r w:rsidR="00DD4611" w:rsidRPr="00142E7D">
        <w:rPr>
          <w:rFonts w:ascii="標楷體" w:hAnsi="標楷體"/>
          <w:kern w:val="0"/>
          <w:sz w:val="28"/>
          <w:szCs w:val="28"/>
        </w:rPr>
        <w:t>）</w:t>
      </w:r>
      <w:r w:rsidRPr="00142E7D">
        <w:rPr>
          <w:rFonts w:ascii="標楷體" w:hAnsi="標楷體"/>
          <w:kern w:val="0"/>
          <w:sz w:val="28"/>
          <w:szCs w:val="28"/>
        </w:rPr>
        <w:t>制定臺南市廣告自治條例，規定該市所轄的地區內廣告物的內容必須獲得主管機關的核准，而後方得申請設置的程序規範，且作為原因案件訴願決定</w:t>
      </w:r>
      <w:r w:rsidR="00DD4611" w:rsidRPr="00142E7D">
        <w:rPr>
          <w:rFonts w:ascii="標楷體" w:hAnsi="標楷體"/>
          <w:kern w:val="0"/>
          <w:sz w:val="28"/>
          <w:szCs w:val="28"/>
        </w:rPr>
        <w:t>（</w:t>
      </w:r>
      <w:r w:rsidRPr="00142E7D">
        <w:rPr>
          <w:rFonts w:ascii="標楷體" w:hAnsi="標楷體"/>
          <w:kern w:val="0"/>
          <w:sz w:val="28"/>
          <w:szCs w:val="28"/>
        </w:rPr>
        <w:t>臺南市政府訴願決定書九十九年度訴字第三四號</w:t>
      </w:r>
      <w:r w:rsidR="00DD4611" w:rsidRPr="00142E7D">
        <w:rPr>
          <w:rFonts w:ascii="標楷體" w:hAnsi="標楷體"/>
          <w:kern w:val="0"/>
          <w:sz w:val="28"/>
          <w:szCs w:val="28"/>
        </w:rPr>
        <w:t>）</w:t>
      </w:r>
      <w:r w:rsidRPr="00142E7D">
        <w:rPr>
          <w:rFonts w:ascii="標楷體" w:hAnsi="標楷體"/>
          <w:kern w:val="0"/>
          <w:sz w:val="28"/>
          <w:szCs w:val="28"/>
        </w:rPr>
        <w:t>的裁罰依據。</w:t>
      </w:r>
    </w:p>
    <w:p w:rsidR="004753EA" w:rsidRPr="00142E7D" w:rsidRDefault="004753EA" w:rsidP="00661022">
      <w:pPr>
        <w:kinsoku w:val="0"/>
        <w:overflowPunct w:val="0"/>
        <w:adjustRightInd w:val="0"/>
        <w:snapToGrid w:val="0"/>
        <w:spacing w:line="391" w:lineRule="exact"/>
        <w:ind w:left="1134" w:firstLine="561"/>
        <w:jc w:val="both"/>
        <w:rPr>
          <w:rFonts w:ascii="標楷體" w:hAnsi="標楷體"/>
          <w:kern w:val="0"/>
          <w:sz w:val="28"/>
          <w:szCs w:val="28"/>
        </w:rPr>
      </w:pPr>
      <w:r w:rsidRPr="00142E7D">
        <w:rPr>
          <w:rFonts w:ascii="標楷體" w:hAnsi="標楷體"/>
          <w:kern w:val="0"/>
          <w:sz w:val="28"/>
          <w:szCs w:val="28"/>
        </w:rPr>
        <w:t>同時本席亦認為大凡實施地方自治的國家，地方政府皆應有此權限。故本號解釋通過後，各地方政府仍可以就其已頒布一般性的廣告規範自治條例，繼續適用。</w:t>
      </w:r>
    </w:p>
    <w:p w:rsidR="004753EA" w:rsidRPr="00142E7D" w:rsidRDefault="004753EA" w:rsidP="00661022">
      <w:pPr>
        <w:kinsoku w:val="0"/>
        <w:overflowPunct w:val="0"/>
        <w:adjustRightInd w:val="0"/>
        <w:snapToGrid w:val="0"/>
        <w:spacing w:line="391" w:lineRule="exact"/>
        <w:ind w:left="1134" w:firstLine="561"/>
        <w:jc w:val="both"/>
        <w:rPr>
          <w:rFonts w:ascii="標楷體" w:hAnsi="標楷體"/>
          <w:kern w:val="0"/>
          <w:sz w:val="28"/>
          <w:szCs w:val="28"/>
        </w:rPr>
      </w:pPr>
      <w:r w:rsidRPr="00142E7D">
        <w:rPr>
          <w:rFonts w:ascii="標楷體" w:hAnsi="標楷體"/>
          <w:kern w:val="0"/>
          <w:sz w:val="28"/>
          <w:szCs w:val="28"/>
        </w:rPr>
        <w:t>如此一來，就以臺南市政府為例：一則可以依據系爭規定發布公告，認定「屬於污染物」的廣告；二則可以依據廣告物自治條例，規定一切廣告物的許可要件，及違反者的裁罰。顯然，臺南市政府表面上「左右逢源」，有二種法規可供使用。但後者亦可能與前者產生「規範競合」，此時顯然前者有優先效力？又可否併罰？而且，地方廣告自治條例，可將美學與景觀利益納入，更合乎地方的需求，範圍比前者更廣，何必非分兩法來規範？</w:t>
      </w:r>
    </w:p>
    <w:p w:rsidR="004753EA" w:rsidRPr="00142E7D" w:rsidRDefault="004753EA" w:rsidP="00661022">
      <w:pPr>
        <w:kinsoku w:val="0"/>
        <w:overflowPunct w:val="0"/>
        <w:adjustRightInd w:val="0"/>
        <w:snapToGrid w:val="0"/>
        <w:spacing w:line="391" w:lineRule="exact"/>
        <w:ind w:left="1134" w:firstLine="561"/>
        <w:jc w:val="both"/>
        <w:rPr>
          <w:rFonts w:ascii="標楷體" w:hAnsi="標楷體"/>
          <w:kern w:val="0"/>
          <w:sz w:val="28"/>
          <w:szCs w:val="28"/>
        </w:rPr>
      </w:pPr>
      <w:r w:rsidRPr="00142E7D">
        <w:rPr>
          <w:rFonts w:ascii="標楷體" w:hAnsi="標楷體"/>
          <w:kern w:val="0"/>
          <w:sz w:val="28"/>
          <w:szCs w:val="28"/>
        </w:rPr>
        <w:t>顯然的，於此種針對同一事務而有雙重規定之情形，上述臺南市政府的廣告自治條例，應當納入本號解釋的審查標的，方可避免「掛一漏萬」之弊。</w:t>
      </w:r>
    </w:p>
    <w:p w:rsidR="004753EA" w:rsidRPr="00142E7D" w:rsidRDefault="004753EA" w:rsidP="00661022">
      <w:pPr>
        <w:kinsoku w:val="0"/>
        <w:overflowPunct w:val="0"/>
        <w:adjustRightInd w:val="0"/>
        <w:snapToGrid w:val="0"/>
        <w:spacing w:line="391" w:lineRule="exact"/>
        <w:ind w:left="1134" w:firstLine="561"/>
        <w:jc w:val="both"/>
        <w:rPr>
          <w:rFonts w:ascii="標楷體" w:hAnsi="標楷體"/>
          <w:kern w:val="0"/>
          <w:sz w:val="28"/>
          <w:szCs w:val="28"/>
        </w:rPr>
      </w:pPr>
      <w:r w:rsidRPr="00142E7D">
        <w:rPr>
          <w:rFonts w:ascii="標楷體" w:hAnsi="標楷體"/>
          <w:kern w:val="0"/>
          <w:sz w:val="28"/>
          <w:szCs w:val="28"/>
        </w:rPr>
        <w:t>由上述不少法律皆可以將廣告物的設置與張貼等行為納入規範，是為國家對人民一般行為自由的管制，並無太大的特殊性。國家及地方政府將之列為平常的法律管制事項，適用求法律保留與比例原則，如有公益之必要，而對其張貼與內容進行審查與許可制，違反時，自可以相關法律予以裁罰，或命其清除，例如，地方廣告物管理自治條例可以規定罰則以及執行罰。</w:t>
      </w:r>
    </w:p>
    <w:p w:rsidR="004753EA" w:rsidRPr="00142E7D" w:rsidRDefault="004753EA" w:rsidP="00661022">
      <w:pPr>
        <w:kinsoku w:val="0"/>
        <w:overflowPunct w:val="0"/>
        <w:adjustRightInd w:val="0"/>
        <w:snapToGrid w:val="0"/>
        <w:spacing w:line="391" w:lineRule="exact"/>
        <w:ind w:left="1134" w:firstLine="561"/>
        <w:jc w:val="both"/>
        <w:rPr>
          <w:rFonts w:ascii="標楷體" w:hAnsi="標楷體"/>
          <w:kern w:val="0"/>
          <w:sz w:val="28"/>
          <w:szCs w:val="28"/>
        </w:rPr>
      </w:pPr>
      <w:r w:rsidRPr="00142E7D">
        <w:rPr>
          <w:rFonts w:ascii="標楷體" w:hAnsi="標楷體"/>
          <w:kern w:val="0"/>
          <w:sz w:val="28"/>
          <w:szCs w:val="28"/>
        </w:rPr>
        <w:t>只有在若干特殊的事件</w:t>
      </w:r>
      <w:r w:rsidR="00DD4611" w:rsidRPr="00142E7D">
        <w:rPr>
          <w:rFonts w:ascii="標楷體" w:hAnsi="標楷體"/>
          <w:kern w:val="0"/>
          <w:sz w:val="28"/>
          <w:szCs w:val="28"/>
        </w:rPr>
        <w:t>（</w:t>
      </w:r>
      <w:r w:rsidRPr="00142E7D">
        <w:rPr>
          <w:rFonts w:ascii="標楷體" w:hAnsi="標楷體"/>
          <w:kern w:val="0"/>
          <w:sz w:val="28"/>
          <w:szCs w:val="28"/>
        </w:rPr>
        <w:t>如前述的道路交通處罰條例事件</w:t>
      </w:r>
      <w:r w:rsidR="00DD4611" w:rsidRPr="00142E7D">
        <w:rPr>
          <w:rFonts w:ascii="標楷體" w:hAnsi="標楷體"/>
          <w:kern w:val="0"/>
          <w:sz w:val="28"/>
          <w:szCs w:val="28"/>
        </w:rPr>
        <w:t>）</w:t>
      </w:r>
      <w:r w:rsidRPr="00142E7D">
        <w:rPr>
          <w:rFonts w:ascii="標楷體" w:hAnsi="標楷體"/>
          <w:kern w:val="0"/>
          <w:sz w:val="28"/>
          <w:szCs w:val="28"/>
        </w:rPr>
        <w:t>，方採行「擬制為廢棄物」的規範。但此屬於立法裁量範圍，應當由立法者明確地作出決定，不能如系爭規定的立法方式，採含混的攀引手法，將造成犠牲嚴格法律保留原則之代價。</w:t>
      </w:r>
    </w:p>
    <w:p w:rsidR="004753EA" w:rsidRPr="00142E7D" w:rsidRDefault="004753EA" w:rsidP="00661022">
      <w:pPr>
        <w:kinsoku w:val="0"/>
        <w:overflowPunct w:val="0"/>
        <w:adjustRightInd w:val="0"/>
        <w:snapToGrid w:val="0"/>
        <w:spacing w:line="391" w:lineRule="exact"/>
        <w:ind w:left="1134" w:firstLine="561"/>
        <w:jc w:val="both"/>
        <w:rPr>
          <w:rFonts w:ascii="標楷體" w:hAnsi="標楷體"/>
          <w:kern w:val="0"/>
          <w:sz w:val="28"/>
          <w:szCs w:val="28"/>
        </w:rPr>
      </w:pPr>
      <w:r w:rsidRPr="00142E7D">
        <w:rPr>
          <w:rFonts w:ascii="標楷體" w:hAnsi="標楷體"/>
          <w:kern w:val="0"/>
          <w:sz w:val="28"/>
          <w:szCs w:val="28"/>
        </w:rPr>
        <w:t>如前所述，除了其他法律能規範廣告的管理事宜外，地方自治團體本即擁有對於廣告物的一般管理權限。廣告物的張貼，以及內容的審核，可採取許可制，即課予人民不得隨便張貼廣告的義務。此「不行為的義務」，如有違反時，自可課以罰鍰等「秩序罰」，以及承擔「清除義務」。最明顯的莫如道路交通管理處罰條例第八十二條第一項對違反該條例規定之張貼廣告物者，除責令行為人即時停止並消除障礙外，並可處行為人或其雇主新臺幣一千二百元以上二千四百元以下罰鍰。</w:t>
      </w:r>
    </w:p>
    <w:p w:rsidR="004753EA" w:rsidRPr="00142E7D" w:rsidRDefault="004753EA" w:rsidP="00661022">
      <w:pPr>
        <w:kinsoku w:val="0"/>
        <w:overflowPunct w:val="0"/>
        <w:adjustRightInd w:val="0"/>
        <w:snapToGrid w:val="0"/>
        <w:spacing w:line="391" w:lineRule="exact"/>
        <w:ind w:left="1134" w:firstLine="561"/>
        <w:jc w:val="both"/>
        <w:rPr>
          <w:rFonts w:ascii="標楷體" w:hAnsi="標楷體"/>
          <w:kern w:val="0"/>
          <w:sz w:val="28"/>
          <w:szCs w:val="28"/>
        </w:rPr>
      </w:pPr>
      <w:r w:rsidRPr="00142E7D">
        <w:rPr>
          <w:rFonts w:ascii="標楷體" w:hAnsi="標楷體"/>
          <w:kern w:val="0"/>
          <w:sz w:val="28"/>
          <w:szCs w:val="28"/>
        </w:rPr>
        <w:lastRenderedPageBreak/>
        <w:t>又例如，德國巴伐利亞邦即透過制定「邦社會秩序維護法」</w:t>
      </w:r>
      <w:r w:rsidR="00654FBB" w:rsidRPr="00142E7D">
        <w:rPr>
          <w:rFonts w:ascii="標楷體" w:hAnsi="標楷體"/>
          <w:kern w:val="0"/>
          <w:sz w:val="28"/>
          <w:szCs w:val="28"/>
        </w:rPr>
        <w:t>（</w:t>
      </w:r>
      <w:r w:rsidRPr="00142E7D">
        <w:rPr>
          <w:rFonts w:ascii="標楷體" w:hAnsi="標楷體"/>
          <w:kern w:val="0"/>
          <w:sz w:val="28"/>
          <w:szCs w:val="28"/>
        </w:rPr>
        <w:t>Landesstraf-und Verordunugsgesetz,vom 22.05.2015</w:t>
      </w:r>
      <w:r w:rsidR="00654FBB" w:rsidRPr="00142E7D">
        <w:rPr>
          <w:rFonts w:ascii="標楷體" w:hAnsi="標楷體"/>
          <w:kern w:val="0"/>
          <w:sz w:val="28"/>
          <w:szCs w:val="28"/>
        </w:rPr>
        <w:t>）</w:t>
      </w:r>
      <w:r w:rsidRPr="00142E7D">
        <w:rPr>
          <w:rFonts w:ascii="標楷體" w:hAnsi="標楷體"/>
          <w:kern w:val="0"/>
          <w:sz w:val="28"/>
          <w:szCs w:val="28"/>
        </w:rPr>
        <w:t>的方式</w:t>
      </w:r>
      <w:r w:rsidR="00DD4611" w:rsidRPr="00142E7D">
        <w:rPr>
          <w:rFonts w:ascii="標楷體" w:hAnsi="標楷體"/>
          <w:kern w:val="0"/>
          <w:sz w:val="28"/>
          <w:szCs w:val="28"/>
        </w:rPr>
        <w:t>（</w:t>
      </w:r>
      <w:r w:rsidRPr="00142E7D">
        <w:rPr>
          <w:rFonts w:ascii="標楷體" w:hAnsi="標楷體"/>
          <w:kern w:val="0"/>
          <w:sz w:val="28"/>
          <w:szCs w:val="28"/>
        </w:rPr>
        <w:t>第二十八條</w:t>
      </w:r>
      <w:r w:rsidR="00DD4611" w:rsidRPr="00142E7D">
        <w:rPr>
          <w:rFonts w:ascii="標楷體" w:hAnsi="標楷體"/>
          <w:kern w:val="0"/>
          <w:sz w:val="28"/>
          <w:szCs w:val="28"/>
        </w:rPr>
        <w:t>）</w:t>
      </w:r>
      <w:r w:rsidRPr="00142E7D">
        <w:rPr>
          <w:rFonts w:ascii="標楷體" w:hAnsi="標楷體"/>
          <w:kern w:val="0"/>
          <w:sz w:val="28"/>
          <w:szCs w:val="28"/>
        </w:rPr>
        <w:t>，規定各個地方為了維護自然、藝術或古蹟，得規定對特定公開之場所不得張貼任何佈告，特別是廣告、傳單標語。以故意或過失違反此義務者，得處以罰鍰。地方政府對違反義務者，得命其清除之。便是對張貼廣告物廣泛採行許可制的一例</w:t>
      </w:r>
      <w:r w:rsidRPr="00142E7D">
        <w:rPr>
          <w:rStyle w:val="ab"/>
          <w:rFonts w:ascii="標楷體" w:hAnsi="標楷體"/>
          <w:kern w:val="0"/>
          <w:sz w:val="28"/>
          <w:szCs w:val="28"/>
        </w:rPr>
        <w:footnoteReference w:id="53"/>
      </w:r>
      <w:r w:rsidRPr="00142E7D">
        <w:rPr>
          <w:rFonts w:ascii="標楷體" w:hAnsi="標楷體"/>
          <w:kern w:val="0"/>
          <w:sz w:val="28"/>
          <w:szCs w:val="28"/>
        </w:rPr>
        <w:t>。</w:t>
      </w:r>
    </w:p>
    <w:p w:rsidR="004753EA" w:rsidRPr="00142E7D" w:rsidRDefault="004753EA" w:rsidP="00661022">
      <w:pPr>
        <w:kinsoku w:val="0"/>
        <w:overflowPunct w:val="0"/>
        <w:adjustRightInd w:val="0"/>
        <w:snapToGrid w:val="0"/>
        <w:spacing w:line="391" w:lineRule="exact"/>
        <w:ind w:left="1134" w:firstLine="561"/>
        <w:jc w:val="both"/>
        <w:rPr>
          <w:rFonts w:ascii="標楷體" w:hAnsi="標楷體"/>
          <w:kern w:val="0"/>
          <w:sz w:val="28"/>
          <w:szCs w:val="28"/>
        </w:rPr>
      </w:pPr>
      <w:r w:rsidRPr="00142E7D">
        <w:rPr>
          <w:rFonts w:ascii="標楷體" w:hAnsi="標楷體"/>
          <w:kern w:val="0"/>
          <w:sz w:val="28"/>
          <w:szCs w:val="28"/>
        </w:rPr>
        <w:t>另歐美城市多半會設立「廣告柱」，在通街要衢處設置水泥圓型柱，專門提供張貼廣告之用。對廣告的尺寸、甚至視覺效果、內容等，都有一套規定。這些代表城市品味的廣告柱，如羅馬、巴黎、倫敦、柏林等，已成為此類城市都市文化景觀的一景，絕不可能任由人民張貼成「大字報」般的街景。同樣的，各城市也可指定地區，許可居民張貼廣告，亦得限定尺寸及其他的要求，而以地方自治團體的法規律定之。</w:t>
      </w:r>
    </w:p>
    <w:p w:rsidR="004753EA" w:rsidRPr="00142E7D" w:rsidRDefault="004753EA" w:rsidP="00661022">
      <w:pPr>
        <w:kinsoku w:val="0"/>
        <w:overflowPunct w:val="0"/>
        <w:adjustRightInd w:val="0"/>
        <w:snapToGrid w:val="0"/>
        <w:spacing w:line="391" w:lineRule="exact"/>
        <w:ind w:left="1134" w:firstLine="561"/>
        <w:jc w:val="both"/>
        <w:rPr>
          <w:rFonts w:ascii="標楷體" w:hAnsi="標楷體"/>
          <w:kern w:val="0"/>
          <w:sz w:val="28"/>
          <w:szCs w:val="28"/>
        </w:rPr>
      </w:pPr>
      <w:r w:rsidRPr="00142E7D">
        <w:rPr>
          <w:rFonts w:ascii="標楷體" w:hAnsi="標楷體"/>
          <w:kern w:val="0"/>
          <w:sz w:val="28"/>
          <w:szCs w:val="28"/>
        </w:rPr>
        <w:t>同時，即使在地方自治法規對於違反廣告管理的行為，除了行政罰的罰鍰、命清除義務外，也可以由地方制度法取得行政執行罰──在行為人不履行此義務時之「代履行」或「直接強制」的制度，由行政機關強力執行此義務，且可收取履行費用。這是不論中央行政或地</w:t>
      </w:r>
      <w:r w:rsidRPr="00142E7D">
        <w:rPr>
          <w:rFonts w:ascii="標楷體" w:hAnsi="標楷體"/>
          <w:spacing w:val="-2"/>
          <w:kern w:val="0"/>
          <w:sz w:val="28"/>
          <w:szCs w:val="28"/>
        </w:rPr>
        <w:t>方自治行政實務上，每天都上演的公權力戲碼，乃是行政執行的常態。</w:t>
      </w:r>
    </w:p>
    <w:p w:rsidR="004753EA" w:rsidRPr="00142E7D" w:rsidRDefault="004753EA" w:rsidP="00661022">
      <w:pPr>
        <w:kinsoku w:val="0"/>
        <w:overflowPunct w:val="0"/>
        <w:adjustRightInd w:val="0"/>
        <w:snapToGrid w:val="0"/>
        <w:spacing w:line="391" w:lineRule="exact"/>
        <w:ind w:left="1134" w:firstLine="561"/>
        <w:jc w:val="both"/>
        <w:rPr>
          <w:rFonts w:ascii="標楷體" w:hAnsi="標楷體"/>
          <w:kern w:val="0"/>
          <w:sz w:val="28"/>
          <w:szCs w:val="28"/>
        </w:rPr>
      </w:pPr>
      <w:r w:rsidRPr="00142E7D">
        <w:rPr>
          <w:rFonts w:ascii="標楷體" w:hAnsi="標楷體"/>
          <w:kern w:val="0"/>
          <w:sz w:val="28"/>
          <w:szCs w:val="28"/>
        </w:rPr>
        <w:t>故廣告物管理既可採行中央或地方法規範所明白賦予的許可制，如主管機關許可權力濫用、違反比例原則，且有常態性的行政救濟途徑以防杜之。這也是我國目前法制已有的建構，也堪稱完善</w:t>
      </w:r>
      <w:r w:rsidRPr="00142E7D">
        <w:rPr>
          <w:rStyle w:val="ab"/>
          <w:rFonts w:ascii="標楷體" w:hAnsi="標楷體"/>
          <w:kern w:val="0"/>
          <w:sz w:val="28"/>
          <w:szCs w:val="28"/>
        </w:rPr>
        <w:footnoteReference w:id="54"/>
      </w:r>
      <w:r w:rsidRPr="00142E7D">
        <w:rPr>
          <w:rFonts w:ascii="標楷體" w:hAnsi="標楷體"/>
          <w:kern w:val="0"/>
          <w:sz w:val="28"/>
          <w:szCs w:val="28"/>
        </w:rPr>
        <w:t>。故表現</w:t>
      </w:r>
      <w:r w:rsidRPr="00142E7D">
        <w:rPr>
          <w:rFonts w:ascii="標楷體" w:hAnsi="標楷體"/>
          <w:kern w:val="0"/>
          <w:sz w:val="28"/>
          <w:szCs w:val="28"/>
        </w:rPr>
        <w:lastRenderedPageBreak/>
        <w:t>在規範廣告物的法制事務，目前的建構，在地方政府的立法層次</w:t>
      </w:r>
      <w:r w:rsidR="00DD4611" w:rsidRPr="00142E7D">
        <w:rPr>
          <w:rFonts w:ascii="標楷體" w:hAnsi="標楷體"/>
          <w:kern w:val="0"/>
          <w:sz w:val="28"/>
          <w:szCs w:val="28"/>
        </w:rPr>
        <w:t>（</w:t>
      </w:r>
      <w:r w:rsidRPr="00142E7D">
        <w:rPr>
          <w:rFonts w:ascii="標楷體" w:hAnsi="標楷體"/>
          <w:kern w:val="0"/>
          <w:sz w:val="28"/>
          <w:szCs w:val="28"/>
        </w:rPr>
        <w:t>例如，臺南市政府廣告物管理條例</w:t>
      </w:r>
      <w:r w:rsidR="00DD4611" w:rsidRPr="00142E7D">
        <w:rPr>
          <w:rFonts w:ascii="標楷體" w:hAnsi="標楷體"/>
          <w:kern w:val="0"/>
          <w:sz w:val="28"/>
          <w:szCs w:val="28"/>
        </w:rPr>
        <w:t>）</w:t>
      </w:r>
      <w:r w:rsidRPr="00142E7D">
        <w:rPr>
          <w:rFonts w:ascii="標楷體" w:hAnsi="標楷體"/>
          <w:kern w:val="0"/>
          <w:sz w:val="28"/>
          <w:szCs w:val="28"/>
        </w:rPr>
        <w:t>，其立法的合憲性基礎，基本上並無疑慮</w:t>
      </w:r>
      <w:r w:rsidRPr="00142E7D">
        <w:rPr>
          <w:rStyle w:val="ab"/>
          <w:rFonts w:ascii="標楷體" w:hAnsi="標楷體"/>
          <w:kern w:val="0"/>
          <w:sz w:val="28"/>
          <w:szCs w:val="28"/>
        </w:rPr>
        <w:footnoteReference w:id="55"/>
      </w:r>
      <w:r w:rsidRPr="00142E7D">
        <w:rPr>
          <w:rFonts w:ascii="標楷體" w:hAnsi="標楷體"/>
          <w:kern w:val="0"/>
          <w:sz w:val="28"/>
          <w:szCs w:val="28"/>
        </w:rPr>
        <w:t>。可惜未有透過本號解釋來予驗證與肯定之機會。</w:t>
      </w:r>
    </w:p>
    <w:p w:rsidR="004753EA" w:rsidRPr="00142E7D" w:rsidRDefault="004753EA" w:rsidP="00CE1404">
      <w:pPr>
        <w:kinsoku w:val="0"/>
        <w:overflowPunct w:val="0"/>
        <w:adjustRightInd w:val="0"/>
        <w:snapToGrid w:val="0"/>
        <w:spacing w:line="391" w:lineRule="exact"/>
        <w:ind w:left="1134" w:firstLine="561"/>
        <w:jc w:val="distribute"/>
        <w:rPr>
          <w:rFonts w:ascii="標楷體" w:hAnsi="標楷體"/>
          <w:kern w:val="0"/>
          <w:sz w:val="28"/>
          <w:szCs w:val="28"/>
        </w:rPr>
      </w:pPr>
      <w:r w:rsidRPr="00142E7D">
        <w:rPr>
          <w:rFonts w:ascii="標楷體" w:hAnsi="標楷體"/>
          <w:kern w:val="0"/>
          <w:sz w:val="28"/>
          <w:szCs w:val="28"/>
        </w:rPr>
        <w:t>中央層次的其他相關法律，仍可規範廣告事宜，已於前述，惟地方自治團體的相關規定與公告是否已遵守法律授權明確性原則，以及不應擴張成為授權地方自治團體以「授權命令」取代上述地方廣告自治條例的地位，是為我國目前廣告法制的重大合憲性瑕疵。</w:t>
      </w:r>
    </w:p>
    <w:p w:rsidR="007C0EFC" w:rsidRPr="00142E7D" w:rsidRDefault="004753EA" w:rsidP="007C0EFC">
      <w:pPr>
        <w:kinsoku w:val="0"/>
        <w:overflowPunct w:val="0"/>
        <w:adjustRightInd w:val="0"/>
        <w:snapToGrid w:val="0"/>
        <w:spacing w:line="391" w:lineRule="exact"/>
        <w:ind w:left="1134" w:firstLine="561"/>
        <w:jc w:val="distribute"/>
        <w:rPr>
          <w:rFonts w:ascii="標楷體" w:hAnsi="標楷體" w:hint="eastAsia"/>
          <w:kern w:val="0"/>
          <w:sz w:val="28"/>
          <w:szCs w:val="28"/>
        </w:rPr>
      </w:pPr>
      <w:r w:rsidRPr="00142E7D">
        <w:rPr>
          <w:rFonts w:ascii="標楷體" w:hAnsi="標楷體"/>
          <w:kern w:val="0"/>
          <w:sz w:val="28"/>
          <w:szCs w:val="28"/>
        </w:rPr>
        <w:t>如能補正此缺憾，現行絕大多數關涉廣告物的管理、個案處分與救濟程序，仍可繼續適用，因此按照多數意見的見解，不只不能釐清目前我國廣告法制所存在的一項重大缺憾，反而有混淆現行法制運作的後遺症，而造成「去簡就繁」，愈解釋反而把整個廣告的規範與法</w:t>
      </w:r>
    </w:p>
    <w:p w:rsidR="004753EA" w:rsidRPr="00142E7D" w:rsidRDefault="004753EA" w:rsidP="00EC64BF">
      <w:pPr>
        <w:kinsoku w:val="0"/>
        <w:overflowPunct w:val="0"/>
        <w:adjustRightInd w:val="0"/>
        <w:snapToGrid w:val="0"/>
        <w:spacing w:line="406" w:lineRule="exact"/>
        <w:ind w:left="1134"/>
        <w:jc w:val="both"/>
        <w:rPr>
          <w:rFonts w:ascii="標楷體" w:hAnsi="標楷體"/>
          <w:kern w:val="0"/>
          <w:sz w:val="28"/>
          <w:szCs w:val="28"/>
        </w:rPr>
      </w:pPr>
      <w:r w:rsidRPr="00142E7D">
        <w:rPr>
          <w:rFonts w:ascii="標楷體" w:hAnsi="標楷體"/>
          <w:kern w:val="0"/>
          <w:sz w:val="28"/>
          <w:szCs w:val="28"/>
        </w:rPr>
        <w:t>理，弄得更模糊與抽象，豈非「作繭自縛」，陷入「應最大程度享受言論自由保障」的魔音之中？</w:t>
      </w:r>
    </w:p>
    <w:p w:rsidR="004753EA" w:rsidRPr="00142E7D" w:rsidRDefault="00DD4611" w:rsidP="00EC64BF">
      <w:pPr>
        <w:kinsoku w:val="0"/>
        <w:overflowPunct w:val="0"/>
        <w:adjustRightInd w:val="0"/>
        <w:snapToGrid w:val="0"/>
        <w:spacing w:line="406" w:lineRule="exact"/>
        <w:ind w:left="284"/>
        <w:jc w:val="both"/>
        <w:rPr>
          <w:rFonts w:ascii="標楷體" w:hAnsi="標楷體"/>
          <w:kern w:val="0"/>
          <w:sz w:val="28"/>
          <w:szCs w:val="28"/>
        </w:rPr>
      </w:pPr>
      <w:r w:rsidRPr="00142E7D">
        <w:rPr>
          <w:rFonts w:ascii="標楷體" w:hAnsi="標楷體"/>
          <w:kern w:val="0"/>
          <w:sz w:val="28"/>
          <w:szCs w:val="28"/>
        </w:rPr>
        <w:t>（</w:t>
      </w:r>
      <w:r w:rsidR="004753EA" w:rsidRPr="00142E7D">
        <w:rPr>
          <w:rFonts w:ascii="標楷體" w:hAnsi="標楷體"/>
          <w:kern w:val="0"/>
          <w:sz w:val="28"/>
          <w:szCs w:val="28"/>
        </w:rPr>
        <w:t>二</w:t>
      </w:r>
      <w:r w:rsidRPr="00142E7D">
        <w:rPr>
          <w:rFonts w:ascii="標楷體" w:hAnsi="標楷體"/>
          <w:kern w:val="0"/>
          <w:sz w:val="28"/>
          <w:szCs w:val="28"/>
        </w:rPr>
        <w:t>）</w:t>
      </w:r>
      <w:r w:rsidR="004753EA" w:rsidRPr="00142E7D">
        <w:rPr>
          <w:rFonts w:ascii="標楷體" w:hAnsi="標楷體"/>
          <w:kern w:val="0"/>
          <w:sz w:val="28"/>
          <w:szCs w:val="28"/>
        </w:rPr>
        <w:t>保障法益的爭議─不應專注在言論自由</w:t>
      </w:r>
    </w:p>
    <w:p w:rsidR="004753EA" w:rsidRPr="00142E7D" w:rsidRDefault="004753EA" w:rsidP="00EC64BF">
      <w:pPr>
        <w:kinsoku w:val="0"/>
        <w:overflowPunct w:val="0"/>
        <w:adjustRightInd w:val="0"/>
        <w:snapToGrid w:val="0"/>
        <w:spacing w:line="406" w:lineRule="exact"/>
        <w:ind w:left="1134" w:firstLine="561"/>
        <w:jc w:val="both"/>
        <w:rPr>
          <w:rFonts w:ascii="標楷體" w:hAnsi="標楷體"/>
          <w:kern w:val="0"/>
          <w:sz w:val="28"/>
          <w:szCs w:val="28"/>
        </w:rPr>
      </w:pPr>
      <w:r w:rsidRPr="00142E7D">
        <w:rPr>
          <w:rFonts w:ascii="標楷體" w:hAnsi="標楷體"/>
          <w:kern w:val="0"/>
          <w:sz w:val="28"/>
          <w:szCs w:val="28"/>
        </w:rPr>
        <w:t>本號解釋多數意見似乎也對本號解釋標的</w:t>
      </w:r>
      <w:r w:rsidR="00DD4611" w:rsidRPr="00142E7D">
        <w:rPr>
          <w:rFonts w:ascii="標楷體" w:hAnsi="標楷體"/>
          <w:kern w:val="0"/>
          <w:sz w:val="28"/>
          <w:szCs w:val="28"/>
        </w:rPr>
        <w:t>（</w:t>
      </w:r>
      <w:r w:rsidRPr="00142E7D">
        <w:rPr>
          <w:rFonts w:ascii="標楷體" w:hAnsi="標楷體"/>
          <w:kern w:val="0"/>
          <w:sz w:val="28"/>
          <w:szCs w:val="28"/>
        </w:rPr>
        <w:t>設置廣告物</w:t>
      </w:r>
      <w:r w:rsidR="00DD4611" w:rsidRPr="00142E7D">
        <w:rPr>
          <w:rFonts w:ascii="標楷體" w:hAnsi="標楷體"/>
          <w:kern w:val="0"/>
          <w:sz w:val="28"/>
          <w:szCs w:val="28"/>
        </w:rPr>
        <w:t>）</w:t>
      </w:r>
      <w:r w:rsidRPr="00142E7D">
        <w:rPr>
          <w:rFonts w:ascii="標楷體" w:hAnsi="標楷體"/>
          <w:kern w:val="0"/>
          <w:sz w:val="28"/>
          <w:szCs w:val="28"/>
        </w:rPr>
        <w:t>所牽涉的法益──即人權種類之認定，視為言論自由，亦不無私偏之嫌。可分三點來分析：</w:t>
      </w:r>
    </w:p>
    <w:p w:rsidR="004753EA" w:rsidRPr="00142E7D" w:rsidRDefault="004753EA" w:rsidP="00EC64BF">
      <w:pPr>
        <w:kinsoku w:val="0"/>
        <w:overflowPunct w:val="0"/>
        <w:adjustRightInd w:val="0"/>
        <w:snapToGrid w:val="0"/>
        <w:spacing w:line="406" w:lineRule="exact"/>
        <w:ind w:left="1134" w:firstLine="561"/>
        <w:jc w:val="both"/>
        <w:rPr>
          <w:rFonts w:ascii="標楷體" w:hAnsi="標楷體"/>
          <w:kern w:val="0"/>
          <w:sz w:val="28"/>
          <w:szCs w:val="28"/>
        </w:rPr>
      </w:pPr>
      <w:r w:rsidRPr="00142E7D">
        <w:rPr>
          <w:rFonts w:ascii="標楷體" w:hAnsi="標楷體"/>
          <w:kern w:val="0"/>
          <w:sz w:val="28"/>
          <w:szCs w:val="28"/>
        </w:rPr>
        <w:t>第一，必須界定廣告的人權屬性──不能專注言論自由，而應屬於意見表達的方式，且張貼設置廣告，屬於憲法第二十二條保障的一般行為自由。</w:t>
      </w:r>
    </w:p>
    <w:p w:rsidR="004753EA" w:rsidRPr="00142E7D" w:rsidRDefault="004753EA" w:rsidP="00EC64BF">
      <w:pPr>
        <w:kinsoku w:val="0"/>
        <w:overflowPunct w:val="0"/>
        <w:adjustRightInd w:val="0"/>
        <w:snapToGrid w:val="0"/>
        <w:spacing w:line="406" w:lineRule="exact"/>
        <w:ind w:left="1134" w:firstLine="561"/>
        <w:jc w:val="both"/>
        <w:rPr>
          <w:rFonts w:ascii="標楷體" w:hAnsi="標楷體"/>
          <w:kern w:val="0"/>
          <w:sz w:val="28"/>
          <w:szCs w:val="28"/>
        </w:rPr>
      </w:pPr>
      <w:r w:rsidRPr="00142E7D">
        <w:rPr>
          <w:rFonts w:ascii="標楷體" w:hAnsi="標楷體"/>
          <w:kern w:val="0"/>
          <w:sz w:val="28"/>
          <w:szCs w:val="28"/>
        </w:rPr>
        <w:t>本號解釋對於廣告的規範所侵犯的法益，顯然置於言論自由的保障之上，此在理由書第三段已經引述本院釋字第五</w:t>
      </w:r>
      <w:r w:rsidR="00DD4611" w:rsidRPr="00142E7D">
        <w:rPr>
          <w:rFonts w:ascii="標楷體" w:hAnsi="標楷體"/>
          <w:kern w:val="0"/>
          <w:sz w:val="28"/>
          <w:szCs w:val="28"/>
        </w:rPr>
        <w:t>○</w:t>
      </w:r>
      <w:r w:rsidRPr="00142E7D">
        <w:rPr>
          <w:rFonts w:ascii="標楷體" w:hAnsi="標楷體"/>
          <w:kern w:val="0"/>
          <w:sz w:val="28"/>
          <w:szCs w:val="28"/>
        </w:rPr>
        <w:t>九號、第六四四號及第六七八號解釋的意旨，將此法益提升無與倫比的重要性。顯然，本號解釋的重心乃在保障言論自由，也種下了本號解釋會意圖聯結</w:t>
      </w:r>
      <w:r w:rsidRPr="00142E7D">
        <w:rPr>
          <w:rFonts w:ascii="標楷體" w:hAnsi="標楷體"/>
          <w:kern w:val="0"/>
          <w:sz w:val="28"/>
          <w:szCs w:val="28"/>
        </w:rPr>
        <w:lastRenderedPageBreak/>
        <w:t>到解決公共論壇的許可性問題。</w:t>
      </w:r>
    </w:p>
    <w:p w:rsidR="004753EA" w:rsidRPr="00142E7D" w:rsidRDefault="004753EA" w:rsidP="00EC64BF">
      <w:pPr>
        <w:kinsoku w:val="0"/>
        <w:overflowPunct w:val="0"/>
        <w:adjustRightInd w:val="0"/>
        <w:snapToGrid w:val="0"/>
        <w:spacing w:line="406" w:lineRule="exact"/>
        <w:ind w:left="1134" w:firstLine="561"/>
        <w:jc w:val="both"/>
        <w:rPr>
          <w:rFonts w:ascii="標楷體" w:hAnsi="標楷體"/>
          <w:kern w:val="0"/>
          <w:sz w:val="28"/>
          <w:szCs w:val="28"/>
        </w:rPr>
      </w:pPr>
      <w:r w:rsidRPr="00142E7D">
        <w:rPr>
          <w:rFonts w:ascii="標楷體" w:hAnsi="標楷體"/>
          <w:kern w:val="0"/>
          <w:sz w:val="28"/>
          <w:szCs w:val="28"/>
        </w:rPr>
        <w:t>對於廣告與言論自由的關係，多數意見雖然在理由書第三段提及：「廣告兼具意見表達之性質，屬於憲法第十一條所保障之言論範疇」，有意將廣告不完全涵括於言論自由的範圍之內。但將廣告視為言論自由的範圍之一，亦即廣告範圍較小，言論自由較大也。</w:t>
      </w:r>
    </w:p>
    <w:p w:rsidR="004753EA" w:rsidRPr="00142E7D" w:rsidRDefault="004753EA" w:rsidP="00EC64BF">
      <w:pPr>
        <w:kinsoku w:val="0"/>
        <w:overflowPunct w:val="0"/>
        <w:adjustRightInd w:val="0"/>
        <w:snapToGrid w:val="0"/>
        <w:spacing w:line="406" w:lineRule="exact"/>
        <w:ind w:left="1134" w:firstLine="561"/>
        <w:jc w:val="both"/>
        <w:rPr>
          <w:rFonts w:ascii="標楷體" w:hAnsi="標楷體" w:hint="eastAsia"/>
          <w:kern w:val="0"/>
          <w:sz w:val="28"/>
          <w:szCs w:val="28"/>
        </w:rPr>
      </w:pPr>
      <w:r w:rsidRPr="00142E7D">
        <w:rPr>
          <w:rFonts w:ascii="標楷體" w:hAnsi="標楷體"/>
          <w:kern w:val="0"/>
          <w:sz w:val="28"/>
          <w:szCs w:val="28"/>
        </w:rPr>
        <w:t>實則，剛好相反，這種「獨尊言論自由」，正是漠視了廣告所牽涉更多種類的人權</w:t>
      </w:r>
      <w:r w:rsidR="00DD4611" w:rsidRPr="00142E7D">
        <w:rPr>
          <w:rFonts w:ascii="標楷體" w:hAnsi="標楷體"/>
          <w:kern w:val="0"/>
          <w:sz w:val="28"/>
          <w:szCs w:val="28"/>
        </w:rPr>
        <w:t>（</w:t>
      </w:r>
      <w:r w:rsidRPr="00142E7D">
        <w:rPr>
          <w:rFonts w:ascii="標楷體" w:hAnsi="標楷體"/>
          <w:kern w:val="0"/>
          <w:sz w:val="28"/>
          <w:szCs w:val="28"/>
        </w:rPr>
        <w:t>如，財產權、宗教自由、創作自由、學術自由</w:t>
      </w:r>
      <w:r w:rsidR="00DD4611" w:rsidRPr="00142E7D">
        <w:rPr>
          <w:rFonts w:ascii="標楷體" w:hAnsi="標楷體"/>
          <w:kern w:val="0"/>
          <w:sz w:val="28"/>
          <w:szCs w:val="28"/>
        </w:rPr>
        <w:t>）</w:t>
      </w:r>
      <w:r w:rsidRPr="00142E7D">
        <w:rPr>
          <w:rFonts w:ascii="標楷體" w:hAnsi="標楷體"/>
          <w:kern w:val="0"/>
          <w:sz w:val="28"/>
          <w:szCs w:val="28"/>
        </w:rPr>
        <w:t>。廣告其實應當作為人民「表意」的平台：不僅涉及了追求商業利益的財產權行使、宗教與信仰自由</w:t>
      </w:r>
      <w:r w:rsidR="00DD4611" w:rsidRPr="00142E7D">
        <w:rPr>
          <w:rFonts w:ascii="標楷體" w:hAnsi="標楷體"/>
          <w:kern w:val="0"/>
          <w:sz w:val="28"/>
          <w:szCs w:val="28"/>
        </w:rPr>
        <w:t>（</w:t>
      </w:r>
      <w:r w:rsidRPr="00142E7D">
        <w:rPr>
          <w:rFonts w:ascii="標楷體" w:hAnsi="標楷體"/>
          <w:kern w:val="0"/>
          <w:sz w:val="28"/>
          <w:szCs w:val="28"/>
        </w:rPr>
        <w:t>如本號解釋原因案件</w:t>
      </w:r>
      <w:r w:rsidR="00DD4611" w:rsidRPr="00142E7D">
        <w:rPr>
          <w:rFonts w:ascii="標楷體" w:hAnsi="標楷體"/>
          <w:kern w:val="0"/>
          <w:sz w:val="28"/>
          <w:szCs w:val="28"/>
        </w:rPr>
        <w:t>）</w:t>
      </w:r>
      <w:r w:rsidRPr="00142E7D">
        <w:rPr>
          <w:rFonts w:ascii="標楷體" w:hAnsi="標楷體"/>
          <w:kern w:val="0"/>
          <w:sz w:val="28"/>
          <w:szCs w:val="28"/>
        </w:rPr>
        <w:t>、藝術創作自由、政黨與參政權</w:t>
      </w:r>
      <w:r w:rsidR="00DD4611" w:rsidRPr="00142E7D">
        <w:rPr>
          <w:rFonts w:ascii="標楷體" w:hAnsi="標楷體"/>
          <w:kern w:val="0"/>
          <w:sz w:val="28"/>
          <w:szCs w:val="28"/>
        </w:rPr>
        <w:t>（</w:t>
      </w:r>
      <w:r w:rsidRPr="00142E7D">
        <w:rPr>
          <w:rFonts w:ascii="標楷體" w:hAnsi="標楷體"/>
          <w:kern w:val="0"/>
          <w:sz w:val="28"/>
          <w:szCs w:val="28"/>
        </w:rPr>
        <w:t>政治與競選言論</w:t>
      </w:r>
      <w:r w:rsidR="00DD4611" w:rsidRPr="00142E7D">
        <w:rPr>
          <w:rFonts w:ascii="標楷體" w:hAnsi="標楷體"/>
          <w:kern w:val="0"/>
          <w:sz w:val="28"/>
          <w:szCs w:val="28"/>
        </w:rPr>
        <w:t>）</w:t>
      </w:r>
      <w:r w:rsidRPr="00142E7D">
        <w:rPr>
          <w:rFonts w:ascii="標楷體" w:hAnsi="標楷體"/>
          <w:kern w:val="0"/>
          <w:sz w:val="28"/>
          <w:szCs w:val="28"/>
        </w:rPr>
        <w:t>、學術與思想自由，和一般最普通的言論自由。這些都可屬於人民的「表意自由」，端視其呈現的方式，可以由不同的法律，形塑其保護的機制，與其他應配合適用的原則，也因此可以有不同的檢驗標準。</w:t>
      </w:r>
    </w:p>
    <w:p w:rsidR="00E87119" w:rsidRPr="00142E7D" w:rsidRDefault="00E87119" w:rsidP="00EC64BF">
      <w:pPr>
        <w:kinsoku w:val="0"/>
        <w:overflowPunct w:val="0"/>
        <w:adjustRightInd w:val="0"/>
        <w:snapToGrid w:val="0"/>
        <w:spacing w:line="406" w:lineRule="exact"/>
        <w:ind w:left="1134" w:firstLine="561"/>
        <w:jc w:val="both"/>
        <w:rPr>
          <w:rFonts w:ascii="標楷體" w:hAnsi="標楷體"/>
          <w:kern w:val="0"/>
          <w:sz w:val="28"/>
          <w:szCs w:val="28"/>
        </w:rPr>
      </w:pPr>
      <w:r w:rsidRPr="00142E7D">
        <w:rPr>
          <w:rFonts w:ascii="標楷體" w:hAnsi="標楷體" w:hint="eastAsia"/>
          <w:kern w:val="0"/>
          <w:sz w:val="28"/>
          <w:szCs w:val="28"/>
        </w:rPr>
        <w:t>例如，利用集會遊行的方式顯現之，則以集會遊行法來規範；如以出版方式宣達，或在報章媒體刊載，更可由新聞法規來規範之；如形諸於競選之時，更可由選舉罷免法規來予以規定</w:t>
      </w:r>
      <w:r w:rsidRPr="00142E7D">
        <w:rPr>
          <w:rStyle w:val="ab"/>
          <w:rFonts w:ascii="標楷體" w:hAnsi="標楷體"/>
          <w:kern w:val="0"/>
          <w:sz w:val="28"/>
          <w:szCs w:val="28"/>
        </w:rPr>
        <w:footnoteReference w:id="56"/>
      </w:r>
      <w:r w:rsidRPr="00142E7D">
        <w:rPr>
          <w:rFonts w:ascii="標楷體" w:hAnsi="標楷體" w:hint="eastAsia"/>
          <w:kern w:val="0"/>
          <w:sz w:val="28"/>
          <w:szCs w:val="28"/>
        </w:rPr>
        <w:t>。</w:t>
      </w:r>
    </w:p>
    <w:p w:rsidR="00EC64BF" w:rsidRPr="00142E7D" w:rsidRDefault="004753EA" w:rsidP="00EC64BF">
      <w:pPr>
        <w:kinsoku w:val="0"/>
        <w:overflowPunct w:val="0"/>
        <w:adjustRightInd w:val="0"/>
        <w:snapToGrid w:val="0"/>
        <w:spacing w:line="406" w:lineRule="exact"/>
        <w:ind w:left="1134" w:firstLine="561"/>
        <w:jc w:val="distribute"/>
        <w:rPr>
          <w:rFonts w:ascii="標楷體" w:hAnsi="標楷體" w:hint="eastAsia"/>
          <w:kern w:val="0"/>
          <w:sz w:val="28"/>
          <w:szCs w:val="28"/>
        </w:rPr>
      </w:pPr>
      <w:r w:rsidRPr="00142E7D">
        <w:rPr>
          <w:rFonts w:ascii="標楷體" w:hAnsi="標楷體"/>
          <w:kern w:val="0"/>
          <w:sz w:val="28"/>
          <w:szCs w:val="28"/>
        </w:rPr>
        <w:t>至於，一般的廣告，且絕大部分是商業性質的廣告，雖然人民經</w:t>
      </w:r>
    </w:p>
    <w:p w:rsidR="004753EA" w:rsidRPr="00142E7D" w:rsidRDefault="004753EA" w:rsidP="002A549F">
      <w:pPr>
        <w:kinsoku w:val="0"/>
        <w:overflowPunct w:val="0"/>
        <w:adjustRightInd w:val="0"/>
        <w:snapToGrid w:val="0"/>
        <w:spacing w:line="408" w:lineRule="exact"/>
        <w:ind w:left="1134"/>
        <w:jc w:val="both"/>
        <w:rPr>
          <w:rFonts w:ascii="標楷體" w:hAnsi="標楷體"/>
          <w:kern w:val="0"/>
          <w:sz w:val="28"/>
          <w:szCs w:val="28"/>
        </w:rPr>
      </w:pPr>
      <w:r w:rsidRPr="00142E7D">
        <w:rPr>
          <w:rFonts w:ascii="標楷體" w:hAnsi="標楷體"/>
          <w:kern w:val="0"/>
          <w:sz w:val="28"/>
          <w:szCs w:val="28"/>
        </w:rPr>
        <w:t>常可透過張貼廣告的方式，抒發個人的政治、宗教及其他人生觀，同時，利用此種方式亦可能刊登在媒體上，使廣告與新聞自由聯結在一起，能在憲政實務上產生重大的影響</w:t>
      </w:r>
      <w:r w:rsidRPr="00142E7D">
        <w:rPr>
          <w:rStyle w:val="ab"/>
          <w:rFonts w:ascii="標楷體" w:hAnsi="標楷體"/>
          <w:kern w:val="0"/>
          <w:sz w:val="28"/>
          <w:szCs w:val="28"/>
        </w:rPr>
        <w:footnoteReference w:id="57"/>
      </w:r>
      <w:r w:rsidRPr="00142E7D">
        <w:rPr>
          <w:rFonts w:ascii="標楷體" w:hAnsi="標楷體"/>
          <w:kern w:val="0"/>
          <w:sz w:val="28"/>
          <w:szCs w:val="28"/>
        </w:rPr>
        <w:t>。但還以商業廣告為主。</w:t>
      </w:r>
    </w:p>
    <w:p w:rsidR="004753EA" w:rsidRPr="00142E7D" w:rsidRDefault="004753EA" w:rsidP="002A549F">
      <w:pPr>
        <w:kinsoku w:val="0"/>
        <w:overflowPunct w:val="0"/>
        <w:adjustRightInd w:val="0"/>
        <w:snapToGrid w:val="0"/>
        <w:spacing w:line="408" w:lineRule="exact"/>
        <w:ind w:left="1134" w:firstLine="561"/>
        <w:jc w:val="both"/>
        <w:rPr>
          <w:rFonts w:ascii="標楷體" w:hAnsi="標楷體"/>
          <w:kern w:val="0"/>
          <w:sz w:val="28"/>
          <w:szCs w:val="28"/>
        </w:rPr>
      </w:pPr>
      <w:r w:rsidRPr="00142E7D">
        <w:rPr>
          <w:rFonts w:ascii="標楷體" w:hAnsi="標楷體"/>
          <w:kern w:val="0"/>
          <w:sz w:val="28"/>
          <w:szCs w:val="28"/>
        </w:rPr>
        <w:t>釋字第四一四號解釋已經首次的闡釋了廣告在基本人權中的定位：「……藥物廣告係利用傳播方法，宣傳醫療效能，以達招徠銷售為目的，乃為獲得財產而從事之經濟活動，並具商業上意見表達之性質，應受憲法第十五條及第十一條之保障。……」又同時提到藥事法對廣告的核准與憲法第十一條保障人民言論自由及第十五條保障人民生存權、工作權及財產權之意旨尚屬相符。</w:t>
      </w:r>
    </w:p>
    <w:p w:rsidR="004753EA" w:rsidRPr="00142E7D" w:rsidRDefault="004753EA" w:rsidP="002A549F">
      <w:pPr>
        <w:kinsoku w:val="0"/>
        <w:overflowPunct w:val="0"/>
        <w:adjustRightInd w:val="0"/>
        <w:snapToGrid w:val="0"/>
        <w:spacing w:line="408" w:lineRule="exact"/>
        <w:ind w:left="1134" w:firstLine="561"/>
        <w:jc w:val="both"/>
        <w:rPr>
          <w:rFonts w:ascii="標楷體" w:hAnsi="標楷體"/>
          <w:kern w:val="0"/>
          <w:sz w:val="28"/>
          <w:szCs w:val="28"/>
        </w:rPr>
      </w:pPr>
      <w:r w:rsidRPr="00142E7D">
        <w:rPr>
          <w:rFonts w:ascii="標楷體" w:hAnsi="標楷體"/>
          <w:kern w:val="0"/>
          <w:sz w:val="28"/>
          <w:szCs w:val="28"/>
        </w:rPr>
        <w:lastRenderedPageBreak/>
        <w:t>此號解釋理由書的立論，顯然採納了美國的言論保障，區分為保障程度較低的商業言論</w:t>
      </w:r>
      <w:r w:rsidR="00DD4611" w:rsidRPr="00142E7D">
        <w:rPr>
          <w:rFonts w:ascii="標楷體" w:hAnsi="標楷體"/>
          <w:kern w:val="0"/>
          <w:sz w:val="28"/>
          <w:szCs w:val="28"/>
        </w:rPr>
        <w:t>（</w:t>
      </w:r>
      <w:r w:rsidRPr="00142E7D">
        <w:rPr>
          <w:rFonts w:ascii="標楷體" w:hAnsi="標楷體"/>
          <w:kern w:val="0"/>
          <w:sz w:val="28"/>
          <w:szCs w:val="28"/>
        </w:rPr>
        <w:t>低價值言論</w:t>
      </w:r>
      <w:r w:rsidR="00DD4611" w:rsidRPr="00142E7D">
        <w:rPr>
          <w:rFonts w:ascii="標楷體" w:hAnsi="標楷體"/>
          <w:kern w:val="0"/>
          <w:sz w:val="28"/>
          <w:szCs w:val="28"/>
        </w:rPr>
        <w:t>）</w:t>
      </w:r>
      <w:r w:rsidRPr="00142E7D">
        <w:rPr>
          <w:rFonts w:ascii="標楷體" w:hAnsi="標楷體"/>
          <w:kern w:val="0"/>
          <w:sz w:val="28"/>
          <w:szCs w:val="28"/>
        </w:rPr>
        <w:t>，以及保障程度較高的非商業言論</w:t>
      </w:r>
      <w:r w:rsidR="00DD4611" w:rsidRPr="00142E7D">
        <w:rPr>
          <w:rFonts w:ascii="標楷體" w:hAnsi="標楷體"/>
          <w:kern w:val="0"/>
          <w:sz w:val="28"/>
          <w:szCs w:val="28"/>
        </w:rPr>
        <w:t>（</w:t>
      </w:r>
      <w:r w:rsidRPr="00142E7D">
        <w:rPr>
          <w:rFonts w:ascii="標楷體" w:hAnsi="標楷體"/>
          <w:kern w:val="0"/>
          <w:sz w:val="28"/>
          <w:szCs w:val="28"/>
        </w:rPr>
        <w:t>高價值言論</w:t>
      </w:r>
      <w:r w:rsidR="00DD4611" w:rsidRPr="00142E7D">
        <w:rPr>
          <w:rFonts w:ascii="標楷體" w:hAnsi="標楷體"/>
          <w:kern w:val="0"/>
          <w:sz w:val="28"/>
          <w:szCs w:val="28"/>
        </w:rPr>
        <w:t>）</w:t>
      </w:r>
      <w:r w:rsidRPr="00142E7D">
        <w:rPr>
          <w:rStyle w:val="ab"/>
          <w:rFonts w:ascii="標楷體" w:hAnsi="標楷體"/>
          <w:kern w:val="0"/>
          <w:sz w:val="28"/>
          <w:szCs w:val="28"/>
        </w:rPr>
        <w:footnoteReference w:id="58"/>
      </w:r>
      <w:r w:rsidRPr="00142E7D">
        <w:rPr>
          <w:rFonts w:ascii="標楷體" w:hAnsi="標楷體"/>
          <w:kern w:val="0"/>
          <w:sz w:val="28"/>
          <w:szCs w:val="28"/>
        </w:rPr>
        <w:t>。在本號解釋，將低價值的商業性言論</w:t>
      </w:r>
      <w:r w:rsidR="00DD4611" w:rsidRPr="00142E7D">
        <w:rPr>
          <w:rFonts w:ascii="標楷體" w:hAnsi="標楷體"/>
          <w:kern w:val="0"/>
          <w:sz w:val="28"/>
          <w:szCs w:val="28"/>
        </w:rPr>
        <w:t>（</w:t>
      </w:r>
      <w:r w:rsidRPr="00142E7D">
        <w:rPr>
          <w:rFonts w:ascii="標楷體" w:hAnsi="標楷體"/>
          <w:kern w:val="0"/>
          <w:sz w:val="28"/>
          <w:szCs w:val="28"/>
        </w:rPr>
        <w:t>此處是指藥品廣告而言</w:t>
      </w:r>
      <w:r w:rsidR="00DD4611" w:rsidRPr="00142E7D">
        <w:rPr>
          <w:rFonts w:ascii="標楷體" w:hAnsi="標楷體"/>
          <w:kern w:val="0"/>
          <w:sz w:val="28"/>
          <w:szCs w:val="28"/>
        </w:rPr>
        <w:t>）</w:t>
      </w:r>
      <w:r w:rsidRPr="00142E7D">
        <w:rPr>
          <w:rFonts w:ascii="標楷體" w:hAnsi="標楷體"/>
          <w:kern w:val="0"/>
          <w:sz w:val="28"/>
          <w:szCs w:val="28"/>
        </w:rPr>
        <w:t>，雖然也受憲法言論自由的保障，但主要是屬於人民財產權的自由實施</w:t>
      </w:r>
      <w:r w:rsidR="00DD4611" w:rsidRPr="00142E7D">
        <w:rPr>
          <w:rFonts w:ascii="標楷體" w:hAnsi="標楷體"/>
          <w:kern w:val="0"/>
          <w:sz w:val="28"/>
          <w:szCs w:val="28"/>
        </w:rPr>
        <w:t>（</w:t>
      </w:r>
      <w:r w:rsidRPr="00142E7D">
        <w:rPr>
          <w:rFonts w:ascii="標楷體" w:hAnsi="標楷體"/>
          <w:kern w:val="0"/>
          <w:sz w:val="28"/>
          <w:szCs w:val="28"/>
        </w:rPr>
        <w:t>獲得財產而從事之經濟活動</w:t>
      </w:r>
      <w:r w:rsidR="00DD4611" w:rsidRPr="00142E7D">
        <w:rPr>
          <w:rFonts w:ascii="標楷體" w:hAnsi="標楷體"/>
          <w:kern w:val="0"/>
          <w:sz w:val="28"/>
          <w:szCs w:val="28"/>
        </w:rPr>
        <w:t>）</w:t>
      </w:r>
      <w:r w:rsidRPr="00142E7D">
        <w:rPr>
          <w:rFonts w:ascii="標楷體" w:hAnsi="標楷體"/>
          <w:kern w:val="0"/>
          <w:sz w:val="28"/>
          <w:szCs w:val="28"/>
        </w:rPr>
        <w:t>。</w:t>
      </w:r>
    </w:p>
    <w:p w:rsidR="004753EA" w:rsidRPr="00142E7D" w:rsidRDefault="004753EA" w:rsidP="002A549F">
      <w:pPr>
        <w:kinsoku w:val="0"/>
        <w:overflowPunct w:val="0"/>
        <w:adjustRightInd w:val="0"/>
        <w:snapToGrid w:val="0"/>
        <w:spacing w:line="408" w:lineRule="exact"/>
        <w:ind w:left="1134" w:firstLine="561"/>
        <w:jc w:val="both"/>
        <w:rPr>
          <w:rFonts w:ascii="標楷體" w:hAnsi="標楷體"/>
          <w:kern w:val="0"/>
          <w:sz w:val="28"/>
          <w:szCs w:val="28"/>
        </w:rPr>
      </w:pPr>
      <w:r w:rsidRPr="00142E7D">
        <w:rPr>
          <w:rFonts w:ascii="標楷體" w:hAnsi="標楷體"/>
          <w:kern w:val="0"/>
          <w:sz w:val="28"/>
          <w:szCs w:val="28"/>
        </w:rPr>
        <w:t>此號解釋強調，一般的商業性廣告的保護理由，也由言論自由移往財產權的保障。在此作出了言論自由的法益高過財產權的利益。實質而言，這也可以由憲法的財產理念獲得驗證。</w:t>
      </w:r>
    </w:p>
    <w:p w:rsidR="004753EA" w:rsidRPr="00142E7D" w:rsidRDefault="004753EA" w:rsidP="002A549F">
      <w:pPr>
        <w:kinsoku w:val="0"/>
        <w:overflowPunct w:val="0"/>
        <w:adjustRightInd w:val="0"/>
        <w:snapToGrid w:val="0"/>
        <w:spacing w:line="408" w:lineRule="exact"/>
        <w:ind w:left="1134" w:firstLine="561"/>
        <w:jc w:val="both"/>
        <w:rPr>
          <w:rFonts w:ascii="標楷體" w:hAnsi="標楷體"/>
          <w:kern w:val="0"/>
          <w:sz w:val="28"/>
          <w:szCs w:val="28"/>
        </w:rPr>
      </w:pPr>
      <w:r w:rsidRPr="00142E7D">
        <w:rPr>
          <w:rFonts w:ascii="標楷體" w:hAnsi="標楷體"/>
          <w:kern w:val="0"/>
          <w:sz w:val="28"/>
          <w:szCs w:val="28"/>
        </w:rPr>
        <w:t>所有人民財產權的行使與保有，受到公共利益甚大的制約，亦即「財產權的社會義務性」，使得財產權的運作「必須同時有利於公共利益」，已經是現代法治國家憲法的共識</w:t>
      </w:r>
      <w:r w:rsidRPr="00142E7D">
        <w:rPr>
          <w:rStyle w:val="ab"/>
          <w:rFonts w:ascii="標楷體" w:hAnsi="標楷體"/>
          <w:kern w:val="0"/>
          <w:sz w:val="28"/>
          <w:szCs w:val="28"/>
        </w:rPr>
        <w:footnoteReference w:id="59"/>
      </w:r>
      <w:r w:rsidRPr="00142E7D">
        <w:rPr>
          <w:rFonts w:ascii="標楷體" w:hAnsi="標楷體"/>
          <w:kern w:val="0"/>
          <w:sz w:val="28"/>
          <w:szCs w:val="28"/>
        </w:rPr>
        <w:t>。故即便是普通商業廣告也應符合公共利益，更何況涉及公共健康與衛生的藥品、食品或其他醫療或涉及公共服務與執業</w:t>
      </w:r>
      <w:r w:rsidR="00DD4611" w:rsidRPr="00142E7D">
        <w:rPr>
          <w:rFonts w:ascii="標楷體" w:hAnsi="標楷體"/>
          <w:kern w:val="0"/>
          <w:sz w:val="28"/>
          <w:szCs w:val="28"/>
        </w:rPr>
        <w:t>（</w:t>
      </w:r>
      <w:r w:rsidRPr="00142E7D">
        <w:rPr>
          <w:rFonts w:ascii="標楷體" w:hAnsi="標楷體"/>
          <w:kern w:val="0"/>
          <w:sz w:val="28"/>
          <w:szCs w:val="28"/>
        </w:rPr>
        <w:t>例如，律師不得以廣告招攬業務</w:t>
      </w:r>
      <w:r w:rsidR="00DD4611" w:rsidRPr="00142E7D">
        <w:rPr>
          <w:rFonts w:ascii="標楷體" w:hAnsi="標楷體"/>
          <w:kern w:val="0"/>
          <w:sz w:val="28"/>
          <w:szCs w:val="28"/>
        </w:rPr>
        <w:t>）</w:t>
      </w:r>
      <w:r w:rsidRPr="00142E7D">
        <w:rPr>
          <w:rFonts w:ascii="標楷體" w:hAnsi="標楷體"/>
          <w:kern w:val="0"/>
          <w:sz w:val="28"/>
          <w:szCs w:val="28"/>
        </w:rPr>
        <w:t>，所為維護更優勢公益、且更高度的限制！</w:t>
      </w:r>
    </w:p>
    <w:p w:rsidR="002A549F" w:rsidRPr="00142E7D" w:rsidRDefault="004753EA" w:rsidP="002A549F">
      <w:pPr>
        <w:kinsoku w:val="0"/>
        <w:overflowPunct w:val="0"/>
        <w:adjustRightInd w:val="0"/>
        <w:snapToGrid w:val="0"/>
        <w:spacing w:line="408" w:lineRule="exact"/>
        <w:ind w:left="1134" w:firstLine="561"/>
        <w:jc w:val="distribute"/>
        <w:rPr>
          <w:rFonts w:ascii="標楷體" w:hAnsi="標楷體" w:hint="eastAsia"/>
          <w:kern w:val="0"/>
          <w:sz w:val="28"/>
          <w:szCs w:val="28"/>
        </w:rPr>
      </w:pPr>
      <w:r w:rsidRPr="00142E7D">
        <w:rPr>
          <w:rFonts w:ascii="標楷體" w:hAnsi="標楷體"/>
          <w:kern w:val="0"/>
          <w:sz w:val="28"/>
          <w:szCs w:val="28"/>
        </w:rPr>
        <w:t>而本號解釋卻一反釋字第四一四號解釋，對於可能涉及商業與財產利益的廣告，卻一頭栽進「屬於言論自由」的領域，未免為「跳躍</w:t>
      </w:r>
    </w:p>
    <w:p w:rsidR="004753EA" w:rsidRPr="00142E7D" w:rsidRDefault="004753EA" w:rsidP="00845FCD">
      <w:pPr>
        <w:kinsoku w:val="0"/>
        <w:overflowPunct w:val="0"/>
        <w:adjustRightInd w:val="0"/>
        <w:snapToGrid w:val="0"/>
        <w:spacing w:line="404" w:lineRule="exact"/>
        <w:ind w:left="1134"/>
        <w:jc w:val="both"/>
        <w:rPr>
          <w:rFonts w:ascii="標楷體" w:hAnsi="標楷體"/>
          <w:kern w:val="0"/>
          <w:sz w:val="28"/>
          <w:szCs w:val="28"/>
        </w:rPr>
      </w:pPr>
      <w:r w:rsidRPr="00142E7D">
        <w:rPr>
          <w:rFonts w:ascii="標楷體" w:hAnsi="標楷體"/>
          <w:kern w:val="0"/>
          <w:sz w:val="28"/>
          <w:szCs w:val="28"/>
        </w:rPr>
        <w:t>式的思路」？</w:t>
      </w:r>
    </w:p>
    <w:p w:rsidR="004753EA" w:rsidRPr="00142E7D" w:rsidRDefault="004753EA" w:rsidP="00845FCD">
      <w:pPr>
        <w:kinsoku w:val="0"/>
        <w:overflowPunct w:val="0"/>
        <w:adjustRightInd w:val="0"/>
        <w:snapToGrid w:val="0"/>
        <w:spacing w:line="404" w:lineRule="exact"/>
        <w:ind w:left="1134" w:firstLine="561"/>
        <w:jc w:val="both"/>
        <w:rPr>
          <w:rFonts w:ascii="標楷體" w:hAnsi="標楷體"/>
          <w:kern w:val="0"/>
          <w:sz w:val="28"/>
          <w:szCs w:val="28"/>
        </w:rPr>
      </w:pPr>
      <w:r w:rsidRPr="00142E7D">
        <w:rPr>
          <w:rFonts w:ascii="標楷體" w:hAnsi="標楷體"/>
          <w:kern w:val="0"/>
          <w:sz w:val="28"/>
          <w:szCs w:val="28"/>
        </w:rPr>
        <w:t>所以，本號解釋理由書第三段的敘述：「廣告兼具意見表達之性質，屬於憲法第十一條所保障之言論範疇」剛好正反相反，應當改為「廣告兼具言論表達之性質，屬於憲法第十一條所保障之範疇，但屬於意見表達的方式之一」。人民張貼與設置廣告物的行為，即可不論其「廣告的內容」如何，而應視其外在的行為模式「張貼、設置、塗噴」，應當屬於憲法第二十二條保障的「一般行為自由」，這也可以由系爭規定的用語「在指定清除地區內嚴禁有下列行為」，明顯的是以「行為」作為嚴禁的對象，豈非對人民一般行為</w:t>
      </w:r>
      <w:r w:rsidR="00DD4611" w:rsidRPr="00142E7D">
        <w:rPr>
          <w:rFonts w:ascii="標楷體" w:hAnsi="標楷體"/>
          <w:kern w:val="0"/>
          <w:sz w:val="28"/>
          <w:szCs w:val="28"/>
        </w:rPr>
        <w:t>（</w:t>
      </w:r>
      <w:r w:rsidRPr="00142E7D">
        <w:rPr>
          <w:rFonts w:ascii="標楷體" w:hAnsi="標楷體"/>
          <w:kern w:val="0"/>
          <w:sz w:val="28"/>
          <w:szCs w:val="28"/>
        </w:rPr>
        <w:t>包括放置、處理廢棄物的行為</w:t>
      </w:r>
      <w:r w:rsidR="00DD4611" w:rsidRPr="00142E7D">
        <w:rPr>
          <w:rFonts w:ascii="標楷體" w:hAnsi="標楷體"/>
          <w:kern w:val="0"/>
          <w:sz w:val="28"/>
          <w:szCs w:val="28"/>
        </w:rPr>
        <w:t>）</w:t>
      </w:r>
      <w:r w:rsidRPr="00142E7D">
        <w:rPr>
          <w:rFonts w:ascii="標楷體" w:hAnsi="標楷體"/>
          <w:kern w:val="0"/>
          <w:sz w:val="28"/>
          <w:szCs w:val="28"/>
        </w:rPr>
        <w:t>的自由乎</w:t>
      </w:r>
      <w:r w:rsidRPr="00142E7D">
        <w:rPr>
          <w:rStyle w:val="ab"/>
          <w:rFonts w:ascii="標楷體" w:hAnsi="標楷體"/>
          <w:kern w:val="0"/>
          <w:sz w:val="28"/>
          <w:szCs w:val="28"/>
        </w:rPr>
        <w:footnoteReference w:id="60"/>
      </w:r>
      <w:r w:rsidRPr="00142E7D">
        <w:rPr>
          <w:rFonts w:ascii="標楷體" w:hAnsi="標楷體"/>
          <w:kern w:val="0"/>
          <w:sz w:val="28"/>
          <w:szCs w:val="28"/>
        </w:rPr>
        <w:t>？</w:t>
      </w:r>
    </w:p>
    <w:p w:rsidR="004753EA" w:rsidRPr="00142E7D" w:rsidRDefault="004753EA" w:rsidP="00845FCD">
      <w:pPr>
        <w:kinsoku w:val="0"/>
        <w:overflowPunct w:val="0"/>
        <w:adjustRightInd w:val="0"/>
        <w:snapToGrid w:val="0"/>
        <w:spacing w:line="404" w:lineRule="exact"/>
        <w:ind w:left="1134" w:firstLine="561"/>
        <w:jc w:val="both"/>
        <w:rPr>
          <w:rFonts w:ascii="標楷體" w:hAnsi="標楷體"/>
          <w:kern w:val="0"/>
          <w:sz w:val="28"/>
          <w:szCs w:val="28"/>
        </w:rPr>
      </w:pPr>
      <w:r w:rsidRPr="00142E7D">
        <w:rPr>
          <w:rFonts w:ascii="標楷體" w:hAnsi="標楷體"/>
          <w:kern w:val="0"/>
          <w:sz w:val="28"/>
          <w:szCs w:val="28"/>
        </w:rPr>
        <w:t>第二，涉及到檢驗其合憲性的嚴格或寬鬆。</w:t>
      </w:r>
    </w:p>
    <w:p w:rsidR="004753EA" w:rsidRPr="00142E7D" w:rsidRDefault="004753EA" w:rsidP="00845FCD">
      <w:pPr>
        <w:kinsoku w:val="0"/>
        <w:overflowPunct w:val="0"/>
        <w:adjustRightInd w:val="0"/>
        <w:snapToGrid w:val="0"/>
        <w:spacing w:line="404" w:lineRule="exact"/>
        <w:ind w:left="1134" w:firstLine="561"/>
        <w:jc w:val="both"/>
        <w:rPr>
          <w:rFonts w:ascii="標楷體" w:hAnsi="標楷體"/>
          <w:kern w:val="0"/>
          <w:sz w:val="28"/>
          <w:szCs w:val="28"/>
        </w:rPr>
      </w:pPr>
      <w:r w:rsidRPr="00142E7D">
        <w:rPr>
          <w:rFonts w:ascii="標楷體" w:hAnsi="標楷體"/>
          <w:kern w:val="0"/>
          <w:sz w:val="28"/>
          <w:szCs w:val="28"/>
        </w:rPr>
        <w:lastRenderedPageBreak/>
        <w:t>這種區分法益保障的歸屬，也涉及檢驗其合憲性的嚴格或寬鬆。如涉及言論自由，特別是非商業性質者，應以較嚴格的審查標準。然而本號解釋顯然未採嚴格的審查標準，顯與言論自由的保障原則背道而馳。</w:t>
      </w:r>
    </w:p>
    <w:p w:rsidR="004753EA" w:rsidRPr="00142E7D" w:rsidRDefault="004753EA" w:rsidP="00845FCD">
      <w:pPr>
        <w:kinsoku w:val="0"/>
        <w:overflowPunct w:val="0"/>
        <w:adjustRightInd w:val="0"/>
        <w:snapToGrid w:val="0"/>
        <w:spacing w:line="404" w:lineRule="exact"/>
        <w:ind w:left="1134" w:firstLine="561"/>
        <w:jc w:val="both"/>
        <w:rPr>
          <w:rFonts w:ascii="標楷體" w:hAnsi="標楷體"/>
          <w:kern w:val="0"/>
          <w:sz w:val="28"/>
          <w:szCs w:val="28"/>
        </w:rPr>
      </w:pPr>
      <w:r w:rsidRPr="00142E7D">
        <w:rPr>
          <w:rFonts w:ascii="標楷體" w:hAnsi="標楷體"/>
          <w:kern w:val="0"/>
          <w:sz w:val="28"/>
          <w:szCs w:val="28"/>
        </w:rPr>
        <w:t>故本號解釋多數意見，既然曲解了廣告所呈現的多種人權實踐的面相，對憲法法益認定錯誤；以及忽略了國家與地方自治團體，得為重要的公益，不僅是環境衛生，也及於景觀美化、族群與宗教和諧等，對廣告的設置予以法律詳盡的規範並課予義務。但此法制必須與廢棄物清理法「脫勾」，否則諸如現行法制此種抱殘守缺式的「夾帶實施廣告物許可制」，以及多數意見仍許可此現象存在的「捨本逐末」現象。</w:t>
      </w:r>
    </w:p>
    <w:p w:rsidR="004753EA" w:rsidRPr="00142E7D" w:rsidRDefault="004753EA" w:rsidP="00845FCD">
      <w:pPr>
        <w:kinsoku w:val="0"/>
        <w:overflowPunct w:val="0"/>
        <w:adjustRightInd w:val="0"/>
        <w:snapToGrid w:val="0"/>
        <w:spacing w:line="404" w:lineRule="exact"/>
        <w:ind w:left="1134" w:firstLine="561"/>
        <w:jc w:val="both"/>
        <w:rPr>
          <w:rFonts w:ascii="標楷體" w:hAnsi="標楷體"/>
          <w:kern w:val="0"/>
          <w:sz w:val="28"/>
          <w:szCs w:val="28"/>
        </w:rPr>
      </w:pPr>
      <w:r w:rsidRPr="00142E7D">
        <w:rPr>
          <w:rFonts w:ascii="標楷體" w:hAnsi="標楷體"/>
          <w:kern w:val="0"/>
          <w:sz w:val="28"/>
          <w:szCs w:val="28"/>
        </w:rPr>
        <w:t>討論這種法益的歸屬，不僅是學理的價值而已，而涉及到檢驗的標準。如同在釋字第四一四號解釋已經提及了，如果屬於商業言論，其「值得保護性」已降低；若涉及藥物或食品安全等，其「值得保護性」更形降低。此外，在「非商業言論」方面，也並非全部採行「同質量的嚴格檢驗」標準。即以大法官過去的解釋而言，政治性言論最受大法官青睞。例如，釋字第五</w:t>
      </w:r>
      <w:r w:rsidR="00DD4611" w:rsidRPr="00142E7D">
        <w:rPr>
          <w:rFonts w:ascii="標楷體" w:hAnsi="標楷體"/>
          <w:kern w:val="0"/>
          <w:sz w:val="28"/>
          <w:szCs w:val="28"/>
        </w:rPr>
        <w:t>○</w:t>
      </w:r>
      <w:r w:rsidRPr="00142E7D">
        <w:rPr>
          <w:rFonts w:ascii="標楷體" w:hAnsi="標楷體"/>
          <w:kern w:val="0"/>
          <w:sz w:val="28"/>
          <w:szCs w:val="28"/>
        </w:rPr>
        <w:t>九號解釋：「……憲法第十一條規定，人民之言論自由應予保障，鑑於言論自由有實現自我、溝通意見、追求真理、滿足人民知的權利，形成公意，促進各種合理的政治及社會活動之功能，乃維持民主多元社會正常發展不可或缺之機制，國家應給予最大限度之保障。……」便是一例。</w:t>
      </w:r>
    </w:p>
    <w:p w:rsidR="004753EA" w:rsidRPr="00142E7D" w:rsidRDefault="004753EA" w:rsidP="00687056">
      <w:pPr>
        <w:kinsoku w:val="0"/>
        <w:overflowPunct w:val="0"/>
        <w:adjustRightInd w:val="0"/>
        <w:snapToGrid w:val="0"/>
        <w:spacing w:line="404" w:lineRule="exact"/>
        <w:ind w:left="1134" w:firstLine="561"/>
        <w:jc w:val="both"/>
        <w:rPr>
          <w:rFonts w:ascii="標楷體" w:hAnsi="標楷體"/>
          <w:kern w:val="0"/>
          <w:sz w:val="28"/>
          <w:szCs w:val="28"/>
        </w:rPr>
      </w:pPr>
      <w:r w:rsidRPr="00142E7D">
        <w:rPr>
          <w:rFonts w:ascii="標楷體" w:hAnsi="標楷體"/>
          <w:kern w:val="0"/>
          <w:sz w:val="28"/>
          <w:szCs w:val="28"/>
        </w:rPr>
        <w:t>反之，對於立法者關於社會多數共通價值所為之判斷，認定為有礙風化的言論與出版自由，則原則上採最寬鬆的認定，以尊重立法的判斷（釋字第六一七、四</w:t>
      </w:r>
      <w:r w:rsidR="00DD4611" w:rsidRPr="00142E7D">
        <w:rPr>
          <w:rFonts w:ascii="標楷體" w:hAnsi="標楷體"/>
          <w:kern w:val="0"/>
          <w:sz w:val="28"/>
          <w:szCs w:val="28"/>
        </w:rPr>
        <w:t>○</w:t>
      </w:r>
      <w:r w:rsidRPr="00142E7D">
        <w:rPr>
          <w:rFonts w:ascii="標楷體" w:hAnsi="標楷體"/>
          <w:kern w:val="0"/>
          <w:sz w:val="28"/>
          <w:szCs w:val="28"/>
        </w:rPr>
        <w:t>七號解釋）。</w:t>
      </w:r>
    </w:p>
    <w:p w:rsidR="004753EA" w:rsidRPr="00142E7D" w:rsidRDefault="004753EA" w:rsidP="00687056">
      <w:pPr>
        <w:kinsoku w:val="0"/>
        <w:overflowPunct w:val="0"/>
        <w:adjustRightInd w:val="0"/>
        <w:snapToGrid w:val="0"/>
        <w:spacing w:line="404" w:lineRule="exact"/>
        <w:ind w:left="1134" w:firstLine="561"/>
        <w:jc w:val="both"/>
        <w:rPr>
          <w:rFonts w:ascii="標楷體" w:hAnsi="標楷體"/>
          <w:kern w:val="0"/>
          <w:sz w:val="28"/>
          <w:szCs w:val="28"/>
        </w:rPr>
      </w:pPr>
      <w:r w:rsidRPr="00142E7D">
        <w:rPr>
          <w:rFonts w:ascii="標楷體" w:hAnsi="標楷體"/>
          <w:kern w:val="0"/>
          <w:sz w:val="28"/>
          <w:szCs w:val="28"/>
        </w:rPr>
        <w:t>此些標準，不僅涉及其內容，也在於其表達的方式、呈現於大眾的機會</w:t>
      </w:r>
      <w:r w:rsidR="00DD4611" w:rsidRPr="00142E7D">
        <w:rPr>
          <w:rFonts w:ascii="標楷體" w:hAnsi="標楷體"/>
          <w:kern w:val="0"/>
          <w:sz w:val="28"/>
          <w:szCs w:val="28"/>
        </w:rPr>
        <w:t>（</w:t>
      </w:r>
      <w:r w:rsidRPr="00142E7D">
        <w:rPr>
          <w:rFonts w:ascii="標楷體" w:hAnsi="標楷體"/>
          <w:kern w:val="0"/>
          <w:sz w:val="28"/>
          <w:szCs w:val="28"/>
        </w:rPr>
        <w:t>例如，上述釋字第六一七號解釋涉及猥褻出版品的販賣、陳列</w:t>
      </w:r>
      <w:r w:rsidR="00DD4611" w:rsidRPr="00142E7D">
        <w:rPr>
          <w:rFonts w:ascii="標楷體" w:hAnsi="標楷體"/>
          <w:kern w:val="0"/>
          <w:sz w:val="28"/>
          <w:szCs w:val="28"/>
        </w:rPr>
        <w:t>）</w:t>
      </w:r>
      <w:r w:rsidRPr="00142E7D">
        <w:rPr>
          <w:rFonts w:ascii="標楷體" w:hAnsi="標楷體"/>
          <w:kern w:val="0"/>
          <w:sz w:val="28"/>
          <w:szCs w:val="28"/>
        </w:rPr>
        <w:t>。而橫亙在其中，涉及宗教自由、創作自由，既然在管制內容方面沒有其他的法律規範，即享有甚大的自由，故仍能在「表現在外」的領域予以限制，宗教自由表現宗教行為之自由與宗教結社之自由，釋字第四九</w:t>
      </w:r>
      <w:r w:rsidR="00DD4611" w:rsidRPr="00142E7D">
        <w:rPr>
          <w:rFonts w:ascii="標楷體" w:hAnsi="標楷體"/>
          <w:kern w:val="0"/>
          <w:sz w:val="28"/>
          <w:szCs w:val="28"/>
        </w:rPr>
        <w:t>○</w:t>
      </w:r>
      <w:r w:rsidRPr="00142E7D">
        <w:rPr>
          <w:rFonts w:ascii="標楷體" w:hAnsi="標楷體"/>
          <w:kern w:val="0"/>
          <w:sz w:val="28"/>
          <w:szCs w:val="28"/>
        </w:rPr>
        <w:t>解釋仍可以公益為由限制之。該號解釋未特別提及檢驗的標準，似乎即和一般公益的限制無異。例如，燃燒金紙、廟宇的建築與安全設施標準、張貼宗教廣告……，都是其例。</w:t>
      </w:r>
    </w:p>
    <w:p w:rsidR="004753EA" w:rsidRPr="00142E7D" w:rsidRDefault="004753EA" w:rsidP="00687056">
      <w:pPr>
        <w:kinsoku w:val="0"/>
        <w:overflowPunct w:val="0"/>
        <w:adjustRightInd w:val="0"/>
        <w:snapToGrid w:val="0"/>
        <w:spacing w:line="404" w:lineRule="exact"/>
        <w:ind w:left="1134" w:firstLine="561"/>
        <w:jc w:val="both"/>
        <w:rPr>
          <w:rFonts w:ascii="標楷體" w:hAnsi="標楷體"/>
          <w:kern w:val="0"/>
          <w:sz w:val="28"/>
          <w:szCs w:val="28"/>
        </w:rPr>
      </w:pPr>
      <w:r w:rsidRPr="00142E7D">
        <w:rPr>
          <w:rFonts w:ascii="標楷體" w:hAnsi="標楷體"/>
          <w:kern w:val="0"/>
          <w:sz w:val="28"/>
          <w:szCs w:val="28"/>
        </w:rPr>
        <w:t>此時，言論自由的重要性，已經退讓至更大範圍的人權種類，例如，上述宗教廣告可納入宗教行為的自由領域，而可由規範該行為的</w:t>
      </w:r>
      <w:r w:rsidRPr="00142E7D">
        <w:rPr>
          <w:rFonts w:ascii="標楷體" w:hAnsi="標楷體"/>
          <w:kern w:val="0"/>
          <w:sz w:val="28"/>
          <w:szCs w:val="28"/>
        </w:rPr>
        <w:lastRenderedPageBreak/>
        <w:t>法律及其寬嚴標準，來規範之，毋庸斤斤於其屬於「言論自由」的保障機制。</w:t>
      </w:r>
    </w:p>
    <w:p w:rsidR="004753EA" w:rsidRPr="00142E7D" w:rsidRDefault="004753EA" w:rsidP="00687056">
      <w:pPr>
        <w:kinsoku w:val="0"/>
        <w:overflowPunct w:val="0"/>
        <w:adjustRightInd w:val="0"/>
        <w:snapToGrid w:val="0"/>
        <w:spacing w:line="404" w:lineRule="exact"/>
        <w:ind w:left="1134" w:firstLine="561"/>
        <w:jc w:val="both"/>
        <w:rPr>
          <w:rFonts w:ascii="標楷體" w:hAnsi="標楷體"/>
          <w:kern w:val="0"/>
          <w:sz w:val="28"/>
          <w:szCs w:val="28"/>
        </w:rPr>
      </w:pPr>
      <w:r w:rsidRPr="00142E7D">
        <w:rPr>
          <w:rFonts w:ascii="標楷體" w:hAnsi="標楷體"/>
          <w:kern w:val="0"/>
          <w:sz w:val="28"/>
          <w:szCs w:val="28"/>
        </w:rPr>
        <w:t>本號解釋卻「獨尊言論自由」，理由書第三段甚且援引釋字第五</w:t>
      </w:r>
      <w:r w:rsidR="00DD4611" w:rsidRPr="00142E7D">
        <w:rPr>
          <w:rFonts w:ascii="標楷體" w:hAnsi="標楷體"/>
          <w:kern w:val="0"/>
          <w:sz w:val="28"/>
          <w:szCs w:val="28"/>
        </w:rPr>
        <w:t>○</w:t>
      </w:r>
      <w:r w:rsidRPr="00142E7D">
        <w:rPr>
          <w:rFonts w:ascii="標楷體" w:hAnsi="標楷體"/>
          <w:kern w:val="0"/>
          <w:sz w:val="28"/>
          <w:szCs w:val="28"/>
        </w:rPr>
        <w:t>九號解釋的立論，將言論自由列為憲法最嚴格保障的人權種類，頗有信誓旦旦將給予最嚴格的保障─包括藉以檢驗是否符合法律保留原則與授權明確性原則，遑論比例原則─。更何況，系爭規定已經明白指出：「在指定清除地區內嚴禁有下列行為……」，這裡使用了最嚴格的「禁令」措詞，顯然人民相關的行為受到最嚴厲、毫不通融的限制，也最容易違反比例原則。此時正是需要釋憲機關採行嚴格的審查標準，以避免上述立法的「嚴格禁令」可能過度侵犯人權。</w:t>
      </w:r>
    </w:p>
    <w:p w:rsidR="004753EA" w:rsidRPr="00142E7D" w:rsidRDefault="004753EA" w:rsidP="00687056">
      <w:pPr>
        <w:kinsoku w:val="0"/>
        <w:overflowPunct w:val="0"/>
        <w:adjustRightInd w:val="0"/>
        <w:snapToGrid w:val="0"/>
        <w:spacing w:line="404" w:lineRule="exact"/>
        <w:ind w:left="1134" w:firstLine="561"/>
        <w:jc w:val="both"/>
        <w:rPr>
          <w:rFonts w:ascii="標楷體" w:hAnsi="標楷體"/>
          <w:kern w:val="0"/>
          <w:sz w:val="28"/>
          <w:szCs w:val="28"/>
        </w:rPr>
      </w:pPr>
      <w:r w:rsidRPr="00142E7D">
        <w:rPr>
          <w:rFonts w:ascii="標楷體" w:hAnsi="標楷體"/>
          <w:kern w:val="0"/>
          <w:sz w:val="28"/>
          <w:szCs w:val="28"/>
        </w:rPr>
        <w:t>同時多數意見仍採取極寬鬆的標準，讓系爭公告仍可以夾帶規範廣告物的許可制規定，只不過是限於會造成污染部分，易言之並不在根本立法上質疑其合憲性的瑕疵！原來「雷聲大雨點小」，結論豈不令人洩氣乎？</w:t>
      </w:r>
    </w:p>
    <w:p w:rsidR="004753EA" w:rsidRPr="00142E7D" w:rsidRDefault="004753EA" w:rsidP="00687056">
      <w:pPr>
        <w:kinsoku w:val="0"/>
        <w:overflowPunct w:val="0"/>
        <w:adjustRightInd w:val="0"/>
        <w:snapToGrid w:val="0"/>
        <w:spacing w:line="404" w:lineRule="exact"/>
        <w:ind w:left="1134" w:firstLine="561"/>
        <w:jc w:val="both"/>
        <w:rPr>
          <w:rFonts w:ascii="標楷體" w:hAnsi="標楷體"/>
          <w:kern w:val="0"/>
          <w:sz w:val="28"/>
          <w:szCs w:val="28"/>
        </w:rPr>
      </w:pPr>
      <w:r w:rsidRPr="00142E7D">
        <w:rPr>
          <w:rFonts w:ascii="標楷體" w:hAnsi="標楷體"/>
          <w:kern w:val="0"/>
          <w:sz w:val="28"/>
          <w:szCs w:val="28"/>
        </w:rPr>
        <w:t>近年來，在公私建築物上經常看到的「塗鴉」</w:t>
      </w:r>
      <w:r w:rsidR="00654FBB" w:rsidRPr="00142E7D">
        <w:rPr>
          <w:rFonts w:ascii="標楷體" w:hAnsi="標楷體"/>
          <w:kern w:val="0"/>
          <w:sz w:val="28"/>
          <w:szCs w:val="28"/>
        </w:rPr>
        <w:t>（</w:t>
      </w:r>
      <w:r w:rsidRPr="00142E7D">
        <w:rPr>
          <w:rFonts w:ascii="標楷體" w:hAnsi="標楷體"/>
          <w:kern w:val="0"/>
          <w:sz w:val="28"/>
          <w:szCs w:val="28"/>
        </w:rPr>
        <w:t>vandalism</w:t>
      </w:r>
      <w:r w:rsidR="00654FBB" w:rsidRPr="00142E7D">
        <w:rPr>
          <w:rFonts w:ascii="標楷體" w:hAnsi="標楷體"/>
          <w:kern w:val="0"/>
          <w:sz w:val="28"/>
          <w:szCs w:val="28"/>
        </w:rPr>
        <w:t>）</w:t>
      </w:r>
      <w:r w:rsidRPr="00142E7D">
        <w:rPr>
          <w:rFonts w:ascii="標楷體" w:hAnsi="標楷體"/>
          <w:kern w:val="0"/>
          <w:sz w:val="28"/>
          <w:szCs w:val="28"/>
        </w:rPr>
        <w:t>更常被援引為「藝術表現」，此時，對此塗鴉的容忍度，端視立法者與國民的法感情，採嚴格者如新加坡，一九九四年便曾發生過轟動一時的「麥可‧費」</w:t>
      </w:r>
      <w:r w:rsidR="00654FBB" w:rsidRPr="00142E7D">
        <w:rPr>
          <w:rFonts w:ascii="標楷體" w:hAnsi="標楷體"/>
          <w:kern w:val="0"/>
          <w:sz w:val="28"/>
          <w:szCs w:val="28"/>
        </w:rPr>
        <w:t>（</w:t>
      </w:r>
      <w:r w:rsidRPr="00142E7D">
        <w:rPr>
          <w:rFonts w:ascii="標楷體" w:hAnsi="標楷體"/>
          <w:kern w:val="0"/>
          <w:sz w:val="28"/>
          <w:szCs w:val="28"/>
        </w:rPr>
        <w:t>Micheal Fay</w:t>
      </w:r>
      <w:r w:rsidR="00654FBB" w:rsidRPr="00142E7D">
        <w:rPr>
          <w:rFonts w:ascii="標楷體" w:hAnsi="標楷體"/>
          <w:kern w:val="0"/>
          <w:sz w:val="28"/>
          <w:szCs w:val="28"/>
        </w:rPr>
        <w:t>）</w:t>
      </w:r>
      <w:r w:rsidRPr="00142E7D">
        <w:rPr>
          <w:rFonts w:ascii="標楷體" w:hAnsi="標楷體"/>
          <w:kern w:val="0"/>
          <w:sz w:val="28"/>
          <w:szCs w:val="28"/>
        </w:rPr>
        <w:t>案件─對一個美籍十八歲青年，一再觸犯塗鴉罪，而遭處六下鞭刑，引發全美抗議的事件─</w:t>
      </w:r>
      <w:r w:rsidRPr="00142E7D">
        <w:rPr>
          <w:rStyle w:val="ab"/>
          <w:rFonts w:ascii="標楷體" w:hAnsi="標楷體"/>
          <w:kern w:val="0"/>
          <w:sz w:val="28"/>
          <w:szCs w:val="28"/>
        </w:rPr>
        <w:footnoteReference w:id="61"/>
      </w:r>
      <w:r w:rsidRPr="00142E7D">
        <w:rPr>
          <w:rFonts w:ascii="標楷體" w:hAnsi="標楷體"/>
          <w:kern w:val="0"/>
          <w:sz w:val="28"/>
          <w:szCs w:val="28"/>
        </w:rPr>
        <w:t>。</w:t>
      </w:r>
    </w:p>
    <w:p w:rsidR="004753EA" w:rsidRPr="00142E7D" w:rsidRDefault="004753EA" w:rsidP="003A2DBB">
      <w:pPr>
        <w:kinsoku w:val="0"/>
        <w:overflowPunct w:val="0"/>
        <w:adjustRightInd w:val="0"/>
        <w:snapToGrid w:val="0"/>
        <w:spacing w:line="402" w:lineRule="exact"/>
        <w:ind w:left="1134" w:firstLine="561"/>
        <w:jc w:val="both"/>
        <w:rPr>
          <w:rFonts w:ascii="標楷體" w:hAnsi="標楷體"/>
          <w:kern w:val="0"/>
          <w:sz w:val="28"/>
          <w:szCs w:val="28"/>
        </w:rPr>
      </w:pPr>
      <w:r w:rsidRPr="00142E7D">
        <w:rPr>
          <w:rFonts w:ascii="標楷體" w:hAnsi="標楷體"/>
          <w:kern w:val="0"/>
          <w:sz w:val="28"/>
          <w:szCs w:val="28"/>
        </w:rPr>
        <w:t>至於絕大多數國家皆採寬鬆者，如英美國家及我國。但也都會為維護城市景觀為由，不許可塗鴉行為，只不過不會動用到刑事罰，尤其是鞭刑等觸犯人身自由、屬於酷刑的重罰，最多處以行政罰鍰而已。故其檢驗標準則不會上升到釋字第五</w:t>
      </w:r>
      <w:r w:rsidR="00DD4611" w:rsidRPr="00142E7D">
        <w:rPr>
          <w:rFonts w:ascii="標楷體" w:hAnsi="標楷體"/>
          <w:kern w:val="0"/>
          <w:sz w:val="28"/>
          <w:szCs w:val="28"/>
        </w:rPr>
        <w:t>○</w:t>
      </w:r>
      <w:r w:rsidRPr="00142E7D">
        <w:rPr>
          <w:rFonts w:ascii="標楷體" w:hAnsi="標楷體"/>
          <w:kern w:val="0"/>
          <w:sz w:val="28"/>
          <w:szCs w:val="28"/>
        </w:rPr>
        <w:t>九號解釋的「民主政治核心價值」，甚至所謂的「城市景觀利益」，連衛生、安全的顧慮都提不上，也不能與「商業言論」可聯結言論自由與財產權，屬於低價值的言論權，相提併論。因此，其值得保障性的位階更低也。</w:t>
      </w:r>
    </w:p>
    <w:p w:rsidR="004753EA" w:rsidRPr="00142E7D" w:rsidRDefault="004753EA" w:rsidP="003A2DBB">
      <w:pPr>
        <w:kinsoku w:val="0"/>
        <w:overflowPunct w:val="0"/>
        <w:adjustRightInd w:val="0"/>
        <w:snapToGrid w:val="0"/>
        <w:spacing w:line="402" w:lineRule="exact"/>
        <w:ind w:left="1134" w:firstLine="561"/>
        <w:jc w:val="both"/>
        <w:rPr>
          <w:rFonts w:ascii="標楷體" w:hAnsi="標楷體"/>
          <w:kern w:val="0"/>
          <w:sz w:val="28"/>
          <w:szCs w:val="28"/>
        </w:rPr>
      </w:pPr>
      <w:r w:rsidRPr="00142E7D">
        <w:rPr>
          <w:rFonts w:ascii="標楷體" w:hAnsi="標楷體"/>
          <w:kern w:val="0"/>
          <w:sz w:val="28"/>
          <w:szCs w:val="28"/>
        </w:rPr>
        <w:t>故綜上所述，廣告光以其行為模式，屬於人民一般行為自由之表現與應受之限制，可由各種法律以其追求的目的來規範之。不得以某些廣告涉及言論自由之領域，則以言論自由保障的尺度與標準來適用到整個廣告的法制之上，否則無疑以偏概全。正如同地方政府，對一個不應張貼廣告之處所違法張貼之廣告，行使清除權時，豈能針對不同廣告的內容，而給予不同的審查標準，例如，抒發政治言論的廣告</w:t>
      </w:r>
      <w:r w:rsidRPr="00142E7D">
        <w:rPr>
          <w:rFonts w:ascii="標楷體" w:hAnsi="標楷體"/>
          <w:kern w:val="0"/>
          <w:sz w:val="28"/>
          <w:szCs w:val="28"/>
        </w:rPr>
        <w:lastRenderedPageBreak/>
        <w:t>，應給予最大的保障，從而限縮清除權的行使；反之，涉及藥品及食品廣告，以及塗鴉作品，則以最嚴格的尺度清除之；而宗教性的內容廣告，則以正常的執法態度……？顯然，背離了廣告法制執法的平等原則與廣告的立法目的！</w:t>
      </w:r>
    </w:p>
    <w:p w:rsidR="004753EA" w:rsidRPr="00142E7D" w:rsidRDefault="004753EA" w:rsidP="003A2DBB">
      <w:pPr>
        <w:kinsoku w:val="0"/>
        <w:overflowPunct w:val="0"/>
        <w:adjustRightInd w:val="0"/>
        <w:snapToGrid w:val="0"/>
        <w:spacing w:line="402" w:lineRule="exact"/>
        <w:ind w:left="1134" w:firstLine="561"/>
        <w:jc w:val="both"/>
        <w:rPr>
          <w:rFonts w:ascii="標楷體" w:hAnsi="標楷體"/>
          <w:kern w:val="0"/>
          <w:sz w:val="28"/>
          <w:szCs w:val="28"/>
        </w:rPr>
      </w:pPr>
      <w:r w:rsidRPr="00142E7D">
        <w:rPr>
          <w:rFonts w:ascii="標楷體" w:hAnsi="標楷體"/>
          <w:kern w:val="0"/>
          <w:sz w:val="28"/>
          <w:szCs w:val="28"/>
        </w:rPr>
        <w:t>第三，廣告的規範也不限於公共空間，也及於私人空間。</w:t>
      </w:r>
    </w:p>
    <w:p w:rsidR="004753EA" w:rsidRPr="00142E7D" w:rsidRDefault="004753EA" w:rsidP="003A2DBB">
      <w:pPr>
        <w:kinsoku w:val="0"/>
        <w:overflowPunct w:val="0"/>
        <w:adjustRightInd w:val="0"/>
        <w:snapToGrid w:val="0"/>
        <w:spacing w:line="402" w:lineRule="exact"/>
        <w:ind w:left="1134" w:firstLine="561"/>
        <w:jc w:val="both"/>
        <w:rPr>
          <w:rFonts w:ascii="標楷體" w:hAnsi="標楷體"/>
          <w:kern w:val="0"/>
          <w:sz w:val="28"/>
          <w:szCs w:val="28"/>
        </w:rPr>
      </w:pPr>
      <w:r w:rsidRPr="00142E7D">
        <w:rPr>
          <w:rFonts w:ascii="標楷體" w:hAnsi="標楷體"/>
          <w:kern w:val="0"/>
          <w:sz w:val="28"/>
          <w:szCs w:val="28"/>
        </w:rPr>
        <w:t>本號解釋試圖將解釋範圍及於公共論壇，故將展示於公共空間的標語、廣告視為言論自由，期冀能以公共論壇的模式用在廣告行為之上。此用意固然令人欽佩，但出發點也不免狹隘，因為廣告的規範，雖然以公共空間為主，但也多半及於私人擁有的土地、定著物及附著物之上。例如，為求都市的景觀美麗與一致，私人建築物的外牆常常被課予一定的維持義務，例如，必須勤於維修、保養，不得顏色斑落而顯得破舊，也不得任意張貼廣告與標語。一般小面積，張貼於店鋪門牆固以自由開放為原則外，但較大尺寸或涉及到景觀與市容，則在管制之列，這亦是「財產權社會義務」的原則。就以系爭規定，廢棄物清理法第二十七條第三款：「於路旁、屋外或屋頂曝晒、堆置有礙衛生整潔之物」的規定，所禁止的「屋外或屋頂」顯然即以私人房舍為規範對象。同樣的在第十款：「張貼或噴漆廣告污染定著物」，則公私所有之定著物皆包含在內。再如，建築法第七條，將固定設立的廣告牌視為「雜項工作物」，更是主要規範私人土地上設立的固定廣告牌。因此，不能專以公共空間作為設想規範廣告物的場域。</w:t>
      </w:r>
    </w:p>
    <w:p w:rsidR="004753EA" w:rsidRPr="00142E7D" w:rsidRDefault="00DD4611" w:rsidP="003A2DBB">
      <w:pPr>
        <w:kinsoku w:val="0"/>
        <w:overflowPunct w:val="0"/>
        <w:adjustRightInd w:val="0"/>
        <w:snapToGrid w:val="0"/>
        <w:spacing w:line="402" w:lineRule="exact"/>
        <w:ind w:left="284"/>
        <w:jc w:val="both"/>
        <w:rPr>
          <w:rFonts w:ascii="標楷體" w:hAnsi="標楷體"/>
          <w:kern w:val="0"/>
          <w:sz w:val="28"/>
          <w:szCs w:val="28"/>
        </w:rPr>
      </w:pPr>
      <w:r w:rsidRPr="00142E7D">
        <w:rPr>
          <w:rFonts w:ascii="標楷體" w:hAnsi="標楷體"/>
          <w:kern w:val="0"/>
          <w:sz w:val="28"/>
          <w:szCs w:val="28"/>
        </w:rPr>
        <w:t>（</w:t>
      </w:r>
      <w:r w:rsidR="004753EA" w:rsidRPr="00142E7D">
        <w:rPr>
          <w:rFonts w:ascii="標楷體" w:hAnsi="標楷體"/>
          <w:kern w:val="0"/>
          <w:sz w:val="28"/>
          <w:szCs w:val="28"/>
        </w:rPr>
        <w:t>三</w:t>
      </w:r>
      <w:r w:rsidRPr="00142E7D">
        <w:rPr>
          <w:rFonts w:ascii="標楷體" w:hAnsi="標楷體"/>
          <w:kern w:val="0"/>
          <w:sz w:val="28"/>
          <w:szCs w:val="28"/>
        </w:rPr>
        <w:t>）</w:t>
      </w:r>
      <w:r w:rsidR="004753EA" w:rsidRPr="00142E7D">
        <w:rPr>
          <w:rFonts w:ascii="標楷體" w:hAnsi="標楷體"/>
          <w:kern w:val="0"/>
          <w:sz w:val="28"/>
          <w:szCs w:val="28"/>
        </w:rPr>
        <w:t>公共論壇概念的引述未能達到澄清的效果</w:t>
      </w:r>
    </w:p>
    <w:p w:rsidR="00F46ABA" w:rsidRPr="00142E7D" w:rsidRDefault="004753EA" w:rsidP="00F46ABA">
      <w:pPr>
        <w:kinsoku w:val="0"/>
        <w:overflowPunct w:val="0"/>
        <w:adjustRightInd w:val="0"/>
        <w:snapToGrid w:val="0"/>
        <w:spacing w:line="402" w:lineRule="exact"/>
        <w:ind w:left="1134" w:firstLine="561"/>
        <w:jc w:val="distribute"/>
        <w:rPr>
          <w:rFonts w:ascii="標楷體" w:hAnsi="標楷體" w:hint="eastAsia"/>
          <w:kern w:val="0"/>
          <w:sz w:val="28"/>
          <w:szCs w:val="28"/>
        </w:rPr>
      </w:pPr>
      <w:r w:rsidRPr="00142E7D">
        <w:rPr>
          <w:rFonts w:ascii="標楷體" w:hAnsi="標楷體"/>
          <w:kern w:val="0"/>
          <w:sz w:val="28"/>
          <w:szCs w:val="28"/>
        </w:rPr>
        <w:t>誠然，本號解釋涉及了利用張貼廣告表達一定的意見</w:t>
      </w:r>
      <w:r w:rsidR="00DD4611" w:rsidRPr="00142E7D">
        <w:rPr>
          <w:rFonts w:ascii="標楷體" w:hAnsi="標楷體"/>
          <w:kern w:val="0"/>
          <w:sz w:val="28"/>
          <w:szCs w:val="28"/>
        </w:rPr>
        <w:t>（</w:t>
      </w:r>
      <w:r w:rsidRPr="00142E7D">
        <w:rPr>
          <w:rFonts w:ascii="標楷體" w:hAnsi="標楷體"/>
          <w:kern w:val="0"/>
          <w:sz w:val="28"/>
          <w:szCs w:val="28"/>
        </w:rPr>
        <w:t>宗教團體</w:t>
      </w:r>
    </w:p>
    <w:p w:rsidR="004753EA" w:rsidRPr="00142E7D" w:rsidRDefault="004753EA" w:rsidP="00F46ABA">
      <w:pPr>
        <w:kinsoku w:val="0"/>
        <w:overflowPunct w:val="0"/>
        <w:adjustRightInd w:val="0"/>
        <w:snapToGrid w:val="0"/>
        <w:spacing w:line="404" w:lineRule="exact"/>
        <w:ind w:left="1134"/>
        <w:jc w:val="both"/>
        <w:rPr>
          <w:rFonts w:ascii="標楷體" w:hAnsi="標楷體"/>
          <w:kern w:val="0"/>
          <w:sz w:val="28"/>
          <w:szCs w:val="28"/>
        </w:rPr>
      </w:pPr>
      <w:r w:rsidRPr="00142E7D">
        <w:rPr>
          <w:rFonts w:ascii="標楷體" w:hAnsi="標楷體"/>
          <w:kern w:val="0"/>
          <w:sz w:val="28"/>
          <w:szCs w:val="28"/>
        </w:rPr>
        <w:t>表達政治意見</w:t>
      </w:r>
      <w:r w:rsidR="00DD4611" w:rsidRPr="00142E7D">
        <w:rPr>
          <w:rFonts w:ascii="標楷體" w:hAnsi="標楷體"/>
          <w:kern w:val="0"/>
          <w:sz w:val="28"/>
          <w:szCs w:val="28"/>
        </w:rPr>
        <w:t>）</w:t>
      </w:r>
      <w:r w:rsidRPr="00142E7D">
        <w:rPr>
          <w:rFonts w:ascii="標楷體" w:hAnsi="標楷體"/>
          <w:kern w:val="0"/>
          <w:sz w:val="28"/>
          <w:szCs w:val="28"/>
        </w:rPr>
        <w:t>，而且是利用道路等公眾得以自由出入的場所張貼之，已經涉及到憲法學上所謂「公共論壇」</w:t>
      </w:r>
      <w:r w:rsidR="00654FBB" w:rsidRPr="00142E7D">
        <w:rPr>
          <w:rFonts w:ascii="標楷體" w:hAnsi="標楷體"/>
          <w:kern w:val="0"/>
          <w:sz w:val="28"/>
          <w:szCs w:val="28"/>
        </w:rPr>
        <w:t>（</w:t>
      </w:r>
      <w:r w:rsidRPr="00142E7D">
        <w:rPr>
          <w:rFonts w:ascii="標楷體" w:hAnsi="標楷體"/>
          <w:kern w:val="0"/>
          <w:sz w:val="28"/>
          <w:szCs w:val="28"/>
        </w:rPr>
        <w:t>public forum</w:t>
      </w:r>
      <w:r w:rsidR="00654FBB" w:rsidRPr="00142E7D">
        <w:rPr>
          <w:rFonts w:ascii="標楷體" w:hAnsi="標楷體"/>
          <w:kern w:val="0"/>
          <w:sz w:val="28"/>
          <w:szCs w:val="28"/>
        </w:rPr>
        <w:t>）</w:t>
      </w:r>
      <w:r w:rsidRPr="00142E7D">
        <w:rPr>
          <w:rFonts w:ascii="標楷體" w:hAnsi="標楷體"/>
          <w:kern w:val="0"/>
          <w:sz w:val="28"/>
          <w:szCs w:val="28"/>
        </w:rPr>
        <w:t>的議題，這也是近年來歐美公民社會討論的熱門議題，論究人民在不影響其他人民自由行動、安寧或其他公物設置的目的</w:t>
      </w:r>
      <w:r w:rsidR="00DD4611" w:rsidRPr="00142E7D">
        <w:rPr>
          <w:rFonts w:ascii="標楷體" w:hAnsi="標楷體"/>
          <w:kern w:val="0"/>
          <w:sz w:val="28"/>
          <w:szCs w:val="28"/>
        </w:rPr>
        <w:t>（</w:t>
      </w:r>
      <w:r w:rsidRPr="00142E7D">
        <w:rPr>
          <w:rFonts w:ascii="標楷體" w:hAnsi="標楷體"/>
          <w:kern w:val="0"/>
          <w:sz w:val="28"/>
          <w:szCs w:val="28"/>
        </w:rPr>
        <w:t>例如，花園與公園是為了安靜、平抑心情的休閒目的所設、宗教建築是為信徒的禮拜與集會之目的所使用</w:t>
      </w:r>
      <w:r w:rsidR="00DD4611" w:rsidRPr="00142E7D">
        <w:rPr>
          <w:rFonts w:ascii="標楷體" w:hAnsi="標楷體"/>
          <w:kern w:val="0"/>
          <w:sz w:val="28"/>
          <w:szCs w:val="28"/>
        </w:rPr>
        <w:t>）</w:t>
      </w:r>
      <w:r w:rsidRPr="00142E7D">
        <w:rPr>
          <w:rFonts w:ascii="標楷體" w:hAnsi="標楷體"/>
          <w:kern w:val="0"/>
          <w:sz w:val="28"/>
          <w:szCs w:val="28"/>
        </w:rPr>
        <w:t>的前提下，在公共空間</w:t>
      </w:r>
      <w:r w:rsidR="00DD4611" w:rsidRPr="00142E7D">
        <w:rPr>
          <w:rFonts w:ascii="標楷體" w:hAnsi="標楷體"/>
          <w:kern w:val="0"/>
          <w:sz w:val="28"/>
          <w:szCs w:val="28"/>
        </w:rPr>
        <w:t>（</w:t>
      </w:r>
      <w:r w:rsidRPr="00142E7D">
        <w:rPr>
          <w:rFonts w:ascii="標楷體" w:hAnsi="標楷體"/>
          <w:kern w:val="0"/>
          <w:sz w:val="28"/>
          <w:szCs w:val="28"/>
        </w:rPr>
        <w:t>一般公園、街角、廣場</w:t>
      </w:r>
      <w:r w:rsidR="00DD4611" w:rsidRPr="00142E7D">
        <w:rPr>
          <w:rFonts w:ascii="標楷體" w:hAnsi="標楷體"/>
          <w:kern w:val="0"/>
          <w:sz w:val="28"/>
          <w:szCs w:val="28"/>
        </w:rPr>
        <w:t>）</w:t>
      </w:r>
      <w:r w:rsidRPr="00142E7D">
        <w:rPr>
          <w:rFonts w:ascii="標楷體" w:hAnsi="標楷體"/>
          <w:kern w:val="0"/>
          <w:sz w:val="28"/>
          <w:szCs w:val="28"/>
        </w:rPr>
        <w:t>發表意見</w:t>
      </w:r>
      <w:r w:rsidR="00DD4611" w:rsidRPr="00142E7D">
        <w:rPr>
          <w:rFonts w:ascii="標楷體" w:hAnsi="標楷體"/>
          <w:kern w:val="0"/>
          <w:sz w:val="28"/>
          <w:szCs w:val="28"/>
        </w:rPr>
        <w:t>（</w:t>
      </w:r>
      <w:r w:rsidRPr="00142E7D">
        <w:rPr>
          <w:rFonts w:ascii="標楷體" w:hAnsi="標楷體"/>
          <w:kern w:val="0"/>
          <w:sz w:val="28"/>
          <w:szCs w:val="28"/>
        </w:rPr>
        <w:t>包括英國海德公園式的個人肥皂箱上演說、散發或懸掛廣告等</w:t>
      </w:r>
      <w:r w:rsidR="00DD4611" w:rsidRPr="00142E7D">
        <w:rPr>
          <w:rFonts w:ascii="標楷體" w:hAnsi="標楷體"/>
          <w:kern w:val="0"/>
          <w:sz w:val="28"/>
          <w:szCs w:val="28"/>
        </w:rPr>
        <w:t>）</w:t>
      </w:r>
      <w:r w:rsidRPr="00142E7D">
        <w:rPr>
          <w:rFonts w:ascii="標楷體" w:hAnsi="標楷體"/>
          <w:kern w:val="0"/>
          <w:sz w:val="28"/>
          <w:szCs w:val="28"/>
        </w:rPr>
        <w:t>，應否給予充分保障的問題。</w:t>
      </w:r>
    </w:p>
    <w:p w:rsidR="004753EA" w:rsidRPr="00142E7D" w:rsidRDefault="004753EA" w:rsidP="00F46ABA">
      <w:pPr>
        <w:kinsoku w:val="0"/>
        <w:overflowPunct w:val="0"/>
        <w:adjustRightInd w:val="0"/>
        <w:snapToGrid w:val="0"/>
        <w:spacing w:line="404" w:lineRule="exact"/>
        <w:ind w:left="1134" w:firstLine="561"/>
        <w:jc w:val="both"/>
        <w:rPr>
          <w:rFonts w:ascii="標楷體" w:hAnsi="標楷體"/>
          <w:kern w:val="0"/>
          <w:sz w:val="28"/>
          <w:szCs w:val="28"/>
          <w:lang w:val="de-DE"/>
        </w:rPr>
      </w:pPr>
      <w:r w:rsidRPr="00142E7D">
        <w:rPr>
          <w:rFonts w:ascii="標楷體" w:hAnsi="標楷體"/>
          <w:kern w:val="0"/>
          <w:sz w:val="28"/>
          <w:szCs w:val="28"/>
        </w:rPr>
        <w:t>這也早是行政法學所探究的問題。早在德國行政法學創立之始</w:t>
      </w:r>
      <w:r w:rsidR="00DD4611" w:rsidRPr="00142E7D">
        <w:rPr>
          <w:rFonts w:ascii="標楷體" w:hAnsi="標楷體"/>
          <w:kern w:val="0"/>
          <w:sz w:val="28"/>
          <w:szCs w:val="28"/>
        </w:rPr>
        <w:t>（</w:t>
      </w:r>
      <w:r w:rsidRPr="00142E7D">
        <w:rPr>
          <w:rFonts w:ascii="標楷體" w:hAnsi="標楷體"/>
          <w:kern w:val="0"/>
          <w:sz w:val="28"/>
          <w:szCs w:val="28"/>
        </w:rPr>
        <w:t>十九世紀末Otto Mayer教授</w:t>
      </w:r>
      <w:r w:rsidR="00DD4611" w:rsidRPr="00142E7D">
        <w:rPr>
          <w:rFonts w:ascii="標楷體" w:hAnsi="標楷體"/>
          <w:kern w:val="0"/>
          <w:sz w:val="28"/>
          <w:szCs w:val="28"/>
        </w:rPr>
        <w:t>）</w:t>
      </w:r>
      <w:r w:rsidRPr="00142E7D">
        <w:rPr>
          <w:rFonts w:ascii="標楷體" w:hAnsi="標楷體"/>
          <w:kern w:val="0"/>
          <w:sz w:val="28"/>
          <w:szCs w:val="28"/>
        </w:rPr>
        <w:t>，即對公物的使用，區分為一般的使用</w:t>
      </w:r>
      <w:r w:rsidR="00DD4611" w:rsidRPr="00142E7D">
        <w:rPr>
          <w:rFonts w:ascii="標楷體" w:hAnsi="標楷體"/>
          <w:kern w:val="0"/>
          <w:sz w:val="28"/>
          <w:szCs w:val="28"/>
        </w:rPr>
        <w:t>（</w:t>
      </w:r>
      <w:r w:rsidRPr="00142E7D">
        <w:rPr>
          <w:rFonts w:ascii="標楷體" w:hAnsi="標楷體"/>
          <w:kern w:val="0"/>
          <w:sz w:val="28"/>
          <w:szCs w:val="28"/>
        </w:rPr>
        <w:t>例如，人民使用道路通行</w:t>
      </w:r>
      <w:r w:rsidR="00DD4611" w:rsidRPr="00142E7D">
        <w:rPr>
          <w:rFonts w:ascii="標楷體" w:hAnsi="標楷體"/>
          <w:kern w:val="0"/>
          <w:sz w:val="28"/>
          <w:szCs w:val="28"/>
        </w:rPr>
        <w:t>）</w:t>
      </w:r>
      <w:r w:rsidRPr="00142E7D">
        <w:rPr>
          <w:rFonts w:ascii="標楷體" w:hAnsi="標楷體"/>
          <w:kern w:val="0"/>
          <w:sz w:val="28"/>
          <w:szCs w:val="28"/>
        </w:rPr>
        <w:t>，即毋庸申請許可。至於作為特別使用</w:t>
      </w:r>
      <w:r w:rsidR="00DD4611" w:rsidRPr="00142E7D">
        <w:rPr>
          <w:rFonts w:ascii="標楷體" w:hAnsi="標楷體"/>
          <w:kern w:val="0"/>
          <w:sz w:val="28"/>
          <w:szCs w:val="28"/>
        </w:rPr>
        <w:t>（</w:t>
      </w:r>
      <w:r w:rsidRPr="00142E7D">
        <w:rPr>
          <w:rFonts w:ascii="標楷體" w:hAnsi="標楷體"/>
          <w:kern w:val="0"/>
          <w:sz w:val="28"/>
          <w:szCs w:val="28"/>
        </w:rPr>
        <w:t>例如，利用路邊來舉行婚禮或喪禮</w:t>
      </w:r>
      <w:r w:rsidR="00DD4611" w:rsidRPr="00142E7D">
        <w:rPr>
          <w:rFonts w:ascii="標楷體" w:hAnsi="標楷體"/>
          <w:kern w:val="0"/>
          <w:sz w:val="28"/>
          <w:szCs w:val="28"/>
        </w:rPr>
        <w:t>）</w:t>
      </w:r>
      <w:r w:rsidRPr="00142E7D">
        <w:rPr>
          <w:rFonts w:ascii="標楷體" w:hAnsi="標楷體"/>
          <w:kern w:val="0"/>
          <w:sz w:val="28"/>
          <w:szCs w:val="28"/>
        </w:rPr>
        <w:t>，即須經過許可。從而，利用公共空間，即可仿效公物的使用方式，將違反公物目的的張貼廣告等</w:t>
      </w:r>
      <w:r w:rsidRPr="00142E7D">
        <w:rPr>
          <w:rFonts w:ascii="標楷體" w:hAnsi="標楷體"/>
          <w:kern w:val="0"/>
          <w:sz w:val="28"/>
          <w:szCs w:val="28"/>
        </w:rPr>
        <w:lastRenderedPageBreak/>
        <w:t>，視為需經申請的特別使用行為。例如，德國道路與交通法</w:t>
      </w:r>
      <w:r w:rsidR="00654FBB" w:rsidRPr="00142E7D">
        <w:rPr>
          <w:rFonts w:ascii="標楷體" w:hAnsi="標楷體"/>
          <w:kern w:val="0"/>
          <w:sz w:val="28"/>
          <w:szCs w:val="28"/>
        </w:rPr>
        <w:t>（</w:t>
      </w:r>
      <w:r w:rsidRPr="00142E7D">
        <w:rPr>
          <w:rFonts w:ascii="標楷體" w:hAnsi="標楷體"/>
          <w:kern w:val="0"/>
          <w:sz w:val="28"/>
          <w:szCs w:val="28"/>
        </w:rPr>
        <w:t>Stra</w:t>
      </w:r>
      <w:r w:rsidRPr="00142E7D">
        <w:rPr>
          <w:rFonts w:ascii="標楷體" w:hAnsi="標楷體"/>
          <w:kern w:val="0"/>
          <w:sz w:val="28"/>
          <w:szCs w:val="28"/>
          <w:lang w:val="de-DE"/>
        </w:rPr>
        <w:t>ßen-und Wegegesetz</w:t>
      </w:r>
      <w:r w:rsidR="00654FBB" w:rsidRPr="00142E7D">
        <w:rPr>
          <w:rFonts w:ascii="標楷體" w:hAnsi="標楷體"/>
          <w:kern w:val="0"/>
          <w:sz w:val="28"/>
          <w:szCs w:val="28"/>
          <w:lang w:val="de-DE"/>
        </w:rPr>
        <w:t>）</w:t>
      </w:r>
      <w:r w:rsidRPr="00142E7D">
        <w:rPr>
          <w:rFonts w:ascii="標楷體" w:hAnsi="標楷體"/>
          <w:kern w:val="0"/>
          <w:sz w:val="28"/>
          <w:szCs w:val="28"/>
          <w:lang w:val="de-DE"/>
        </w:rPr>
        <w:t>第二十一條，便有此「特別使用許可」</w:t>
      </w:r>
      <w:r w:rsidR="00654FBB" w:rsidRPr="00142E7D">
        <w:rPr>
          <w:rFonts w:ascii="標楷體" w:hAnsi="標楷體"/>
          <w:kern w:val="0"/>
          <w:sz w:val="28"/>
          <w:szCs w:val="28"/>
          <w:lang w:val="de-DE"/>
        </w:rPr>
        <w:t>（</w:t>
      </w:r>
      <w:r w:rsidRPr="00142E7D">
        <w:rPr>
          <w:rFonts w:ascii="標楷體" w:hAnsi="標楷體"/>
          <w:kern w:val="0"/>
          <w:sz w:val="28"/>
          <w:szCs w:val="28"/>
          <w:lang w:val="de-DE"/>
        </w:rPr>
        <w:t>Sondernutzungserlaubnis</w:t>
      </w:r>
      <w:r w:rsidR="00654FBB" w:rsidRPr="00142E7D">
        <w:rPr>
          <w:rFonts w:ascii="標楷體" w:hAnsi="標楷體"/>
          <w:kern w:val="0"/>
          <w:sz w:val="28"/>
          <w:szCs w:val="28"/>
          <w:lang w:val="de-DE"/>
        </w:rPr>
        <w:t>）</w:t>
      </w:r>
      <w:r w:rsidRPr="00142E7D">
        <w:rPr>
          <w:rFonts w:ascii="標楷體" w:hAnsi="標楷體"/>
          <w:kern w:val="0"/>
          <w:sz w:val="28"/>
          <w:szCs w:val="28"/>
          <w:lang w:val="de-DE"/>
        </w:rPr>
        <w:t>的制度。我國也有相同的立法，例如，道路交通管理處罰條例第八十二條第九款之規定：「未經許可在道路舉行賽會或擺設筵席、演戲、拍攝電影或其他類似行為」，同樣的也及於廣告物的設置</w:t>
      </w:r>
      <w:r w:rsidR="00DD4611" w:rsidRPr="00142E7D">
        <w:rPr>
          <w:rFonts w:ascii="標楷體" w:hAnsi="標楷體"/>
          <w:kern w:val="0"/>
          <w:sz w:val="28"/>
          <w:szCs w:val="28"/>
          <w:lang w:val="de-DE"/>
        </w:rPr>
        <w:t>（</w:t>
      </w:r>
      <w:r w:rsidRPr="00142E7D">
        <w:rPr>
          <w:rFonts w:ascii="標楷體" w:hAnsi="標楷體"/>
          <w:kern w:val="0"/>
          <w:sz w:val="28"/>
          <w:szCs w:val="28"/>
          <w:lang w:val="de-DE"/>
        </w:rPr>
        <w:t>見同條文第八款：「未經許可在道路設置石碑、廣告牌、綵坊或其他類似物」</w:t>
      </w:r>
      <w:r w:rsidR="00DD4611" w:rsidRPr="00142E7D">
        <w:rPr>
          <w:rFonts w:ascii="標楷體" w:hAnsi="標楷體"/>
          <w:kern w:val="0"/>
          <w:sz w:val="28"/>
          <w:szCs w:val="28"/>
          <w:lang w:val="de-DE"/>
        </w:rPr>
        <w:t>）</w:t>
      </w:r>
      <w:r w:rsidRPr="00142E7D">
        <w:rPr>
          <w:rFonts w:ascii="標楷體" w:hAnsi="標楷體"/>
          <w:kern w:val="0"/>
          <w:sz w:val="28"/>
          <w:szCs w:val="28"/>
          <w:lang w:val="de-DE"/>
        </w:rPr>
        <w:t>。因此，早已成為行政法學有關公物的主要論究標的也</w:t>
      </w:r>
      <w:r w:rsidRPr="00142E7D">
        <w:rPr>
          <w:rStyle w:val="ab"/>
          <w:rFonts w:ascii="標楷體" w:hAnsi="標楷體"/>
          <w:kern w:val="0"/>
          <w:sz w:val="28"/>
          <w:szCs w:val="28"/>
          <w:lang w:val="de-DE"/>
        </w:rPr>
        <w:footnoteReference w:id="62"/>
      </w:r>
      <w:r w:rsidRPr="00142E7D">
        <w:rPr>
          <w:rFonts w:ascii="標楷體" w:hAnsi="標楷體"/>
          <w:kern w:val="0"/>
          <w:sz w:val="28"/>
          <w:szCs w:val="28"/>
          <w:lang w:val="de-DE"/>
        </w:rPr>
        <w:t>。</w:t>
      </w:r>
    </w:p>
    <w:p w:rsidR="004753EA" w:rsidRPr="00142E7D" w:rsidRDefault="004753EA" w:rsidP="00F46ABA">
      <w:pPr>
        <w:kinsoku w:val="0"/>
        <w:overflowPunct w:val="0"/>
        <w:adjustRightInd w:val="0"/>
        <w:snapToGrid w:val="0"/>
        <w:spacing w:line="404" w:lineRule="exact"/>
        <w:ind w:left="1134" w:firstLine="561"/>
        <w:jc w:val="both"/>
        <w:rPr>
          <w:rFonts w:ascii="標楷體" w:hAnsi="標楷體"/>
          <w:kern w:val="0"/>
          <w:sz w:val="28"/>
          <w:szCs w:val="28"/>
        </w:rPr>
      </w:pPr>
      <w:r w:rsidRPr="00142E7D">
        <w:rPr>
          <w:rFonts w:ascii="標楷體" w:hAnsi="標楷體"/>
          <w:kern w:val="0"/>
          <w:sz w:val="28"/>
          <w:szCs w:val="28"/>
        </w:rPr>
        <w:t>同時，由於這些公共空間泰半屬於地方自治團體所興建與管轄，這也是地方自治團體得以自治規章來予以規範的領域。</w:t>
      </w:r>
    </w:p>
    <w:p w:rsidR="004753EA" w:rsidRPr="00142E7D" w:rsidRDefault="004753EA" w:rsidP="00F46ABA">
      <w:pPr>
        <w:kinsoku w:val="0"/>
        <w:overflowPunct w:val="0"/>
        <w:adjustRightInd w:val="0"/>
        <w:snapToGrid w:val="0"/>
        <w:spacing w:line="404" w:lineRule="exact"/>
        <w:ind w:left="1134" w:firstLine="561"/>
        <w:jc w:val="both"/>
        <w:rPr>
          <w:rFonts w:ascii="標楷體" w:hAnsi="標楷體"/>
          <w:kern w:val="0"/>
          <w:sz w:val="28"/>
          <w:szCs w:val="28"/>
        </w:rPr>
      </w:pPr>
      <w:r w:rsidRPr="00142E7D">
        <w:rPr>
          <w:rFonts w:ascii="標楷體" w:hAnsi="標楷體"/>
          <w:kern w:val="0"/>
          <w:sz w:val="28"/>
          <w:szCs w:val="28"/>
        </w:rPr>
        <w:t>再則，多數意見雖然有意將公共論壇的概念引入，從而使保障言論自由的嚴謹度能夠納入在廣告的規範之中，才不惜甘冒可能造成「曲解」廣告的本質之嫌，而使其化身為言論自由的一環。此用意顯現在理由書第三段的論述「……系爭公告雖非為限制人民言論自由或其他憲法上所保障之基本權利而設，然於具體個案可能因主管機關對於廣告物之內容及設置之時間、地點、方式之審查，而否准設置，造成限制人民言論自由或其他憲法上所保障之基本權利之結果。主管機關於依本解釋意旨修正系爭公告時，應通盤考量其可能造成言論自由或其他憲法上所保障之基本權利限制之必要性與適當性，併此指明」。</w:t>
      </w:r>
    </w:p>
    <w:p w:rsidR="00F46ABA" w:rsidRPr="00142E7D" w:rsidRDefault="004753EA" w:rsidP="00F46ABA">
      <w:pPr>
        <w:kinsoku w:val="0"/>
        <w:overflowPunct w:val="0"/>
        <w:adjustRightInd w:val="0"/>
        <w:snapToGrid w:val="0"/>
        <w:spacing w:line="404" w:lineRule="exact"/>
        <w:ind w:left="1134" w:firstLine="561"/>
        <w:jc w:val="distribute"/>
        <w:rPr>
          <w:rFonts w:ascii="標楷體" w:hAnsi="標楷體" w:hint="eastAsia"/>
          <w:kern w:val="0"/>
          <w:sz w:val="28"/>
          <w:szCs w:val="28"/>
        </w:rPr>
      </w:pPr>
      <w:r w:rsidRPr="00142E7D">
        <w:rPr>
          <w:rFonts w:ascii="標楷體" w:hAnsi="標楷體"/>
          <w:kern w:val="0"/>
          <w:sz w:val="28"/>
          <w:szCs w:val="28"/>
        </w:rPr>
        <w:t>此「警告」的用意，顯然指出廣告的法規可能觸犯言論自由及其</w:t>
      </w:r>
    </w:p>
    <w:p w:rsidR="004753EA" w:rsidRPr="00142E7D" w:rsidRDefault="004753EA" w:rsidP="00F46ABA">
      <w:pPr>
        <w:kinsoku w:val="0"/>
        <w:overflowPunct w:val="0"/>
        <w:adjustRightInd w:val="0"/>
        <w:snapToGrid w:val="0"/>
        <w:spacing w:line="402" w:lineRule="exact"/>
        <w:ind w:left="1134"/>
        <w:jc w:val="both"/>
        <w:rPr>
          <w:rFonts w:ascii="標楷體" w:hAnsi="標楷體"/>
          <w:kern w:val="0"/>
          <w:sz w:val="28"/>
          <w:szCs w:val="28"/>
        </w:rPr>
      </w:pPr>
      <w:r w:rsidRPr="00142E7D">
        <w:rPr>
          <w:rFonts w:ascii="標楷體" w:hAnsi="標楷體"/>
          <w:kern w:val="0"/>
          <w:sz w:val="28"/>
          <w:szCs w:val="28"/>
        </w:rPr>
        <w:t>他人權，故應注重比例原則。然而，這是所有規範、限制人權的法令規章都應遵守的原則，究竟是一般「隨時應注意改進」般的「警示意義」？還是確有應予「檢討改進」之處？語焉不詳。但研讀再三，當以前者為然。</w:t>
      </w:r>
    </w:p>
    <w:p w:rsidR="004753EA" w:rsidRPr="00142E7D" w:rsidRDefault="004753EA" w:rsidP="003A2DBB">
      <w:pPr>
        <w:kinsoku w:val="0"/>
        <w:overflowPunct w:val="0"/>
        <w:adjustRightInd w:val="0"/>
        <w:snapToGrid w:val="0"/>
        <w:spacing w:line="402" w:lineRule="exact"/>
        <w:ind w:left="1134" w:firstLine="561"/>
        <w:jc w:val="both"/>
        <w:rPr>
          <w:rFonts w:ascii="標楷體" w:hAnsi="標楷體"/>
          <w:kern w:val="0"/>
          <w:sz w:val="28"/>
          <w:szCs w:val="28"/>
        </w:rPr>
      </w:pPr>
      <w:r w:rsidRPr="00142E7D">
        <w:rPr>
          <w:rFonts w:ascii="標楷體" w:hAnsi="標楷體"/>
          <w:kern w:val="0"/>
          <w:sz w:val="28"/>
          <w:szCs w:val="28"/>
        </w:rPr>
        <w:t>多數意見顯然嘗試要突顯本號解釋的立論，已涉及到「公共空間」的使用許可性問題，才會一方面將本號解釋的標的</w:t>
      </w:r>
      <w:r w:rsidR="00DD4611" w:rsidRPr="00142E7D">
        <w:rPr>
          <w:rFonts w:ascii="標楷體" w:hAnsi="標楷體"/>
          <w:kern w:val="0"/>
          <w:sz w:val="28"/>
          <w:szCs w:val="28"/>
        </w:rPr>
        <w:t>（</w:t>
      </w:r>
      <w:r w:rsidRPr="00142E7D">
        <w:rPr>
          <w:rFonts w:ascii="標楷體" w:hAnsi="標楷體"/>
          <w:kern w:val="0"/>
          <w:sz w:val="28"/>
          <w:szCs w:val="28"/>
        </w:rPr>
        <w:t>廣告物</w:t>
      </w:r>
      <w:r w:rsidR="00DD4611" w:rsidRPr="00142E7D">
        <w:rPr>
          <w:rFonts w:ascii="標楷體" w:hAnsi="標楷體"/>
          <w:kern w:val="0"/>
          <w:sz w:val="28"/>
          <w:szCs w:val="28"/>
        </w:rPr>
        <w:t>）</w:t>
      </w:r>
      <w:r w:rsidRPr="00142E7D">
        <w:rPr>
          <w:rFonts w:ascii="標楷體" w:hAnsi="標楷體"/>
          <w:kern w:val="0"/>
          <w:sz w:val="28"/>
          <w:szCs w:val="28"/>
        </w:rPr>
        <w:t>視為言論自由，而又在理由書第三段提及「而公共場所於不妨礙其通常使用方式之範圍內，亦非不得為言論表達及意見溝通」，顯然已將公共論壇的概念納入，然而，這種提示恐怕未必能達到澄清的效果。</w:t>
      </w:r>
    </w:p>
    <w:p w:rsidR="004753EA" w:rsidRPr="00142E7D" w:rsidRDefault="004753EA" w:rsidP="008627A8">
      <w:pPr>
        <w:kinsoku w:val="0"/>
        <w:overflowPunct w:val="0"/>
        <w:adjustRightInd w:val="0"/>
        <w:snapToGrid w:val="0"/>
        <w:spacing w:line="402" w:lineRule="exact"/>
        <w:ind w:left="1134" w:firstLine="561"/>
        <w:jc w:val="both"/>
        <w:rPr>
          <w:rFonts w:ascii="標楷體" w:hAnsi="標楷體"/>
          <w:kern w:val="0"/>
          <w:sz w:val="28"/>
          <w:szCs w:val="28"/>
        </w:rPr>
      </w:pPr>
      <w:r w:rsidRPr="00142E7D">
        <w:rPr>
          <w:rFonts w:ascii="標楷體" w:hAnsi="標楷體"/>
          <w:kern w:val="0"/>
          <w:sz w:val="28"/>
          <w:szCs w:val="28"/>
        </w:rPr>
        <w:t>綜上所述，本席相信，當本號解釋送達到原因案件主管機關時，主管機關極可能茫然無從。</w:t>
      </w:r>
    </w:p>
    <w:p w:rsidR="004753EA" w:rsidRPr="00142E7D" w:rsidRDefault="004753EA" w:rsidP="008627A8">
      <w:pPr>
        <w:kinsoku w:val="0"/>
        <w:overflowPunct w:val="0"/>
        <w:adjustRightInd w:val="0"/>
        <w:snapToGrid w:val="0"/>
        <w:spacing w:line="402" w:lineRule="exact"/>
        <w:ind w:left="1134" w:firstLine="561"/>
        <w:jc w:val="both"/>
        <w:rPr>
          <w:rFonts w:ascii="標楷體" w:hAnsi="標楷體"/>
          <w:kern w:val="0"/>
          <w:sz w:val="28"/>
          <w:szCs w:val="28"/>
        </w:rPr>
      </w:pPr>
      <w:r w:rsidRPr="00142E7D">
        <w:rPr>
          <w:rFonts w:ascii="標楷體" w:hAnsi="標楷體"/>
          <w:kern w:val="0"/>
          <w:sz w:val="28"/>
          <w:szCs w:val="28"/>
        </w:rPr>
        <w:t>因為既然規範一般廣告物的臺南市廣告物自治條例未經審查，即維持合憲性。同時通篇解釋文未有一言一語提及：為符合法律保留原</w:t>
      </w:r>
      <w:r w:rsidRPr="00142E7D">
        <w:rPr>
          <w:rFonts w:ascii="標楷體" w:hAnsi="標楷體"/>
          <w:kern w:val="0"/>
          <w:sz w:val="28"/>
          <w:szCs w:val="28"/>
        </w:rPr>
        <w:lastRenderedPageBreak/>
        <w:t>則，應對廣告物的許可制等規範事項，應透過嚴格、明確的立法程序。但在此又提到地方政府應注意在「具體個案行使審查廣告內容及設置之時間、地點、方式」是否侵犯言論自由及其他人權，故要求應符合比例原則。顯然，只著眼在主管機關執行個案會否符合比例原則，屬於「個案合法性」的階層。多數意見的目光為何不再往上關注到「地方廣告法制」的合憲基礎之上？</w:t>
      </w:r>
    </w:p>
    <w:p w:rsidR="004753EA" w:rsidRPr="00142E7D" w:rsidRDefault="004753EA" w:rsidP="008627A8">
      <w:pPr>
        <w:kinsoku w:val="0"/>
        <w:overflowPunct w:val="0"/>
        <w:adjustRightInd w:val="0"/>
        <w:snapToGrid w:val="0"/>
        <w:spacing w:line="402" w:lineRule="exact"/>
        <w:ind w:left="1134" w:firstLine="561"/>
        <w:jc w:val="both"/>
        <w:rPr>
          <w:rFonts w:ascii="標楷體" w:hAnsi="標楷體"/>
          <w:kern w:val="0"/>
          <w:sz w:val="28"/>
          <w:szCs w:val="28"/>
        </w:rPr>
      </w:pPr>
      <w:r w:rsidRPr="00142E7D">
        <w:rPr>
          <w:rFonts w:ascii="標楷體" w:hAnsi="標楷體"/>
          <w:kern w:val="0"/>
          <w:sz w:val="28"/>
          <w:szCs w:val="28"/>
        </w:rPr>
        <w:t>同時，此「專注個案」的立論，也再度呼應了本席所一再指摘──多數意見許可地方政府透過系爭公告的方式，取得全盤規範廣告事宜的立法權限、規避法律保留原則，從而可以在個案決定廣告張貼地點、內容的審駁上，享有全權，致產生了多數意見所擔心的「個案違反比例原則」之弊也！</w:t>
      </w:r>
    </w:p>
    <w:p w:rsidR="004753EA" w:rsidRPr="00142E7D" w:rsidRDefault="004753EA" w:rsidP="003A2DBB">
      <w:pPr>
        <w:kinsoku w:val="0"/>
        <w:overflowPunct w:val="0"/>
        <w:adjustRightInd w:val="0"/>
        <w:snapToGrid w:val="0"/>
        <w:spacing w:line="402" w:lineRule="exact"/>
        <w:ind w:left="567" w:hanging="567"/>
        <w:jc w:val="both"/>
        <w:rPr>
          <w:rFonts w:ascii="標楷體" w:hAnsi="標楷體"/>
          <w:b/>
          <w:kern w:val="0"/>
          <w:sz w:val="28"/>
          <w:szCs w:val="28"/>
        </w:rPr>
      </w:pPr>
      <w:r w:rsidRPr="00142E7D">
        <w:rPr>
          <w:rFonts w:ascii="標楷體" w:hAnsi="標楷體"/>
          <w:b/>
          <w:kern w:val="0"/>
          <w:sz w:val="28"/>
          <w:szCs w:val="28"/>
        </w:rPr>
        <w:t>三、結論──狂野粗暴的廣告猶如類似性質的人民行為，毋庸視為高價值的言論自由，而予最高度的保障</w:t>
      </w:r>
    </w:p>
    <w:p w:rsidR="004753EA" w:rsidRPr="00142E7D" w:rsidRDefault="004753EA" w:rsidP="003A2DBB">
      <w:pPr>
        <w:kinsoku w:val="0"/>
        <w:overflowPunct w:val="0"/>
        <w:adjustRightInd w:val="0"/>
        <w:snapToGrid w:val="0"/>
        <w:spacing w:line="402" w:lineRule="exact"/>
        <w:ind w:left="561" w:firstLine="561"/>
        <w:jc w:val="both"/>
        <w:rPr>
          <w:rFonts w:ascii="標楷體" w:hAnsi="標楷體"/>
          <w:kern w:val="0"/>
          <w:sz w:val="28"/>
          <w:szCs w:val="28"/>
        </w:rPr>
      </w:pPr>
      <w:r w:rsidRPr="00142E7D">
        <w:rPr>
          <w:rFonts w:ascii="標楷體" w:hAnsi="標楷體"/>
          <w:kern w:val="0"/>
          <w:sz w:val="28"/>
          <w:szCs w:val="28"/>
        </w:rPr>
        <w:t>的確，廣告是一種標語，反之亦然，都是抒發人民意見、宗教信仰、政治理念，甚至藝術、學術見解的工具與平台。同時，也是將之散布於大眾，冀獲得更多的共鳴與支持。</w:t>
      </w:r>
    </w:p>
    <w:p w:rsidR="004753EA" w:rsidRPr="00142E7D" w:rsidRDefault="004753EA" w:rsidP="003A2DBB">
      <w:pPr>
        <w:kinsoku w:val="0"/>
        <w:overflowPunct w:val="0"/>
        <w:adjustRightInd w:val="0"/>
        <w:snapToGrid w:val="0"/>
        <w:spacing w:line="402" w:lineRule="exact"/>
        <w:ind w:left="561" w:firstLine="561"/>
        <w:jc w:val="both"/>
        <w:rPr>
          <w:rFonts w:ascii="標楷體" w:hAnsi="標楷體"/>
          <w:kern w:val="0"/>
          <w:sz w:val="28"/>
          <w:szCs w:val="28"/>
        </w:rPr>
      </w:pPr>
      <w:r w:rsidRPr="00142E7D">
        <w:rPr>
          <w:rFonts w:ascii="標楷體" w:hAnsi="標楷體"/>
          <w:kern w:val="0"/>
          <w:sz w:val="28"/>
          <w:szCs w:val="28"/>
        </w:rPr>
        <w:t>在法治國家這是典型的行為自由，不僅僅只為言論自由而生，也因此會產生與他人合法權利以及公共利益衝撞的後果，自然可以透過合憲的途徑──嚴格的法律保留、授權明確性及比例原則來予以限制之。就此而言，國家法律規範人民張貼、放置廣告物的「行為自由權」，可納入一般人權的管制，並無太大的特殊性也。</w:t>
      </w:r>
    </w:p>
    <w:p w:rsidR="00C85A0D" w:rsidRPr="00142E7D" w:rsidRDefault="004753EA" w:rsidP="00C85A0D">
      <w:pPr>
        <w:kinsoku w:val="0"/>
        <w:overflowPunct w:val="0"/>
        <w:adjustRightInd w:val="0"/>
        <w:snapToGrid w:val="0"/>
        <w:spacing w:line="402" w:lineRule="exact"/>
        <w:ind w:left="561" w:firstLine="561"/>
        <w:jc w:val="distribute"/>
        <w:rPr>
          <w:rFonts w:ascii="標楷體" w:hAnsi="標楷體" w:hint="eastAsia"/>
          <w:kern w:val="0"/>
          <w:sz w:val="28"/>
          <w:szCs w:val="28"/>
        </w:rPr>
      </w:pPr>
      <w:r w:rsidRPr="00142E7D">
        <w:rPr>
          <w:rFonts w:ascii="標楷體" w:hAnsi="標楷體"/>
          <w:kern w:val="0"/>
          <w:sz w:val="28"/>
          <w:szCs w:val="28"/>
        </w:rPr>
        <w:t>故，如廣告與標語竟然逾越了法律的許可性，不僅僅是張貼、放置的合法規定，即便是內容方面，亦非不可由立法者基於重大的公共利益，例如，維護合憲秩序、禁止煽動犯罪行為的言論，或為維護族群和諧、人性</w:t>
      </w:r>
    </w:p>
    <w:p w:rsidR="004753EA" w:rsidRPr="00142E7D" w:rsidRDefault="004753EA" w:rsidP="00C85A0D">
      <w:pPr>
        <w:kinsoku w:val="0"/>
        <w:overflowPunct w:val="0"/>
        <w:adjustRightInd w:val="0"/>
        <w:snapToGrid w:val="0"/>
        <w:spacing w:line="406" w:lineRule="exact"/>
        <w:ind w:left="561"/>
        <w:jc w:val="both"/>
        <w:rPr>
          <w:rFonts w:ascii="標楷體" w:hAnsi="標楷體"/>
          <w:kern w:val="0"/>
          <w:sz w:val="28"/>
          <w:szCs w:val="28"/>
        </w:rPr>
      </w:pPr>
      <w:r w:rsidRPr="00142E7D">
        <w:rPr>
          <w:rFonts w:ascii="標楷體" w:hAnsi="標楷體"/>
          <w:kern w:val="0"/>
          <w:sz w:val="28"/>
          <w:szCs w:val="28"/>
        </w:rPr>
        <w:t>尊嚴，禁止抒發、散布種族仇恨的言論，以及為了維持青少年身心發展或社會公序良俗，禁止懸掛涉及猥褻之虞的廣告與藥品等，都是法治國家所毋庸視為侵犯人權的立法措施。</w:t>
      </w:r>
    </w:p>
    <w:p w:rsidR="004753EA" w:rsidRPr="00142E7D" w:rsidRDefault="004753EA" w:rsidP="00C85A0D">
      <w:pPr>
        <w:kinsoku w:val="0"/>
        <w:overflowPunct w:val="0"/>
        <w:adjustRightInd w:val="0"/>
        <w:snapToGrid w:val="0"/>
        <w:spacing w:line="406" w:lineRule="exact"/>
        <w:ind w:left="561" w:firstLine="561"/>
        <w:jc w:val="both"/>
        <w:rPr>
          <w:rFonts w:ascii="標楷體" w:hAnsi="標楷體"/>
          <w:kern w:val="0"/>
          <w:sz w:val="28"/>
          <w:szCs w:val="28"/>
        </w:rPr>
      </w:pPr>
      <w:r w:rsidRPr="00142E7D">
        <w:rPr>
          <w:rFonts w:ascii="標楷體" w:hAnsi="標楷體"/>
          <w:kern w:val="0"/>
          <w:sz w:val="28"/>
          <w:szCs w:val="28"/>
        </w:rPr>
        <w:t>在此，本席可舉德國大法學家賴特布魯赫</w:t>
      </w:r>
      <w:r w:rsidR="00654FBB" w:rsidRPr="00142E7D">
        <w:rPr>
          <w:rFonts w:ascii="標楷體" w:hAnsi="標楷體"/>
          <w:kern w:val="0"/>
          <w:sz w:val="28"/>
          <w:szCs w:val="28"/>
        </w:rPr>
        <w:t>（</w:t>
      </w:r>
      <w:r w:rsidRPr="00142E7D">
        <w:rPr>
          <w:rFonts w:ascii="標楷體" w:hAnsi="標楷體"/>
          <w:kern w:val="0"/>
          <w:sz w:val="28"/>
          <w:szCs w:val="28"/>
        </w:rPr>
        <w:t>Gustav Radbruch</w:t>
      </w:r>
      <w:r w:rsidR="00654FBB" w:rsidRPr="00142E7D">
        <w:rPr>
          <w:rFonts w:ascii="標楷體" w:hAnsi="標楷體"/>
          <w:kern w:val="0"/>
          <w:sz w:val="28"/>
          <w:szCs w:val="28"/>
        </w:rPr>
        <w:t>）</w:t>
      </w:r>
      <w:r w:rsidRPr="00142E7D">
        <w:rPr>
          <w:rFonts w:ascii="標楷體" w:hAnsi="標楷體"/>
          <w:kern w:val="0"/>
          <w:sz w:val="28"/>
          <w:szCs w:val="28"/>
        </w:rPr>
        <w:t>，所提出的一句名言，表示毫無顧忌的「公共言論」，可能給社會帶來的嚴重弊害：</w:t>
      </w:r>
    </w:p>
    <w:p w:rsidR="004753EA" w:rsidRPr="00142E7D" w:rsidRDefault="004753EA" w:rsidP="00C85A0D">
      <w:pPr>
        <w:kinsoku w:val="0"/>
        <w:overflowPunct w:val="0"/>
        <w:adjustRightInd w:val="0"/>
        <w:snapToGrid w:val="0"/>
        <w:spacing w:line="406" w:lineRule="exact"/>
        <w:ind w:left="561" w:firstLine="561"/>
        <w:jc w:val="both"/>
        <w:rPr>
          <w:rFonts w:ascii="標楷體" w:hAnsi="標楷體"/>
          <w:kern w:val="0"/>
          <w:sz w:val="28"/>
          <w:szCs w:val="28"/>
        </w:rPr>
      </w:pPr>
      <w:r w:rsidRPr="00142E7D">
        <w:rPr>
          <w:rFonts w:ascii="標楷體" w:hAnsi="標楷體"/>
          <w:kern w:val="0"/>
          <w:sz w:val="28"/>
          <w:szCs w:val="28"/>
        </w:rPr>
        <w:t>「</w:t>
      </w:r>
      <w:r w:rsidRPr="00142E7D">
        <w:rPr>
          <w:rFonts w:ascii="標楷體" w:hAnsi="標楷體"/>
          <w:b/>
          <w:kern w:val="0"/>
          <w:sz w:val="28"/>
          <w:szCs w:val="28"/>
        </w:rPr>
        <w:t>一幅狂野的標語，比一匹橫衝直撞的馬更危險，它不僅對騎士、群眾、玻璃窗造成危害，也危及了放在玻璃櫥窗內易碎的瓷器」</w:t>
      </w:r>
      <w:r w:rsidRPr="00142E7D">
        <w:rPr>
          <w:rStyle w:val="ab"/>
          <w:rFonts w:ascii="標楷體" w:hAnsi="標楷體"/>
          <w:b/>
          <w:kern w:val="0"/>
          <w:sz w:val="28"/>
          <w:szCs w:val="28"/>
        </w:rPr>
        <w:footnoteReference w:id="63"/>
      </w:r>
      <w:r w:rsidRPr="00142E7D">
        <w:rPr>
          <w:rFonts w:ascii="標楷體" w:hAnsi="標楷體"/>
          <w:b/>
          <w:kern w:val="0"/>
          <w:sz w:val="28"/>
          <w:szCs w:val="28"/>
        </w:rPr>
        <w:t>。</w:t>
      </w:r>
    </w:p>
    <w:p w:rsidR="004753EA" w:rsidRPr="00142E7D" w:rsidRDefault="004753EA" w:rsidP="00C85A0D">
      <w:pPr>
        <w:kinsoku w:val="0"/>
        <w:overflowPunct w:val="0"/>
        <w:adjustRightInd w:val="0"/>
        <w:snapToGrid w:val="0"/>
        <w:spacing w:line="406" w:lineRule="exact"/>
        <w:ind w:left="561" w:firstLine="561"/>
        <w:jc w:val="both"/>
        <w:rPr>
          <w:rFonts w:ascii="標楷體" w:hAnsi="標楷體"/>
          <w:kern w:val="0"/>
          <w:sz w:val="28"/>
          <w:szCs w:val="28"/>
        </w:rPr>
      </w:pPr>
      <w:r w:rsidRPr="00142E7D">
        <w:rPr>
          <w:rFonts w:ascii="標楷體" w:hAnsi="標楷體"/>
          <w:kern w:val="0"/>
          <w:sz w:val="28"/>
          <w:szCs w:val="28"/>
        </w:rPr>
        <w:t>賴特布魯赫在一九四六年二次世界大戰甫結束的次年，說出此句沈痛</w:t>
      </w:r>
      <w:r w:rsidRPr="00142E7D">
        <w:rPr>
          <w:rFonts w:ascii="標楷體" w:hAnsi="標楷體"/>
          <w:kern w:val="0"/>
          <w:sz w:val="28"/>
          <w:szCs w:val="28"/>
        </w:rPr>
        <w:lastRenderedPageBreak/>
        <w:t>的話語，當係其目睹德國納粹政權在一九三三年奪取政權前十年，已經極盡「廣告、標語宣傳戰」的能事，宣揚迫害政治異己與猶太人的正當性理由。迨獲得政權後，更是開足國家機器之馬力，透過全國到處懸掛的標語，徹底的給全民政治洗腦，一步步地視宣揚的暴戾之氣為尋常的真理，也最終清除了絕大部分國民的良知判斷力</w:t>
      </w:r>
      <w:r w:rsidRPr="00142E7D">
        <w:rPr>
          <w:rStyle w:val="ab"/>
          <w:rFonts w:ascii="標楷體" w:hAnsi="標楷體"/>
          <w:kern w:val="0"/>
          <w:sz w:val="28"/>
          <w:szCs w:val="28"/>
        </w:rPr>
        <w:footnoteReference w:id="64"/>
      </w:r>
      <w:r w:rsidRPr="00142E7D">
        <w:rPr>
          <w:rFonts w:ascii="標楷體" w:hAnsi="標楷體"/>
          <w:kern w:val="0"/>
          <w:sz w:val="28"/>
          <w:szCs w:val="28"/>
        </w:rPr>
        <w:t>。</w:t>
      </w:r>
    </w:p>
    <w:p w:rsidR="004753EA" w:rsidRPr="00142E7D" w:rsidRDefault="004753EA" w:rsidP="00C85A0D">
      <w:pPr>
        <w:kinsoku w:val="0"/>
        <w:overflowPunct w:val="0"/>
        <w:adjustRightInd w:val="0"/>
        <w:snapToGrid w:val="0"/>
        <w:spacing w:line="406" w:lineRule="exact"/>
        <w:ind w:left="561" w:firstLine="561"/>
        <w:jc w:val="both"/>
        <w:rPr>
          <w:rFonts w:ascii="標楷體" w:hAnsi="標楷體"/>
          <w:kern w:val="0"/>
          <w:sz w:val="28"/>
          <w:szCs w:val="28"/>
        </w:rPr>
      </w:pPr>
      <w:r w:rsidRPr="00142E7D">
        <w:rPr>
          <w:rFonts w:ascii="標楷體" w:hAnsi="標楷體"/>
          <w:kern w:val="0"/>
          <w:sz w:val="28"/>
          <w:szCs w:val="28"/>
        </w:rPr>
        <w:t>正如同這種德國稱之為「粗暴廣告」</w:t>
      </w:r>
      <w:r w:rsidR="00654FBB" w:rsidRPr="00142E7D">
        <w:rPr>
          <w:rFonts w:ascii="標楷體" w:hAnsi="標楷體"/>
          <w:kern w:val="0"/>
          <w:sz w:val="28"/>
          <w:szCs w:val="28"/>
        </w:rPr>
        <w:t>（</w:t>
      </w:r>
      <w:r w:rsidRPr="00142E7D">
        <w:rPr>
          <w:rFonts w:ascii="標楷體" w:hAnsi="標楷體"/>
          <w:kern w:val="0"/>
          <w:sz w:val="28"/>
          <w:szCs w:val="28"/>
        </w:rPr>
        <w:t>Wildplakatierung</w:t>
      </w:r>
      <w:r w:rsidR="00654FBB" w:rsidRPr="00142E7D">
        <w:rPr>
          <w:rFonts w:ascii="標楷體" w:hAnsi="標楷體"/>
          <w:kern w:val="0"/>
          <w:sz w:val="28"/>
          <w:szCs w:val="28"/>
        </w:rPr>
        <w:t>）</w:t>
      </w:r>
      <w:r w:rsidRPr="00142E7D">
        <w:rPr>
          <w:rFonts w:ascii="標楷體" w:hAnsi="標楷體"/>
          <w:kern w:val="0"/>
          <w:sz w:val="28"/>
          <w:szCs w:val="28"/>
        </w:rPr>
        <w:t>，會破壞人民與社會視覺上與情緒上的平和氣氛。同時，會傳播不和諧的暴戾之氣，散布傳染，變本加厲，才會使賴特布魯赫說出此句控訴標語廣告可能是「狂野、粗暴的」的名言。不過，正如同某些國民的行為，亦可能是粗暴與違法。吾人何妨以平常心視之，毋庸將張貼標語廣告的行為，視為特殊化。此亦為本席提出此份意見書所不得不一再言及者。</w:t>
      </w:r>
    </w:p>
    <w:p w:rsidR="004753EA" w:rsidRPr="00142E7D" w:rsidRDefault="004753EA" w:rsidP="00C85A0D">
      <w:pPr>
        <w:kinsoku w:val="0"/>
        <w:overflowPunct w:val="0"/>
        <w:adjustRightInd w:val="0"/>
        <w:snapToGrid w:val="0"/>
        <w:spacing w:line="406" w:lineRule="exact"/>
        <w:jc w:val="both"/>
        <w:rPr>
          <w:rFonts w:ascii="標楷體" w:hAnsi="標楷體"/>
          <w:kern w:val="0"/>
          <w:sz w:val="28"/>
          <w:szCs w:val="28"/>
          <w:lang w:val="de-DE"/>
        </w:rPr>
      </w:pPr>
    </w:p>
    <w:p w:rsidR="00674882" w:rsidRPr="00142E7D" w:rsidRDefault="00674882" w:rsidP="00C85A0D">
      <w:pPr>
        <w:kinsoku w:val="0"/>
        <w:overflowPunct w:val="0"/>
        <w:adjustRightInd w:val="0"/>
        <w:snapToGrid w:val="0"/>
        <w:spacing w:line="406" w:lineRule="exact"/>
        <w:ind w:left="958" w:right="641"/>
        <w:jc w:val="both"/>
        <w:rPr>
          <w:rFonts w:eastAsia="華康粗黑體"/>
          <w:sz w:val="28"/>
          <w:szCs w:val="28"/>
        </w:rPr>
        <w:sectPr w:rsidR="00674882" w:rsidRPr="00142E7D" w:rsidSect="008437E4">
          <w:footnotePr>
            <w:numRestart w:val="eachSect"/>
          </w:footnotePr>
          <w:pgSz w:w="11906" w:h="16838"/>
          <w:pgMar w:top="1418" w:right="1134" w:bottom="851" w:left="1134" w:header="851" w:footer="992" w:gutter="0"/>
          <w:cols w:space="425"/>
          <w:docGrid w:linePitch="360"/>
        </w:sectPr>
      </w:pPr>
    </w:p>
    <w:p w:rsidR="001A4BEF" w:rsidRPr="00142E7D" w:rsidRDefault="001A4BEF" w:rsidP="00C85A0D">
      <w:pPr>
        <w:kinsoku w:val="0"/>
        <w:overflowPunct w:val="0"/>
        <w:adjustRightInd w:val="0"/>
        <w:snapToGrid w:val="0"/>
        <w:spacing w:line="406" w:lineRule="exact"/>
        <w:ind w:left="958" w:right="641"/>
        <w:jc w:val="both"/>
        <w:rPr>
          <w:rFonts w:ascii="標楷體" w:hAnsi="標楷體"/>
          <w:kern w:val="0"/>
          <w:sz w:val="28"/>
          <w:szCs w:val="28"/>
        </w:rPr>
      </w:pPr>
      <w:r w:rsidRPr="00142E7D">
        <w:rPr>
          <w:rFonts w:eastAsia="華康粗黑體" w:hint="eastAsia"/>
          <w:sz w:val="28"/>
          <w:szCs w:val="28"/>
        </w:rPr>
        <w:lastRenderedPageBreak/>
        <w:t>部分協同</w:t>
      </w:r>
      <w:r w:rsidR="00DD3E7D" w:rsidRPr="00142E7D">
        <w:rPr>
          <w:rFonts w:eastAsia="華康粗黑體" w:hint="eastAsia"/>
          <w:sz w:val="28"/>
          <w:szCs w:val="28"/>
        </w:rPr>
        <w:t>暨</w:t>
      </w:r>
      <w:r w:rsidRPr="00142E7D">
        <w:rPr>
          <w:rFonts w:eastAsia="華康粗黑體" w:hint="eastAsia"/>
          <w:sz w:val="28"/>
          <w:szCs w:val="28"/>
        </w:rPr>
        <w:t>部分不同</w:t>
      </w:r>
      <w:r w:rsidRPr="00142E7D">
        <w:rPr>
          <w:rFonts w:ascii="華康粗黑體" w:eastAsia="華康粗黑體" w:hAnsi="標楷體" w:hint="eastAsia"/>
          <w:kern w:val="0"/>
          <w:sz w:val="28"/>
          <w:szCs w:val="28"/>
        </w:rPr>
        <w:t>意見書</w:t>
      </w:r>
      <w:r w:rsidR="00DD3E7D" w:rsidRPr="00142E7D">
        <w:rPr>
          <w:rFonts w:ascii="標楷體" w:hAnsi="標楷體"/>
          <w:kern w:val="0"/>
          <w:sz w:val="28"/>
          <w:szCs w:val="28"/>
        </w:rPr>
        <w:t xml:space="preserve">　　　　　　　</w:t>
      </w:r>
      <w:r w:rsidRPr="00142E7D">
        <w:rPr>
          <w:rFonts w:ascii="標楷體" w:hAnsi="標楷體"/>
          <w:kern w:val="0"/>
          <w:sz w:val="28"/>
          <w:szCs w:val="28"/>
        </w:rPr>
        <w:t>湯德宗大法官　提出</w:t>
      </w:r>
    </w:p>
    <w:p w:rsidR="00C85A0D" w:rsidRPr="00142E7D" w:rsidRDefault="004753EA" w:rsidP="00C85A0D">
      <w:pPr>
        <w:kinsoku w:val="0"/>
        <w:overflowPunct w:val="0"/>
        <w:adjustRightInd w:val="0"/>
        <w:snapToGrid w:val="0"/>
        <w:spacing w:line="406" w:lineRule="exact"/>
        <w:ind w:firstLine="561"/>
        <w:jc w:val="distribute"/>
        <w:rPr>
          <w:rFonts w:ascii="標楷體" w:hAnsi="標楷體" w:hint="eastAsia"/>
          <w:kern w:val="0"/>
          <w:sz w:val="28"/>
          <w:szCs w:val="28"/>
        </w:rPr>
      </w:pPr>
      <w:r w:rsidRPr="00142E7D">
        <w:rPr>
          <w:rFonts w:ascii="標楷體" w:hAnsi="標楷體"/>
          <w:kern w:val="0"/>
          <w:sz w:val="28"/>
          <w:szCs w:val="28"/>
        </w:rPr>
        <w:t>聲請人涂</w:t>
      </w:r>
      <w:r w:rsidR="00263ECA" w:rsidRPr="00142E7D">
        <w:rPr>
          <w:rFonts w:ascii="標楷體" w:hAnsi="標楷體"/>
          <w:kern w:val="0"/>
          <w:sz w:val="28"/>
          <w:szCs w:val="28"/>
        </w:rPr>
        <w:t>○○</w:t>
      </w:r>
      <w:bookmarkStart w:id="0" w:name="_GoBack"/>
      <w:bookmarkEnd w:id="0"/>
      <w:r w:rsidRPr="00142E7D">
        <w:rPr>
          <w:rFonts w:ascii="標楷體" w:hAnsi="標楷體"/>
          <w:kern w:val="0"/>
          <w:sz w:val="28"/>
          <w:szCs w:val="28"/>
        </w:rPr>
        <w:t>於中華民國九十八年六月二十二日在臺南市民族路口與永福路口（赤崁樓附近）張掛抗議中共活摘法輪功學員器官之布條及宣揚法輪大法好之布幔，遭臺南市政府環境保護局（下稱原處分機關）以於指定清除區域內，任意懸掛廣告，違反廢棄物清理法（下稱廢清法）第二十七條第十一款規定</w:t>
      </w:r>
    </w:p>
    <w:p w:rsidR="000024EC" w:rsidRPr="00142E7D" w:rsidRDefault="004753EA" w:rsidP="000024EC">
      <w:pPr>
        <w:kinsoku w:val="0"/>
        <w:overflowPunct w:val="0"/>
        <w:adjustRightInd w:val="0"/>
        <w:snapToGrid w:val="0"/>
        <w:spacing w:line="402" w:lineRule="exact"/>
        <w:jc w:val="distribute"/>
        <w:rPr>
          <w:rFonts w:ascii="標楷體" w:hAnsi="標楷體" w:hint="eastAsia"/>
          <w:kern w:val="0"/>
          <w:sz w:val="28"/>
          <w:szCs w:val="28"/>
        </w:rPr>
      </w:pPr>
      <w:r w:rsidRPr="00142E7D">
        <w:rPr>
          <w:rStyle w:val="ab"/>
          <w:rFonts w:ascii="標楷體" w:hAnsi="標楷體"/>
          <w:kern w:val="0"/>
          <w:sz w:val="28"/>
          <w:szCs w:val="28"/>
        </w:rPr>
        <w:footnoteReference w:id="65"/>
      </w:r>
      <w:r w:rsidRPr="00142E7D">
        <w:rPr>
          <w:rFonts w:ascii="標楷體" w:hAnsi="標楷體"/>
          <w:kern w:val="0"/>
          <w:sz w:val="28"/>
          <w:szCs w:val="28"/>
        </w:rPr>
        <w:t>為由，依同法第五十條第三款</w:t>
      </w:r>
      <w:r w:rsidRPr="00142E7D">
        <w:rPr>
          <w:rStyle w:val="ab"/>
          <w:rFonts w:ascii="標楷體" w:hAnsi="標楷體"/>
          <w:kern w:val="0"/>
          <w:sz w:val="28"/>
          <w:szCs w:val="28"/>
        </w:rPr>
        <w:footnoteReference w:id="66"/>
      </w:r>
      <w:r w:rsidRPr="00142E7D">
        <w:rPr>
          <w:rFonts w:ascii="標楷體" w:hAnsi="標楷體"/>
          <w:kern w:val="0"/>
          <w:sz w:val="28"/>
          <w:szCs w:val="28"/>
        </w:rPr>
        <w:t>裁罰</w:t>
      </w:r>
      <w:r w:rsidRPr="00142E7D">
        <w:rPr>
          <w:rStyle w:val="ab"/>
          <w:rFonts w:ascii="標楷體" w:hAnsi="標楷體"/>
          <w:kern w:val="0"/>
          <w:sz w:val="28"/>
          <w:szCs w:val="28"/>
        </w:rPr>
        <w:footnoteReference w:id="67"/>
      </w:r>
      <w:r w:rsidRPr="00142E7D">
        <w:rPr>
          <w:rFonts w:ascii="標楷體" w:hAnsi="標楷體"/>
          <w:kern w:val="0"/>
          <w:sz w:val="28"/>
          <w:szCs w:val="28"/>
        </w:rPr>
        <w:t>新臺幣一千兩百元。聲請人不服，提起訴</w:t>
      </w:r>
    </w:p>
    <w:p w:rsidR="004753EA" w:rsidRPr="00142E7D" w:rsidRDefault="004753EA" w:rsidP="000024EC">
      <w:pPr>
        <w:kinsoku w:val="0"/>
        <w:overflowPunct w:val="0"/>
        <w:adjustRightInd w:val="0"/>
        <w:snapToGrid w:val="0"/>
        <w:spacing w:line="410" w:lineRule="exact"/>
        <w:jc w:val="both"/>
        <w:rPr>
          <w:rFonts w:ascii="標楷體" w:hAnsi="標楷體"/>
          <w:kern w:val="0"/>
          <w:sz w:val="28"/>
          <w:szCs w:val="28"/>
        </w:rPr>
      </w:pPr>
      <w:r w:rsidRPr="00142E7D">
        <w:rPr>
          <w:rFonts w:ascii="標楷體" w:hAnsi="標楷體"/>
          <w:kern w:val="0"/>
          <w:sz w:val="28"/>
          <w:szCs w:val="28"/>
        </w:rPr>
        <w:t>願</w:t>
      </w:r>
      <w:r w:rsidRPr="00142E7D">
        <w:rPr>
          <w:rStyle w:val="ab"/>
          <w:rFonts w:ascii="標楷體" w:hAnsi="標楷體"/>
          <w:kern w:val="0"/>
          <w:sz w:val="28"/>
          <w:szCs w:val="28"/>
        </w:rPr>
        <w:footnoteReference w:id="68"/>
      </w:r>
      <w:r w:rsidRPr="00142E7D">
        <w:rPr>
          <w:rFonts w:ascii="標楷體" w:hAnsi="標楷體"/>
          <w:kern w:val="0"/>
          <w:sz w:val="28"/>
          <w:szCs w:val="28"/>
        </w:rPr>
        <w:t>，經臺南市政府撤銷原處分。嗣原處分機關重新審查後，就同一事由，另行裁罰</w:t>
      </w:r>
      <w:r w:rsidRPr="00142E7D">
        <w:rPr>
          <w:rStyle w:val="ab"/>
          <w:rFonts w:ascii="標楷體" w:hAnsi="標楷體"/>
          <w:kern w:val="0"/>
          <w:sz w:val="28"/>
          <w:szCs w:val="28"/>
        </w:rPr>
        <w:footnoteReference w:id="69"/>
      </w:r>
      <w:r w:rsidRPr="00142E7D">
        <w:rPr>
          <w:rFonts w:ascii="標楷體" w:hAnsi="標楷體"/>
          <w:kern w:val="0"/>
          <w:sz w:val="28"/>
          <w:szCs w:val="28"/>
        </w:rPr>
        <w:t>聲請人新臺幣六佰元罰鍰。上訴人不服，迭經訴願</w:t>
      </w:r>
      <w:r w:rsidRPr="00142E7D">
        <w:rPr>
          <w:rStyle w:val="ab"/>
          <w:rFonts w:ascii="標楷體" w:hAnsi="標楷體"/>
          <w:kern w:val="0"/>
          <w:sz w:val="28"/>
          <w:szCs w:val="28"/>
        </w:rPr>
        <w:footnoteReference w:id="70"/>
      </w:r>
      <w:r w:rsidRPr="00142E7D">
        <w:rPr>
          <w:rFonts w:ascii="標楷體" w:hAnsi="標楷體"/>
          <w:kern w:val="0"/>
          <w:sz w:val="28"/>
          <w:szCs w:val="28"/>
        </w:rPr>
        <w:t>、行政訴訟</w:t>
      </w:r>
      <w:r w:rsidRPr="00142E7D">
        <w:rPr>
          <w:rStyle w:val="ab"/>
          <w:rFonts w:ascii="標楷體" w:hAnsi="標楷體"/>
          <w:kern w:val="0"/>
          <w:sz w:val="28"/>
          <w:szCs w:val="28"/>
        </w:rPr>
        <w:footnoteReference w:id="71"/>
      </w:r>
      <w:r w:rsidRPr="00142E7D">
        <w:rPr>
          <w:rFonts w:ascii="標楷體" w:hAnsi="標楷體"/>
          <w:kern w:val="0"/>
          <w:sz w:val="28"/>
          <w:szCs w:val="28"/>
        </w:rPr>
        <w:t>，均遭駁回確定，爰以確定終局判決（高雄高等行政法院九十九年簡字第二一四號判決）所適用之「廢清法」第二十七條第十一款（下稱「系爭規定」）及臺南市政府</w:t>
      </w:r>
      <w:r w:rsidRPr="00142E7D">
        <w:rPr>
          <w:rFonts w:ascii="標楷體" w:hAnsi="標楷體"/>
          <w:kern w:val="0"/>
          <w:sz w:val="28"/>
          <w:szCs w:val="28"/>
        </w:rPr>
        <w:lastRenderedPageBreak/>
        <w:t>九十一年十二月九日南市環廢字第</w:t>
      </w:r>
      <w:r w:rsidR="00DD4611" w:rsidRPr="00142E7D">
        <w:rPr>
          <w:rFonts w:ascii="標楷體" w:hAnsi="標楷體"/>
          <w:kern w:val="0"/>
          <w:sz w:val="28"/>
          <w:szCs w:val="28"/>
        </w:rPr>
        <w:t>○</w:t>
      </w:r>
      <w:r w:rsidRPr="00142E7D">
        <w:rPr>
          <w:rFonts w:ascii="標楷體" w:hAnsi="標楷體"/>
          <w:kern w:val="0"/>
          <w:sz w:val="28"/>
          <w:szCs w:val="28"/>
        </w:rPr>
        <w:t>九一</w:t>
      </w:r>
      <w:r w:rsidR="00DD4611" w:rsidRPr="00142E7D">
        <w:rPr>
          <w:rFonts w:ascii="標楷體" w:hAnsi="標楷體"/>
          <w:kern w:val="0"/>
          <w:sz w:val="28"/>
          <w:szCs w:val="28"/>
        </w:rPr>
        <w:t>○</w:t>
      </w:r>
      <w:r w:rsidRPr="00142E7D">
        <w:rPr>
          <w:rFonts w:ascii="標楷體" w:hAnsi="標楷體"/>
          <w:kern w:val="0"/>
          <w:sz w:val="28"/>
          <w:szCs w:val="28"/>
        </w:rPr>
        <w:t>四</w:t>
      </w:r>
      <w:r w:rsidR="00DD4611" w:rsidRPr="00142E7D">
        <w:rPr>
          <w:rFonts w:ascii="標楷體" w:hAnsi="標楷體"/>
          <w:kern w:val="0"/>
          <w:sz w:val="28"/>
          <w:szCs w:val="28"/>
        </w:rPr>
        <w:t>○</w:t>
      </w:r>
      <w:r w:rsidRPr="00142E7D">
        <w:rPr>
          <w:rFonts w:ascii="標楷體" w:hAnsi="標楷體"/>
          <w:kern w:val="0"/>
          <w:sz w:val="28"/>
          <w:szCs w:val="28"/>
        </w:rPr>
        <w:t>二三四三一號公告（下稱「系爭公告」）有違憲疑義，聲請本院解釋。</w:t>
      </w:r>
    </w:p>
    <w:p w:rsidR="00C85A0D" w:rsidRPr="00142E7D" w:rsidRDefault="004753EA" w:rsidP="000024EC">
      <w:pPr>
        <w:kinsoku w:val="0"/>
        <w:overflowPunct w:val="0"/>
        <w:adjustRightInd w:val="0"/>
        <w:snapToGrid w:val="0"/>
        <w:spacing w:line="410" w:lineRule="exact"/>
        <w:ind w:firstLine="561"/>
        <w:jc w:val="distribute"/>
        <w:rPr>
          <w:rFonts w:ascii="標楷體" w:hAnsi="標楷體" w:hint="eastAsia"/>
          <w:kern w:val="0"/>
          <w:sz w:val="28"/>
          <w:szCs w:val="28"/>
        </w:rPr>
      </w:pPr>
      <w:r w:rsidRPr="00142E7D">
        <w:rPr>
          <w:rFonts w:ascii="標楷體" w:hAnsi="標楷體"/>
          <w:kern w:val="0"/>
          <w:sz w:val="28"/>
          <w:szCs w:val="28"/>
        </w:rPr>
        <w:t>本號解釋多數意見先以合憲性解釋方法</w:t>
      </w:r>
      <w:r w:rsidRPr="00142E7D">
        <w:rPr>
          <w:rStyle w:val="ab"/>
          <w:rFonts w:ascii="標楷體" w:hAnsi="標楷體"/>
          <w:kern w:val="0"/>
          <w:sz w:val="28"/>
          <w:szCs w:val="28"/>
        </w:rPr>
        <w:footnoteReference w:id="72"/>
      </w:r>
      <w:r w:rsidRPr="00142E7D">
        <w:rPr>
          <w:rFonts w:ascii="標楷體" w:hAnsi="標楷體"/>
          <w:kern w:val="0"/>
          <w:sz w:val="28"/>
          <w:szCs w:val="28"/>
        </w:rPr>
        <w:t>，認定「系爭規定」尚不違反法律</w:t>
      </w:r>
    </w:p>
    <w:p w:rsidR="004753EA" w:rsidRPr="00142E7D" w:rsidRDefault="004753EA" w:rsidP="00C85A0D">
      <w:pPr>
        <w:kinsoku w:val="0"/>
        <w:overflowPunct w:val="0"/>
        <w:adjustRightInd w:val="0"/>
        <w:snapToGrid w:val="0"/>
        <w:spacing w:line="402" w:lineRule="exact"/>
        <w:jc w:val="both"/>
        <w:rPr>
          <w:rFonts w:ascii="標楷體" w:hAnsi="標楷體"/>
          <w:kern w:val="0"/>
          <w:sz w:val="28"/>
          <w:szCs w:val="28"/>
        </w:rPr>
      </w:pPr>
      <w:r w:rsidRPr="00142E7D">
        <w:rPr>
          <w:rFonts w:ascii="標楷體" w:hAnsi="標楷體"/>
          <w:kern w:val="0"/>
          <w:sz w:val="28"/>
          <w:szCs w:val="28"/>
        </w:rPr>
        <w:t>授權明確性原則（解釋文第一段及解釋理由書第一段參見）；繼而認定「系爭公告」以未經主管機關核准而設置廣告物者，即屬污染環境行為而概予取締，已逾越母法授權，違反法律保留原則，並宣告限期失效（解釋文第二段及解釋理由書第二段參見）。本席對此敬表贊同。惟，關於本件聲請之核心問題-- 地方主管機關以維護環境衛生為名，規定非經其許可不得於該地方自治團體所轄行政區域內</w:t>
      </w:r>
      <w:r w:rsidRPr="00142E7D">
        <w:rPr>
          <w:rStyle w:val="ab"/>
          <w:rFonts w:ascii="標楷體" w:hAnsi="標楷體"/>
          <w:kern w:val="0"/>
          <w:sz w:val="28"/>
          <w:szCs w:val="28"/>
        </w:rPr>
        <w:footnoteReference w:id="73"/>
      </w:r>
      <w:r w:rsidRPr="00142E7D">
        <w:rPr>
          <w:rFonts w:ascii="標楷體" w:hAnsi="標楷體"/>
          <w:kern w:val="0"/>
          <w:sz w:val="28"/>
          <w:szCs w:val="28"/>
        </w:rPr>
        <w:t>設置廣告物，是否過度限制人民於憲法上所保障之言論自由-- 多數意見僅在解釋理由書第三段以「併此指明」之方式，作了無關痛癢的教示，本席礙難同意。爰提出部分協同暨部分不同意見書如下。</w:t>
      </w:r>
    </w:p>
    <w:p w:rsidR="004753EA" w:rsidRPr="00142E7D" w:rsidRDefault="004753EA" w:rsidP="003A2DBB">
      <w:pPr>
        <w:kinsoku w:val="0"/>
        <w:overflowPunct w:val="0"/>
        <w:adjustRightInd w:val="0"/>
        <w:snapToGrid w:val="0"/>
        <w:spacing w:line="402" w:lineRule="exact"/>
        <w:jc w:val="both"/>
        <w:rPr>
          <w:rFonts w:ascii="標楷體" w:hAnsi="標楷體"/>
          <w:b/>
          <w:kern w:val="0"/>
          <w:sz w:val="28"/>
          <w:szCs w:val="28"/>
        </w:rPr>
      </w:pPr>
      <w:r w:rsidRPr="00142E7D">
        <w:rPr>
          <w:rFonts w:ascii="標楷體" w:hAnsi="標楷體"/>
          <w:b/>
          <w:kern w:val="0"/>
          <w:sz w:val="28"/>
          <w:szCs w:val="28"/>
        </w:rPr>
        <w:t>一、本號解釋應併宣告系爭公告與臺南市廣告物管理自治條例相關規定違憲</w:t>
      </w:r>
    </w:p>
    <w:p w:rsidR="004753EA" w:rsidRPr="00142E7D" w:rsidRDefault="004753EA" w:rsidP="003A2DBB">
      <w:pPr>
        <w:kinsoku w:val="0"/>
        <w:overflowPunct w:val="0"/>
        <w:adjustRightInd w:val="0"/>
        <w:snapToGrid w:val="0"/>
        <w:spacing w:line="402" w:lineRule="exact"/>
        <w:ind w:left="561" w:firstLine="595"/>
        <w:jc w:val="both"/>
        <w:rPr>
          <w:rFonts w:ascii="標楷體" w:hAnsi="標楷體"/>
          <w:kern w:val="0"/>
          <w:sz w:val="28"/>
          <w:szCs w:val="28"/>
        </w:rPr>
      </w:pPr>
      <w:r w:rsidRPr="00142E7D">
        <w:rPr>
          <w:rFonts w:ascii="標楷體" w:hAnsi="標楷體"/>
          <w:kern w:val="0"/>
          <w:sz w:val="28"/>
          <w:szCs w:val="28"/>
        </w:rPr>
        <w:t>關於大法官無法形成可決多數之關鍵疑義，本席以為於通過之解釋理由書第二段後，</w:t>
      </w:r>
      <w:r w:rsidRPr="00142E7D">
        <w:rPr>
          <w:rFonts w:ascii="標楷體" w:hAnsi="標楷體"/>
          <w:b/>
          <w:kern w:val="0"/>
          <w:sz w:val="28"/>
          <w:szCs w:val="28"/>
        </w:rPr>
        <w:t>應增補理由書第三及第四段如下</w:t>
      </w:r>
      <w:r w:rsidRPr="00142E7D">
        <w:rPr>
          <w:rFonts w:ascii="標楷體" w:hAnsi="標楷體"/>
          <w:kern w:val="0"/>
          <w:sz w:val="28"/>
          <w:szCs w:val="28"/>
        </w:rPr>
        <w:t>：</w:t>
      </w:r>
    </w:p>
    <w:p w:rsidR="004753EA" w:rsidRPr="00142E7D" w:rsidRDefault="004753EA" w:rsidP="00064548">
      <w:pPr>
        <w:kinsoku w:val="0"/>
        <w:overflowPunct w:val="0"/>
        <w:adjustRightInd w:val="0"/>
        <w:snapToGrid w:val="0"/>
        <w:spacing w:line="402" w:lineRule="exact"/>
        <w:ind w:left="1134" w:rightChars="176" w:right="563" w:firstLine="560"/>
        <w:jc w:val="both"/>
        <w:rPr>
          <w:rFonts w:ascii="標楷體" w:hAnsi="標楷體"/>
          <w:kern w:val="0"/>
          <w:sz w:val="28"/>
          <w:szCs w:val="28"/>
        </w:rPr>
      </w:pPr>
      <w:r w:rsidRPr="00142E7D">
        <w:rPr>
          <w:rFonts w:ascii="標楷體" w:hAnsi="標楷體"/>
          <w:kern w:val="0"/>
          <w:sz w:val="28"/>
          <w:szCs w:val="28"/>
        </w:rPr>
        <w:t>憲法第十一條規定，人民之言論自由應予保障。鑒於言論自由具有實現自我、溝通意見、追求真理、滿足人民知的權利，形成公意，促進各種合理之政治及社會活動之功能，乃維持民主多元社會正常發展不可或缺之機制，國家之干預應減至最小限度，俾給予最大程度之保障（本院釋字第五</w:t>
      </w:r>
      <w:r w:rsidR="00DD4611" w:rsidRPr="00142E7D">
        <w:rPr>
          <w:rFonts w:ascii="標楷體" w:hAnsi="標楷體"/>
          <w:kern w:val="0"/>
          <w:sz w:val="28"/>
          <w:szCs w:val="28"/>
        </w:rPr>
        <w:t>○</w:t>
      </w:r>
      <w:r w:rsidRPr="00142E7D">
        <w:rPr>
          <w:rFonts w:ascii="標楷體" w:hAnsi="標楷體"/>
          <w:kern w:val="0"/>
          <w:sz w:val="28"/>
          <w:szCs w:val="28"/>
        </w:rPr>
        <w:t>九號、第六四四號、第六七八號解釋參照）。針對言論內容（觀點）所為之預先審查</w:t>
      </w:r>
      <w:r w:rsidR="00654FBB" w:rsidRPr="00142E7D">
        <w:rPr>
          <w:rFonts w:ascii="標楷體" w:hAnsi="標楷體"/>
          <w:kern w:val="0"/>
          <w:sz w:val="28"/>
          <w:szCs w:val="28"/>
        </w:rPr>
        <w:t>（</w:t>
      </w:r>
      <w:r w:rsidRPr="00142E7D">
        <w:rPr>
          <w:rFonts w:ascii="標楷體" w:hAnsi="標楷體"/>
          <w:kern w:val="0"/>
          <w:sz w:val="28"/>
          <w:szCs w:val="28"/>
        </w:rPr>
        <w:t>censorship, prior restraint</w:t>
      </w:r>
      <w:r w:rsidR="00654FBB" w:rsidRPr="00142E7D">
        <w:rPr>
          <w:rFonts w:ascii="標楷體" w:hAnsi="標楷體"/>
          <w:kern w:val="0"/>
          <w:sz w:val="28"/>
          <w:szCs w:val="28"/>
        </w:rPr>
        <w:t>）</w:t>
      </w:r>
      <w:r w:rsidRPr="00142E7D">
        <w:rPr>
          <w:rFonts w:ascii="標楷體" w:hAnsi="標楷體"/>
          <w:kern w:val="0"/>
          <w:sz w:val="28"/>
          <w:szCs w:val="28"/>
        </w:rPr>
        <w:t>，因本質上與言論自由之保障幾難相容，違憲審查機關應推定其為違憲。</w:t>
      </w:r>
      <w:r w:rsidRPr="00142E7D">
        <w:rPr>
          <w:rStyle w:val="ab"/>
          <w:rFonts w:ascii="標楷體" w:hAnsi="標楷體"/>
          <w:kern w:val="0"/>
          <w:sz w:val="28"/>
          <w:szCs w:val="28"/>
        </w:rPr>
        <w:footnoteReference w:id="74"/>
      </w:r>
      <w:r w:rsidRPr="00142E7D">
        <w:rPr>
          <w:rFonts w:ascii="標楷體" w:hAnsi="標楷體"/>
          <w:kern w:val="0"/>
          <w:sz w:val="28"/>
          <w:szCs w:val="28"/>
        </w:rPr>
        <w:t>除國家能證明預先審查之特定措施乃為維護極重要之公益（例如為防止客觀上明顯而立即之危險</w:t>
      </w:r>
      <w:r w:rsidRPr="00142E7D">
        <w:rPr>
          <w:rStyle w:val="ab"/>
          <w:rFonts w:ascii="標楷體" w:hAnsi="標楷體"/>
          <w:kern w:val="0"/>
          <w:sz w:val="28"/>
          <w:szCs w:val="28"/>
        </w:rPr>
        <w:footnoteReference w:id="75"/>
      </w:r>
      <w:r w:rsidRPr="00142E7D">
        <w:rPr>
          <w:rFonts w:ascii="標楷體" w:hAnsi="標楷體"/>
          <w:kern w:val="0"/>
          <w:sz w:val="28"/>
          <w:szCs w:val="28"/>
        </w:rPr>
        <w:t>，或國家安全之極端危險</w:t>
      </w:r>
      <w:r w:rsidRPr="00142E7D">
        <w:rPr>
          <w:rStyle w:val="ab"/>
          <w:rFonts w:ascii="標楷體" w:hAnsi="標楷體"/>
          <w:kern w:val="0"/>
          <w:sz w:val="28"/>
          <w:szCs w:val="28"/>
        </w:rPr>
        <w:footnoteReference w:id="76"/>
      </w:r>
      <w:r w:rsidRPr="00142E7D">
        <w:rPr>
          <w:rFonts w:ascii="標楷體" w:hAnsi="標楷體"/>
          <w:kern w:val="0"/>
          <w:sz w:val="28"/>
          <w:szCs w:val="28"/>
        </w:rPr>
        <w:t>），且為直接達成該極重要公益之最小侵害手段</w:t>
      </w:r>
      <w:r w:rsidR="00654FBB" w:rsidRPr="00142E7D">
        <w:rPr>
          <w:rFonts w:ascii="標楷體" w:hAnsi="標楷體"/>
          <w:kern w:val="0"/>
          <w:sz w:val="28"/>
          <w:szCs w:val="28"/>
        </w:rPr>
        <w:t>（</w:t>
      </w:r>
      <w:r w:rsidRPr="00142E7D">
        <w:rPr>
          <w:rFonts w:ascii="標楷體" w:hAnsi="標楷體"/>
          <w:kern w:val="0"/>
          <w:sz w:val="28"/>
          <w:szCs w:val="28"/>
        </w:rPr>
        <w:t>the least restrictive means</w:t>
      </w:r>
      <w:r w:rsidR="00654FBB" w:rsidRPr="00142E7D">
        <w:rPr>
          <w:rFonts w:ascii="標楷體" w:hAnsi="標楷體"/>
          <w:kern w:val="0"/>
          <w:sz w:val="28"/>
          <w:szCs w:val="28"/>
        </w:rPr>
        <w:t>）</w:t>
      </w:r>
      <w:r w:rsidRPr="00142E7D">
        <w:rPr>
          <w:rFonts w:ascii="標楷體" w:hAnsi="標楷體"/>
          <w:kern w:val="0"/>
          <w:sz w:val="28"/>
          <w:szCs w:val="28"/>
        </w:rPr>
        <w:t>者外，不</w:t>
      </w:r>
      <w:r w:rsidRPr="00142E7D">
        <w:rPr>
          <w:rFonts w:ascii="標楷體" w:hAnsi="標楷體"/>
          <w:kern w:val="0"/>
          <w:sz w:val="28"/>
          <w:szCs w:val="28"/>
        </w:rPr>
        <w:lastRenderedPageBreak/>
        <w:t>得為之。又，人民在依法得自由進出之公有開放空間（如公園、廣場、人行道等）發表言論，亦屬憲法言論自由保障之範圍。</w:t>
      </w:r>
      <w:r w:rsidRPr="00142E7D">
        <w:rPr>
          <w:rStyle w:val="ab"/>
          <w:rFonts w:ascii="標楷體" w:hAnsi="標楷體"/>
          <w:kern w:val="0"/>
          <w:sz w:val="28"/>
          <w:szCs w:val="28"/>
        </w:rPr>
        <w:footnoteReference w:id="77"/>
      </w:r>
      <w:r w:rsidRPr="00142E7D">
        <w:rPr>
          <w:rFonts w:ascii="標楷體" w:hAnsi="標楷體"/>
          <w:kern w:val="0"/>
          <w:sz w:val="28"/>
          <w:szCs w:val="28"/>
        </w:rPr>
        <w:t>國家及地方自治團體固得基於公共利益之目的，對於人民在前述公共論壇</w:t>
      </w:r>
      <w:r w:rsidR="00654FBB" w:rsidRPr="00142E7D">
        <w:rPr>
          <w:rFonts w:ascii="標楷體" w:hAnsi="標楷體"/>
          <w:kern w:val="0"/>
          <w:sz w:val="28"/>
          <w:szCs w:val="28"/>
        </w:rPr>
        <w:t>（</w:t>
      </w:r>
      <w:r w:rsidRPr="00142E7D">
        <w:rPr>
          <w:rFonts w:ascii="標楷體" w:hAnsi="標楷體"/>
          <w:kern w:val="0"/>
          <w:sz w:val="28"/>
          <w:szCs w:val="28"/>
        </w:rPr>
        <w:t>public forum</w:t>
      </w:r>
      <w:r w:rsidR="00654FBB" w:rsidRPr="00142E7D">
        <w:rPr>
          <w:rFonts w:ascii="標楷體" w:hAnsi="標楷體"/>
          <w:kern w:val="0"/>
          <w:sz w:val="28"/>
          <w:szCs w:val="28"/>
        </w:rPr>
        <w:t>）</w:t>
      </w:r>
      <w:r w:rsidRPr="00142E7D">
        <w:rPr>
          <w:rFonts w:ascii="標楷體" w:hAnsi="標楷體"/>
          <w:kern w:val="0"/>
          <w:sz w:val="28"/>
          <w:szCs w:val="28"/>
        </w:rPr>
        <w:t>或開放性論壇</w:t>
      </w:r>
      <w:r w:rsidR="00654FBB" w:rsidRPr="00142E7D">
        <w:rPr>
          <w:rFonts w:ascii="標楷體" w:hAnsi="標楷體"/>
          <w:kern w:val="0"/>
          <w:sz w:val="28"/>
          <w:szCs w:val="28"/>
        </w:rPr>
        <w:t>（</w:t>
      </w:r>
      <w:r w:rsidRPr="00142E7D">
        <w:rPr>
          <w:rFonts w:ascii="標楷體" w:hAnsi="標楷體"/>
          <w:kern w:val="0"/>
          <w:sz w:val="28"/>
          <w:szCs w:val="28"/>
        </w:rPr>
        <w:t>open forum</w:t>
      </w:r>
      <w:r w:rsidR="00654FBB" w:rsidRPr="00142E7D">
        <w:rPr>
          <w:rFonts w:ascii="標楷體" w:hAnsi="標楷體"/>
          <w:kern w:val="0"/>
          <w:sz w:val="28"/>
          <w:szCs w:val="28"/>
        </w:rPr>
        <w:t>）</w:t>
      </w:r>
      <w:r w:rsidRPr="00142E7D">
        <w:rPr>
          <w:rFonts w:ascii="標楷體" w:hAnsi="標楷體"/>
          <w:kern w:val="0"/>
          <w:sz w:val="28"/>
          <w:szCs w:val="28"/>
        </w:rPr>
        <w:t>發表言論之時間、地點及方式，為必要之限制（含事前許可），以期兼顧該空間之一般用途</w:t>
      </w:r>
      <w:r w:rsidR="00654FBB" w:rsidRPr="00142E7D">
        <w:rPr>
          <w:rFonts w:ascii="標楷體" w:hAnsi="標楷體"/>
          <w:kern w:val="0"/>
          <w:sz w:val="28"/>
          <w:szCs w:val="28"/>
        </w:rPr>
        <w:t>（</w:t>
      </w:r>
      <w:r w:rsidRPr="00142E7D">
        <w:rPr>
          <w:rFonts w:ascii="標楷體" w:hAnsi="標楷體"/>
          <w:kern w:val="0"/>
          <w:sz w:val="28"/>
          <w:szCs w:val="28"/>
        </w:rPr>
        <w:t>Gemeingebrauch</w:t>
      </w:r>
      <w:r w:rsidR="00654FBB" w:rsidRPr="00142E7D">
        <w:rPr>
          <w:rFonts w:ascii="標楷體" w:hAnsi="標楷體"/>
          <w:kern w:val="0"/>
          <w:sz w:val="28"/>
          <w:szCs w:val="28"/>
        </w:rPr>
        <w:t>）</w:t>
      </w:r>
      <w:r w:rsidRPr="00142E7D">
        <w:rPr>
          <w:rFonts w:ascii="標楷體" w:hAnsi="標楷體"/>
          <w:kern w:val="0"/>
          <w:sz w:val="28"/>
          <w:szCs w:val="28"/>
        </w:rPr>
        <w:t>或通常活動</w:t>
      </w:r>
      <w:r w:rsidR="00654FBB" w:rsidRPr="00142E7D">
        <w:rPr>
          <w:rFonts w:ascii="標楷體" w:hAnsi="標楷體"/>
          <w:kern w:val="0"/>
          <w:sz w:val="28"/>
          <w:szCs w:val="28"/>
        </w:rPr>
        <w:t>（</w:t>
      </w:r>
      <w:r w:rsidRPr="00142E7D">
        <w:rPr>
          <w:rFonts w:ascii="標楷體" w:hAnsi="標楷體"/>
          <w:kern w:val="0"/>
          <w:sz w:val="28"/>
          <w:szCs w:val="28"/>
        </w:rPr>
        <w:t>normal activities</w:t>
      </w:r>
      <w:r w:rsidR="00654FBB" w:rsidRPr="00142E7D">
        <w:rPr>
          <w:rFonts w:ascii="標楷體" w:hAnsi="標楷體"/>
          <w:kern w:val="0"/>
          <w:sz w:val="28"/>
          <w:szCs w:val="28"/>
        </w:rPr>
        <w:t>）</w:t>
      </w:r>
      <w:r w:rsidRPr="00142E7D">
        <w:rPr>
          <w:rFonts w:ascii="標楷體" w:hAnsi="標楷體"/>
          <w:kern w:val="0"/>
          <w:sz w:val="28"/>
          <w:szCs w:val="28"/>
        </w:rPr>
        <w:t>；惟如欲依言論之內容（觀點）而為限制者，則應考量各種言論對於促進實現自我、溝通意見、追求真理、形成公意等價值之貢獻不一，而給予不同範疇之保障及不同準則之限制（本院釋字第四一四號解釋參照）。</w:t>
      </w:r>
    </w:p>
    <w:p w:rsidR="004753EA" w:rsidRPr="00142E7D" w:rsidRDefault="004753EA" w:rsidP="007D1FF0">
      <w:pPr>
        <w:kinsoku w:val="0"/>
        <w:overflowPunct w:val="0"/>
        <w:adjustRightInd w:val="0"/>
        <w:snapToGrid w:val="0"/>
        <w:spacing w:line="402" w:lineRule="exact"/>
        <w:ind w:left="1134" w:rightChars="176" w:right="563" w:firstLine="560"/>
        <w:jc w:val="both"/>
        <w:rPr>
          <w:rFonts w:ascii="標楷體" w:hAnsi="標楷體"/>
          <w:kern w:val="0"/>
          <w:sz w:val="28"/>
          <w:szCs w:val="28"/>
        </w:rPr>
      </w:pPr>
      <w:r w:rsidRPr="00142E7D">
        <w:rPr>
          <w:rFonts w:ascii="標楷體" w:hAnsi="標楷體"/>
          <w:kern w:val="0"/>
          <w:sz w:val="28"/>
          <w:szCs w:val="28"/>
        </w:rPr>
        <w:t>系爭公告縱非為限制人民言論自由而設，然依其文義，主管機關既得以「未經核准」為由，處罰設置廣告物之表意行為</w:t>
      </w:r>
      <w:r w:rsidR="00654FBB" w:rsidRPr="00142E7D">
        <w:rPr>
          <w:rFonts w:ascii="標楷體" w:hAnsi="標楷體"/>
          <w:kern w:val="0"/>
          <w:sz w:val="28"/>
          <w:szCs w:val="28"/>
        </w:rPr>
        <w:t>（</w:t>
      </w:r>
      <w:r w:rsidRPr="00142E7D">
        <w:rPr>
          <w:rFonts w:ascii="標楷體" w:hAnsi="標楷體"/>
          <w:kern w:val="0"/>
          <w:sz w:val="28"/>
          <w:szCs w:val="28"/>
        </w:rPr>
        <w:t>expressive conduct</w:t>
      </w:r>
      <w:r w:rsidR="00654FBB" w:rsidRPr="00142E7D">
        <w:rPr>
          <w:rFonts w:ascii="標楷體" w:hAnsi="標楷體"/>
          <w:kern w:val="0"/>
          <w:sz w:val="28"/>
          <w:szCs w:val="28"/>
        </w:rPr>
        <w:t>）</w:t>
      </w:r>
      <w:r w:rsidRPr="00142E7D">
        <w:rPr>
          <w:rFonts w:ascii="標楷體" w:hAnsi="標楷體"/>
          <w:kern w:val="0"/>
          <w:sz w:val="28"/>
          <w:szCs w:val="28"/>
        </w:rPr>
        <w:t>，自有侵害（限制）人民言論自由之虞。而地方主管機關是否核准廣告物之設置，應依相關自治條例之規定辦理。是臺南市廣告物管理自治條例（九十四年五月二十日制定公布）之相關規定，包括第四條：「廣告物除有特別規定外，應經審查核可後始得設置。經核准後非經許可，不得擅自變更內容、規格或形式。但電影廣告內容依電影法經核准者，得逕行更換內容」及第十五條第一款：「廣告物之設置應符合下列規定：一、廣告內容不得有妨害公共秩序、善良風俗或違反法律規定」等（下併稱「自治條例相關規定」，該條例於一</w:t>
      </w:r>
      <w:r w:rsidR="00DD4611" w:rsidRPr="00142E7D">
        <w:rPr>
          <w:rFonts w:ascii="標楷體" w:hAnsi="標楷體"/>
          <w:kern w:val="0"/>
          <w:sz w:val="28"/>
          <w:szCs w:val="28"/>
        </w:rPr>
        <w:t>○</w:t>
      </w:r>
      <w:r w:rsidRPr="00142E7D">
        <w:rPr>
          <w:rFonts w:ascii="標楷體" w:hAnsi="標楷體"/>
          <w:kern w:val="0"/>
          <w:sz w:val="28"/>
          <w:szCs w:val="28"/>
        </w:rPr>
        <w:t>一年十二月二十二日廢止，同日制定公布名稱相同之自治條例，其第四條第一項前段及第十二條第一款意旨相同）與「系爭公告」在適用上即具有重要關聯性，聲請人雖未聲請解釋，本院亦得將之納入解釋範圍（本院釋字第七</w:t>
      </w:r>
      <w:r w:rsidR="00DD4611" w:rsidRPr="00142E7D">
        <w:rPr>
          <w:rFonts w:ascii="標楷體" w:hAnsi="標楷體"/>
          <w:kern w:val="0"/>
          <w:sz w:val="28"/>
          <w:szCs w:val="28"/>
        </w:rPr>
        <w:t>○</w:t>
      </w:r>
      <w:r w:rsidRPr="00142E7D">
        <w:rPr>
          <w:rFonts w:ascii="標楷體" w:hAnsi="標楷體"/>
          <w:kern w:val="0"/>
          <w:sz w:val="28"/>
          <w:szCs w:val="28"/>
        </w:rPr>
        <w:t>九號解釋、第六六四號解釋參照）</w:t>
      </w:r>
      <w:r w:rsidRPr="00142E7D">
        <w:rPr>
          <w:rStyle w:val="ab"/>
          <w:rFonts w:ascii="標楷體" w:hAnsi="標楷體"/>
          <w:kern w:val="0"/>
          <w:sz w:val="28"/>
          <w:szCs w:val="28"/>
        </w:rPr>
        <w:footnoteReference w:id="78"/>
      </w:r>
      <w:r w:rsidRPr="00142E7D">
        <w:rPr>
          <w:rFonts w:ascii="標楷體" w:hAnsi="標楷體"/>
          <w:kern w:val="0"/>
          <w:sz w:val="28"/>
          <w:szCs w:val="28"/>
        </w:rPr>
        <w:t>。上開</w:t>
      </w:r>
      <w:r w:rsidRPr="00142E7D">
        <w:rPr>
          <w:rFonts w:ascii="標楷體" w:hAnsi="標楷體"/>
          <w:kern w:val="0"/>
          <w:sz w:val="28"/>
          <w:szCs w:val="28"/>
        </w:rPr>
        <w:lastRenderedPageBreak/>
        <w:t>規定就廣告物設置所為之事前審查，不限於廣告物設置之時間、地點與方式，並及於廣告物之內容。其不問是否為維護極重要之公共利益，及是否為直接達成該極重要公益之最小侵害手段，概就廣告物內容進行事前審查，顯已逾越必要程度，違反憲法第二十三條規定之比例原則，侵害憲法第十一條所保障之言論自由，應自本解釋公布之日起，至遲於屆滿六個月時失其效力。</w:t>
      </w:r>
    </w:p>
    <w:p w:rsidR="004753EA" w:rsidRPr="00142E7D" w:rsidRDefault="004753EA" w:rsidP="003A2DBB">
      <w:pPr>
        <w:kinsoku w:val="0"/>
        <w:overflowPunct w:val="0"/>
        <w:adjustRightInd w:val="0"/>
        <w:snapToGrid w:val="0"/>
        <w:spacing w:line="402" w:lineRule="exact"/>
        <w:ind w:left="561" w:firstLine="595"/>
        <w:jc w:val="both"/>
        <w:rPr>
          <w:rFonts w:ascii="標楷體" w:hAnsi="標楷體"/>
          <w:kern w:val="0"/>
          <w:sz w:val="28"/>
          <w:szCs w:val="28"/>
        </w:rPr>
      </w:pPr>
      <w:r w:rsidRPr="00142E7D">
        <w:rPr>
          <w:rFonts w:ascii="標楷體" w:hAnsi="標楷體"/>
          <w:kern w:val="0"/>
          <w:sz w:val="28"/>
          <w:szCs w:val="28"/>
        </w:rPr>
        <w:t>據此，於通過之解釋文第二段之後，</w:t>
      </w:r>
      <w:r w:rsidRPr="00142E7D">
        <w:rPr>
          <w:rFonts w:ascii="標楷體" w:hAnsi="標楷體"/>
          <w:b/>
          <w:kern w:val="0"/>
          <w:sz w:val="28"/>
          <w:szCs w:val="28"/>
        </w:rPr>
        <w:t>並應增補第三段解釋文如下</w:t>
      </w:r>
      <w:r w:rsidRPr="00142E7D">
        <w:rPr>
          <w:rFonts w:ascii="標楷體" w:hAnsi="標楷體"/>
          <w:kern w:val="0"/>
          <w:sz w:val="28"/>
          <w:szCs w:val="28"/>
        </w:rPr>
        <w:t>：</w:t>
      </w:r>
    </w:p>
    <w:p w:rsidR="004753EA" w:rsidRPr="00142E7D" w:rsidRDefault="004753EA" w:rsidP="007D1FF0">
      <w:pPr>
        <w:kinsoku w:val="0"/>
        <w:overflowPunct w:val="0"/>
        <w:adjustRightInd w:val="0"/>
        <w:snapToGrid w:val="0"/>
        <w:spacing w:line="402" w:lineRule="exact"/>
        <w:ind w:left="1134" w:rightChars="176" w:right="563" w:firstLine="560"/>
        <w:jc w:val="both"/>
        <w:rPr>
          <w:rFonts w:ascii="標楷體" w:hAnsi="標楷體"/>
          <w:kern w:val="0"/>
          <w:sz w:val="28"/>
          <w:szCs w:val="28"/>
        </w:rPr>
      </w:pPr>
      <w:r w:rsidRPr="00142E7D">
        <w:rPr>
          <w:rFonts w:ascii="標楷體" w:hAnsi="標楷體"/>
          <w:kern w:val="0"/>
          <w:sz w:val="28"/>
          <w:szCs w:val="28"/>
        </w:rPr>
        <w:t>系爭公告及臺南市廣告物管理自治條例（94年5月20日制定公布）第四條及第十五條第一款不問是否為維護極重要之公共利益，及是否為直接達成該極重要公益之最小侵害手段，概就廣告物內容進行事前審查，顯已逾越必要程度，違反憲法第二十三條規定之比例原則，侵害憲法第十一條所保障之言論自由，應自本解釋公布之日起，至遲於屆滿六個月時失其效力。</w:t>
      </w:r>
    </w:p>
    <w:p w:rsidR="004753EA" w:rsidRPr="00142E7D" w:rsidRDefault="004753EA" w:rsidP="003A2DBB">
      <w:pPr>
        <w:kinsoku w:val="0"/>
        <w:overflowPunct w:val="0"/>
        <w:adjustRightInd w:val="0"/>
        <w:snapToGrid w:val="0"/>
        <w:spacing w:line="402" w:lineRule="exact"/>
        <w:jc w:val="both"/>
        <w:rPr>
          <w:rFonts w:ascii="標楷體" w:hAnsi="標楷體"/>
          <w:b/>
          <w:kern w:val="0"/>
          <w:sz w:val="28"/>
          <w:szCs w:val="28"/>
        </w:rPr>
      </w:pPr>
      <w:r w:rsidRPr="00142E7D">
        <w:rPr>
          <w:rFonts w:ascii="標楷體" w:hAnsi="標楷體"/>
          <w:b/>
          <w:kern w:val="0"/>
          <w:sz w:val="28"/>
          <w:szCs w:val="28"/>
        </w:rPr>
        <w:t>二、系爭公告何以逾越母法之授權？</w:t>
      </w:r>
    </w:p>
    <w:p w:rsidR="004753EA" w:rsidRPr="00142E7D" w:rsidRDefault="004753EA" w:rsidP="003A2DBB">
      <w:pPr>
        <w:kinsoku w:val="0"/>
        <w:overflowPunct w:val="0"/>
        <w:adjustRightInd w:val="0"/>
        <w:snapToGrid w:val="0"/>
        <w:spacing w:line="402" w:lineRule="exact"/>
        <w:ind w:left="561" w:firstLine="595"/>
        <w:jc w:val="both"/>
        <w:rPr>
          <w:rFonts w:ascii="標楷體" w:hAnsi="標楷體"/>
          <w:kern w:val="0"/>
          <w:sz w:val="28"/>
          <w:szCs w:val="28"/>
        </w:rPr>
      </w:pPr>
      <w:r w:rsidRPr="00142E7D">
        <w:rPr>
          <w:rFonts w:ascii="標楷體" w:hAnsi="標楷體"/>
          <w:kern w:val="0"/>
          <w:sz w:val="28"/>
          <w:szCs w:val="28"/>
        </w:rPr>
        <w:t>多數意見以「涵蓋過廣」</w:t>
      </w:r>
      <w:r w:rsidR="00654FBB" w:rsidRPr="00142E7D">
        <w:rPr>
          <w:rFonts w:ascii="標楷體" w:hAnsi="標楷體"/>
          <w:kern w:val="0"/>
          <w:sz w:val="28"/>
          <w:szCs w:val="28"/>
        </w:rPr>
        <w:t>（</w:t>
      </w:r>
      <w:r w:rsidRPr="00142E7D">
        <w:rPr>
          <w:rFonts w:ascii="標楷體" w:hAnsi="標楷體"/>
          <w:kern w:val="0"/>
          <w:sz w:val="28"/>
          <w:szCs w:val="28"/>
        </w:rPr>
        <w:t>over-breadth</w:t>
      </w:r>
      <w:r w:rsidR="00654FBB" w:rsidRPr="00142E7D">
        <w:rPr>
          <w:rFonts w:ascii="標楷體" w:hAnsi="標楷體"/>
          <w:kern w:val="0"/>
          <w:sz w:val="28"/>
          <w:szCs w:val="28"/>
        </w:rPr>
        <w:t>）</w:t>
      </w:r>
      <w:r w:rsidRPr="00142E7D">
        <w:rPr>
          <w:rFonts w:ascii="標楷體" w:hAnsi="標楷體"/>
          <w:kern w:val="0"/>
          <w:sz w:val="28"/>
          <w:szCs w:val="28"/>
        </w:rPr>
        <w:t>，為由，認定「系爭公告」逾越母法（廢清法第二十七條第十一款）之授權，結論固甚正確，然其論理之方式（「不問……，即……，概予……」）毋寧更近於「比例原則」檢驗中之「必要性」子原則之操作（不分青紅皂白，「一竿子打翻一船人」，顯非必要），大眾讀者恐不易理解。本席以為，宜並由「</w:t>
      </w:r>
      <w:r w:rsidRPr="00142E7D">
        <w:rPr>
          <w:rFonts w:ascii="標楷體" w:hAnsi="標楷體"/>
          <w:b/>
          <w:kern w:val="0"/>
          <w:sz w:val="28"/>
          <w:szCs w:val="28"/>
        </w:rPr>
        <w:t>原則與例外錯置</w:t>
      </w:r>
      <w:r w:rsidRPr="00142E7D">
        <w:rPr>
          <w:rFonts w:ascii="標楷體" w:hAnsi="標楷體"/>
          <w:kern w:val="0"/>
          <w:sz w:val="28"/>
          <w:szCs w:val="28"/>
        </w:rPr>
        <w:t>」的觀點立論。</w:t>
      </w:r>
    </w:p>
    <w:p w:rsidR="004753EA" w:rsidRPr="00142E7D" w:rsidRDefault="004753EA" w:rsidP="003A2DBB">
      <w:pPr>
        <w:kinsoku w:val="0"/>
        <w:overflowPunct w:val="0"/>
        <w:adjustRightInd w:val="0"/>
        <w:snapToGrid w:val="0"/>
        <w:spacing w:line="402" w:lineRule="exact"/>
        <w:ind w:left="561" w:firstLine="595"/>
        <w:jc w:val="both"/>
        <w:rPr>
          <w:rFonts w:ascii="標楷體" w:hAnsi="標楷體"/>
          <w:kern w:val="0"/>
          <w:sz w:val="28"/>
          <w:szCs w:val="28"/>
        </w:rPr>
      </w:pPr>
      <w:r w:rsidRPr="00142E7D">
        <w:rPr>
          <w:rFonts w:ascii="標楷體" w:hAnsi="標楷體"/>
          <w:kern w:val="0"/>
          <w:sz w:val="28"/>
          <w:szCs w:val="28"/>
        </w:rPr>
        <w:t>申言之，廢清法第二十七條第十一款所謂「其他經主管機關公告之污染環境行為」，僅在授權主管機關隨時得以「公告」補充規定各種「污染環境之行為」。亦即，主管機關負有以「公告」方式，行使委任立法（一稱傳來立法）權，創設「禁令」之義務。是凡未經主管機關公告禁止者，人民皆得自由為之（含設置廣告物之表意自由）。詎「系爭公告」擅自規定，未經主管機關核准者，概不得設置廣告物。無異於主管機關任意委棄立（造）法義務，而將規範闕如之不利益轉嫁於人民。蓋按系爭公告，人民除經主管機關核准者外，將無設置廣告物之表意自由。綜上，依母法（</w:t>
      </w:r>
      <w:r w:rsidRPr="00142E7D">
        <w:rPr>
          <w:rFonts w:ascii="標楷體" w:hAnsi="標楷體"/>
          <w:kern w:val="0"/>
          <w:sz w:val="28"/>
          <w:szCs w:val="28"/>
        </w:rPr>
        <w:lastRenderedPageBreak/>
        <w:t>系爭規定），人民設置廣告物表達意見以自由為原則，經公告禁止者始受限制；依子法（系爭公告），則人民設置廣告物表達意見以限制為原則，經主管機關核准者始得例外為之。兩相對照，原則與例外錯置，子法逾越母法之授權，寧非昭然！</w:t>
      </w:r>
    </w:p>
    <w:p w:rsidR="004753EA" w:rsidRPr="00142E7D" w:rsidRDefault="004753EA" w:rsidP="003A2DBB">
      <w:pPr>
        <w:kinsoku w:val="0"/>
        <w:overflowPunct w:val="0"/>
        <w:adjustRightInd w:val="0"/>
        <w:snapToGrid w:val="0"/>
        <w:spacing w:line="402" w:lineRule="exact"/>
        <w:ind w:left="561" w:firstLine="595"/>
        <w:jc w:val="both"/>
        <w:rPr>
          <w:rFonts w:ascii="標楷體" w:hAnsi="標楷體"/>
          <w:kern w:val="0"/>
          <w:sz w:val="28"/>
          <w:szCs w:val="28"/>
        </w:rPr>
      </w:pPr>
      <w:r w:rsidRPr="00142E7D">
        <w:rPr>
          <w:rFonts w:ascii="標楷體" w:hAnsi="標楷體"/>
          <w:kern w:val="0"/>
          <w:sz w:val="28"/>
          <w:szCs w:val="28"/>
        </w:rPr>
        <w:t>本件聲請人指摘歷歷，大法官卻未能形成可決之多數，就具有憲法價值的疑義，作成具有拘束力的解釋，促成我國人權保障的進步，殊為可惜。</w:t>
      </w:r>
      <w:r w:rsidRPr="00142E7D">
        <w:rPr>
          <w:rStyle w:val="ab"/>
          <w:rFonts w:ascii="標楷體" w:hAnsi="標楷體"/>
          <w:kern w:val="0"/>
          <w:sz w:val="28"/>
          <w:szCs w:val="28"/>
        </w:rPr>
        <w:footnoteReference w:id="79"/>
      </w:r>
      <w:r w:rsidRPr="00142E7D">
        <w:rPr>
          <w:rFonts w:ascii="標楷體" w:hAnsi="標楷體"/>
          <w:kern w:val="0"/>
          <w:sz w:val="28"/>
          <w:szCs w:val="28"/>
        </w:rPr>
        <w:t>唯有略抒己見，以待來者。</w:t>
      </w:r>
    </w:p>
    <w:p w:rsidR="001A4BEF" w:rsidRPr="00142E7D" w:rsidRDefault="001A4BEF" w:rsidP="003A2DBB">
      <w:pPr>
        <w:kinsoku w:val="0"/>
        <w:overflowPunct w:val="0"/>
        <w:adjustRightInd w:val="0"/>
        <w:snapToGrid w:val="0"/>
        <w:spacing w:line="402" w:lineRule="exact"/>
        <w:jc w:val="both"/>
        <w:rPr>
          <w:rFonts w:ascii="標楷體" w:hAnsi="標楷體"/>
          <w:kern w:val="0"/>
          <w:sz w:val="28"/>
          <w:szCs w:val="28"/>
        </w:rPr>
      </w:pPr>
    </w:p>
    <w:p w:rsidR="00674882" w:rsidRPr="00142E7D" w:rsidRDefault="00674882" w:rsidP="003A2DBB">
      <w:pPr>
        <w:kinsoku w:val="0"/>
        <w:overflowPunct w:val="0"/>
        <w:adjustRightInd w:val="0"/>
        <w:snapToGrid w:val="0"/>
        <w:spacing w:line="402" w:lineRule="exact"/>
        <w:ind w:left="958" w:right="641"/>
        <w:jc w:val="both"/>
        <w:rPr>
          <w:rFonts w:ascii="華康粗黑體" w:eastAsia="華康粗黑體" w:hAnsi="標楷體"/>
          <w:kern w:val="0"/>
          <w:sz w:val="28"/>
          <w:szCs w:val="28"/>
        </w:rPr>
        <w:sectPr w:rsidR="00674882" w:rsidRPr="00142E7D" w:rsidSect="008437E4">
          <w:footnotePr>
            <w:numRestart w:val="eachSect"/>
          </w:footnotePr>
          <w:pgSz w:w="11906" w:h="16838"/>
          <w:pgMar w:top="1418" w:right="1134" w:bottom="851" w:left="1134" w:header="851" w:footer="992" w:gutter="0"/>
          <w:cols w:space="425"/>
          <w:docGrid w:linePitch="360"/>
        </w:sectPr>
      </w:pPr>
    </w:p>
    <w:p w:rsidR="001175B9" w:rsidRPr="00142E7D" w:rsidRDefault="001175B9" w:rsidP="003A2DBB">
      <w:pPr>
        <w:kinsoku w:val="0"/>
        <w:overflowPunct w:val="0"/>
        <w:adjustRightInd w:val="0"/>
        <w:snapToGrid w:val="0"/>
        <w:spacing w:line="402" w:lineRule="exact"/>
        <w:ind w:left="958" w:right="641"/>
        <w:jc w:val="both"/>
        <w:rPr>
          <w:rFonts w:ascii="標楷體" w:hAnsi="標楷體"/>
          <w:kern w:val="0"/>
          <w:sz w:val="28"/>
          <w:szCs w:val="28"/>
        </w:rPr>
      </w:pPr>
      <w:r w:rsidRPr="00142E7D">
        <w:rPr>
          <w:rFonts w:ascii="華康粗黑體" w:eastAsia="華康粗黑體" w:hAnsi="標楷體" w:hint="eastAsia"/>
          <w:kern w:val="0"/>
          <w:sz w:val="28"/>
          <w:szCs w:val="28"/>
        </w:rPr>
        <w:lastRenderedPageBreak/>
        <w:t>部分</w:t>
      </w:r>
      <w:r w:rsidR="001A4BEF" w:rsidRPr="00142E7D">
        <w:rPr>
          <w:rFonts w:ascii="華康粗黑體" w:eastAsia="華康粗黑體" w:hAnsi="標楷體" w:hint="eastAsia"/>
          <w:kern w:val="0"/>
          <w:sz w:val="28"/>
          <w:szCs w:val="28"/>
        </w:rPr>
        <w:t>不</w:t>
      </w:r>
      <w:r w:rsidRPr="00142E7D">
        <w:rPr>
          <w:rFonts w:ascii="華康粗黑體" w:eastAsia="華康粗黑體" w:hAnsi="標楷體" w:hint="eastAsia"/>
          <w:kern w:val="0"/>
          <w:sz w:val="28"/>
          <w:szCs w:val="28"/>
        </w:rPr>
        <w:t>同意見書</w:t>
      </w:r>
      <w:r w:rsidRPr="00142E7D">
        <w:rPr>
          <w:rFonts w:ascii="標楷體" w:hAnsi="標楷體"/>
          <w:kern w:val="0"/>
          <w:sz w:val="28"/>
          <w:szCs w:val="28"/>
        </w:rPr>
        <w:t xml:space="preserve">　</w:t>
      </w:r>
      <w:r w:rsidR="001A4BEF" w:rsidRPr="00142E7D">
        <w:rPr>
          <w:rFonts w:ascii="標楷體" w:hAnsi="標楷體"/>
          <w:kern w:val="0"/>
          <w:sz w:val="28"/>
          <w:szCs w:val="28"/>
        </w:rPr>
        <w:t xml:space="preserve">　　　　</w:t>
      </w:r>
      <w:r w:rsidRPr="00142E7D">
        <w:rPr>
          <w:rFonts w:ascii="標楷體" w:hAnsi="標楷體"/>
          <w:kern w:val="0"/>
          <w:sz w:val="28"/>
          <w:szCs w:val="28"/>
        </w:rPr>
        <w:t xml:space="preserve">　　　　　　　</w:t>
      </w:r>
      <w:r w:rsidR="001A4BEF" w:rsidRPr="00142E7D">
        <w:rPr>
          <w:rFonts w:ascii="標楷體" w:hAnsi="標楷體"/>
          <w:kern w:val="0"/>
          <w:sz w:val="28"/>
          <w:szCs w:val="28"/>
        </w:rPr>
        <w:t>黃璽君</w:t>
      </w:r>
      <w:r w:rsidRPr="00142E7D">
        <w:rPr>
          <w:rFonts w:ascii="標楷體" w:hAnsi="標楷體"/>
          <w:kern w:val="0"/>
          <w:sz w:val="28"/>
          <w:szCs w:val="28"/>
        </w:rPr>
        <w:t>大法官　提出</w:t>
      </w:r>
    </w:p>
    <w:p w:rsidR="00DD4611" w:rsidRPr="00142E7D" w:rsidRDefault="00DD4611" w:rsidP="003A2DBB">
      <w:pPr>
        <w:kinsoku w:val="0"/>
        <w:overflowPunct w:val="0"/>
        <w:adjustRightInd w:val="0"/>
        <w:snapToGrid w:val="0"/>
        <w:spacing w:line="402" w:lineRule="exact"/>
        <w:ind w:firstLine="561"/>
        <w:jc w:val="both"/>
        <w:rPr>
          <w:rFonts w:ascii="標楷體" w:hAnsi="標楷體"/>
          <w:kern w:val="0"/>
          <w:sz w:val="28"/>
          <w:szCs w:val="28"/>
        </w:rPr>
      </w:pPr>
      <w:r w:rsidRPr="00142E7D">
        <w:rPr>
          <w:rFonts w:ascii="標楷體" w:hAnsi="標楷體"/>
          <w:kern w:val="0"/>
          <w:sz w:val="28"/>
          <w:szCs w:val="28"/>
        </w:rPr>
        <w:t>本解釋多數意見認廢棄物清理法第二十七條第十一款規定（下稱系爭規定）與法律授權明確性原則無違部分，本席敬表贊同。惟多數意見認臺南市政府中華民國九十一年十二月九日南市環廢字第○九一○四○二三四三一號公告之公告事項一、二（下稱系爭公告）與法律保留原則不符，宣告自本解釋公布之</w:t>
      </w:r>
      <w:r w:rsidRPr="00142E7D">
        <w:rPr>
          <w:rFonts w:ascii="標楷體" w:hAnsi="標楷體"/>
          <w:spacing w:val="-2"/>
          <w:kern w:val="0"/>
          <w:sz w:val="28"/>
          <w:szCs w:val="28"/>
        </w:rPr>
        <w:t>日起，至遲於屆滿三個月時失其效力，本席礙難同意。爰提部分不同意見如后。</w:t>
      </w:r>
    </w:p>
    <w:p w:rsidR="00DD4611" w:rsidRPr="00142E7D" w:rsidRDefault="00DD4611" w:rsidP="003A2DBB">
      <w:pPr>
        <w:kinsoku w:val="0"/>
        <w:overflowPunct w:val="0"/>
        <w:adjustRightInd w:val="0"/>
        <w:snapToGrid w:val="0"/>
        <w:spacing w:line="402" w:lineRule="exact"/>
        <w:jc w:val="both"/>
        <w:rPr>
          <w:rFonts w:ascii="標楷體" w:hAnsi="標楷體"/>
          <w:b/>
          <w:kern w:val="0"/>
          <w:sz w:val="28"/>
          <w:szCs w:val="28"/>
        </w:rPr>
      </w:pPr>
      <w:r w:rsidRPr="00142E7D">
        <w:rPr>
          <w:rFonts w:ascii="標楷體" w:hAnsi="標楷體"/>
          <w:b/>
          <w:kern w:val="0"/>
          <w:sz w:val="28"/>
          <w:szCs w:val="28"/>
        </w:rPr>
        <w:t>一、系爭公告係依據系爭規定之授權而為</w:t>
      </w:r>
    </w:p>
    <w:p w:rsidR="00DD4611" w:rsidRPr="00142E7D" w:rsidRDefault="00DD4611" w:rsidP="003A2DBB">
      <w:pPr>
        <w:kinsoku w:val="0"/>
        <w:overflowPunct w:val="0"/>
        <w:adjustRightInd w:val="0"/>
        <w:snapToGrid w:val="0"/>
        <w:spacing w:line="402" w:lineRule="exact"/>
        <w:ind w:left="561" w:firstLine="561"/>
        <w:jc w:val="both"/>
        <w:rPr>
          <w:rFonts w:ascii="標楷體" w:hAnsi="標楷體"/>
          <w:sz w:val="28"/>
          <w:szCs w:val="28"/>
        </w:rPr>
      </w:pPr>
      <w:r w:rsidRPr="00142E7D">
        <w:rPr>
          <w:rFonts w:ascii="標楷體" w:hAnsi="標楷體"/>
          <w:sz w:val="28"/>
          <w:szCs w:val="28"/>
        </w:rPr>
        <w:t>系爭</w:t>
      </w:r>
      <w:r w:rsidRPr="00142E7D">
        <w:rPr>
          <w:rFonts w:ascii="標楷體" w:hAnsi="標楷體"/>
          <w:kern w:val="0"/>
          <w:sz w:val="28"/>
          <w:szCs w:val="28"/>
        </w:rPr>
        <w:t>規定</w:t>
      </w:r>
      <w:r w:rsidRPr="00142E7D">
        <w:rPr>
          <w:rFonts w:ascii="標楷體" w:hAnsi="標楷體"/>
          <w:sz w:val="28"/>
          <w:szCs w:val="28"/>
        </w:rPr>
        <w:t>謂：「在指定清除地區內嚴禁有下列行為：……十一、其他經主管機關公告之污染環境行為。」即授權主管機關以公告方式補充規定除廢棄物清理法第二十七條第一款至第十款以外，與該十款相類之污染環境行為。</w:t>
      </w:r>
    </w:p>
    <w:p w:rsidR="00DD4611" w:rsidRPr="00142E7D" w:rsidRDefault="00DD4611" w:rsidP="003A2DBB">
      <w:pPr>
        <w:kinsoku w:val="0"/>
        <w:overflowPunct w:val="0"/>
        <w:adjustRightInd w:val="0"/>
        <w:snapToGrid w:val="0"/>
        <w:spacing w:line="402" w:lineRule="exact"/>
        <w:ind w:left="567" w:hanging="567"/>
        <w:jc w:val="both"/>
        <w:rPr>
          <w:rFonts w:ascii="標楷體" w:hAnsi="標楷體"/>
          <w:b/>
          <w:kern w:val="0"/>
          <w:sz w:val="28"/>
          <w:szCs w:val="28"/>
        </w:rPr>
      </w:pPr>
      <w:r w:rsidRPr="00142E7D">
        <w:rPr>
          <w:rFonts w:ascii="標楷體" w:hAnsi="標楷體"/>
          <w:b/>
          <w:kern w:val="0"/>
          <w:sz w:val="28"/>
          <w:szCs w:val="28"/>
        </w:rPr>
        <w:t>二、系爭公告內容與廢棄物清理法第二十七條第二款、第十款規定相類，尚未逾越授權範圍</w:t>
      </w:r>
    </w:p>
    <w:p w:rsidR="00DD4611" w:rsidRPr="00142E7D" w:rsidRDefault="00DD4611" w:rsidP="003A2DBB">
      <w:pPr>
        <w:pStyle w:val="HTML"/>
        <w:kinsoku w:val="0"/>
        <w:overflowPunct w:val="0"/>
        <w:adjustRightInd w:val="0"/>
        <w:snapToGrid w:val="0"/>
        <w:spacing w:line="402" w:lineRule="exact"/>
        <w:ind w:left="1191" w:hanging="851"/>
        <w:jc w:val="both"/>
        <w:rPr>
          <w:rFonts w:ascii="標楷體" w:eastAsia="標楷體" w:hAnsi="標楷體" w:cs="Times New Roman"/>
          <w:sz w:val="28"/>
          <w:szCs w:val="28"/>
        </w:rPr>
      </w:pPr>
      <w:r w:rsidRPr="00142E7D">
        <w:rPr>
          <w:rFonts w:ascii="標楷體" w:eastAsia="標楷體" w:hAnsi="標楷體" w:cs="Times New Roman"/>
          <w:sz w:val="28"/>
          <w:szCs w:val="28"/>
        </w:rPr>
        <w:t>（一）系爭公告內容為</w:t>
      </w:r>
      <w:r w:rsidR="00D37287" w:rsidRPr="00142E7D">
        <w:rPr>
          <w:rFonts w:ascii="標楷體" w:hAnsi="標楷體"/>
          <w:sz w:val="28"/>
          <w:szCs w:val="28"/>
        </w:rPr>
        <w:t>：</w:t>
      </w:r>
      <w:r w:rsidRPr="00142E7D">
        <w:rPr>
          <w:rFonts w:ascii="標楷體" w:eastAsia="標楷體" w:hAnsi="標楷體" w:cs="Times New Roman"/>
          <w:sz w:val="28"/>
          <w:szCs w:val="28"/>
        </w:rPr>
        <w:t>「公告事項：一、本市清除地區內，未經主管機關核准，於道路、牆壁、樑柱、電桿、樹木、橋樑、水溝、池塘或其他土地定著物張掛、懸繫、黏貼、噴漆、粉刷、樹立、釘定、夾插、置放或其他方法設置廣告物者，為污染環境行為。二、前項所稱之『道路』，指公路、街道、巷弄、安全島、人行道、廣場、騎樓、走廊或其他供公眾通行之地方。」</w:t>
      </w:r>
    </w:p>
    <w:p w:rsidR="00DD4611" w:rsidRPr="00142E7D" w:rsidRDefault="00DD4611" w:rsidP="003A2DBB">
      <w:pPr>
        <w:pStyle w:val="HTML"/>
        <w:kinsoku w:val="0"/>
        <w:overflowPunct w:val="0"/>
        <w:adjustRightInd w:val="0"/>
        <w:snapToGrid w:val="0"/>
        <w:spacing w:line="402" w:lineRule="exact"/>
        <w:ind w:left="1191" w:hanging="851"/>
        <w:jc w:val="both"/>
        <w:rPr>
          <w:rFonts w:ascii="標楷體" w:eastAsia="標楷體" w:hAnsi="標楷體" w:cs="Times New Roman"/>
          <w:sz w:val="28"/>
          <w:szCs w:val="28"/>
        </w:rPr>
      </w:pPr>
      <w:r w:rsidRPr="00142E7D">
        <w:rPr>
          <w:rFonts w:ascii="標楷體" w:eastAsia="標楷體" w:hAnsi="標楷體" w:cs="Times New Roman"/>
          <w:sz w:val="28"/>
          <w:szCs w:val="28"/>
        </w:rPr>
        <w:t>（二）公告事項一係規定於其所示之場所，以所示之方式設置廣告物者，為污染環境行為。其所示場所均屬廢棄物清理法第二十七條第二款：「污染地面、池溏、水溝、牆壁、樑柱、電桿、樹木、道路、橋樑或其他土地定著物。」所定禁止污染場所；其所示方式，與廢棄物清理法第二十七條第十款所定禁止之廣告方式，或相同</w:t>
      </w:r>
      <w:r w:rsidRPr="00142E7D">
        <w:rPr>
          <w:rStyle w:val="ab"/>
          <w:rFonts w:ascii="標楷體" w:eastAsia="標楷體" w:hAnsi="標楷體" w:cs="Times New Roman"/>
          <w:sz w:val="28"/>
          <w:szCs w:val="28"/>
        </w:rPr>
        <w:footnoteReference w:id="80"/>
      </w:r>
      <w:r w:rsidRPr="00142E7D">
        <w:rPr>
          <w:rFonts w:ascii="標楷體" w:eastAsia="標楷體" w:hAnsi="標楷體" w:cs="Times New Roman"/>
          <w:sz w:val="28"/>
          <w:szCs w:val="28"/>
        </w:rPr>
        <w:t>或相類</w:t>
      </w:r>
      <w:r w:rsidRPr="00142E7D">
        <w:rPr>
          <w:rStyle w:val="ab"/>
          <w:rFonts w:ascii="標楷體" w:eastAsia="標楷體" w:hAnsi="標楷體" w:cs="Times New Roman"/>
          <w:sz w:val="28"/>
          <w:szCs w:val="28"/>
        </w:rPr>
        <w:footnoteReference w:id="81"/>
      </w:r>
      <w:r w:rsidRPr="00142E7D">
        <w:rPr>
          <w:rFonts w:ascii="標楷體" w:eastAsia="標楷體" w:hAnsi="標楷體" w:cs="Times New Roman"/>
          <w:sz w:val="28"/>
          <w:szCs w:val="28"/>
        </w:rPr>
        <w:t>，有相似之污染環境結果。公告事項二，則係就公告事項一所示場所中之「道路」，詳定其範圍，難認系爭公告逾越系爭規定授權範圍。</w:t>
      </w:r>
    </w:p>
    <w:p w:rsidR="00DD4611" w:rsidRPr="00142E7D" w:rsidRDefault="00DD4611" w:rsidP="003A2DBB">
      <w:pPr>
        <w:kinsoku w:val="0"/>
        <w:overflowPunct w:val="0"/>
        <w:adjustRightInd w:val="0"/>
        <w:snapToGrid w:val="0"/>
        <w:spacing w:line="402" w:lineRule="exact"/>
        <w:ind w:left="567" w:hanging="567"/>
        <w:jc w:val="both"/>
        <w:rPr>
          <w:rFonts w:ascii="標楷體" w:hAnsi="標楷體"/>
          <w:b/>
          <w:kern w:val="0"/>
          <w:sz w:val="28"/>
          <w:szCs w:val="28"/>
        </w:rPr>
      </w:pPr>
      <w:r w:rsidRPr="00142E7D">
        <w:rPr>
          <w:rFonts w:ascii="標楷體" w:hAnsi="標楷體"/>
          <w:b/>
          <w:kern w:val="0"/>
          <w:sz w:val="28"/>
          <w:szCs w:val="28"/>
        </w:rPr>
        <w:t>三、系爭公告並非不問設置廣告物是否有礙環境衛生與國民健康，一律禁止廣告物之設置</w:t>
      </w:r>
    </w:p>
    <w:p w:rsidR="00DD4611" w:rsidRPr="00142E7D" w:rsidRDefault="00DD4611" w:rsidP="003A2DBB">
      <w:pPr>
        <w:kinsoku w:val="0"/>
        <w:overflowPunct w:val="0"/>
        <w:adjustRightInd w:val="0"/>
        <w:snapToGrid w:val="0"/>
        <w:spacing w:line="402" w:lineRule="exact"/>
        <w:ind w:left="561" w:firstLine="561"/>
        <w:jc w:val="both"/>
        <w:rPr>
          <w:rFonts w:ascii="標楷體" w:hAnsi="標楷體"/>
          <w:sz w:val="28"/>
          <w:szCs w:val="28"/>
        </w:rPr>
      </w:pPr>
      <w:r w:rsidRPr="00142E7D">
        <w:rPr>
          <w:rFonts w:ascii="標楷體" w:hAnsi="標楷體"/>
          <w:sz w:val="28"/>
          <w:szCs w:val="28"/>
        </w:rPr>
        <w:t>系爭公告僅禁止在所示場所，以所示方式設置廣告物，其所示場所限於例示之道路等及其「定著物」上，故如於道路散發傳單、穿著印有廣告</w:t>
      </w:r>
      <w:r w:rsidRPr="00142E7D">
        <w:rPr>
          <w:rFonts w:ascii="標楷體" w:hAnsi="標楷體"/>
          <w:sz w:val="28"/>
          <w:szCs w:val="28"/>
        </w:rPr>
        <w:lastRenderedPageBreak/>
        <w:t>之衣物，或於所著衣物張貼廣告等，均不在系爭公告禁止範圍。且於所示場所以所示方式設置廣告物，均會造成污染環境之結果，已如前述，並無多數意見所認不問設置廣告物是否有礙環境衛生與國民健康，一律禁止廣告物之設置情形。</w:t>
      </w:r>
    </w:p>
    <w:p w:rsidR="00DD4611" w:rsidRPr="00142E7D" w:rsidRDefault="00DD4611" w:rsidP="003A2DBB">
      <w:pPr>
        <w:kinsoku w:val="0"/>
        <w:overflowPunct w:val="0"/>
        <w:adjustRightInd w:val="0"/>
        <w:snapToGrid w:val="0"/>
        <w:spacing w:line="402" w:lineRule="exact"/>
        <w:ind w:left="567" w:hanging="567"/>
        <w:jc w:val="both"/>
        <w:rPr>
          <w:rFonts w:ascii="標楷體" w:hAnsi="標楷體"/>
          <w:b/>
          <w:kern w:val="0"/>
          <w:sz w:val="28"/>
          <w:szCs w:val="28"/>
        </w:rPr>
      </w:pPr>
      <w:r w:rsidRPr="00142E7D">
        <w:rPr>
          <w:rFonts w:ascii="標楷體" w:hAnsi="標楷體"/>
          <w:b/>
          <w:kern w:val="0"/>
          <w:sz w:val="28"/>
          <w:szCs w:val="28"/>
        </w:rPr>
        <w:t>四、系爭公告尚無不問是否已達與廢棄物清理法第二十七條前十款所定行為類型污染環境相當之程度，概予禁止情形</w:t>
      </w:r>
    </w:p>
    <w:p w:rsidR="00DD4611" w:rsidRPr="00142E7D" w:rsidRDefault="00DD4611" w:rsidP="003A2DBB">
      <w:pPr>
        <w:kinsoku w:val="0"/>
        <w:overflowPunct w:val="0"/>
        <w:adjustRightInd w:val="0"/>
        <w:snapToGrid w:val="0"/>
        <w:spacing w:line="402" w:lineRule="exact"/>
        <w:ind w:left="561" w:firstLine="561"/>
        <w:jc w:val="both"/>
        <w:rPr>
          <w:rFonts w:ascii="標楷體" w:hAnsi="標楷體"/>
          <w:sz w:val="28"/>
          <w:szCs w:val="28"/>
        </w:rPr>
      </w:pPr>
      <w:r w:rsidRPr="00142E7D">
        <w:rPr>
          <w:rFonts w:ascii="標楷體" w:hAnsi="標楷體"/>
          <w:sz w:val="28"/>
          <w:szCs w:val="28"/>
        </w:rPr>
        <w:t>於系爭公告所示場所以所示方式設置廣告物，均會有不同程度之污染環境，其污染環境程度因設置廣告物之場所、廣告物規模，設置時間之長短等各因素而異。某設置廣告物行為之污染環境程度縱較小，然集合多數即可能造成嚴重之污染環境，故難以事先設定標準</w:t>
      </w:r>
      <w:r w:rsidRPr="00142E7D">
        <w:rPr>
          <w:rStyle w:val="ab"/>
          <w:rFonts w:ascii="標楷體" w:hAnsi="標楷體"/>
          <w:sz w:val="28"/>
          <w:szCs w:val="28"/>
        </w:rPr>
        <w:footnoteReference w:id="82"/>
      </w:r>
      <w:r w:rsidRPr="00142E7D">
        <w:rPr>
          <w:rFonts w:ascii="標楷體" w:hAnsi="標楷體"/>
          <w:sz w:val="28"/>
          <w:szCs w:val="28"/>
        </w:rPr>
        <w:t>，而均有予以管制之必要。系爭公告以主管機關核准方法管制，適可區分污染環境程度，未達廢棄物清理法第二十七條前十款所定行為類型污染環境相當之程度者，可許其設置</w:t>
      </w:r>
      <w:r w:rsidRPr="00142E7D">
        <w:rPr>
          <w:rStyle w:val="ab"/>
          <w:rFonts w:ascii="標楷體" w:hAnsi="標楷體"/>
          <w:sz w:val="28"/>
          <w:szCs w:val="28"/>
        </w:rPr>
        <w:footnoteReference w:id="83"/>
      </w:r>
      <w:r w:rsidRPr="00142E7D">
        <w:rPr>
          <w:rFonts w:ascii="標楷體" w:hAnsi="標楷體"/>
          <w:sz w:val="28"/>
          <w:szCs w:val="28"/>
        </w:rPr>
        <w:t>；已達該程度者，否准其設置。</w:t>
      </w:r>
    </w:p>
    <w:p w:rsidR="00DD4611" w:rsidRPr="00142E7D" w:rsidRDefault="00DD4611" w:rsidP="003A2DBB">
      <w:pPr>
        <w:pStyle w:val="HTML"/>
        <w:kinsoku w:val="0"/>
        <w:overflowPunct w:val="0"/>
        <w:adjustRightInd w:val="0"/>
        <w:snapToGrid w:val="0"/>
        <w:spacing w:line="402" w:lineRule="exact"/>
        <w:jc w:val="both"/>
        <w:rPr>
          <w:rFonts w:ascii="標楷體" w:eastAsia="標楷體" w:hAnsi="標楷體" w:cs="Times New Roman"/>
          <w:b/>
          <w:sz w:val="28"/>
          <w:szCs w:val="28"/>
        </w:rPr>
      </w:pPr>
      <w:r w:rsidRPr="00142E7D">
        <w:rPr>
          <w:rFonts w:ascii="標楷體" w:eastAsia="標楷體" w:hAnsi="標楷體" w:cs="Times New Roman"/>
          <w:b/>
          <w:sz w:val="28"/>
          <w:szCs w:val="28"/>
        </w:rPr>
        <w:t>五、結論</w:t>
      </w:r>
    </w:p>
    <w:p w:rsidR="00DD4611" w:rsidRPr="00142E7D" w:rsidRDefault="00DD4611" w:rsidP="003A2DBB">
      <w:pPr>
        <w:kinsoku w:val="0"/>
        <w:overflowPunct w:val="0"/>
        <w:adjustRightInd w:val="0"/>
        <w:snapToGrid w:val="0"/>
        <w:spacing w:line="402" w:lineRule="exact"/>
        <w:ind w:left="561" w:firstLine="561"/>
        <w:jc w:val="both"/>
        <w:rPr>
          <w:rFonts w:ascii="標楷體" w:hAnsi="標楷體"/>
          <w:sz w:val="28"/>
          <w:szCs w:val="28"/>
        </w:rPr>
      </w:pPr>
      <w:r w:rsidRPr="00142E7D">
        <w:rPr>
          <w:rFonts w:ascii="標楷體" w:hAnsi="標楷體"/>
          <w:sz w:val="28"/>
          <w:szCs w:val="28"/>
        </w:rPr>
        <w:t>系爭公告內容與廢棄物清理法第二十七條第二款、第十款規定相類，並無不問設置廣告物是否有礙環境衛生與國民健康，及是否已達與廢棄物清理法第二十七條前十款所定行為類型污染環境相當之程度，概予禁止並處罰罰情形，且未增加系爭規定所無之限制</w:t>
      </w:r>
      <w:r w:rsidRPr="00142E7D">
        <w:rPr>
          <w:rStyle w:val="ab"/>
          <w:rFonts w:ascii="標楷體" w:hAnsi="標楷體"/>
          <w:sz w:val="28"/>
          <w:szCs w:val="28"/>
        </w:rPr>
        <w:footnoteReference w:id="84"/>
      </w:r>
      <w:r w:rsidRPr="00142E7D">
        <w:rPr>
          <w:rFonts w:ascii="標楷體" w:hAnsi="標楷體"/>
          <w:sz w:val="28"/>
          <w:szCs w:val="28"/>
        </w:rPr>
        <w:t>，是尚未逾越系爭規定授權範圍，難謂與法律保留原則不符。</w:t>
      </w:r>
    </w:p>
    <w:p w:rsidR="001A4BEF" w:rsidRPr="00142E7D" w:rsidRDefault="001A4BEF" w:rsidP="003A2DBB">
      <w:pPr>
        <w:kinsoku w:val="0"/>
        <w:overflowPunct w:val="0"/>
        <w:adjustRightInd w:val="0"/>
        <w:snapToGrid w:val="0"/>
        <w:spacing w:line="402" w:lineRule="exact"/>
        <w:jc w:val="both"/>
        <w:rPr>
          <w:rFonts w:ascii="標楷體" w:hAnsi="標楷體"/>
          <w:kern w:val="0"/>
          <w:sz w:val="28"/>
          <w:szCs w:val="28"/>
        </w:rPr>
      </w:pPr>
    </w:p>
    <w:p w:rsidR="001A4BEF" w:rsidRPr="00142E7D" w:rsidRDefault="00693C19" w:rsidP="003A2DBB">
      <w:pPr>
        <w:kinsoku w:val="0"/>
        <w:overflowPunct w:val="0"/>
        <w:adjustRightInd w:val="0"/>
        <w:snapToGrid w:val="0"/>
        <w:spacing w:line="402" w:lineRule="exact"/>
        <w:ind w:left="958" w:right="641"/>
        <w:jc w:val="both"/>
        <w:rPr>
          <w:rFonts w:ascii="標楷體" w:hAnsi="標楷體"/>
          <w:kern w:val="0"/>
          <w:sz w:val="28"/>
          <w:szCs w:val="28"/>
        </w:rPr>
      </w:pPr>
      <w:r w:rsidRPr="00142E7D">
        <w:rPr>
          <w:rFonts w:ascii="華康粗黑體" w:eastAsia="華康粗黑體" w:hAnsi="標楷體"/>
          <w:kern w:val="0"/>
          <w:sz w:val="28"/>
          <w:szCs w:val="28"/>
        </w:rPr>
        <w:br w:type="page"/>
      </w:r>
      <w:r w:rsidR="001A4BEF" w:rsidRPr="00142E7D">
        <w:rPr>
          <w:rFonts w:ascii="華康粗黑體" w:eastAsia="華康粗黑體" w:hAnsi="標楷體" w:hint="eastAsia"/>
          <w:kern w:val="0"/>
          <w:sz w:val="28"/>
          <w:szCs w:val="28"/>
        </w:rPr>
        <w:lastRenderedPageBreak/>
        <w:t>不同</w:t>
      </w:r>
      <w:r w:rsidR="001A4BEF" w:rsidRPr="00142E7D">
        <w:rPr>
          <w:rFonts w:eastAsia="華康粗黑體" w:hint="eastAsia"/>
          <w:sz w:val="28"/>
          <w:szCs w:val="28"/>
        </w:rPr>
        <w:t>意見書</w:t>
      </w:r>
      <w:r w:rsidR="001A4BEF" w:rsidRPr="00142E7D">
        <w:rPr>
          <w:rFonts w:ascii="標楷體" w:hAnsi="標楷體"/>
          <w:kern w:val="0"/>
          <w:sz w:val="28"/>
          <w:szCs w:val="28"/>
        </w:rPr>
        <w:t xml:space="preserve">　　　　　　　　　　　　　　</w:t>
      </w:r>
      <w:r w:rsidR="00DD4611" w:rsidRPr="00142E7D">
        <w:rPr>
          <w:rFonts w:ascii="標楷體" w:hAnsi="標楷體"/>
          <w:kern w:val="0"/>
          <w:sz w:val="28"/>
          <w:szCs w:val="28"/>
        </w:rPr>
        <w:t>黃虹霞</w:t>
      </w:r>
      <w:r w:rsidR="001A4BEF" w:rsidRPr="00142E7D">
        <w:rPr>
          <w:rFonts w:ascii="標楷體" w:hAnsi="標楷體"/>
          <w:kern w:val="0"/>
          <w:sz w:val="28"/>
          <w:szCs w:val="28"/>
        </w:rPr>
        <w:t>大法官　提出</w:t>
      </w:r>
    </w:p>
    <w:p w:rsidR="003A2DBB" w:rsidRPr="00142E7D" w:rsidRDefault="00DD4611" w:rsidP="003A2DBB">
      <w:pPr>
        <w:kinsoku w:val="0"/>
        <w:overflowPunct w:val="0"/>
        <w:adjustRightInd w:val="0"/>
        <w:snapToGrid w:val="0"/>
        <w:spacing w:line="402" w:lineRule="exact"/>
        <w:ind w:firstLine="561"/>
        <w:jc w:val="distribute"/>
        <w:textAlignment w:val="baseline"/>
        <w:rPr>
          <w:rFonts w:ascii="標楷體" w:hAnsi="標楷體" w:hint="eastAsia"/>
          <w:kern w:val="0"/>
          <w:sz w:val="28"/>
          <w:szCs w:val="28"/>
        </w:rPr>
      </w:pPr>
      <w:r w:rsidRPr="00142E7D">
        <w:rPr>
          <w:rFonts w:ascii="標楷體" w:hAnsi="標楷體"/>
          <w:kern w:val="0"/>
          <w:sz w:val="28"/>
          <w:szCs w:val="28"/>
        </w:rPr>
        <w:t>本號解釋多數意見認廢棄物清理法第二十七條第十一款規定，與憲法第二十三條之法律授權明確性原則尚無違背，而臺南市政府中華民國九十一年十</w:t>
      </w:r>
      <w:smartTag w:uri="urn:schemas-microsoft-com:office:smarttags" w:element="chsdate">
        <w:smartTagPr>
          <w:attr w:name="Year" w:val="2015"/>
          <w:attr w:name="Month" w:val="2"/>
          <w:attr w:name="Day" w:val="9"/>
          <w:attr w:name="IsLunarDate" w:val="False"/>
          <w:attr w:name="IsROCDate" w:val="False"/>
        </w:smartTagPr>
        <w:r w:rsidRPr="00142E7D">
          <w:rPr>
            <w:rFonts w:ascii="標楷體" w:hAnsi="標楷體"/>
            <w:kern w:val="0"/>
            <w:sz w:val="28"/>
            <w:szCs w:val="28"/>
          </w:rPr>
          <w:t>二月九日</w:t>
        </w:r>
      </w:smartTag>
      <w:r w:rsidRPr="00142E7D">
        <w:rPr>
          <w:rFonts w:ascii="標楷體" w:hAnsi="標楷體"/>
          <w:kern w:val="0"/>
          <w:sz w:val="28"/>
          <w:szCs w:val="28"/>
        </w:rPr>
        <w:t>南市環廢字第○九一○四○二三四三一號公告之公告事項一、二（該府改制後於一○○年一月十三日以南市府環管字第一○○○○五○七○一○號公告重行發布，內容相當；下併稱系爭公告），「不問設置廣告物是否有礙環境衛生與國民健康，及是否已達與廢棄物清理法第二十七條前十款所定行為類型污染環境相當之程度，即認該設置行為為污染行為，概予禁止並處罰，已逾越</w:t>
      </w:r>
    </w:p>
    <w:p w:rsidR="00DD4611" w:rsidRPr="00142E7D" w:rsidRDefault="00DD4611" w:rsidP="003A2DBB">
      <w:pPr>
        <w:kinsoku w:val="0"/>
        <w:overflowPunct w:val="0"/>
        <w:adjustRightInd w:val="0"/>
        <w:snapToGrid w:val="0"/>
        <w:spacing w:line="414" w:lineRule="exact"/>
        <w:jc w:val="both"/>
        <w:textAlignment w:val="baseline"/>
        <w:rPr>
          <w:rFonts w:ascii="標楷體" w:hAnsi="標楷體"/>
          <w:kern w:val="0"/>
          <w:sz w:val="28"/>
          <w:szCs w:val="28"/>
        </w:rPr>
      </w:pPr>
      <w:r w:rsidRPr="00142E7D">
        <w:rPr>
          <w:rFonts w:ascii="標楷體" w:hAnsi="標楷體"/>
          <w:kern w:val="0"/>
          <w:sz w:val="28"/>
          <w:szCs w:val="28"/>
        </w:rPr>
        <w:t>母法授權之範圍，與法律保留原則尚有未符。」惟本席對本件解釋是否應予受理、是否涉及言論自由，及系爭公告是否已達違憲程度，皆礙難同意多數意見之見解，爰提出不同意見書如下。</w:t>
      </w:r>
    </w:p>
    <w:p w:rsidR="00DD4611" w:rsidRPr="00142E7D" w:rsidRDefault="00DD4611" w:rsidP="003A2DBB">
      <w:pPr>
        <w:kinsoku w:val="0"/>
        <w:overflowPunct w:val="0"/>
        <w:adjustRightInd w:val="0"/>
        <w:snapToGrid w:val="0"/>
        <w:spacing w:line="414" w:lineRule="exact"/>
        <w:ind w:left="567" w:hanging="567"/>
        <w:jc w:val="both"/>
        <w:rPr>
          <w:rFonts w:ascii="標楷體" w:hAnsi="標楷體"/>
          <w:kern w:val="0"/>
          <w:sz w:val="28"/>
          <w:szCs w:val="28"/>
        </w:rPr>
      </w:pPr>
      <w:r w:rsidRPr="00142E7D">
        <w:rPr>
          <w:rFonts w:ascii="標楷體" w:hAnsi="標楷體"/>
          <w:kern w:val="0"/>
          <w:sz w:val="28"/>
          <w:szCs w:val="28"/>
        </w:rPr>
        <w:t>一、本件解釋所欲保護之人民基本權利究指何而言？不甚明確，主要可能是言論自由，並兼及於一般行為自由。</w:t>
      </w:r>
    </w:p>
    <w:p w:rsidR="00DD4611" w:rsidRPr="00142E7D" w:rsidRDefault="00DD4611" w:rsidP="003A2DBB">
      <w:pPr>
        <w:kinsoku w:val="0"/>
        <w:overflowPunct w:val="0"/>
        <w:adjustRightInd w:val="0"/>
        <w:snapToGrid w:val="0"/>
        <w:spacing w:line="414" w:lineRule="exact"/>
        <w:ind w:left="567" w:hanging="567"/>
        <w:jc w:val="both"/>
        <w:rPr>
          <w:rFonts w:ascii="標楷體" w:hAnsi="標楷體"/>
          <w:kern w:val="0"/>
          <w:sz w:val="28"/>
          <w:szCs w:val="28"/>
        </w:rPr>
      </w:pPr>
      <w:r w:rsidRPr="00142E7D">
        <w:rPr>
          <w:rFonts w:ascii="標楷體" w:hAnsi="標楷體"/>
          <w:kern w:val="0"/>
          <w:sz w:val="28"/>
          <w:szCs w:val="28"/>
        </w:rPr>
        <w:t>二、言論自由係民主基石，應予高度適當保障，迭經本院大法官多次解釋在案，故不待贅言。惟本件係屬人民聲請解釋案件，應以人民受憲法所保障之權利受到不法侵害，經提起訴訟而對於確定終局裁判所適用之法律或命令發生有牴觸憲法之疑義為聲請要件。而</w:t>
      </w:r>
    </w:p>
    <w:p w:rsidR="00DD4611" w:rsidRPr="00142E7D" w:rsidRDefault="00DD4611" w:rsidP="003A2DBB">
      <w:pPr>
        <w:kinsoku w:val="0"/>
        <w:overflowPunct w:val="0"/>
        <w:adjustRightInd w:val="0"/>
        <w:snapToGrid w:val="0"/>
        <w:spacing w:line="414" w:lineRule="exact"/>
        <w:ind w:left="1135" w:hanging="851"/>
        <w:jc w:val="both"/>
        <w:rPr>
          <w:rFonts w:ascii="標楷體" w:hAnsi="標楷體"/>
          <w:kern w:val="0"/>
          <w:sz w:val="28"/>
          <w:szCs w:val="28"/>
        </w:rPr>
      </w:pPr>
      <w:r w:rsidRPr="00142E7D">
        <w:rPr>
          <w:rFonts w:ascii="標楷體" w:hAnsi="標楷體"/>
          <w:kern w:val="0"/>
          <w:sz w:val="28"/>
          <w:szCs w:val="28"/>
        </w:rPr>
        <w:t>（一）經查系爭案件之原因事實顯示：本件聲請人根本未依規定申請許可，即逕自於公有廣場長期豎立系爭大型廣告物（屬污染環境行為應無疑義），且經取締及處罰後仍繼續同一行為，此一聲請人之未經申請許可之污染環境行為，已非適法；且因其未申請許可，故主管機關根本也無比如藉由廣告物內容之審查箝制聲請人言論自由等之舉措，故亦難認聲請人有何憲法上之權利遭受不法侵害。從而，本件解釋結果是否得由聲請人據以聲請再審，應非無疑（能否再審之終局決定權在法院，不在大法官）外，能否謂本件聲請與司法院大法官審理案件法第五條第一項第二款之規定意旨相符而應予受理，亦值商榷；</w:t>
      </w:r>
    </w:p>
    <w:p w:rsidR="00DD4611" w:rsidRPr="00142E7D" w:rsidRDefault="00DD4611" w:rsidP="003A2DBB">
      <w:pPr>
        <w:kinsoku w:val="0"/>
        <w:overflowPunct w:val="0"/>
        <w:adjustRightInd w:val="0"/>
        <w:snapToGrid w:val="0"/>
        <w:spacing w:line="414" w:lineRule="exact"/>
        <w:ind w:left="1135" w:hanging="851"/>
        <w:jc w:val="both"/>
        <w:rPr>
          <w:rFonts w:ascii="標楷體" w:hAnsi="標楷體"/>
          <w:kern w:val="0"/>
          <w:sz w:val="28"/>
          <w:szCs w:val="28"/>
        </w:rPr>
      </w:pPr>
      <w:r w:rsidRPr="00142E7D">
        <w:rPr>
          <w:rFonts w:ascii="標楷體" w:hAnsi="標楷體"/>
          <w:kern w:val="0"/>
          <w:sz w:val="28"/>
          <w:szCs w:val="28"/>
        </w:rPr>
        <w:t>（二）本件主管機關係依廢棄物清理法規定（本件廢棄物主管機關係依該法第二十七條第十一款規定為處罰，實則本件應符合同條第十款規定之禁止態樣，得直接以第十款規定作為取締依據，即根本無須另援引系爭公告），本廢棄物清理法主管機關之地位為取締及處罰；而廣告物是否為廢棄物，與廣告物之內容應無涉，即如廣告物應歸屬為廢棄物，則不應因其內容涉及言論自由事項，而使該廣告物變更為非廢棄物，不必且不能予以清除。因此，本件爭議之關鍵應不在系爭廣告物之內容如何；而應在於系爭廣告物是否符合廢棄物清理要件，即本件與</w:t>
      </w:r>
      <w:r w:rsidRPr="00142E7D">
        <w:rPr>
          <w:rFonts w:ascii="標楷體" w:hAnsi="標楷體"/>
          <w:kern w:val="0"/>
          <w:sz w:val="28"/>
          <w:szCs w:val="28"/>
        </w:rPr>
        <w:lastRenderedPageBreak/>
        <w:t>言論自由之限制間沒有必然關聯；</w:t>
      </w:r>
    </w:p>
    <w:p w:rsidR="00DD4611" w:rsidRPr="00142E7D" w:rsidRDefault="00DD4611" w:rsidP="003A2DBB">
      <w:pPr>
        <w:kinsoku w:val="0"/>
        <w:overflowPunct w:val="0"/>
        <w:adjustRightInd w:val="0"/>
        <w:snapToGrid w:val="0"/>
        <w:spacing w:line="414" w:lineRule="exact"/>
        <w:ind w:left="1135" w:hanging="851"/>
        <w:jc w:val="both"/>
        <w:rPr>
          <w:rFonts w:ascii="標楷體" w:hAnsi="標楷體"/>
          <w:kern w:val="0"/>
          <w:sz w:val="28"/>
          <w:szCs w:val="28"/>
        </w:rPr>
      </w:pPr>
      <w:r w:rsidRPr="00142E7D">
        <w:rPr>
          <w:rFonts w:ascii="標楷體" w:hAnsi="標楷體"/>
          <w:kern w:val="0"/>
          <w:sz w:val="28"/>
          <w:szCs w:val="28"/>
        </w:rPr>
        <w:t>（三）本件解釋亦肯認系爭公告非以箝制言論自由為目的（如有，當為偶然及機關執行上不當並應係例外之不法行為），而係為維護環境衛生及國民健康（應包括身心靈之整體健康）等重大正當公益目的，則非有絕對必要，即捨此而無他法，否則不宜遽冠以違憲之名，此種違憲之指摘如屬過重，反而不符「比例原則」。即本件退而言之，若有受理價值，也應以合憲限縮即提醒相關機關應注意切勿藉清理廢棄物等名義，行箝制言論自由或侵害人民其他憲法所保障之基本人權之實為已足；</w:t>
      </w:r>
    </w:p>
    <w:p w:rsidR="00DD4611" w:rsidRPr="00142E7D" w:rsidRDefault="00DD4611" w:rsidP="003A2DBB">
      <w:pPr>
        <w:kinsoku w:val="0"/>
        <w:overflowPunct w:val="0"/>
        <w:adjustRightInd w:val="0"/>
        <w:snapToGrid w:val="0"/>
        <w:spacing w:line="414" w:lineRule="exact"/>
        <w:ind w:left="1135" w:hanging="851"/>
        <w:jc w:val="both"/>
        <w:rPr>
          <w:rFonts w:ascii="標楷體" w:hAnsi="標楷體"/>
          <w:kern w:val="0"/>
          <w:sz w:val="28"/>
          <w:szCs w:val="28"/>
        </w:rPr>
      </w:pPr>
      <w:r w:rsidRPr="00142E7D">
        <w:rPr>
          <w:rFonts w:ascii="標楷體" w:hAnsi="標楷體"/>
          <w:kern w:val="0"/>
          <w:sz w:val="28"/>
          <w:szCs w:val="28"/>
        </w:rPr>
        <w:t>（四）依解釋理由書之記載：廣告物之設置既非不應事前申請許可，則主管機關若有藉內容等之審查行箝制言論自由之事實或侵害其他憲法所保障之基本人權之違憲行為，廣告物之設置者，可據以尋求救濟，以保護其個人權利，相關審判機關亦應積極保護之；沒有在欠缺具體侵害基本人權行為個案時，即預以因依系爭公告審查結果可能造成言論自由等侵害之結果為由，逕指系爭公告為違憲之必要，對系爭公告為合憲限縮解釋已可達同一目的。</w:t>
      </w:r>
    </w:p>
    <w:p w:rsidR="00DD4611" w:rsidRPr="00142E7D" w:rsidRDefault="00DD4611" w:rsidP="003A2DBB">
      <w:pPr>
        <w:kinsoku w:val="0"/>
        <w:overflowPunct w:val="0"/>
        <w:adjustRightInd w:val="0"/>
        <w:snapToGrid w:val="0"/>
        <w:spacing w:line="414" w:lineRule="exact"/>
        <w:ind w:left="1135" w:hanging="851"/>
        <w:jc w:val="both"/>
        <w:rPr>
          <w:rFonts w:ascii="標楷體" w:hAnsi="標楷體"/>
          <w:kern w:val="0"/>
          <w:sz w:val="28"/>
          <w:szCs w:val="28"/>
        </w:rPr>
      </w:pPr>
      <w:r w:rsidRPr="00142E7D">
        <w:rPr>
          <w:rFonts w:ascii="標楷體" w:hAnsi="標楷體"/>
          <w:kern w:val="0"/>
          <w:sz w:val="28"/>
          <w:szCs w:val="28"/>
        </w:rPr>
        <w:t>（五）再查：言論自由應不是本件爭議的直接焦點，解釋理由書第三段論及言論自由之保護，其前提應先論究公共場所尤其公有公共場所通常使用權問題（第三段提及公共場所似本於一般行為自由論述）。因為本件若不以公共場所設置廣告物係人民基本權利為前提，則根本不生系爭公告限制該使用權利而違憲之問題。於就公共場所設置廣告物言，屬憲法所保障之人民基本權利嗎？本席認為除了以供人民發表言論為設置目的之場所外，人民利用公共場所口頭發表言論之行為在我國本已非普遍常見，但本於對言論自由之尊重及因其不涉及媒介物之設置，故應可不受廣告物管理或廢棄物清理相關法令之拘束，而得自由為之。惟若與諸如交通安全、廣告物之設置或廢棄物之清理等相關，則自仍應受相關規定之限制；亦即，即便是應受高度保護之言論自由，亦不能舉言論自由之大旗，以當然拒卻交通法規、廣告物設置、廢棄物清理等相關法令之規範，更遑論受較低度保護之一般行為自由。基此，本席認為以我國國情，地窄人稠，與設置廣告物相較，純淨的空間才是國人更殷切盼望的！廣告物設置者以外的人民之免受視覺、聽覺、心靈…污染，享受公共場所通常使用目的之使用及維持空間純淨之自由，才應更值得或至少應同等被重視。此外，若認為於公共場所設置廣告物係憲法所保護之人民基本權利，則本件解釋效力將超越廢</w:t>
      </w:r>
      <w:r w:rsidRPr="00142E7D">
        <w:rPr>
          <w:rFonts w:ascii="標楷體" w:hAnsi="標楷體"/>
          <w:kern w:val="0"/>
          <w:sz w:val="28"/>
          <w:szCs w:val="28"/>
        </w:rPr>
        <w:lastRenderedPageBreak/>
        <w:t>棄物清理法、廣告物設置規定，而及於所有公共場所之管理，即各公共場所管理機關是否不得禁絕人民利用公共場所以口頭以外方式發表言論，而只能就其利用時間等為管制，也可能引致爭議而生困擾。尤有進者，還可能引發各公共場所管理機關是否有依人民之要求，積極提供實現人民言論發表措施之協力義務之爭議（包括提供措施使人民得以發表其對該公共場所管理機關或其他機關或人員不滿之言論）。因此，本席認為以我國國情言，人民應無於公共場所設置廣告物之基本權利，故本件也應不涉違憲問題。</w:t>
      </w:r>
    </w:p>
    <w:p w:rsidR="00DD4611" w:rsidRPr="00142E7D" w:rsidRDefault="00DD4611" w:rsidP="003A2DBB">
      <w:pPr>
        <w:kinsoku w:val="0"/>
        <w:overflowPunct w:val="0"/>
        <w:adjustRightInd w:val="0"/>
        <w:snapToGrid w:val="0"/>
        <w:spacing w:line="414" w:lineRule="exact"/>
        <w:ind w:left="1135" w:hanging="851"/>
        <w:jc w:val="both"/>
        <w:rPr>
          <w:rFonts w:ascii="標楷體" w:hAnsi="標楷體"/>
          <w:kern w:val="0"/>
          <w:sz w:val="28"/>
          <w:szCs w:val="28"/>
        </w:rPr>
      </w:pPr>
      <w:r w:rsidRPr="00142E7D">
        <w:rPr>
          <w:rFonts w:ascii="標楷體" w:hAnsi="標楷體"/>
          <w:kern w:val="0"/>
          <w:sz w:val="28"/>
          <w:szCs w:val="28"/>
        </w:rPr>
        <w:t>（六）此外，經查系爭公告內容中所指污染環境行為，與廢棄物清理法第二十七條前十款列舉規定比對，並無程度顯不相當之情形，且依廢棄物清理法第二十七條原規定，原本應係嚴禁之行為（無由主管機關例外核准之），而系爭公告則以經主管機關核准為前提，許其為公告所示之行為，反而係於原母法嚴禁之外，開設得設置廣告物行為之窗，較諸母法言，係放寬限制，而非加重限制。查廢棄物清理法第二十七條前十款規定既為合憲，則系爭公告自更無違憲之理。</w:t>
      </w:r>
    </w:p>
    <w:p w:rsidR="00DD4611" w:rsidRPr="00142E7D" w:rsidRDefault="00DD4611" w:rsidP="003A2DBB">
      <w:pPr>
        <w:kinsoku w:val="0"/>
        <w:overflowPunct w:val="0"/>
        <w:adjustRightInd w:val="0"/>
        <w:snapToGrid w:val="0"/>
        <w:spacing w:line="414" w:lineRule="exact"/>
        <w:ind w:left="1135" w:hanging="851"/>
        <w:jc w:val="both"/>
        <w:rPr>
          <w:rFonts w:ascii="標楷體" w:hAnsi="標楷體"/>
          <w:kern w:val="0"/>
          <w:sz w:val="28"/>
          <w:szCs w:val="28"/>
        </w:rPr>
      </w:pPr>
      <w:r w:rsidRPr="00142E7D">
        <w:rPr>
          <w:rFonts w:ascii="標楷體" w:hAnsi="標楷體"/>
          <w:kern w:val="0"/>
          <w:sz w:val="28"/>
          <w:szCs w:val="28"/>
        </w:rPr>
        <w:t>（七）綜上所述，本件聲請人未必符合聲請要件，且充其量係主管機關執行當否之爭議，不是法律或命令違憲問題，本件聲請應與司法院大法官審理案件法第五條第一項第二款規定不符，故本件不應受理。又憲法解釋除聲請人之立場外，其他共同使用公共場所之人民之權益亦應併同權衡；且應考量各種解釋結果之利弊得失，而為採擇。本件尚非已有機關具體侵害人民言論自由等實況發生，而即有予被侵害人民救濟必要之情形；本件充其量係有機關藉清理廢棄物之名而侵害人民言論自由之虞之情形，即本件狀況尚非急迫而有即予違憲解釋之必要。再者，違憲宣示將引致現況之變更，除必有社會成本支出，另機關及其人員需配合調整外，其他共同使用公共場所之人民亦必然受間接影響，因此，違憲解釋較可能有超乎預想之狀況發生。反之，若以合憲限縮方式處理，其變動影響較有限，即相較言之，違憲宣示之作用較可能超乎預期及引致困擾。從而，本件退而言之，以合憲限縮提醒機關於依系爭公告審查時注意憲法關於言論自由及其他基本人權保護規定即可，應尚未達宣示違憲之程度。</w:t>
      </w:r>
    </w:p>
    <w:p w:rsidR="00DD4611" w:rsidRPr="00142E7D" w:rsidRDefault="00DD4611" w:rsidP="003A2DBB">
      <w:pPr>
        <w:kinsoku w:val="0"/>
        <w:overflowPunct w:val="0"/>
        <w:adjustRightInd w:val="0"/>
        <w:snapToGrid w:val="0"/>
        <w:spacing w:line="414" w:lineRule="exact"/>
        <w:ind w:left="567" w:hanging="567"/>
        <w:jc w:val="both"/>
        <w:rPr>
          <w:rFonts w:ascii="標楷體" w:hAnsi="標楷體"/>
          <w:kern w:val="0"/>
          <w:sz w:val="28"/>
          <w:szCs w:val="28"/>
        </w:rPr>
      </w:pPr>
      <w:r w:rsidRPr="00142E7D">
        <w:rPr>
          <w:rFonts w:ascii="標楷體" w:hAnsi="標楷體"/>
          <w:kern w:val="0"/>
          <w:sz w:val="28"/>
          <w:szCs w:val="28"/>
        </w:rPr>
        <w:t>三、又違憲宣示並諭令檢討改進者，應儘可能說明具體可行之舉措，俾機關憑以改善。惟本件因為系爭公告內容所指污染環境行為，與母法相較尚無顯不相當之情形，故經宣示系爭公告違憲並諭令檢討改進後，主管機關究應如何改善始符解釋之意旨要求，似欠具體明確。另關於解釋理由書第三段</w:t>
      </w:r>
      <w:r w:rsidRPr="00142E7D">
        <w:rPr>
          <w:rFonts w:ascii="標楷體" w:hAnsi="標楷體"/>
          <w:kern w:val="0"/>
          <w:sz w:val="28"/>
          <w:szCs w:val="28"/>
        </w:rPr>
        <w:lastRenderedPageBreak/>
        <w:t>固未宣示違憲，而僅提醒警示，惟關於諭令檢討改進部分，究竟要求機關應如何改進，更乏具體指示，主管機關如何遵照執行，亦恐非無困難。</w:t>
      </w:r>
    </w:p>
    <w:p w:rsidR="00DD4611" w:rsidRPr="00142E7D" w:rsidRDefault="00DD4611" w:rsidP="003A2DBB">
      <w:pPr>
        <w:kinsoku w:val="0"/>
        <w:overflowPunct w:val="0"/>
        <w:adjustRightInd w:val="0"/>
        <w:snapToGrid w:val="0"/>
        <w:spacing w:line="414" w:lineRule="exact"/>
        <w:ind w:left="567" w:hanging="567"/>
        <w:jc w:val="both"/>
        <w:rPr>
          <w:rFonts w:ascii="標楷體" w:hAnsi="標楷體"/>
          <w:kern w:val="0"/>
          <w:sz w:val="28"/>
          <w:szCs w:val="28"/>
        </w:rPr>
      </w:pPr>
      <w:r w:rsidRPr="00142E7D">
        <w:rPr>
          <w:rFonts w:ascii="標楷體" w:hAnsi="標楷體"/>
          <w:kern w:val="0"/>
          <w:sz w:val="28"/>
          <w:szCs w:val="28"/>
        </w:rPr>
        <w:t>四、又本件解釋文關於廢棄物清理法第二十七條第十一款規定為合憲部分，其結論固足資贊同，惟此部分之解釋文意旨與司法實務上通說應無不符，故應無須特予解釋以解爭議，即該部分亦不具原則重要性，從而此部分，亦無受理價值，併此敘明。</w:t>
      </w:r>
    </w:p>
    <w:p w:rsidR="003A2DBB" w:rsidRPr="00142E7D" w:rsidRDefault="00782066" w:rsidP="003A2DBB">
      <w:pPr>
        <w:kinsoku w:val="0"/>
        <w:overflowPunct w:val="0"/>
        <w:adjustRightInd w:val="0"/>
        <w:snapToGrid w:val="0"/>
        <w:spacing w:line="414" w:lineRule="exact"/>
        <w:ind w:left="340" w:hanging="340"/>
        <w:jc w:val="both"/>
        <w:rPr>
          <w:rFonts w:ascii="標楷體" w:hAnsi="標楷體" w:hint="eastAsia"/>
          <w:kern w:val="0"/>
          <w:sz w:val="28"/>
          <w:szCs w:val="28"/>
        </w:rPr>
      </w:pPr>
      <w:r w:rsidRPr="00142E7D">
        <w:rPr>
          <w:rFonts w:ascii="標楷體" w:hAnsi="標楷體"/>
          <w:kern w:val="0"/>
          <w:sz w:val="28"/>
          <w:szCs w:val="28"/>
        </w:rPr>
        <w:t>（</w:t>
      </w:r>
      <w:r w:rsidR="009225CA" w:rsidRPr="00142E7D">
        <w:rPr>
          <w:rFonts w:ascii="標楷體" w:hAnsi="標楷體"/>
          <w:kern w:val="0"/>
          <w:sz w:val="28"/>
          <w:szCs w:val="28"/>
        </w:rPr>
        <w:t>相關聲請書及裁判請上司法院</w:t>
      </w:r>
      <w:r w:rsidR="007F1612" w:rsidRPr="00142E7D">
        <w:rPr>
          <w:rFonts w:ascii="標楷體" w:hAnsi="標楷體"/>
          <w:kern w:val="0"/>
          <w:sz w:val="28"/>
          <w:szCs w:val="28"/>
        </w:rPr>
        <w:t>大法官</w:t>
      </w:r>
      <w:r w:rsidR="009225CA" w:rsidRPr="00142E7D">
        <w:rPr>
          <w:rFonts w:ascii="標楷體" w:hAnsi="標楷體"/>
          <w:kern w:val="0"/>
          <w:sz w:val="28"/>
          <w:szCs w:val="28"/>
        </w:rPr>
        <w:t>網站</w:t>
      </w:r>
      <w:r w:rsidR="007F1612" w:rsidRPr="00142E7D">
        <w:rPr>
          <w:rFonts w:ascii="標楷體" w:hAnsi="標楷體"/>
          <w:kern w:val="0"/>
          <w:sz w:val="28"/>
          <w:szCs w:val="28"/>
        </w:rPr>
        <w:t>連結「大法官解釋」</w:t>
      </w:r>
      <w:r w:rsidR="009225CA" w:rsidRPr="00142E7D">
        <w:rPr>
          <w:rFonts w:ascii="標楷體" w:hAnsi="標楷體"/>
          <w:kern w:val="0"/>
          <w:sz w:val="28"/>
          <w:szCs w:val="28"/>
        </w:rPr>
        <w:t>閱覽，網址：http：//www.judicial.gov.tw</w:t>
      </w:r>
      <w:r w:rsidR="007F1612" w:rsidRPr="00142E7D">
        <w:rPr>
          <w:rFonts w:ascii="標楷體" w:hAnsi="標楷體"/>
          <w:kern w:val="0"/>
          <w:sz w:val="28"/>
          <w:szCs w:val="28"/>
        </w:rPr>
        <w:t>/constitutionalcourt</w:t>
      </w:r>
      <w:r w:rsidR="00654FBB" w:rsidRPr="00142E7D">
        <w:rPr>
          <w:rFonts w:ascii="標楷體" w:hAnsi="標楷體"/>
          <w:kern w:val="0"/>
          <w:sz w:val="28"/>
          <w:szCs w:val="28"/>
        </w:rPr>
        <w:t>）</w:t>
      </w:r>
    </w:p>
    <w:sectPr w:rsidR="003A2DBB" w:rsidRPr="00142E7D" w:rsidSect="008437E4">
      <w:footnotePr>
        <w:numRestart w:val="eachSect"/>
      </w:footnotePr>
      <w:pgSz w:w="11906" w:h="16838"/>
      <w:pgMar w:top="1418" w:right="1134" w:bottom="851"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BA5" w:rsidRDefault="00771BA5" w:rsidP="009C679D">
      <w:r>
        <w:separator/>
      </w:r>
    </w:p>
  </w:endnote>
  <w:endnote w:type="continuationSeparator" w:id="0">
    <w:p w:rsidR="00771BA5" w:rsidRDefault="00771BA5" w:rsidP="009C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華康粗黑體">
    <w:altName w:val="Arial Unicode MS"/>
    <w:charset w:val="88"/>
    <w:family w:val="modern"/>
    <w:pitch w:val="fixed"/>
    <w:sig w:usb0="00000000" w:usb1="28091800" w:usb2="00000016" w:usb3="00000000" w:csb0="00100000" w:csb1="00000000"/>
  </w:font>
  <w:font w:name="夹发砰-WinCharSetFFFF-H">
    <w:altName w:val="SimSun"/>
    <w:panose1 w:val="00000000000000000000"/>
    <w:charset w:val="86"/>
    <w:family w:val="auto"/>
    <w:notTrueType/>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150" w:rsidRDefault="0077515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1E1" w:rsidRDefault="002031E1">
    <w:pPr>
      <w:pStyle w:val="a6"/>
      <w:jc w:val="center"/>
    </w:pPr>
  </w:p>
  <w:p w:rsidR="002031E1" w:rsidRDefault="002031E1" w:rsidP="004851E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150" w:rsidRDefault="00775150">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B40" w:rsidRDefault="005A7B40">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1E1" w:rsidRPr="00902BBD" w:rsidRDefault="002031E1">
    <w:pPr>
      <w:pStyle w:val="a6"/>
      <w:jc w:val="center"/>
      <w:rPr>
        <w:sz w:val="26"/>
        <w:szCs w:val="26"/>
      </w:rPr>
    </w:pPr>
    <w:r w:rsidRPr="00902BBD">
      <w:rPr>
        <w:sz w:val="26"/>
        <w:szCs w:val="26"/>
      </w:rPr>
      <w:fldChar w:fldCharType="begin"/>
    </w:r>
    <w:r w:rsidRPr="00902BBD">
      <w:rPr>
        <w:sz w:val="26"/>
        <w:szCs w:val="26"/>
      </w:rPr>
      <w:instrText xml:space="preserve"> PAGE   \* MERGEFORMAT </w:instrText>
    </w:r>
    <w:r w:rsidRPr="00902BBD">
      <w:rPr>
        <w:sz w:val="26"/>
        <w:szCs w:val="26"/>
      </w:rPr>
      <w:fldChar w:fldCharType="separate"/>
    </w:r>
    <w:r w:rsidR="00263ECA" w:rsidRPr="00263ECA">
      <w:rPr>
        <w:noProof/>
        <w:sz w:val="26"/>
        <w:szCs w:val="26"/>
        <w:lang w:val="zh-TW"/>
      </w:rPr>
      <w:t>3</w:t>
    </w:r>
    <w:r w:rsidRPr="00902BBD">
      <w:rPr>
        <w:sz w:val="26"/>
        <w:szCs w:val="2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B40" w:rsidRDefault="005A7B40">
    <w:pPr>
      <w:pStyle w:val="a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CBE" w:rsidRPr="00902BBD" w:rsidRDefault="007A5CBE">
    <w:pPr>
      <w:pStyle w:val="a6"/>
      <w:jc w:val="center"/>
      <w:rPr>
        <w:sz w:val="26"/>
        <w:szCs w:val="26"/>
      </w:rPr>
    </w:pPr>
    <w:r w:rsidRPr="00902BBD">
      <w:rPr>
        <w:sz w:val="26"/>
        <w:szCs w:val="26"/>
      </w:rPr>
      <w:fldChar w:fldCharType="begin"/>
    </w:r>
    <w:r w:rsidRPr="00902BBD">
      <w:rPr>
        <w:sz w:val="26"/>
        <w:szCs w:val="26"/>
      </w:rPr>
      <w:instrText xml:space="preserve"> PAGE   \* MERGEFORMAT </w:instrText>
    </w:r>
    <w:r w:rsidRPr="00902BBD">
      <w:rPr>
        <w:sz w:val="26"/>
        <w:szCs w:val="26"/>
      </w:rPr>
      <w:fldChar w:fldCharType="separate"/>
    </w:r>
    <w:r w:rsidR="00263ECA" w:rsidRPr="00263ECA">
      <w:rPr>
        <w:noProof/>
        <w:sz w:val="26"/>
        <w:szCs w:val="26"/>
        <w:lang w:val="zh-TW"/>
      </w:rPr>
      <w:t>69</w:t>
    </w:r>
    <w:r w:rsidRPr="00902BBD">
      <w:rPr>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BA5" w:rsidRDefault="00771BA5" w:rsidP="009C679D">
      <w:r>
        <w:separator/>
      </w:r>
    </w:p>
  </w:footnote>
  <w:footnote w:type="continuationSeparator" w:id="0">
    <w:p w:rsidR="00771BA5" w:rsidRDefault="00771BA5" w:rsidP="009C679D">
      <w:r>
        <w:continuationSeparator/>
      </w:r>
    </w:p>
  </w:footnote>
  <w:footnote w:id="1">
    <w:p w:rsidR="002031E1" w:rsidRPr="0056041E" w:rsidRDefault="002031E1" w:rsidP="00255BEA">
      <w:pPr>
        <w:kinsoku w:val="0"/>
        <w:overflowPunct w:val="0"/>
        <w:adjustRightInd w:val="0"/>
        <w:snapToGrid w:val="0"/>
        <w:spacing w:line="391" w:lineRule="exact"/>
        <w:ind w:left="198" w:hanging="198"/>
        <w:rPr>
          <w:rFonts w:ascii="標楷體" w:hAnsi="標楷體"/>
          <w:color w:val="000000"/>
          <w:kern w:val="0"/>
          <w:sz w:val="22"/>
          <w:szCs w:val="22"/>
        </w:rPr>
      </w:pPr>
      <w:r w:rsidRPr="0056041E">
        <w:rPr>
          <w:rStyle w:val="ab"/>
          <w:rFonts w:ascii="標楷體" w:hAnsi="標楷體"/>
          <w:kern w:val="0"/>
          <w:sz w:val="22"/>
          <w:szCs w:val="22"/>
        </w:rPr>
        <w:footnoteRef/>
      </w:r>
      <w:r w:rsidRPr="0056041E">
        <w:rPr>
          <w:rFonts w:ascii="標楷體" w:hAnsi="標楷體"/>
          <w:kern w:val="0"/>
          <w:sz w:val="22"/>
          <w:szCs w:val="22"/>
        </w:rPr>
        <w:t xml:space="preserve"> </w:t>
      </w:r>
      <w:r w:rsidRPr="0056041E">
        <w:rPr>
          <w:rFonts w:ascii="標楷體" w:hAnsi="標楷體"/>
          <w:color w:val="000000"/>
          <w:kern w:val="0"/>
          <w:sz w:val="22"/>
          <w:szCs w:val="22"/>
        </w:rPr>
        <w:t>空氣污染防制法第二條第一款規定：「空氣污染物：指空氣中足以直接或間接妨害國民健康或生活環境之物質。」水污染防治法第二條第四款規定：「污染物：指任何能導致水污染之物質、生物或能量。」土壤及地下水污染整治法第二條第七款規定：「污染物：指任何能導致土壤或地下水污染之外來物質、生物或能量。」</w:t>
      </w:r>
    </w:p>
  </w:footnote>
  <w:footnote w:id="2">
    <w:p w:rsidR="002031E1" w:rsidRPr="00307D8C" w:rsidRDefault="002031E1" w:rsidP="00255BEA">
      <w:pPr>
        <w:kinsoku w:val="0"/>
        <w:overflowPunct w:val="0"/>
        <w:adjustRightInd w:val="0"/>
        <w:snapToGrid w:val="0"/>
        <w:spacing w:line="391" w:lineRule="exact"/>
        <w:ind w:left="198" w:hanging="198"/>
        <w:rPr>
          <w:kern w:val="0"/>
          <w:sz w:val="22"/>
          <w:szCs w:val="22"/>
        </w:rPr>
      </w:pPr>
      <w:r w:rsidRPr="00307D8C">
        <w:rPr>
          <w:rStyle w:val="ab"/>
          <w:kern w:val="0"/>
          <w:sz w:val="22"/>
          <w:szCs w:val="22"/>
        </w:rPr>
        <w:footnoteRef/>
      </w:r>
      <w:r w:rsidRPr="00307D8C">
        <w:rPr>
          <w:kern w:val="0"/>
          <w:sz w:val="22"/>
          <w:szCs w:val="22"/>
        </w:rPr>
        <w:t xml:space="preserve"> </w:t>
      </w:r>
      <w:r w:rsidRPr="00307D8C">
        <w:rPr>
          <w:rFonts w:hAnsi="標楷體"/>
          <w:kern w:val="0"/>
          <w:sz w:val="22"/>
          <w:szCs w:val="22"/>
        </w:rPr>
        <w:t>關於行政機關及法院</w:t>
      </w:r>
      <w:r w:rsidRPr="00307D8C">
        <w:rPr>
          <w:rFonts w:hAnsi="標楷體"/>
          <w:color w:val="000000"/>
          <w:kern w:val="0"/>
          <w:sz w:val="22"/>
          <w:szCs w:val="22"/>
        </w:rPr>
        <w:t>對於</w:t>
      </w:r>
      <w:r w:rsidRPr="00307D8C">
        <w:rPr>
          <w:rFonts w:hAnsi="標楷體"/>
          <w:kern w:val="0"/>
          <w:sz w:val="22"/>
          <w:szCs w:val="22"/>
        </w:rPr>
        <w:t>不確定概念之判斷餘地，請參考</w:t>
      </w:r>
      <w:r w:rsidRPr="00307D8C">
        <w:rPr>
          <w:i/>
          <w:kern w:val="0"/>
          <w:sz w:val="22"/>
          <w:szCs w:val="22"/>
        </w:rPr>
        <w:t>Larenz</w:t>
      </w:r>
      <w:r w:rsidRPr="00307D8C">
        <w:rPr>
          <w:kern w:val="0"/>
          <w:sz w:val="22"/>
          <w:szCs w:val="22"/>
        </w:rPr>
        <w:t xml:space="preserve">, Methodenlehre der Rechts- wissenschat, 5. Aufl., Berlin, 1983, S. 283ff.; </w:t>
      </w:r>
      <w:r w:rsidRPr="00307D8C">
        <w:rPr>
          <w:rFonts w:hAnsi="標楷體"/>
          <w:kern w:val="0"/>
          <w:sz w:val="22"/>
          <w:szCs w:val="22"/>
        </w:rPr>
        <w:t>黃茂榮，法學方法與現代民法，增訂六版，</w:t>
      </w:r>
      <w:r w:rsidRPr="00307D8C">
        <w:rPr>
          <w:kern w:val="0"/>
          <w:sz w:val="22"/>
          <w:szCs w:val="22"/>
        </w:rPr>
        <w:t>2011</w:t>
      </w:r>
      <w:r w:rsidRPr="00307D8C">
        <w:rPr>
          <w:rFonts w:hAnsi="標楷體"/>
          <w:kern w:val="0"/>
          <w:sz w:val="22"/>
          <w:szCs w:val="22"/>
        </w:rPr>
        <w:t>年九月，</w:t>
      </w:r>
      <w:r w:rsidR="005A24ED">
        <w:rPr>
          <w:rFonts w:hAnsi="標楷體" w:hint="eastAsia"/>
          <w:kern w:val="0"/>
          <w:sz w:val="22"/>
          <w:szCs w:val="22"/>
        </w:rPr>
        <w:t>台</w:t>
      </w:r>
      <w:r w:rsidRPr="00307D8C">
        <w:rPr>
          <w:rFonts w:hAnsi="標楷體"/>
          <w:kern w:val="0"/>
          <w:sz w:val="22"/>
          <w:szCs w:val="22"/>
        </w:rPr>
        <w:t>北，頁</w:t>
      </w:r>
      <w:r w:rsidRPr="00307D8C">
        <w:rPr>
          <w:kern w:val="0"/>
          <w:sz w:val="22"/>
          <w:szCs w:val="22"/>
        </w:rPr>
        <w:t>324</w:t>
      </w:r>
      <w:r w:rsidRPr="00307D8C">
        <w:rPr>
          <w:rFonts w:hAnsi="標楷體"/>
          <w:kern w:val="0"/>
          <w:sz w:val="22"/>
          <w:szCs w:val="22"/>
        </w:rPr>
        <w:t>。</w:t>
      </w:r>
    </w:p>
  </w:footnote>
  <w:footnote w:id="3">
    <w:p w:rsidR="002031E1" w:rsidRPr="00F66132" w:rsidRDefault="002031E1" w:rsidP="00255BEA">
      <w:pPr>
        <w:kinsoku w:val="0"/>
        <w:overflowPunct w:val="0"/>
        <w:adjustRightInd w:val="0"/>
        <w:snapToGrid w:val="0"/>
        <w:spacing w:line="391" w:lineRule="exact"/>
        <w:ind w:left="198" w:hanging="198"/>
        <w:rPr>
          <w:kern w:val="0"/>
          <w:sz w:val="22"/>
          <w:szCs w:val="22"/>
        </w:rPr>
      </w:pPr>
      <w:r w:rsidRPr="00F66132">
        <w:rPr>
          <w:rStyle w:val="ab"/>
          <w:kern w:val="0"/>
          <w:sz w:val="22"/>
          <w:szCs w:val="22"/>
        </w:rPr>
        <w:footnoteRef/>
      </w:r>
      <w:r w:rsidRPr="00F66132">
        <w:rPr>
          <w:kern w:val="0"/>
          <w:sz w:val="22"/>
          <w:szCs w:val="22"/>
        </w:rPr>
        <w:t xml:space="preserve"> </w:t>
      </w:r>
      <w:r w:rsidRPr="00F66132">
        <w:rPr>
          <w:kern w:val="0"/>
          <w:sz w:val="22"/>
          <w:szCs w:val="22"/>
        </w:rPr>
        <w:t>同屬以「公告」授權主管機關制定具體規範，本院於釋字第</w:t>
      </w:r>
      <w:r w:rsidRPr="00F66132">
        <w:rPr>
          <w:kern w:val="0"/>
          <w:sz w:val="22"/>
          <w:szCs w:val="22"/>
        </w:rPr>
        <w:t>680</w:t>
      </w:r>
      <w:r w:rsidRPr="00F66132">
        <w:rPr>
          <w:kern w:val="0"/>
          <w:sz w:val="22"/>
          <w:szCs w:val="22"/>
        </w:rPr>
        <w:t>號解釋則為「</w:t>
      </w:r>
      <w:r w:rsidRPr="00F66132">
        <w:rPr>
          <w:color w:val="000000"/>
          <w:kern w:val="0"/>
          <w:sz w:val="22"/>
          <w:szCs w:val="22"/>
        </w:rPr>
        <w:t>授權之目的、內容及範圍尚欠明確，有違授權明確性及刑罰明確性原則」之結論。</w:t>
      </w:r>
    </w:p>
  </w:footnote>
  <w:footnote w:id="4">
    <w:p w:rsidR="002031E1" w:rsidRPr="00F66132" w:rsidRDefault="002031E1" w:rsidP="00AF2136">
      <w:pPr>
        <w:kinsoku w:val="0"/>
        <w:overflowPunct w:val="0"/>
        <w:adjustRightInd w:val="0"/>
        <w:snapToGrid w:val="0"/>
        <w:spacing w:line="391" w:lineRule="exact"/>
        <w:ind w:left="198" w:hanging="198"/>
        <w:jc w:val="both"/>
        <w:rPr>
          <w:kern w:val="0"/>
          <w:sz w:val="22"/>
          <w:szCs w:val="22"/>
        </w:rPr>
      </w:pPr>
      <w:r w:rsidRPr="00F66132">
        <w:rPr>
          <w:rStyle w:val="ab"/>
          <w:kern w:val="0"/>
          <w:sz w:val="22"/>
          <w:szCs w:val="22"/>
        </w:rPr>
        <w:footnoteRef/>
      </w:r>
      <w:r w:rsidRPr="00F66132">
        <w:rPr>
          <w:kern w:val="0"/>
          <w:sz w:val="22"/>
          <w:szCs w:val="22"/>
        </w:rPr>
        <w:t xml:space="preserve"> </w:t>
      </w:r>
      <w:r w:rsidRPr="00F66132">
        <w:rPr>
          <w:kern w:val="0"/>
          <w:sz w:val="22"/>
          <w:szCs w:val="22"/>
        </w:rPr>
        <w:t>例如歐洲人權法院於</w:t>
      </w:r>
      <w:r w:rsidRPr="00F66132">
        <w:rPr>
          <w:kern w:val="0"/>
          <w:sz w:val="22"/>
          <w:szCs w:val="22"/>
        </w:rPr>
        <w:t>Autronic AG v. Switzerland</w:t>
      </w:r>
      <w:r w:rsidRPr="00F66132">
        <w:rPr>
          <w:kern w:val="0"/>
          <w:sz w:val="22"/>
          <w:szCs w:val="22"/>
        </w:rPr>
        <w:t>（</w:t>
      </w:r>
      <w:r w:rsidRPr="00F66132">
        <w:rPr>
          <w:kern w:val="0"/>
          <w:sz w:val="22"/>
          <w:szCs w:val="22"/>
        </w:rPr>
        <w:t>1990</w:t>
      </w:r>
      <w:r w:rsidRPr="00F66132">
        <w:rPr>
          <w:kern w:val="0"/>
          <w:sz w:val="22"/>
          <w:szCs w:val="22"/>
        </w:rPr>
        <w:t>）</w:t>
      </w:r>
      <w:r w:rsidRPr="00F66132">
        <w:rPr>
          <w:kern w:val="0"/>
          <w:sz w:val="22"/>
          <w:szCs w:val="22"/>
        </w:rPr>
        <w:t>12 EHRR 485</w:t>
      </w:r>
      <w:r w:rsidRPr="00F66132">
        <w:rPr>
          <w:kern w:val="0"/>
          <w:sz w:val="22"/>
          <w:szCs w:val="22"/>
        </w:rPr>
        <w:t>一案中，即認為：「歐洲人權公約第</w:t>
      </w:r>
      <w:r w:rsidRPr="00F66132">
        <w:rPr>
          <w:kern w:val="0"/>
          <w:sz w:val="22"/>
          <w:szCs w:val="22"/>
        </w:rPr>
        <w:t>10</w:t>
      </w:r>
      <w:r w:rsidRPr="00F66132">
        <w:rPr>
          <w:kern w:val="0"/>
          <w:sz w:val="22"/>
          <w:szCs w:val="22"/>
        </w:rPr>
        <w:t>條就表意自由之保障，不僅適用於資訊之內容，同時也包括資訊傳達與接收之工具，因此，任何該工具之限制，均可能構成收送資訊權利之侵害。」（</w:t>
      </w:r>
      <w:r w:rsidRPr="00F66132">
        <w:rPr>
          <w:kern w:val="0"/>
          <w:sz w:val="22"/>
          <w:szCs w:val="22"/>
        </w:rPr>
        <w:t>Article 10</w:t>
      </w:r>
      <w:r w:rsidRPr="00F66132">
        <w:rPr>
          <w:kern w:val="0"/>
          <w:sz w:val="22"/>
          <w:szCs w:val="22"/>
        </w:rPr>
        <w:t>（</w:t>
      </w:r>
      <w:r w:rsidRPr="00F66132">
        <w:rPr>
          <w:kern w:val="0"/>
          <w:sz w:val="22"/>
          <w:szCs w:val="22"/>
        </w:rPr>
        <w:t>art. 10</w:t>
      </w:r>
      <w:r w:rsidRPr="00F66132">
        <w:rPr>
          <w:kern w:val="0"/>
          <w:sz w:val="22"/>
          <w:szCs w:val="22"/>
        </w:rPr>
        <w:t>）</w:t>
      </w:r>
      <w:r w:rsidRPr="00F66132">
        <w:rPr>
          <w:kern w:val="0"/>
          <w:sz w:val="22"/>
          <w:szCs w:val="22"/>
        </w:rPr>
        <w:t>applies not only to the content of information but also to the means of transmission or reception since any restriction imposed on the means necessarily interferes with the right to receive and impart information.</w:t>
      </w:r>
      <w:r w:rsidRPr="00F66132">
        <w:rPr>
          <w:kern w:val="0"/>
          <w:sz w:val="22"/>
          <w:szCs w:val="22"/>
        </w:rPr>
        <w:t>）</w:t>
      </w:r>
      <w:r w:rsidRPr="00F66132">
        <w:rPr>
          <w:i/>
          <w:kern w:val="0"/>
          <w:sz w:val="22"/>
          <w:szCs w:val="22"/>
        </w:rPr>
        <w:t>Id.</w:t>
      </w:r>
      <w:r w:rsidRPr="00F66132">
        <w:rPr>
          <w:kern w:val="0"/>
          <w:sz w:val="22"/>
          <w:szCs w:val="22"/>
        </w:rPr>
        <w:t xml:space="preserve"> at para 47. </w:t>
      </w:r>
      <w:r w:rsidRPr="00F66132">
        <w:rPr>
          <w:kern w:val="0"/>
          <w:sz w:val="22"/>
          <w:szCs w:val="22"/>
        </w:rPr>
        <w:t>原判決參閱歐洲人權法院網站：</w:t>
      </w:r>
      <w:r w:rsidRPr="00F66132">
        <w:rPr>
          <w:kern w:val="0"/>
          <w:sz w:val="22"/>
          <w:szCs w:val="22"/>
        </w:rPr>
        <w:t xml:space="preserve">http://hudoc.echr.coe.int/eng?i=001-57630 </w:t>
      </w:r>
      <w:r w:rsidRPr="00F66132">
        <w:rPr>
          <w:kern w:val="0"/>
          <w:sz w:val="22"/>
          <w:szCs w:val="22"/>
        </w:rPr>
        <w:t>（最後瀏覽：</w:t>
      </w:r>
      <w:r w:rsidRPr="00F66132">
        <w:rPr>
          <w:kern w:val="0"/>
          <w:sz w:val="22"/>
          <w:szCs w:val="22"/>
        </w:rPr>
        <w:t>2015</w:t>
      </w:r>
      <w:r w:rsidRPr="00F66132">
        <w:rPr>
          <w:kern w:val="0"/>
          <w:sz w:val="22"/>
          <w:szCs w:val="22"/>
        </w:rPr>
        <w:t>年</w:t>
      </w:r>
      <w:r w:rsidRPr="00F66132">
        <w:rPr>
          <w:kern w:val="0"/>
          <w:sz w:val="22"/>
          <w:szCs w:val="22"/>
        </w:rPr>
        <w:t>12</w:t>
      </w:r>
      <w:r w:rsidRPr="00F66132">
        <w:rPr>
          <w:kern w:val="0"/>
          <w:sz w:val="22"/>
          <w:szCs w:val="22"/>
        </w:rPr>
        <w:t>月</w:t>
      </w:r>
      <w:r w:rsidRPr="00F66132">
        <w:rPr>
          <w:kern w:val="0"/>
          <w:sz w:val="22"/>
          <w:szCs w:val="22"/>
        </w:rPr>
        <w:t>16</w:t>
      </w:r>
      <w:r w:rsidRPr="00F66132">
        <w:rPr>
          <w:kern w:val="0"/>
          <w:sz w:val="22"/>
          <w:szCs w:val="22"/>
        </w:rPr>
        <w:t>日）。</w:t>
      </w:r>
    </w:p>
  </w:footnote>
  <w:footnote w:id="5">
    <w:p w:rsidR="002031E1" w:rsidRPr="00F66132" w:rsidRDefault="002031E1" w:rsidP="00255BEA">
      <w:pPr>
        <w:kinsoku w:val="0"/>
        <w:overflowPunct w:val="0"/>
        <w:adjustRightInd w:val="0"/>
        <w:snapToGrid w:val="0"/>
        <w:spacing w:line="391" w:lineRule="exact"/>
        <w:ind w:left="198" w:hanging="198"/>
        <w:rPr>
          <w:kern w:val="0"/>
          <w:sz w:val="22"/>
          <w:szCs w:val="22"/>
        </w:rPr>
      </w:pPr>
      <w:r w:rsidRPr="00F66132">
        <w:rPr>
          <w:rStyle w:val="ab"/>
          <w:kern w:val="0"/>
          <w:sz w:val="22"/>
          <w:szCs w:val="22"/>
        </w:rPr>
        <w:footnoteRef/>
      </w:r>
      <w:r w:rsidRPr="00F66132">
        <w:rPr>
          <w:kern w:val="0"/>
          <w:sz w:val="22"/>
          <w:szCs w:val="22"/>
        </w:rPr>
        <w:t xml:space="preserve"> </w:t>
      </w:r>
      <w:r w:rsidRPr="00F66132">
        <w:rPr>
          <w:rFonts w:hAnsi="標楷體"/>
          <w:kern w:val="0"/>
          <w:sz w:val="22"/>
          <w:szCs w:val="22"/>
        </w:rPr>
        <w:t>參照本院釋字第</w:t>
      </w:r>
      <w:r w:rsidRPr="00F66132">
        <w:rPr>
          <w:kern w:val="0"/>
          <w:sz w:val="22"/>
          <w:szCs w:val="22"/>
        </w:rPr>
        <w:t>644</w:t>
      </w:r>
      <w:r w:rsidRPr="00F66132">
        <w:rPr>
          <w:rFonts w:hAnsi="標楷體"/>
          <w:kern w:val="0"/>
          <w:sz w:val="22"/>
          <w:szCs w:val="22"/>
        </w:rPr>
        <w:t>號解釋，林子儀大法官提出之協同意見書。</w:t>
      </w:r>
    </w:p>
  </w:footnote>
  <w:footnote w:id="6">
    <w:p w:rsidR="002031E1" w:rsidRPr="00F66132" w:rsidRDefault="002031E1" w:rsidP="0037097F">
      <w:pPr>
        <w:kinsoku w:val="0"/>
        <w:overflowPunct w:val="0"/>
        <w:adjustRightInd w:val="0"/>
        <w:snapToGrid w:val="0"/>
        <w:spacing w:line="391" w:lineRule="exact"/>
        <w:ind w:left="198" w:hanging="198"/>
        <w:rPr>
          <w:kern w:val="0"/>
          <w:sz w:val="22"/>
          <w:szCs w:val="22"/>
        </w:rPr>
      </w:pPr>
      <w:r w:rsidRPr="00F66132">
        <w:rPr>
          <w:rStyle w:val="ab"/>
          <w:kern w:val="0"/>
          <w:sz w:val="22"/>
          <w:szCs w:val="22"/>
        </w:rPr>
        <w:footnoteRef/>
      </w:r>
      <w:r w:rsidRPr="00F66132">
        <w:rPr>
          <w:kern w:val="0"/>
          <w:sz w:val="22"/>
          <w:szCs w:val="22"/>
        </w:rPr>
        <w:t xml:space="preserve"> </w:t>
      </w:r>
      <w:r w:rsidRPr="00F66132">
        <w:rPr>
          <w:rFonts w:hAnsi="標楷體"/>
          <w:kern w:val="0"/>
          <w:sz w:val="22"/>
          <w:szCs w:val="22"/>
        </w:rPr>
        <w:t>進一步討論，可參閱</w:t>
      </w:r>
      <w:r w:rsidR="0037097F">
        <w:rPr>
          <w:rFonts w:hAnsi="標楷體" w:hint="eastAsia"/>
          <w:kern w:val="0"/>
          <w:sz w:val="22"/>
          <w:szCs w:val="22"/>
        </w:rPr>
        <w:t xml:space="preserve"> </w:t>
      </w:r>
      <w:r w:rsidR="00022D6F" w:rsidRPr="00022D6F">
        <w:rPr>
          <w:rFonts w:hint="eastAsia"/>
          <w:smallCaps/>
          <w:kern w:val="20"/>
          <w:sz w:val="22"/>
          <w:szCs w:val="22"/>
        </w:rPr>
        <w:t>Kathleen</w:t>
      </w:r>
      <w:r w:rsidR="00732019" w:rsidRPr="0037097F">
        <w:rPr>
          <w:rFonts w:hint="eastAsia"/>
          <w:smallCaps/>
          <w:kern w:val="20"/>
          <w:sz w:val="72"/>
          <w:szCs w:val="72"/>
        </w:rPr>
        <w:t xml:space="preserve"> </w:t>
      </w:r>
      <w:r w:rsidR="00022D6F" w:rsidRPr="00022D6F">
        <w:rPr>
          <w:rFonts w:hint="eastAsia"/>
          <w:smallCaps/>
          <w:kern w:val="20"/>
          <w:sz w:val="22"/>
          <w:szCs w:val="22"/>
        </w:rPr>
        <w:t>M.</w:t>
      </w:r>
      <w:r w:rsidR="0037097F" w:rsidRPr="0037097F">
        <w:rPr>
          <w:rFonts w:hAnsi="標楷體" w:hint="eastAsia"/>
          <w:kern w:val="0"/>
          <w:sz w:val="72"/>
          <w:szCs w:val="72"/>
        </w:rPr>
        <w:t xml:space="preserve"> </w:t>
      </w:r>
      <w:r w:rsidR="00022D6F" w:rsidRPr="00022D6F">
        <w:rPr>
          <w:rFonts w:hint="eastAsia"/>
          <w:smallCaps/>
          <w:kern w:val="20"/>
          <w:sz w:val="22"/>
          <w:szCs w:val="22"/>
        </w:rPr>
        <w:t>Sullivan</w:t>
      </w:r>
      <w:r w:rsidR="00FE292E" w:rsidRPr="0037097F">
        <w:rPr>
          <w:rFonts w:hint="eastAsia"/>
          <w:smallCaps/>
          <w:kern w:val="20"/>
          <w:sz w:val="72"/>
          <w:szCs w:val="72"/>
        </w:rPr>
        <w:t xml:space="preserve"> </w:t>
      </w:r>
      <w:r w:rsidR="00022D6F" w:rsidRPr="00022D6F">
        <w:rPr>
          <w:rFonts w:hint="eastAsia"/>
          <w:sz w:val="22"/>
          <w:szCs w:val="22"/>
        </w:rPr>
        <w:t>&amp;</w:t>
      </w:r>
      <w:r w:rsidR="00FE292E" w:rsidRPr="0037097F">
        <w:rPr>
          <w:rFonts w:hint="eastAsia"/>
          <w:smallCaps/>
          <w:kern w:val="20"/>
          <w:sz w:val="72"/>
          <w:szCs w:val="72"/>
        </w:rPr>
        <w:t xml:space="preserve"> </w:t>
      </w:r>
      <w:r w:rsidR="00022D6F" w:rsidRPr="00022D6F">
        <w:rPr>
          <w:rFonts w:hint="eastAsia"/>
          <w:smallCaps/>
          <w:kern w:val="20"/>
          <w:sz w:val="22"/>
          <w:szCs w:val="22"/>
        </w:rPr>
        <w:t>Noah</w:t>
      </w:r>
      <w:r w:rsidR="00FE292E" w:rsidRPr="0037097F">
        <w:rPr>
          <w:rFonts w:hint="eastAsia"/>
          <w:smallCaps/>
          <w:kern w:val="20"/>
          <w:sz w:val="72"/>
          <w:szCs w:val="72"/>
        </w:rPr>
        <w:t xml:space="preserve"> </w:t>
      </w:r>
      <w:r w:rsidR="00022D6F" w:rsidRPr="00022D6F">
        <w:rPr>
          <w:rFonts w:hint="eastAsia"/>
          <w:smallCaps/>
          <w:kern w:val="20"/>
          <w:sz w:val="22"/>
          <w:szCs w:val="22"/>
        </w:rPr>
        <w:t>Feldman</w:t>
      </w:r>
      <w:r w:rsidR="00022D6F" w:rsidRPr="00022D6F">
        <w:rPr>
          <w:rFonts w:hint="eastAsia"/>
          <w:sz w:val="22"/>
          <w:szCs w:val="22"/>
        </w:rPr>
        <w:t>,</w:t>
      </w:r>
      <w:r w:rsidR="00FE292E" w:rsidRPr="00885FD0">
        <w:rPr>
          <w:rFonts w:hint="eastAsia"/>
          <w:smallCaps/>
          <w:kern w:val="20"/>
          <w:sz w:val="72"/>
          <w:szCs w:val="72"/>
        </w:rPr>
        <w:t xml:space="preserve"> </w:t>
      </w:r>
      <w:r w:rsidR="00022D6F" w:rsidRPr="00022D6F">
        <w:rPr>
          <w:rFonts w:hint="eastAsia"/>
          <w:smallCaps/>
          <w:kern w:val="20"/>
          <w:sz w:val="22"/>
          <w:szCs w:val="22"/>
        </w:rPr>
        <w:t>Constitutional</w:t>
      </w:r>
      <w:r w:rsidR="00FE292E" w:rsidRPr="00885FD0">
        <w:rPr>
          <w:rFonts w:hint="eastAsia"/>
          <w:smallCaps/>
          <w:kern w:val="20"/>
          <w:sz w:val="52"/>
          <w:szCs w:val="52"/>
        </w:rPr>
        <w:t xml:space="preserve"> </w:t>
      </w:r>
      <w:r w:rsidR="00022D6F" w:rsidRPr="00022D6F">
        <w:rPr>
          <w:rFonts w:hint="eastAsia"/>
          <w:smallCaps/>
          <w:kern w:val="20"/>
          <w:sz w:val="22"/>
          <w:szCs w:val="22"/>
        </w:rPr>
        <w:t>Law</w:t>
      </w:r>
      <w:r w:rsidRPr="00F66132">
        <w:rPr>
          <w:kern w:val="0"/>
          <w:sz w:val="22"/>
          <w:szCs w:val="22"/>
        </w:rPr>
        <w:t xml:space="preserve"> 1121-1123, 1190-1192</w:t>
      </w:r>
      <w:r w:rsidRPr="00F66132">
        <w:rPr>
          <w:rFonts w:hAnsi="標楷體"/>
          <w:kern w:val="0"/>
          <w:sz w:val="22"/>
          <w:szCs w:val="22"/>
        </w:rPr>
        <w:t>（</w:t>
      </w:r>
      <w:r w:rsidRPr="00F66132">
        <w:rPr>
          <w:kern w:val="0"/>
          <w:sz w:val="22"/>
          <w:szCs w:val="22"/>
        </w:rPr>
        <w:t>18</w:t>
      </w:r>
      <w:r w:rsidRPr="00F66132">
        <w:rPr>
          <w:kern w:val="0"/>
          <w:sz w:val="22"/>
          <w:szCs w:val="22"/>
          <w:vertAlign w:val="superscript"/>
        </w:rPr>
        <w:t>th</w:t>
      </w:r>
      <w:r w:rsidRPr="00F66132">
        <w:rPr>
          <w:kern w:val="0"/>
          <w:sz w:val="22"/>
          <w:szCs w:val="22"/>
        </w:rPr>
        <w:t>. ed., 2013</w:t>
      </w:r>
      <w:r w:rsidRPr="00F66132">
        <w:rPr>
          <w:rFonts w:hAnsi="標楷體"/>
          <w:kern w:val="0"/>
          <w:sz w:val="22"/>
          <w:szCs w:val="22"/>
        </w:rPr>
        <w:t>）</w:t>
      </w:r>
    </w:p>
  </w:footnote>
  <w:footnote w:id="7">
    <w:p w:rsidR="002031E1" w:rsidRPr="00F66132" w:rsidRDefault="002031E1" w:rsidP="00CD7083">
      <w:pPr>
        <w:kinsoku w:val="0"/>
        <w:overflowPunct w:val="0"/>
        <w:adjustRightInd w:val="0"/>
        <w:snapToGrid w:val="0"/>
        <w:spacing w:line="391" w:lineRule="exact"/>
        <w:ind w:left="182" w:hanging="182"/>
        <w:rPr>
          <w:kern w:val="0"/>
          <w:sz w:val="22"/>
          <w:szCs w:val="22"/>
        </w:rPr>
      </w:pPr>
      <w:r w:rsidRPr="00F66132">
        <w:rPr>
          <w:rStyle w:val="ab"/>
          <w:kern w:val="0"/>
          <w:sz w:val="22"/>
          <w:szCs w:val="22"/>
        </w:rPr>
        <w:footnoteRef/>
      </w:r>
      <w:r w:rsidRPr="00F66132">
        <w:rPr>
          <w:kern w:val="0"/>
          <w:sz w:val="22"/>
          <w:szCs w:val="22"/>
        </w:rPr>
        <w:t xml:space="preserve"> </w:t>
      </w:r>
      <w:r w:rsidRPr="00F66132">
        <w:rPr>
          <w:rFonts w:hAnsi="標楷體"/>
          <w:kern w:val="0"/>
          <w:sz w:val="22"/>
          <w:szCs w:val="22"/>
        </w:rPr>
        <w:t>此種說法顯然考量我國行政法上關於營造物與公物利用關係之討論基礎，可參閱吳庚，行政法之理論與實用，增訂</w:t>
      </w:r>
      <w:r w:rsidRPr="00F66132">
        <w:rPr>
          <w:kern w:val="0"/>
          <w:sz w:val="22"/>
          <w:szCs w:val="22"/>
        </w:rPr>
        <w:t>12</w:t>
      </w:r>
      <w:r w:rsidRPr="00F66132">
        <w:rPr>
          <w:rFonts w:hAnsi="標楷體"/>
          <w:kern w:val="0"/>
          <w:sz w:val="22"/>
          <w:szCs w:val="22"/>
        </w:rPr>
        <w:t>版，</w:t>
      </w:r>
      <w:r w:rsidRPr="00F66132">
        <w:rPr>
          <w:kern w:val="0"/>
          <w:sz w:val="22"/>
          <w:szCs w:val="22"/>
        </w:rPr>
        <w:t>2012</w:t>
      </w:r>
      <w:r w:rsidRPr="00F66132">
        <w:rPr>
          <w:rFonts w:hAnsi="標楷體"/>
          <w:kern w:val="0"/>
          <w:sz w:val="22"/>
          <w:szCs w:val="22"/>
        </w:rPr>
        <w:t>年</w:t>
      </w:r>
      <w:r w:rsidRPr="00F66132">
        <w:rPr>
          <w:kern w:val="0"/>
          <w:sz w:val="22"/>
          <w:szCs w:val="22"/>
        </w:rPr>
        <w:t>10</w:t>
      </w:r>
      <w:r w:rsidRPr="00F66132">
        <w:rPr>
          <w:rFonts w:hAnsi="標楷體"/>
          <w:kern w:val="0"/>
          <w:sz w:val="22"/>
          <w:szCs w:val="22"/>
        </w:rPr>
        <w:t>月，頁</w:t>
      </w:r>
      <w:r w:rsidRPr="00F66132">
        <w:rPr>
          <w:kern w:val="0"/>
          <w:sz w:val="22"/>
          <w:szCs w:val="22"/>
        </w:rPr>
        <w:t>158-162</w:t>
      </w:r>
      <w:r w:rsidRPr="00F66132">
        <w:rPr>
          <w:rFonts w:hAnsi="標楷體"/>
          <w:kern w:val="0"/>
          <w:sz w:val="22"/>
          <w:szCs w:val="22"/>
        </w:rPr>
        <w:t>、</w:t>
      </w:r>
      <w:r w:rsidRPr="00F66132">
        <w:rPr>
          <w:kern w:val="0"/>
          <w:sz w:val="22"/>
          <w:szCs w:val="22"/>
        </w:rPr>
        <w:t>182-189</w:t>
      </w:r>
      <w:r w:rsidRPr="00F66132">
        <w:rPr>
          <w:rFonts w:hAnsi="標楷體"/>
          <w:kern w:val="0"/>
          <w:sz w:val="22"/>
          <w:szCs w:val="22"/>
        </w:rPr>
        <w:t>；然而，此種利用關係如何與憲法關於人民基本權利之保障，仍有待釋憲者未來以解釋加以釐清。</w:t>
      </w:r>
    </w:p>
  </w:footnote>
  <w:footnote w:id="8">
    <w:p w:rsidR="002031E1" w:rsidRPr="00F66132" w:rsidRDefault="002031E1" w:rsidP="00F13873">
      <w:pPr>
        <w:kinsoku w:val="0"/>
        <w:overflowPunct w:val="0"/>
        <w:adjustRightInd w:val="0"/>
        <w:snapToGrid w:val="0"/>
        <w:spacing w:line="391" w:lineRule="exact"/>
        <w:ind w:left="198" w:hanging="198"/>
        <w:jc w:val="both"/>
        <w:rPr>
          <w:kern w:val="0"/>
          <w:sz w:val="22"/>
          <w:szCs w:val="22"/>
        </w:rPr>
      </w:pPr>
      <w:r w:rsidRPr="00F66132">
        <w:rPr>
          <w:rStyle w:val="ab"/>
          <w:kern w:val="0"/>
          <w:sz w:val="22"/>
          <w:szCs w:val="22"/>
        </w:rPr>
        <w:footnoteRef/>
      </w:r>
      <w:r w:rsidRPr="00F66132">
        <w:rPr>
          <w:kern w:val="0"/>
          <w:sz w:val="22"/>
          <w:szCs w:val="22"/>
        </w:rPr>
        <w:t xml:space="preserve"> </w:t>
      </w:r>
      <w:r w:rsidRPr="00F66132">
        <w:rPr>
          <w:rFonts w:hAnsi="標楷體"/>
          <w:kern w:val="0"/>
          <w:sz w:val="22"/>
          <w:szCs w:val="22"/>
        </w:rPr>
        <w:t>最著名者莫過英國倫敦海德公園</w:t>
      </w:r>
      <w:r w:rsidR="00E73B61" w:rsidRPr="00F66132">
        <w:rPr>
          <w:rFonts w:hAnsi="標楷體"/>
          <w:kern w:val="0"/>
          <w:sz w:val="22"/>
          <w:szCs w:val="22"/>
        </w:rPr>
        <w:t>（</w:t>
      </w:r>
      <w:r w:rsidRPr="00F66132">
        <w:rPr>
          <w:kern w:val="0"/>
          <w:sz w:val="22"/>
          <w:szCs w:val="22"/>
        </w:rPr>
        <w:t>Hyde Park</w:t>
      </w:r>
      <w:r w:rsidR="00E73B61" w:rsidRPr="00F66132">
        <w:rPr>
          <w:rFonts w:hAnsi="標楷體"/>
          <w:kern w:val="0"/>
          <w:sz w:val="22"/>
          <w:szCs w:val="22"/>
        </w:rPr>
        <w:t>）</w:t>
      </w:r>
      <w:r w:rsidRPr="00F66132">
        <w:rPr>
          <w:rFonts w:hAnsi="標楷體"/>
          <w:kern w:val="0"/>
          <w:sz w:val="22"/>
          <w:szCs w:val="22"/>
        </w:rPr>
        <w:t>。有關美國憲法上關於公共論壇之討論，可參閱</w:t>
      </w:r>
      <w:r w:rsidRPr="00F66132">
        <w:rPr>
          <w:smallCaps/>
          <w:kern w:val="0"/>
          <w:sz w:val="22"/>
          <w:szCs w:val="22"/>
        </w:rPr>
        <w:t>Sullivan</w:t>
      </w:r>
      <w:r w:rsidRPr="00F66132">
        <w:rPr>
          <w:kern w:val="0"/>
          <w:sz w:val="22"/>
          <w:szCs w:val="22"/>
        </w:rPr>
        <w:t xml:space="preserve"> &amp; </w:t>
      </w:r>
      <w:r w:rsidRPr="00F66132">
        <w:rPr>
          <w:smallCaps/>
          <w:kern w:val="0"/>
          <w:sz w:val="22"/>
          <w:szCs w:val="22"/>
        </w:rPr>
        <w:t>Feldman</w:t>
      </w:r>
      <w:r w:rsidRPr="00F66132">
        <w:rPr>
          <w:kern w:val="0"/>
          <w:sz w:val="22"/>
          <w:szCs w:val="22"/>
        </w:rPr>
        <w:t xml:space="preserve">, </w:t>
      </w:r>
      <w:r w:rsidRPr="00F66132">
        <w:rPr>
          <w:i/>
          <w:kern w:val="0"/>
          <w:sz w:val="22"/>
          <w:szCs w:val="22"/>
        </w:rPr>
        <w:t>supra</w:t>
      </w:r>
      <w:r w:rsidRPr="00F66132">
        <w:rPr>
          <w:kern w:val="0"/>
          <w:sz w:val="22"/>
          <w:szCs w:val="22"/>
        </w:rPr>
        <w:t xml:space="preserve"> note 4, at 1156-1222.</w:t>
      </w:r>
    </w:p>
  </w:footnote>
  <w:footnote w:id="9">
    <w:p w:rsidR="002031E1" w:rsidRPr="004A123B" w:rsidRDefault="002031E1" w:rsidP="00255BEA">
      <w:pPr>
        <w:kinsoku w:val="0"/>
        <w:overflowPunct w:val="0"/>
        <w:adjustRightInd w:val="0"/>
        <w:snapToGrid w:val="0"/>
        <w:spacing w:line="391" w:lineRule="exact"/>
        <w:ind w:left="198" w:hanging="198"/>
        <w:rPr>
          <w:kern w:val="0"/>
          <w:sz w:val="22"/>
          <w:szCs w:val="22"/>
        </w:rPr>
      </w:pPr>
      <w:r w:rsidRPr="00F66132">
        <w:rPr>
          <w:rStyle w:val="ab"/>
          <w:kern w:val="0"/>
          <w:sz w:val="22"/>
          <w:szCs w:val="22"/>
        </w:rPr>
        <w:footnoteRef/>
      </w:r>
      <w:r w:rsidRPr="00F66132">
        <w:rPr>
          <w:kern w:val="0"/>
          <w:sz w:val="22"/>
          <w:szCs w:val="22"/>
        </w:rPr>
        <w:t xml:space="preserve"> </w:t>
      </w:r>
      <w:r w:rsidRPr="00F66132">
        <w:rPr>
          <w:rFonts w:hAnsi="標楷體"/>
          <w:kern w:val="0"/>
          <w:sz w:val="22"/>
          <w:szCs w:val="22"/>
        </w:rPr>
        <w:t>日本最高裁判所曾以私人財產權與管理權之保障優於表現自由而認為限制並不違憲，參閱野中俊</w:t>
      </w:r>
      <w:r w:rsidRPr="001548D0">
        <w:rPr>
          <w:rFonts w:hAnsi="標楷體"/>
          <w:sz w:val="22"/>
          <w:szCs w:val="22"/>
        </w:rPr>
        <w:t>彥</w:t>
      </w:r>
      <w:r w:rsidRPr="004A123B">
        <w:rPr>
          <w:rFonts w:hAnsi="標楷體"/>
          <w:kern w:val="0"/>
          <w:sz w:val="22"/>
          <w:szCs w:val="22"/>
        </w:rPr>
        <w:t>、中村睦男、高橋和之、高見勝利，憲法</w:t>
      </w:r>
      <w:r w:rsidRPr="004A123B">
        <w:rPr>
          <w:kern w:val="0"/>
          <w:sz w:val="22"/>
          <w:szCs w:val="22"/>
        </w:rPr>
        <w:t xml:space="preserve"> I</w:t>
      </w:r>
      <w:r w:rsidRPr="004A123B">
        <w:rPr>
          <w:rFonts w:hAnsi="標楷體"/>
          <w:kern w:val="0"/>
          <w:sz w:val="22"/>
          <w:szCs w:val="22"/>
        </w:rPr>
        <w:t>，第</w:t>
      </w:r>
      <w:r w:rsidRPr="004A123B">
        <w:rPr>
          <w:kern w:val="0"/>
          <w:sz w:val="22"/>
          <w:szCs w:val="22"/>
        </w:rPr>
        <w:t>5</w:t>
      </w:r>
      <w:r w:rsidRPr="004A123B">
        <w:rPr>
          <w:rFonts w:hAnsi="標楷體"/>
          <w:kern w:val="0"/>
          <w:sz w:val="22"/>
          <w:szCs w:val="22"/>
        </w:rPr>
        <w:t>版，</w:t>
      </w:r>
      <w:r w:rsidRPr="004A123B">
        <w:rPr>
          <w:kern w:val="0"/>
          <w:sz w:val="22"/>
          <w:szCs w:val="22"/>
        </w:rPr>
        <w:t>2012</w:t>
      </w:r>
      <w:r w:rsidRPr="004A123B">
        <w:rPr>
          <w:rFonts w:hAnsi="標楷體"/>
          <w:kern w:val="0"/>
          <w:sz w:val="22"/>
          <w:szCs w:val="22"/>
        </w:rPr>
        <w:t>年，頁</w:t>
      </w:r>
      <w:r w:rsidRPr="004A123B">
        <w:rPr>
          <w:kern w:val="0"/>
          <w:sz w:val="22"/>
          <w:szCs w:val="22"/>
        </w:rPr>
        <w:t>389</w:t>
      </w:r>
      <w:r w:rsidRPr="004A123B">
        <w:rPr>
          <w:rFonts w:hAnsi="標楷體"/>
          <w:kern w:val="0"/>
          <w:sz w:val="22"/>
          <w:szCs w:val="22"/>
        </w:rPr>
        <w:t>。</w:t>
      </w:r>
    </w:p>
  </w:footnote>
  <w:footnote w:id="10">
    <w:p w:rsidR="002031E1" w:rsidRPr="004A123B" w:rsidRDefault="002031E1" w:rsidP="00C91CE0">
      <w:pPr>
        <w:kinsoku w:val="0"/>
        <w:overflowPunct w:val="0"/>
        <w:adjustRightInd w:val="0"/>
        <w:snapToGrid w:val="0"/>
        <w:spacing w:line="391" w:lineRule="exact"/>
        <w:ind w:left="198" w:hanging="198"/>
        <w:jc w:val="both"/>
        <w:rPr>
          <w:kern w:val="0"/>
          <w:sz w:val="22"/>
          <w:szCs w:val="22"/>
        </w:rPr>
      </w:pPr>
      <w:r w:rsidRPr="004A123B">
        <w:rPr>
          <w:rStyle w:val="ab"/>
          <w:kern w:val="0"/>
          <w:sz w:val="22"/>
          <w:szCs w:val="22"/>
        </w:rPr>
        <w:footnoteRef/>
      </w:r>
      <w:r w:rsidRPr="004A123B">
        <w:rPr>
          <w:kern w:val="0"/>
          <w:sz w:val="22"/>
          <w:szCs w:val="22"/>
        </w:rPr>
        <w:t xml:space="preserve"> </w:t>
      </w:r>
      <w:r w:rsidRPr="004A123B">
        <w:rPr>
          <w:rFonts w:hAnsi="標楷體"/>
          <w:kern w:val="0"/>
          <w:sz w:val="22"/>
          <w:szCs w:val="22"/>
        </w:rPr>
        <w:t>日本最高裁判所於大阪市</w:t>
      </w:r>
      <w:r w:rsidRPr="004A123B">
        <w:rPr>
          <w:kern w:val="0"/>
          <w:sz w:val="22"/>
          <w:szCs w:val="22"/>
        </w:rPr>
        <w:t>屋</w:t>
      </w:r>
      <w:r w:rsidRPr="004A123B">
        <w:rPr>
          <w:rFonts w:hAnsi="標楷體"/>
          <w:kern w:val="0"/>
          <w:sz w:val="22"/>
          <w:szCs w:val="22"/>
        </w:rPr>
        <w:t>外広告物条例違反事件一案判決（最大判昭和</w:t>
      </w:r>
      <w:r w:rsidRPr="004A123B">
        <w:rPr>
          <w:kern w:val="0"/>
          <w:sz w:val="22"/>
          <w:szCs w:val="22"/>
        </w:rPr>
        <w:t>43</w:t>
      </w:r>
      <w:r w:rsidRPr="004A123B">
        <w:rPr>
          <w:rFonts w:hAnsi="標楷體"/>
          <w:kern w:val="0"/>
          <w:sz w:val="22"/>
          <w:szCs w:val="22"/>
        </w:rPr>
        <w:t>年</w:t>
      </w:r>
      <w:r w:rsidRPr="004A123B">
        <w:rPr>
          <w:kern w:val="0"/>
          <w:sz w:val="22"/>
          <w:szCs w:val="22"/>
        </w:rPr>
        <w:t>12</w:t>
      </w:r>
      <w:r w:rsidRPr="004A123B">
        <w:rPr>
          <w:rFonts w:hAnsi="標楷體"/>
          <w:kern w:val="0"/>
          <w:sz w:val="22"/>
          <w:szCs w:val="22"/>
        </w:rPr>
        <w:t>月</w:t>
      </w:r>
      <w:r w:rsidRPr="004A123B">
        <w:rPr>
          <w:kern w:val="0"/>
          <w:sz w:val="22"/>
          <w:szCs w:val="22"/>
        </w:rPr>
        <w:t>18</w:t>
      </w:r>
      <w:r w:rsidRPr="004A123B">
        <w:rPr>
          <w:rFonts w:hAnsi="標楷體"/>
          <w:kern w:val="0"/>
          <w:sz w:val="22"/>
          <w:szCs w:val="22"/>
        </w:rPr>
        <w:t>日刑集</w:t>
      </w:r>
      <w:r w:rsidRPr="004A123B">
        <w:rPr>
          <w:kern w:val="0"/>
          <w:sz w:val="22"/>
          <w:szCs w:val="22"/>
        </w:rPr>
        <w:t>22</w:t>
      </w:r>
      <w:r w:rsidRPr="004A123B">
        <w:rPr>
          <w:rFonts w:hAnsi="標楷體"/>
          <w:kern w:val="0"/>
          <w:sz w:val="22"/>
          <w:szCs w:val="22"/>
        </w:rPr>
        <w:t>巻</w:t>
      </w:r>
      <w:r w:rsidRPr="004A123B">
        <w:rPr>
          <w:kern w:val="0"/>
          <w:sz w:val="22"/>
          <w:szCs w:val="22"/>
        </w:rPr>
        <w:t>13</w:t>
      </w:r>
      <w:r w:rsidRPr="004A123B">
        <w:rPr>
          <w:rFonts w:hAnsi="標楷體"/>
          <w:kern w:val="0"/>
          <w:sz w:val="22"/>
          <w:szCs w:val="22"/>
        </w:rPr>
        <w:t>号</w:t>
      </w:r>
      <w:r w:rsidRPr="004A123B">
        <w:rPr>
          <w:kern w:val="0"/>
          <w:sz w:val="22"/>
          <w:szCs w:val="22"/>
        </w:rPr>
        <w:t>1549</w:t>
      </w:r>
      <w:r w:rsidRPr="004A123B">
        <w:rPr>
          <w:rFonts w:hAnsi="標楷體"/>
          <w:kern w:val="0"/>
          <w:sz w:val="22"/>
          <w:szCs w:val="22"/>
        </w:rPr>
        <w:t>頁）中，即以「維持都市美觀風致」是維持公共福祉之必要，而認為限制表現自由具有合理性與正當性；而於大分県屋外広告物条例違反被告事件一案判決（最判昭和</w:t>
      </w:r>
      <w:r w:rsidRPr="004A123B">
        <w:rPr>
          <w:kern w:val="0"/>
          <w:sz w:val="22"/>
          <w:szCs w:val="22"/>
        </w:rPr>
        <w:t>62</w:t>
      </w:r>
      <w:r w:rsidRPr="004A123B">
        <w:rPr>
          <w:rFonts w:hAnsi="標楷體"/>
          <w:kern w:val="0"/>
          <w:sz w:val="22"/>
          <w:szCs w:val="22"/>
        </w:rPr>
        <w:t>年</w:t>
      </w:r>
      <w:r w:rsidRPr="004A123B">
        <w:rPr>
          <w:kern w:val="0"/>
          <w:sz w:val="22"/>
          <w:szCs w:val="22"/>
        </w:rPr>
        <w:t>3</w:t>
      </w:r>
      <w:r w:rsidRPr="004A123B">
        <w:rPr>
          <w:rFonts w:hAnsi="標楷體"/>
          <w:kern w:val="0"/>
          <w:sz w:val="22"/>
          <w:szCs w:val="22"/>
        </w:rPr>
        <w:t>月</w:t>
      </w:r>
      <w:r w:rsidRPr="004A123B">
        <w:rPr>
          <w:kern w:val="0"/>
          <w:sz w:val="22"/>
          <w:szCs w:val="22"/>
        </w:rPr>
        <w:t>3</w:t>
      </w:r>
      <w:r w:rsidRPr="004A123B">
        <w:rPr>
          <w:rFonts w:hAnsi="標楷體"/>
          <w:kern w:val="0"/>
          <w:sz w:val="22"/>
          <w:szCs w:val="22"/>
        </w:rPr>
        <w:t>日刑集</w:t>
      </w:r>
      <w:r w:rsidRPr="004A123B">
        <w:rPr>
          <w:kern w:val="0"/>
          <w:sz w:val="22"/>
          <w:szCs w:val="22"/>
        </w:rPr>
        <w:t>41</w:t>
      </w:r>
      <w:r w:rsidRPr="004A123B">
        <w:rPr>
          <w:rFonts w:hAnsi="標楷體"/>
          <w:kern w:val="0"/>
          <w:sz w:val="22"/>
          <w:szCs w:val="22"/>
        </w:rPr>
        <w:t>巻</w:t>
      </w:r>
      <w:r w:rsidRPr="004A123B">
        <w:rPr>
          <w:kern w:val="0"/>
          <w:sz w:val="22"/>
          <w:szCs w:val="22"/>
        </w:rPr>
        <w:t>2</w:t>
      </w:r>
      <w:r w:rsidRPr="004A123B">
        <w:rPr>
          <w:rFonts w:hAnsi="標楷體"/>
          <w:kern w:val="0"/>
          <w:sz w:val="22"/>
          <w:szCs w:val="22"/>
        </w:rPr>
        <w:t>号</w:t>
      </w:r>
      <w:r w:rsidRPr="004A123B">
        <w:rPr>
          <w:kern w:val="0"/>
          <w:sz w:val="22"/>
          <w:szCs w:val="22"/>
        </w:rPr>
        <w:t>15</w:t>
      </w:r>
      <w:r w:rsidRPr="004A123B">
        <w:rPr>
          <w:rFonts w:hAnsi="標楷體"/>
          <w:kern w:val="0"/>
          <w:sz w:val="22"/>
          <w:szCs w:val="22"/>
        </w:rPr>
        <w:t>頁）中，多數意見延續前揭判決之看法，惟伊藤正己裁判官提出補足意見則認為，單純以「維持都市美觀風致」而認定是維持公共福祉之必要目的，稍嫌速斷，而認為該目的與表現自由之保障兩者間，應有進一步利益衡量之審查。進一步討論，可參閱野中俊彥、中村睦男、高橋和之、高見勝利，前揭（註</w:t>
      </w:r>
      <w:r w:rsidRPr="004A123B">
        <w:rPr>
          <w:kern w:val="0"/>
          <w:sz w:val="22"/>
          <w:szCs w:val="22"/>
        </w:rPr>
        <w:t>7</w:t>
      </w:r>
      <w:r w:rsidRPr="004A123B">
        <w:rPr>
          <w:rFonts w:hAnsi="標楷體"/>
          <w:kern w:val="0"/>
          <w:sz w:val="22"/>
          <w:szCs w:val="22"/>
        </w:rPr>
        <w:t>）書，頁</w:t>
      </w:r>
      <w:r w:rsidRPr="004A123B">
        <w:rPr>
          <w:kern w:val="0"/>
          <w:sz w:val="22"/>
          <w:szCs w:val="22"/>
        </w:rPr>
        <w:t>387-388</w:t>
      </w:r>
      <w:r w:rsidRPr="004A123B">
        <w:rPr>
          <w:rFonts w:hAnsi="標楷體"/>
          <w:kern w:val="0"/>
          <w:sz w:val="22"/>
          <w:szCs w:val="22"/>
        </w:rPr>
        <w:t>。</w:t>
      </w:r>
    </w:p>
  </w:footnote>
  <w:footnote w:id="11">
    <w:p w:rsidR="002031E1" w:rsidRPr="004A123B" w:rsidRDefault="002031E1" w:rsidP="00C91CE0">
      <w:pPr>
        <w:kinsoku w:val="0"/>
        <w:overflowPunct w:val="0"/>
        <w:adjustRightInd w:val="0"/>
        <w:snapToGrid w:val="0"/>
        <w:spacing w:line="391" w:lineRule="exact"/>
        <w:ind w:left="198" w:hanging="198"/>
        <w:jc w:val="both"/>
        <w:rPr>
          <w:kern w:val="0"/>
          <w:sz w:val="22"/>
          <w:szCs w:val="22"/>
        </w:rPr>
      </w:pPr>
      <w:r w:rsidRPr="004A123B">
        <w:rPr>
          <w:rStyle w:val="ab"/>
          <w:kern w:val="0"/>
          <w:sz w:val="22"/>
          <w:szCs w:val="22"/>
        </w:rPr>
        <w:footnoteRef/>
      </w:r>
      <w:r w:rsidRPr="004A123B">
        <w:rPr>
          <w:kern w:val="0"/>
          <w:sz w:val="22"/>
          <w:szCs w:val="22"/>
        </w:rPr>
        <w:t xml:space="preserve"> </w:t>
      </w:r>
      <w:r w:rsidRPr="004A123B">
        <w:rPr>
          <w:rFonts w:hAnsi="標楷體"/>
          <w:kern w:val="0"/>
          <w:sz w:val="22"/>
          <w:szCs w:val="22"/>
        </w:rPr>
        <w:t>南非司法實務上有採取表意工具選擇適當性之判斷標準，可參閱</w:t>
      </w:r>
      <w:r w:rsidRPr="004A123B">
        <w:rPr>
          <w:smallCaps/>
          <w:kern w:val="0"/>
          <w:sz w:val="22"/>
          <w:szCs w:val="22"/>
        </w:rPr>
        <w:t xml:space="preserve">Dario Milo, Glenn Penfold &amp; Anthony Stein, Freedom of Expression, </w:t>
      </w:r>
      <w:r w:rsidRPr="004A123B">
        <w:rPr>
          <w:i/>
          <w:kern w:val="0"/>
          <w:sz w:val="22"/>
          <w:szCs w:val="22"/>
        </w:rPr>
        <w:t>in</w:t>
      </w:r>
      <w:r w:rsidRPr="004A123B">
        <w:rPr>
          <w:smallCaps/>
          <w:kern w:val="0"/>
          <w:sz w:val="22"/>
          <w:szCs w:val="22"/>
        </w:rPr>
        <w:t xml:space="preserve"> Constitutional Law of South Africa</w:t>
      </w:r>
      <w:r w:rsidRPr="004A123B">
        <w:rPr>
          <w:kern w:val="0"/>
          <w:sz w:val="22"/>
          <w:szCs w:val="22"/>
        </w:rPr>
        <w:t xml:space="preserve"> 42-63-65 </w:t>
      </w:r>
      <w:r w:rsidR="00A16E7D">
        <w:rPr>
          <w:rFonts w:hAnsi="標楷體" w:hint="eastAsia"/>
          <w:kern w:val="0"/>
          <w:sz w:val="22"/>
          <w:szCs w:val="22"/>
        </w:rPr>
        <w:t>(</w:t>
      </w:r>
      <w:r w:rsidRPr="004A123B">
        <w:rPr>
          <w:kern w:val="0"/>
          <w:sz w:val="22"/>
          <w:szCs w:val="22"/>
        </w:rPr>
        <w:t>Stuart Woolman &amp; Michael Bishop eds., 2</w:t>
      </w:r>
      <w:r w:rsidRPr="004A123B">
        <w:rPr>
          <w:kern w:val="0"/>
          <w:sz w:val="22"/>
          <w:szCs w:val="22"/>
          <w:vertAlign w:val="superscript"/>
        </w:rPr>
        <w:t>nd</w:t>
      </w:r>
      <w:r w:rsidRPr="004A123B">
        <w:rPr>
          <w:kern w:val="0"/>
          <w:sz w:val="22"/>
          <w:szCs w:val="22"/>
        </w:rPr>
        <w:t>. ed., 2013</w:t>
      </w:r>
      <w:r w:rsidR="00A16E7D">
        <w:rPr>
          <w:rFonts w:hAnsi="標楷體" w:hint="eastAsia"/>
          <w:kern w:val="0"/>
          <w:sz w:val="22"/>
          <w:szCs w:val="22"/>
        </w:rPr>
        <w:t>)</w:t>
      </w:r>
      <w:r w:rsidRPr="004A123B">
        <w:rPr>
          <w:kern w:val="0"/>
          <w:sz w:val="22"/>
          <w:szCs w:val="22"/>
        </w:rPr>
        <w:t>.</w:t>
      </w:r>
    </w:p>
  </w:footnote>
  <w:footnote w:id="12">
    <w:p w:rsidR="002031E1" w:rsidRPr="00A51A1D" w:rsidRDefault="002031E1" w:rsidP="00525979">
      <w:pPr>
        <w:kinsoku w:val="0"/>
        <w:overflowPunct w:val="0"/>
        <w:adjustRightInd w:val="0"/>
        <w:snapToGrid w:val="0"/>
        <w:spacing w:line="391" w:lineRule="exact"/>
        <w:ind w:left="182" w:hanging="182"/>
        <w:rPr>
          <w:kern w:val="0"/>
          <w:sz w:val="22"/>
          <w:szCs w:val="22"/>
        </w:rPr>
      </w:pPr>
      <w:r w:rsidRPr="00A51A1D">
        <w:rPr>
          <w:rStyle w:val="ab"/>
          <w:kern w:val="0"/>
          <w:sz w:val="22"/>
          <w:szCs w:val="22"/>
        </w:rPr>
        <w:footnoteRef/>
      </w:r>
      <w:r w:rsidRPr="00A51A1D">
        <w:rPr>
          <w:color w:val="000000"/>
          <w:kern w:val="0"/>
          <w:sz w:val="22"/>
          <w:szCs w:val="22"/>
          <w:lang w:val="fr-FR"/>
        </w:rPr>
        <w:t xml:space="preserve"> </w:t>
      </w:r>
      <w:r w:rsidRPr="00A51A1D">
        <w:rPr>
          <w:rFonts w:hAnsi="標楷體"/>
          <w:color w:val="000000"/>
          <w:kern w:val="0"/>
          <w:sz w:val="22"/>
          <w:szCs w:val="22"/>
          <w:lang w:val="fr-FR"/>
        </w:rPr>
        <w:t>德國基本法第二條第一項，在德國除如聯邦憲法法院所一再強調之屬於「補充其他特別基本權」。它保障構成獨立之人格保護基本權，以及一般行為自由等未明文列舉之基本權利。</w:t>
      </w:r>
    </w:p>
  </w:footnote>
  <w:footnote w:id="13">
    <w:p w:rsidR="002031E1" w:rsidRPr="00251C67" w:rsidRDefault="002031E1" w:rsidP="0023592C">
      <w:pPr>
        <w:kinsoku w:val="0"/>
        <w:overflowPunct w:val="0"/>
        <w:adjustRightInd w:val="0"/>
        <w:snapToGrid w:val="0"/>
        <w:spacing w:line="391" w:lineRule="exact"/>
        <w:ind w:left="182" w:hanging="182"/>
        <w:jc w:val="both"/>
        <w:rPr>
          <w:kern w:val="0"/>
          <w:sz w:val="22"/>
          <w:szCs w:val="22"/>
          <w:lang w:val="de-DE"/>
        </w:rPr>
      </w:pPr>
      <w:r w:rsidRPr="002102D1">
        <w:rPr>
          <w:rStyle w:val="ab"/>
          <w:kern w:val="0"/>
          <w:sz w:val="22"/>
          <w:szCs w:val="22"/>
        </w:rPr>
        <w:footnoteRef/>
      </w:r>
      <w:r w:rsidRPr="002102D1">
        <w:rPr>
          <w:kern w:val="0"/>
          <w:sz w:val="22"/>
          <w:szCs w:val="22"/>
          <w:lang w:val="de-DE"/>
        </w:rPr>
        <w:t xml:space="preserve"> Vgl. </w:t>
      </w:r>
      <w:r w:rsidRPr="002102D1">
        <w:rPr>
          <w:rFonts w:hAnsi="標楷體"/>
          <w:color w:val="000000"/>
          <w:kern w:val="0"/>
          <w:sz w:val="22"/>
          <w:szCs w:val="22"/>
          <w:lang w:val="fr-FR"/>
        </w:rPr>
        <w:t>Friedhelm</w:t>
      </w:r>
      <w:r w:rsidRPr="002102D1">
        <w:rPr>
          <w:kern w:val="0"/>
          <w:sz w:val="22"/>
          <w:szCs w:val="22"/>
          <w:lang w:val="de-DE"/>
        </w:rPr>
        <w:t xml:space="preserve"> </w:t>
      </w:r>
      <w:r w:rsidRPr="002102D1">
        <w:rPr>
          <w:rFonts w:hAnsi="標楷體"/>
          <w:color w:val="000000"/>
          <w:kern w:val="0"/>
          <w:sz w:val="22"/>
          <w:szCs w:val="22"/>
          <w:lang w:val="fr-FR"/>
        </w:rPr>
        <w:t>Hufen</w:t>
      </w:r>
      <w:r w:rsidRPr="002102D1">
        <w:rPr>
          <w:kern w:val="0"/>
          <w:sz w:val="22"/>
          <w:szCs w:val="22"/>
          <w:lang w:val="de-DE"/>
        </w:rPr>
        <w:t xml:space="preserve">, Schutz der Persönlichkeit und recht auf informationelle Selbstbestimmung, in </w:t>
      </w:r>
      <w:r w:rsidRPr="00251C67">
        <w:rPr>
          <w:kern w:val="0"/>
          <w:sz w:val="22"/>
          <w:szCs w:val="22"/>
          <w:lang w:val="de-DE"/>
        </w:rPr>
        <w:t>Festschrift 50 Jahre Bundesverfassungsgericht</w:t>
      </w:r>
      <w:r w:rsidRPr="00251C67">
        <w:rPr>
          <w:rFonts w:hAnsi="標楷體"/>
          <w:kern w:val="0"/>
          <w:sz w:val="22"/>
          <w:szCs w:val="22"/>
          <w:lang w:val="de-DE"/>
        </w:rPr>
        <w:t>，</w:t>
      </w:r>
      <w:r w:rsidRPr="00251C67">
        <w:rPr>
          <w:kern w:val="0"/>
          <w:sz w:val="22"/>
          <w:szCs w:val="22"/>
          <w:lang w:val="de-DE"/>
        </w:rPr>
        <w:t>Zweiter Band, 2001</w:t>
      </w:r>
      <w:r w:rsidRPr="00251C67">
        <w:rPr>
          <w:rFonts w:hAnsi="標楷體"/>
          <w:kern w:val="0"/>
          <w:sz w:val="22"/>
          <w:szCs w:val="22"/>
          <w:lang w:val="de-DE"/>
        </w:rPr>
        <w:t>，</w:t>
      </w:r>
      <w:r w:rsidRPr="00251C67">
        <w:rPr>
          <w:kern w:val="0"/>
          <w:sz w:val="22"/>
          <w:szCs w:val="22"/>
          <w:lang w:val="de-DE"/>
        </w:rPr>
        <w:t xml:space="preserve">S. 105. </w:t>
      </w:r>
      <w:r w:rsidR="007031D6" w:rsidRPr="00251C67">
        <w:rPr>
          <w:rFonts w:hint="eastAsia"/>
          <w:kern w:val="0"/>
          <w:sz w:val="22"/>
          <w:szCs w:val="22"/>
          <w:lang w:val="de-DE"/>
        </w:rPr>
        <w:t>關於本論文之翻譯</w:t>
      </w:r>
      <w:r w:rsidR="007031D6" w:rsidRPr="00251C67">
        <w:rPr>
          <w:rFonts w:hint="eastAsia"/>
          <w:kern w:val="0"/>
          <w:sz w:val="22"/>
          <w:szCs w:val="22"/>
        </w:rPr>
        <w:t>，</w:t>
      </w:r>
      <w:r w:rsidR="007031D6" w:rsidRPr="00251C67">
        <w:rPr>
          <w:rFonts w:hint="eastAsia"/>
          <w:kern w:val="0"/>
          <w:sz w:val="22"/>
          <w:szCs w:val="22"/>
          <w:lang w:val="de-DE"/>
        </w:rPr>
        <w:t>參考翁曉玲譯</w:t>
      </w:r>
      <w:r w:rsidR="007031D6" w:rsidRPr="00251C67">
        <w:rPr>
          <w:rFonts w:hint="eastAsia"/>
          <w:kern w:val="0"/>
          <w:sz w:val="22"/>
          <w:szCs w:val="22"/>
        </w:rPr>
        <w:t>，</w:t>
      </w:r>
      <w:r w:rsidR="007031D6" w:rsidRPr="00251C67">
        <w:rPr>
          <w:rFonts w:hint="eastAsia"/>
          <w:kern w:val="0"/>
          <w:sz w:val="22"/>
          <w:szCs w:val="22"/>
          <w:lang w:val="de-DE"/>
        </w:rPr>
        <w:t>人格保護與資訊自決權</w:t>
      </w:r>
      <w:r w:rsidR="007031D6" w:rsidRPr="00251C67">
        <w:rPr>
          <w:rFonts w:hint="eastAsia"/>
          <w:kern w:val="0"/>
          <w:sz w:val="22"/>
          <w:szCs w:val="22"/>
        </w:rPr>
        <w:t>，</w:t>
      </w:r>
      <w:r w:rsidR="007031D6" w:rsidRPr="00251C67">
        <w:rPr>
          <w:rFonts w:hint="eastAsia"/>
          <w:kern w:val="0"/>
          <w:sz w:val="22"/>
          <w:szCs w:val="22"/>
          <w:lang w:val="de-DE"/>
        </w:rPr>
        <w:t>收錄於蘇永欽等譯註</w:t>
      </w:r>
      <w:r w:rsidR="007031D6" w:rsidRPr="00251C67">
        <w:rPr>
          <w:rFonts w:hint="eastAsia"/>
          <w:kern w:val="0"/>
          <w:sz w:val="22"/>
          <w:szCs w:val="22"/>
        </w:rPr>
        <w:t>，</w:t>
      </w:r>
      <w:r w:rsidR="007031D6" w:rsidRPr="00251C67">
        <w:rPr>
          <w:rFonts w:hint="eastAsia"/>
          <w:kern w:val="0"/>
          <w:sz w:val="22"/>
          <w:szCs w:val="22"/>
          <w:lang w:val="de-DE"/>
        </w:rPr>
        <w:t>德國聯邦憲法法院五十週年紀念論文集</w:t>
      </w:r>
      <w:r w:rsidR="007031D6" w:rsidRPr="00251C67">
        <w:rPr>
          <w:rFonts w:hint="eastAsia"/>
          <w:kern w:val="0"/>
          <w:sz w:val="22"/>
          <w:szCs w:val="22"/>
        </w:rPr>
        <w:t>（</w:t>
      </w:r>
      <w:r w:rsidR="007031D6" w:rsidRPr="00251C67">
        <w:rPr>
          <w:rFonts w:hint="eastAsia"/>
          <w:kern w:val="0"/>
          <w:sz w:val="22"/>
          <w:szCs w:val="22"/>
          <w:lang w:val="de-DE"/>
        </w:rPr>
        <w:t>下冊</w:t>
      </w:r>
      <w:r w:rsidR="007031D6" w:rsidRPr="00251C67">
        <w:rPr>
          <w:rFonts w:hint="eastAsia"/>
          <w:kern w:val="0"/>
          <w:sz w:val="22"/>
          <w:szCs w:val="22"/>
        </w:rPr>
        <w:t>），</w:t>
      </w:r>
      <w:r w:rsidR="007031D6" w:rsidRPr="00251C67">
        <w:rPr>
          <w:rFonts w:hint="eastAsia"/>
          <w:kern w:val="0"/>
          <w:sz w:val="22"/>
          <w:szCs w:val="22"/>
          <w:lang w:val="de-DE"/>
        </w:rPr>
        <w:t>聯經出版公司</w:t>
      </w:r>
      <w:r w:rsidR="007031D6" w:rsidRPr="00251C67">
        <w:rPr>
          <w:rFonts w:hint="eastAsia"/>
          <w:kern w:val="0"/>
          <w:sz w:val="22"/>
          <w:szCs w:val="22"/>
        </w:rPr>
        <w:t>，</w:t>
      </w:r>
      <w:r w:rsidR="007031D6" w:rsidRPr="00251C67">
        <w:rPr>
          <w:rFonts w:hint="eastAsia"/>
          <w:kern w:val="0"/>
          <w:sz w:val="22"/>
          <w:szCs w:val="22"/>
        </w:rPr>
        <w:t>2010</w:t>
      </w:r>
      <w:r w:rsidR="007031D6" w:rsidRPr="00251C67">
        <w:rPr>
          <w:rFonts w:hint="eastAsia"/>
          <w:kern w:val="0"/>
          <w:sz w:val="22"/>
          <w:szCs w:val="22"/>
          <w:lang w:val="de-DE"/>
        </w:rPr>
        <w:t>年</w:t>
      </w:r>
      <w:r w:rsidR="007031D6" w:rsidRPr="00251C67">
        <w:rPr>
          <w:rFonts w:hint="eastAsia"/>
          <w:kern w:val="0"/>
          <w:sz w:val="22"/>
          <w:szCs w:val="22"/>
        </w:rPr>
        <w:t>，</w:t>
      </w:r>
      <w:r w:rsidR="007031D6" w:rsidRPr="00251C67">
        <w:rPr>
          <w:rFonts w:hint="eastAsia"/>
          <w:kern w:val="0"/>
          <w:sz w:val="22"/>
          <w:szCs w:val="22"/>
        </w:rPr>
        <w:t>113</w:t>
      </w:r>
      <w:r w:rsidR="007031D6" w:rsidRPr="00251C67">
        <w:rPr>
          <w:rFonts w:hint="eastAsia"/>
          <w:kern w:val="0"/>
          <w:sz w:val="22"/>
          <w:szCs w:val="22"/>
          <w:lang w:val="de-DE"/>
        </w:rPr>
        <w:t>頁以下。</w:t>
      </w:r>
    </w:p>
  </w:footnote>
  <w:footnote w:id="14">
    <w:p w:rsidR="002031E1" w:rsidRPr="00251C67" w:rsidRDefault="002031E1" w:rsidP="0023592C">
      <w:pPr>
        <w:kinsoku w:val="0"/>
        <w:overflowPunct w:val="0"/>
        <w:adjustRightInd w:val="0"/>
        <w:snapToGrid w:val="0"/>
        <w:spacing w:line="391" w:lineRule="exact"/>
        <w:ind w:left="182" w:hanging="182"/>
        <w:jc w:val="both"/>
        <w:rPr>
          <w:kern w:val="0"/>
          <w:sz w:val="22"/>
          <w:szCs w:val="22"/>
        </w:rPr>
      </w:pPr>
      <w:r w:rsidRPr="00251C67">
        <w:rPr>
          <w:rStyle w:val="ab"/>
          <w:kern w:val="0"/>
          <w:sz w:val="22"/>
          <w:szCs w:val="22"/>
        </w:rPr>
        <w:footnoteRef/>
      </w:r>
      <w:r w:rsidR="002F5125" w:rsidRPr="00251C67">
        <w:rPr>
          <w:rFonts w:hint="eastAsia"/>
          <w:sz w:val="22"/>
          <w:szCs w:val="22"/>
        </w:rPr>
        <w:t xml:space="preserve"> </w:t>
      </w:r>
      <w:r w:rsidR="007031D6" w:rsidRPr="00251C67">
        <w:rPr>
          <w:rFonts w:hint="eastAsia"/>
          <w:sz w:val="22"/>
          <w:szCs w:val="22"/>
        </w:rPr>
        <w:t>參考李震山</w:t>
      </w:r>
      <w:r w:rsidR="007031D6" w:rsidRPr="00251C67">
        <w:rPr>
          <w:rFonts w:hint="eastAsia"/>
          <w:sz w:val="22"/>
          <w:szCs w:val="22"/>
          <w:lang w:val="de-DE"/>
        </w:rPr>
        <w:t>，</w:t>
      </w:r>
      <w:r w:rsidR="007031D6" w:rsidRPr="00251C67">
        <w:rPr>
          <w:rFonts w:hint="eastAsia"/>
          <w:sz w:val="22"/>
          <w:szCs w:val="22"/>
        </w:rPr>
        <w:t>行政法導論</w:t>
      </w:r>
      <w:r w:rsidR="007031D6" w:rsidRPr="00251C67">
        <w:rPr>
          <w:rFonts w:hint="eastAsia"/>
          <w:sz w:val="22"/>
          <w:szCs w:val="22"/>
          <w:lang w:val="de-DE"/>
        </w:rPr>
        <w:t>，</w:t>
      </w:r>
      <w:r w:rsidR="007031D6" w:rsidRPr="00251C67">
        <w:rPr>
          <w:rFonts w:hint="eastAsia"/>
          <w:sz w:val="22"/>
          <w:szCs w:val="22"/>
        </w:rPr>
        <w:t>三民書局</w:t>
      </w:r>
      <w:r w:rsidR="007031D6" w:rsidRPr="00251C67">
        <w:rPr>
          <w:rFonts w:hint="eastAsia"/>
          <w:sz w:val="22"/>
          <w:szCs w:val="22"/>
          <w:lang w:val="de-DE"/>
        </w:rPr>
        <w:t>，</w:t>
      </w:r>
      <w:r w:rsidR="007031D6" w:rsidRPr="00251C67">
        <w:rPr>
          <w:rFonts w:hint="eastAsia"/>
          <w:sz w:val="22"/>
          <w:szCs w:val="22"/>
          <w:lang w:val="de-DE"/>
        </w:rPr>
        <w:t>2009</w:t>
      </w:r>
      <w:r w:rsidR="007031D6" w:rsidRPr="00251C67">
        <w:rPr>
          <w:rFonts w:hint="eastAsia"/>
          <w:sz w:val="22"/>
          <w:szCs w:val="22"/>
        </w:rPr>
        <w:t>年</w:t>
      </w:r>
      <w:r w:rsidR="007031D6" w:rsidRPr="00251C67">
        <w:rPr>
          <w:rFonts w:hint="eastAsia"/>
          <w:sz w:val="22"/>
          <w:szCs w:val="22"/>
          <w:lang w:val="de-DE"/>
        </w:rPr>
        <w:t>9</w:t>
      </w:r>
      <w:r w:rsidR="007031D6" w:rsidRPr="00251C67">
        <w:rPr>
          <w:rFonts w:hint="eastAsia"/>
          <w:sz w:val="22"/>
          <w:szCs w:val="22"/>
        </w:rPr>
        <w:t>月</w:t>
      </w:r>
      <w:r w:rsidR="007031D6" w:rsidRPr="00251C67">
        <w:rPr>
          <w:rFonts w:hint="eastAsia"/>
          <w:sz w:val="22"/>
          <w:szCs w:val="22"/>
          <w:lang w:val="de-DE"/>
        </w:rPr>
        <w:t>，</w:t>
      </w:r>
      <w:r w:rsidR="007031D6" w:rsidRPr="00251C67">
        <w:rPr>
          <w:rFonts w:hint="eastAsia"/>
          <w:sz w:val="22"/>
          <w:szCs w:val="22"/>
        </w:rPr>
        <w:t>頁</w:t>
      </w:r>
      <w:r w:rsidR="007031D6" w:rsidRPr="00251C67">
        <w:rPr>
          <w:rFonts w:hint="eastAsia"/>
          <w:sz w:val="22"/>
          <w:szCs w:val="22"/>
          <w:lang w:val="de-DE"/>
        </w:rPr>
        <w:t>117</w:t>
      </w:r>
      <w:r w:rsidR="007031D6" w:rsidRPr="00251C67">
        <w:rPr>
          <w:rFonts w:hint="eastAsia"/>
          <w:sz w:val="22"/>
          <w:szCs w:val="22"/>
        </w:rPr>
        <w:t>以下</w:t>
      </w:r>
      <w:r w:rsidR="007031D6" w:rsidRPr="00251C67">
        <w:rPr>
          <w:rFonts w:hint="eastAsia"/>
          <w:sz w:val="22"/>
          <w:szCs w:val="22"/>
          <w:lang w:val="de-DE"/>
        </w:rPr>
        <w:t xml:space="preserve"> </w:t>
      </w:r>
      <w:r w:rsidR="007031D6" w:rsidRPr="00251C67">
        <w:rPr>
          <w:rFonts w:hint="eastAsia"/>
          <w:sz w:val="22"/>
          <w:szCs w:val="22"/>
          <w:lang w:val="de-DE"/>
        </w:rPr>
        <w:t>；</w:t>
      </w:r>
      <w:r w:rsidR="007031D6" w:rsidRPr="00251C67">
        <w:rPr>
          <w:rFonts w:hint="eastAsia"/>
          <w:sz w:val="22"/>
          <w:szCs w:val="22"/>
        </w:rPr>
        <w:t>陳敏</w:t>
      </w:r>
      <w:r w:rsidR="007031D6" w:rsidRPr="00251C67">
        <w:rPr>
          <w:rFonts w:hint="eastAsia"/>
          <w:sz w:val="22"/>
          <w:szCs w:val="22"/>
          <w:lang w:val="de-DE"/>
        </w:rPr>
        <w:t>，</w:t>
      </w:r>
      <w:r w:rsidR="007031D6" w:rsidRPr="00251C67">
        <w:rPr>
          <w:rFonts w:hint="eastAsia"/>
          <w:sz w:val="22"/>
          <w:szCs w:val="22"/>
        </w:rPr>
        <w:t>行政法總論</w:t>
      </w:r>
      <w:r w:rsidR="007031D6" w:rsidRPr="00251C67">
        <w:rPr>
          <w:rFonts w:hint="eastAsia"/>
          <w:sz w:val="22"/>
          <w:szCs w:val="22"/>
          <w:lang w:val="de-DE"/>
        </w:rPr>
        <w:t>，</w:t>
      </w:r>
      <w:r w:rsidR="007031D6" w:rsidRPr="00251C67">
        <w:rPr>
          <w:rFonts w:hint="eastAsia"/>
          <w:sz w:val="22"/>
          <w:szCs w:val="22"/>
        </w:rPr>
        <w:t>新學林</w:t>
      </w:r>
      <w:r w:rsidR="007031D6" w:rsidRPr="00251C67">
        <w:rPr>
          <w:rFonts w:hint="eastAsia"/>
          <w:sz w:val="22"/>
          <w:szCs w:val="22"/>
          <w:lang w:val="de-DE"/>
        </w:rPr>
        <w:t>，</w:t>
      </w:r>
      <w:r w:rsidR="007031D6" w:rsidRPr="00251C67">
        <w:rPr>
          <w:rFonts w:hint="eastAsia"/>
          <w:sz w:val="22"/>
          <w:szCs w:val="22"/>
          <w:lang w:val="de-DE"/>
        </w:rPr>
        <w:t>102</w:t>
      </w:r>
      <w:r w:rsidR="007031D6" w:rsidRPr="00251C67">
        <w:rPr>
          <w:rFonts w:hint="eastAsia"/>
          <w:sz w:val="22"/>
          <w:szCs w:val="22"/>
        </w:rPr>
        <w:t>年</w:t>
      </w:r>
      <w:r w:rsidR="007031D6" w:rsidRPr="00251C67">
        <w:rPr>
          <w:rFonts w:hint="eastAsia"/>
          <w:sz w:val="22"/>
          <w:szCs w:val="22"/>
          <w:lang w:val="de-DE"/>
        </w:rPr>
        <w:t>9</w:t>
      </w:r>
      <w:r w:rsidR="007031D6" w:rsidRPr="00251C67">
        <w:rPr>
          <w:rFonts w:hint="eastAsia"/>
          <w:sz w:val="22"/>
          <w:szCs w:val="22"/>
        </w:rPr>
        <w:t>月</w:t>
      </w:r>
      <w:r w:rsidR="007031D6" w:rsidRPr="00251C67">
        <w:rPr>
          <w:rFonts w:hint="eastAsia"/>
          <w:sz w:val="22"/>
          <w:szCs w:val="22"/>
          <w:lang w:val="de-DE"/>
        </w:rPr>
        <w:t>，</w:t>
      </w:r>
      <w:r w:rsidR="007031D6" w:rsidRPr="00251C67">
        <w:rPr>
          <w:rFonts w:hint="eastAsia"/>
          <w:sz w:val="22"/>
          <w:szCs w:val="22"/>
        </w:rPr>
        <w:t>頁</w:t>
      </w:r>
      <w:r w:rsidR="007031D6" w:rsidRPr="00251C67">
        <w:rPr>
          <w:rFonts w:hint="eastAsia"/>
          <w:sz w:val="22"/>
          <w:szCs w:val="22"/>
          <w:lang w:val="de-DE"/>
        </w:rPr>
        <w:t>1035</w:t>
      </w:r>
      <w:r w:rsidR="007031D6" w:rsidRPr="00251C67">
        <w:rPr>
          <w:rFonts w:hint="eastAsia"/>
          <w:sz w:val="22"/>
          <w:szCs w:val="22"/>
        </w:rPr>
        <w:t>以下</w:t>
      </w:r>
      <w:r w:rsidR="007031D6" w:rsidRPr="00251C67">
        <w:rPr>
          <w:rFonts w:hint="eastAsia"/>
          <w:sz w:val="22"/>
          <w:szCs w:val="22"/>
          <w:lang w:val="de-DE"/>
        </w:rPr>
        <w:t xml:space="preserve"> </w:t>
      </w:r>
      <w:r w:rsidR="007031D6" w:rsidRPr="00251C67">
        <w:rPr>
          <w:rFonts w:hint="eastAsia"/>
          <w:sz w:val="22"/>
          <w:szCs w:val="22"/>
          <w:lang w:val="de-DE"/>
        </w:rPr>
        <w:t>；</w:t>
      </w:r>
      <w:r w:rsidR="007031D6" w:rsidRPr="00251C67">
        <w:rPr>
          <w:rFonts w:hint="eastAsia"/>
          <w:sz w:val="22"/>
          <w:szCs w:val="22"/>
        </w:rPr>
        <w:t>陳新民</w:t>
      </w:r>
      <w:r w:rsidR="007031D6" w:rsidRPr="00251C67">
        <w:rPr>
          <w:rFonts w:hint="eastAsia"/>
          <w:sz w:val="22"/>
          <w:szCs w:val="22"/>
          <w:lang w:val="de-DE"/>
        </w:rPr>
        <w:t>，行政法學總論，新九版，</w:t>
      </w:r>
      <w:r w:rsidR="007031D6" w:rsidRPr="00251C67">
        <w:rPr>
          <w:rFonts w:hint="eastAsia"/>
          <w:sz w:val="22"/>
          <w:szCs w:val="22"/>
          <w:lang w:val="de-DE"/>
        </w:rPr>
        <w:t>104</w:t>
      </w:r>
      <w:r w:rsidR="007031D6" w:rsidRPr="00251C67">
        <w:rPr>
          <w:rFonts w:hint="eastAsia"/>
          <w:sz w:val="22"/>
          <w:szCs w:val="22"/>
          <w:lang w:val="de-DE"/>
        </w:rPr>
        <w:t>年，頁</w:t>
      </w:r>
      <w:r w:rsidR="007031D6" w:rsidRPr="00251C67">
        <w:rPr>
          <w:rFonts w:hint="eastAsia"/>
          <w:sz w:val="22"/>
          <w:szCs w:val="22"/>
          <w:lang w:val="de-DE"/>
        </w:rPr>
        <w:t>177</w:t>
      </w:r>
      <w:r w:rsidR="007031D6" w:rsidRPr="00251C67">
        <w:rPr>
          <w:rFonts w:hint="eastAsia"/>
          <w:sz w:val="22"/>
          <w:szCs w:val="22"/>
          <w:lang w:val="de-DE"/>
        </w:rPr>
        <w:t>以下</w:t>
      </w:r>
      <w:r w:rsidR="007031D6" w:rsidRPr="00251C67">
        <w:rPr>
          <w:rFonts w:hint="eastAsia"/>
          <w:sz w:val="22"/>
          <w:szCs w:val="22"/>
          <w:lang w:val="de-DE"/>
        </w:rPr>
        <w:t xml:space="preserve"> </w:t>
      </w:r>
      <w:r w:rsidR="007031D6" w:rsidRPr="00251C67">
        <w:rPr>
          <w:rFonts w:hint="eastAsia"/>
          <w:sz w:val="22"/>
          <w:szCs w:val="22"/>
          <w:lang w:val="de-DE"/>
        </w:rPr>
        <w:t>；</w:t>
      </w:r>
      <w:r w:rsidR="007031D6" w:rsidRPr="00251C67">
        <w:rPr>
          <w:rFonts w:hint="eastAsia"/>
          <w:sz w:val="22"/>
          <w:szCs w:val="22"/>
        </w:rPr>
        <w:t>林錫堯</w:t>
      </w:r>
      <w:r w:rsidR="007031D6" w:rsidRPr="00251C67">
        <w:rPr>
          <w:rFonts w:hint="eastAsia"/>
          <w:sz w:val="22"/>
          <w:szCs w:val="22"/>
          <w:lang w:val="de-DE"/>
        </w:rPr>
        <w:t>，行政法要義，元照出版公司，</w:t>
      </w:r>
      <w:r w:rsidR="007031D6" w:rsidRPr="00251C67">
        <w:rPr>
          <w:rFonts w:hint="eastAsia"/>
          <w:sz w:val="22"/>
          <w:szCs w:val="22"/>
          <w:lang w:val="de-DE"/>
        </w:rPr>
        <w:t>2006</w:t>
      </w:r>
      <w:r w:rsidR="007031D6" w:rsidRPr="00251C67">
        <w:rPr>
          <w:rFonts w:hint="eastAsia"/>
          <w:sz w:val="22"/>
          <w:szCs w:val="22"/>
          <w:lang w:val="de-DE"/>
        </w:rPr>
        <w:t>年，頁</w:t>
      </w:r>
      <w:r w:rsidR="007031D6" w:rsidRPr="00251C67">
        <w:rPr>
          <w:rFonts w:hint="eastAsia"/>
          <w:sz w:val="22"/>
          <w:szCs w:val="22"/>
          <w:lang w:val="de-DE"/>
        </w:rPr>
        <w:t>551</w:t>
      </w:r>
      <w:r w:rsidR="007031D6" w:rsidRPr="00251C67">
        <w:rPr>
          <w:rFonts w:hint="eastAsia"/>
          <w:sz w:val="22"/>
          <w:szCs w:val="22"/>
          <w:lang w:val="de-DE"/>
        </w:rPr>
        <w:t>以下</w:t>
      </w:r>
      <w:r w:rsidR="007031D6" w:rsidRPr="00251C67">
        <w:rPr>
          <w:rFonts w:hint="eastAsia"/>
          <w:sz w:val="22"/>
          <w:szCs w:val="22"/>
          <w:lang w:val="de-DE"/>
        </w:rPr>
        <w:t xml:space="preserve"> </w:t>
      </w:r>
      <w:r w:rsidR="007031D6" w:rsidRPr="00251C67">
        <w:rPr>
          <w:rFonts w:hint="eastAsia"/>
          <w:sz w:val="22"/>
          <w:szCs w:val="22"/>
          <w:lang w:val="de-DE"/>
        </w:rPr>
        <w:t>；</w:t>
      </w:r>
      <w:r w:rsidR="007031D6" w:rsidRPr="00251C67">
        <w:rPr>
          <w:rFonts w:hint="eastAsia"/>
          <w:sz w:val="22"/>
          <w:szCs w:val="22"/>
        </w:rPr>
        <w:t>吳志光，行政法，修訂六版，新學林，</w:t>
      </w:r>
      <w:r w:rsidR="00F30FE8" w:rsidRPr="00251C67">
        <w:rPr>
          <w:rFonts w:hint="eastAsia"/>
          <w:sz w:val="22"/>
          <w:szCs w:val="22"/>
        </w:rPr>
        <w:t xml:space="preserve"> </w:t>
      </w:r>
      <w:r w:rsidR="007031D6" w:rsidRPr="00251C67">
        <w:rPr>
          <w:rFonts w:hint="eastAsia"/>
          <w:sz w:val="22"/>
          <w:szCs w:val="22"/>
        </w:rPr>
        <w:t>2014</w:t>
      </w:r>
      <w:r w:rsidR="007031D6" w:rsidRPr="00251C67">
        <w:rPr>
          <w:rFonts w:hint="eastAsia"/>
          <w:sz w:val="22"/>
          <w:szCs w:val="22"/>
        </w:rPr>
        <w:t>年</w:t>
      </w:r>
      <w:r w:rsidR="007031D6" w:rsidRPr="00251C67">
        <w:rPr>
          <w:rFonts w:hint="eastAsia"/>
          <w:sz w:val="22"/>
          <w:szCs w:val="22"/>
        </w:rPr>
        <w:t>9</w:t>
      </w:r>
      <w:r w:rsidR="007031D6" w:rsidRPr="00251C67">
        <w:rPr>
          <w:rFonts w:hint="eastAsia"/>
          <w:sz w:val="22"/>
          <w:szCs w:val="22"/>
        </w:rPr>
        <w:t>月，頁</w:t>
      </w:r>
      <w:r w:rsidR="007031D6" w:rsidRPr="00251C67">
        <w:rPr>
          <w:rFonts w:hint="eastAsia"/>
          <w:sz w:val="22"/>
          <w:szCs w:val="22"/>
        </w:rPr>
        <w:t>132</w:t>
      </w:r>
      <w:r w:rsidR="007031D6" w:rsidRPr="00251C67">
        <w:rPr>
          <w:rFonts w:hint="eastAsia"/>
          <w:sz w:val="22"/>
          <w:szCs w:val="22"/>
        </w:rPr>
        <w:t>以下</w:t>
      </w:r>
      <w:r w:rsidR="00F30FE8" w:rsidRPr="00251C67">
        <w:rPr>
          <w:rFonts w:hint="eastAsia"/>
          <w:sz w:val="22"/>
          <w:szCs w:val="22"/>
        </w:rPr>
        <w:t>。</w:t>
      </w:r>
    </w:p>
  </w:footnote>
  <w:footnote w:id="15">
    <w:p w:rsidR="002F5125" w:rsidRPr="00251C67" w:rsidRDefault="002F5125" w:rsidP="00852236">
      <w:pPr>
        <w:pStyle w:val="a9"/>
        <w:spacing w:line="391" w:lineRule="exact"/>
        <w:jc w:val="both"/>
        <w:rPr>
          <w:rFonts w:ascii="標楷體" w:eastAsia="標楷體" w:hAnsi="標楷體" w:hint="eastAsia"/>
          <w:sz w:val="22"/>
          <w:szCs w:val="22"/>
        </w:rPr>
      </w:pPr>
      <w:r w:rsidRPr="00251C67">
        <w:rPr>
          <w:rStyle w:val="ab"/>
        </w:rPr>
        <w:footnoteRef/>
      </w:r>
      <w:r w:rsidRPr="00251C67">
        <w:rPr>
          <w:rFonts w:ascii="標楷體" w:eastAsia="標楷體" w:hAnsi="標楷體" w:hint="eastAsia"/>
          <w:sz w:val="22"/>
          <w:szCs w:val="22"/>
        </w:rPr>
        <w:t xml:space="preserve"> </w:t>
      </w:r>
      <w:r w:rsidRPr="00251C67">
        <w:rPr>
          <w:rFonts w:eastAsia="標楷體" w:hAnsi="標楷體"/>
          <w:sz w:val="22"/>
          <w:szCs w:val="22"/>
        </w:rPr>
        <w:t>參考李震山，前揭註，頁</w:t>
      </w:r>
      <w:r w:rsidRPr="00251C67">
        <w:rPr>
          <w:rFonts w:eastAsia="標楷體"/>
          <w:sz w:val="22"/>
          <w:szCs w:val="22"/>
        </w:rPr>
        <w:t>121</w:t>
      </w:r>
      <w:r w:rsidRPr="00251C67">
        <w:rPr>
          <w:rFonts w:eastAsia="標楷體" w:hAnsi="標楷體"/>
          <w:sz w:val="22"/>
          <w:szCs w:val="22"/>
        </w:rPr>
        <w:t>。</w:t>
      </w:r>
    </w:p>
  </w:footnote>
  <w:footnote w:id="16">
    <w:p w:rsidR="002031E1" w:rsidRPr="00251C67" w:rsidRDefault="002031E1" w:rsidP="0066716A">
      <w:pPr>
        <w:kinsoku w:val="0"/>
        <w:overflowPunct w:val="0"/>
        <w:adjustRightInd w:val="0"/>
        <w:snapToGrid w:val="0"/>
        <w:spacing w:line="391" w:lineRule="exact"/>
        <w:ind w:left="227" w:hanging="227"/>
        <w:rPr>
          <w:kern w:val="0"/>
          <w:sz w:val="22"/>
          <w:szCs w:val="22"/>
        </w:rPr>
      </w:pPr>
      <w:r w:rsidRPr="00251C67">
        <w:rPr>
          <w:rStyle w:val="ab"/>
          <w:kern w:val="0"/>
          <w:sz w:val="22"/>
          <w:szCs w:val="22"/>
        </w:rPr>
        <w:footnoteRef/>
      </w:r>
      <w:r w:rsidRPr="00251C67">
        <w:rPr>
          <w:kern w:val="0"/>
          <w:sz w:val="22"/>
          <w:szCs w:val="22"/>
        </w:rPr>
        <w:t xml:space="preserve"> </w:t>
      </w:r>
      <w:r w:rsidRPr="00251C67">
        <w:rPr>
          <w:kern w:val="0"/>
          <w:sz w:val="22"/>
          <w:szCs w:val="22"/>
        </w:rPr>
        <w:t>參考塩野</w:t>
      </w:r>
      <w:r w:rsidRPr="00251C67">
        <w:rPr>
          <w:kern w:val="0"/>
          <w:sz w:val="22"/>
          <w:szCs w:val="22"/>
        </w:rPr>
        <w:t xml:space="preserve"> </w:t>
      </w:r>
      <w:r w:rsidRPr="00251C67">
        <w:rPr>
          <w:kern w:val="0"/>
          <w:sz w:val="22"/>
          <w:szCs w:val="22"/>
        </w:rPr>
        <w:t>宏，行政法</w:t>
      </w:r>
      <w:r w:rsidRPr="00251C67">
        <w:rPr>
          <w:kern w:val="0"/>
          <w:sz w:val="22"/>
          <w:szCs w:val="22"/>
        </w:rPr>
        <w:t xml:space="preserve"> III</w:t>
      </w:r>
      <w:r w:rsidRPr="00251C67">
        <w:rPr>
          <w:kern w:val="0"/>
          <w:sz w:val="22"/>
          <w:szCs w:val="22"/>
        </w:rPr>
        <w:t>，</w:t>
      </w:r>
      <w:r w:rsidRPr="00251C67">
        <w:rPr>
          <w:kern w:val="0"/>
          <w:sz w:val="22"/>
          <w:szCs w:val="22"/>
          <w:lang w:val="fr-FR"/>
        </w:rPr>
        <w:t>行政</w:t>
      </w:r>
      <w:r w:rsidRPr="00251C67">
        <w:rPr>
          <w:kern w:val="0"/>
          <w:sz w:val="22"/>
          <w:szCs w:val="22"/>
        </w:rPr>
        <w:t>組織法，第三版，有斐閣，</w:t>
      </w:r>
      <w:r w:rsidRPr="00251C67">
        <w:rPr>
          <w:kern w:val="0"/>
          <w:sz w:val="22"/>
          <w:szCs w:val="22"/>
        </w:rPr>
        <w:t>2006</w:t>
      </w:r>
      <w:r w:rsidRPr="00251C67">
        <w:rPr>
          <w:kern w:val="0"/>
          <w:sz w:val="22"/>
          <w:szCs w:val="22"/>
        </w:rPr>
        <w:t>年，頁</w:t>
      </w:r>
      <w:r w:rsidRPr="00251C67">
        <w:rPr>
          <w:kern w:val="0"/>
          <w:sz w:val="22"/>
          <w:szCs w:val="22"/>
        </w:rPr>
        <w:t>350</w:t>
      </w:r>
      <w:r w:rsidRPr="00251C67">
        <w:rPr>
          <w:kern w:val="0"/>
          <w:sz w:val="22"/>
          <w:szCs w:val="22"/>
        </w:rPr>
        <w:t>以下。</w:t>
      </w:r>
    </w:p>
  </w:footnote>
  <w:footnote w:id="17">
    <w:p w:rsidR="004C7AFA" w:rsidRPr="00251C67" w:rsidRDefault="004C7AFA" w:rsidP="0066716A">
      <w:pPr>
        <w:pStyle w:val="a9"/>
        <w:spacing w:line="391" w:lineRule="exact"/>
        <w:rPr>
          <w:rFonts w:eastAsia="標楷體"/>
          <w:sz w:val="22"/>
          <w:szCs w:val="22"/>
        </w:rPr>
      </w:pPr>
      <w:r w:rsidRPr="00251C67">
        <w:rPr>
          <w:rStyle w:val="ab"/>
        </w:rPr>
        <w:footnoteRef/>
      </w:r>
      <w:r w:rsidR="00E816E2" w:rsidRPr="00251C67">
        <w:rPr>
          <w:rFonts w:eastAsia="標楷體"/>
          <w:sz w:val="22"/>
          <w:szCs w:val="22"/>
        </w:rPr>
        <w:t xml:space="preserve"> </w:t>
      </w:r>
      <w:r w:rsidR="00E816E2" w:rsidRPr="00251C67">
        <w:rPr>
          <w:rFonts w:eastAsia="標楷體" w:hAnsi="標楷體"/>
          <w:sz w:val="22"/>
          <w:szCs w:val="22"/>
        </w:rPr>
        <w:t>參考林錫堯，前揭註</w:t>
      </w:r>
      <w:r w:rsidR="00E816E2" w:rsidRPr="00251C67">
        <w:rPr>
          <w:rFonts w:eastAsia="標楷體"/>
          <w:sz w:val="22"/>
          <w:szCs w:val="22"/>
        </w:rPr>
        <w:t>3</w:t>
      </w:r>
      <w:r w:rsidR="00E816E2" w:rsidRPr="00251C67">
        <w:rPr>
          <w:rFonts w:eastAsia="標楷體" w:hAnsi="標楷體"/>
          <w:sz w:val="22"/>
          <w:szCs w:val="22"/>
        </w:rPr>
        <w:t>，頁</w:t>
      </w:r>
      <w:r w:rsidR="00E816E2" w:rsidRPr="00251C67">
        <w:rPr>
          <w:rFonts w:eastAsia="標楷體"/>
          <w:sz w:val="22"/>
          <w:szCs w:val="22"/>
        </w:rPr>
        <w:t>561</w:t>
      </w:r>
      <w:r w:rsidR="00E816E2" w:rsidRPr="00251C67">
        <w:rPr>
          <w:rFonts w:eastAsia="標楷體" w:hAnsi="標楷體"/>
          <w:sz w:val="22"/>
          <w:szCs w:val="22"/>
        </w:rPr>
        <w:t>，其所謂普通使用，即為此之一般使用。</w:t>
      </w:r>
    </w:p>
  </w:footnote>
  <w:footnote w:id="18">
    <w:p w:rsidR="004C7AFA" w:rsidRPr="00251C67" w:rsidRDefault="004C7AFA" w:rsidP="0066716A">
      <w:pPr>
        <w:pStyle w:val="a9"/>
        <w:spacing w:line="391" w:lineRule="exact"/>
        <w:rPr>
          <w:rFonts w:eastAsia="標楷體"/>
          <w:sz w:val="22"/>
          <w:szCs w:val="22"/>
        </w:rPr>
      </w:pPr>
      <w:r w:rsidRPr="00251C67">
        <w:rPr>
          <w:rStyle w:val="ab"/>
          <w:rFonts w:eastAsia="標楷體"/>
          <w:sz w:val="22"/>
          <w:szCs w:val="22"/>
        </w:rPr>
        <w:footnoteRef/>
      </w:r>
      <w:r w:rsidR="00E816E2" w:rsidRPr="00251C67">
        <w:rPr>
          <w:rFonts w:eastAsia="標楷體"/>
          <w:sz w:val="22"/>
          <w:szCs w:val="22"/>
        </w:rPr>
        <w:t xml:space="preserve"> </w:t>
      </w:r>
      <w:r w:rsidR="00E816E2" w:rsidRPr="00251C67">
        <w:rPr>
          <w:rFonts w:eastAsia="標楷體" w:hAnsi="標楷體"/>
          <w:sz w:val="22"/>
          <w:szCs w:val="22"/>
        </w:rPr>
        <w:t>陳敏，前揭註</w:t>
      </w:r>
      <w:r w:rsidR="00E816E2" w:rsidRPr="00251C67">
        <w:rPr>
          <w:rFonts w:eastAsia="標楷體"/>
          <w:sz w:val="22"/>
          <w:szCs w:val="22"/>
        </w:rPr>
        <w:t>3</w:t>
      </w:r>
      <w:r w:rsidR="00E816E2" w:rsidRPr="00251C67">
        <w:rPr>
          <w:rFonts w:eastAsia="標楷體" w:hAnsi="標楷體"/>
          <w:sz w:val="22"/>
          <w:szCs w:val="22"/>
        </w:rPr>
        <w:t>，頁</w:t>
      </w:r>
      <w:r w:rsidR="00E816E2" w:rsidRPr="00251C67">
        <w:rPr>
          <w:rFonts w:eastAsia="標楷體"/>
          <w:sz w:val="22"/>
          <w:szCs w:val="22"/>
        </w:rPr>
        <w:t>1046</w:t>
      </w:r>
      <w:r w:rsidR="00E816E2" w:rsidRPr="00251C67">
        <w:rPr>
          <w:rFonts w:eastAsia="標楷體" w:hAnsi="標楷體"/>
          <w:sz w:val="22"/>
          <w:szCs w:val="22"/>
        </w:rPr>
        <w:t>。</w:t>
      </w:r>
    </w:p>
  </w:footnote>
  <w:footnote w:id="19">
    <w:p w:rsidR="004C7AFA" w:rsidRPr="00251C67" w:rsidRDefault="004C7AFA" w:rsidP="0066716A">
      <w:pPr>
        <w:pStyle w:val="a9"/>
        <w:spacing w:line="391" w:lineRule="exact"/>
        <w:rPr>
          <w:rFonts w:eastAsia="標楷體"/>
          <w:sz w:val="22"/>
          <w:szCs w:val="22"/>
        </w:rPr>
      </w:pPr>
      <w:r w:rsidRPr="00251C67">
        <w:rPr>
          <w:rStyle w:val="ab"/>
          <w:rFonts w:eastAsia="標楷體"/>
          <w:sz w:val="22"/>
          <w:szCs w:val="22"/>
        </w:rPr>
        <w:footnoteRef/>
      </w:r>
      <w:r w:rsidR="00E816E2" w:rsidRPr="00251C67">
        <w:rPr>
          <w:rFonts w:eastAsia="標楷體"/>
          <w:sz w:val="22"/>
          <w:szCs w:val="22"/>
        </w:rPr>
        <w:t xml:space="preserve"> </w:t>
      </w:r>
      <w:r w:rsidR="00E816E2" w:rsidRPr="00251C67">
        <w:rPr>
          <w:rFonts w:eastAsia="標楷體" w:hAnsi="標楷體"/>
          <w:sz w:val="22"/>
          <w:szCs w:val="22"/>
        </w:rPr>
        <w:t>陳新民，前揭註</w:t>
      </w:r>
      <w:r w:rsidR="00E816E2" w:rsidRPr="00251C67">
        <w:rPr>
          <w:rFonts w:eastAsia="標楷體"/>
          <w:sz w:val="22"/>
          <w:szCs w:val="22"/>
        </w:rPr>
        <w:t>3</w:t>
      </w:r>
      <w:r w:rsidR="00E816E2" w:rsidRPr="00251C67">
        <w:rPr>
          <w:rFonts w:eastAsia="標楷體" w:hAnsi="標楷體"/>
          <w:sz w:val="22"/>
          <w:szCs w:val="22"/>
        </w:rPr>
        <w:t>，頁</w:t>
      </w:r>
      <w:r w:rsidR="00E816E2" w:rsidRPr="00251C67">
        <w:rPr>
          <w:rFonts w:eastAsia="標楷體"/>
          <w:sz w:val="22"/>
          <w:szCs w:val="22"/>
        </w:rPr>
        <w:t>181</w:t>
      </w:r>
      <w:r w:rsidR="00E816E2" w:rsidRPr="00251C67">
        <w:rPr>
          <w:rFonts w:eastAsia="標楷體" w:hAnsi="標楷體"/>
          <w:sz w:val="22"/>
          <w:szCs w:val="22"/>
        </w:rPr>
        <w:t>。</w:t>
      </w:r>
    </w:p>
  </w:footnote>
  <w:footnote w:id="20">
    <w:p w:rsidR="00E816E2" w:rsidRPr="00251C67" w:rsidRDefault="00E816E2" w:rsidP="0066716A">
      <w:pPr>
        <w:pStyle w:val="a9"/>
        <w:spacing w:line="391" w:lineRule="exact"/>
        <w:rPr>
          <w:rFonts w:eastAsia="標楷體"/>
          <w:sz w:val="22"/>
          <w:szCs w:val="22"/>
        </w:rPr>
      </w:pPr>
      <w:r w:rsidRPr="00251C67">
        <w:rPr>
          <w:rStyle w:val="ab"/>
          <w:rFonts w:eastAsia="標楷體"/>
          <w:sz w:val="22"/>
          <w:szCs w:val="22"/>
        </w:rPr>
        <w:footnoteRef/>
      </w:r>
      <w:r w:rsidRPr="00251C67">
        <w:rPr>
          <w:rFonts w:eastAsia="標楷體"/>
          <w:sz w:val="22"/>
          <w:szCs w:val="22"/>
        </w:rPr>
        <w:t xml:space="preserve"> </w:t>
      </w:r>
      <w:r w:rsidRPr="00251C67">
        <w:rPr>
          <w:rFonts w:eastAsia="標楷體" w:hAnsi="標楷體"/>
          <w:sz w:val="22"/>
          <w:szCs w:val="22"/>
        </w:rPr>
        <w:t>吳志光，前揭註</w:t>
      </w:r>
      <w:r w:rsidRPr="00251C67">
        <w:rPr>
          <w:rFonts w:eastAsia="標楷體"/>
          <w:sz w:val="22"/>
          <w:szCs w:val="22"/>
        </w:rPr>
        <w:t>3</w:t>
      </w:r>
      <w:r w:rsidRPr="00251C67">
        <w:rPr>
          <w:rFonts w:eastAsia="標楷體" w:hAnsi="標楷體"/>
          <w:sz w:val="22"/>
          <w:szCs w:val="22"/>
        </w:rPr>
        <w:t>，頁</w:t>
      </w:r>
      <w:r w:rsidRPr="00251C67">
        <w:rPr>
          <w:rFonts w:eastAsia="標楷體"/>
          <w:sz w:val="22"/>
          <w:szCs w:val="22"/>
        </w:rPr>
        <w:t>134</w:t>
      </w:r>
      <w:r w:rsidRPr="00251C67">
        <w:rPr>
          <w:rFonts w:eastAsia="標楷體" w:hAnsi="標楷體"/>
          <w:sz w:val="22"/>
          <w:szCs w:val="22"/>
        </w:rPr>
        <w:t>。</w:t>
      </w:r>
    </w:p>
  </w:footnote>
  <w:footnote w:id="21">
    <w:p w:rsidR="002031E1" w:rsidRPr="00820633" w:rsidRDefault="002031E1" w:rsidP="00820633">
      <w:pPr>
        <w:pStyle w:val="a9"/>
        <w:spacing w:line="391" w:lineRule="exact"/>
        <w:rPr>
          <w:rFonts w:eastAsia="標楷體"/>
          <w:kern w:val="0"/>
          <w:sz w:val="22"/>
          <w:szCs w:val="22"/>
        </w:rPr>
      </w:pPr>
      <w:r w:rsidRPr="00251C67">
        <w:rPr>
          <w:rStyle w:val="ab"/>
          <w:kern w:val="0"/>
          <w:sz w:val="22"/>
          <w:szCs w:val="22"/>
        </w:rPr>
        <w:footnoteRef/>
      </w:r>
      <w:r w:rsidR="00CD1743">
        <w:rPr>
          <w:rFonts w:eastAsia="標楷體" w:hAnsi="標楷體" w:hint="eastAsia"/>
          <w:kern w:val="0"/>
          <w:sz w:val="22"/>
          <w:szCs w:val="22"/>
        </w:rPr>
        <w:t xml:space="preserve"> </w:t>
      </w:r>
      <w:r w:rsidRPr="00820633">
        <w:rPr>
          <w:rFonts w:eastAsia="標楷體" w:hAnsi="標楷體"/>
          <w:kern w:val="0"/>
          <w:sz w:val="22"/>
          <w:szCs w:val="22"/>
        </w:rPr>
        <w:t>塩野</w:t>
      </w:r>
      <w:r w:rsidRPr="00820633">
        <w:rPr>
          <w:rFonts w:eastAsia="標楷體"/>
          <w:kern w:val="0"/>
          <w:sz w:val="22"/>
          <w:szCs w:val="22"/>
        </w:rPr>
        <w:t xml:space="preserve"> </w:t>
      </w:r>
      <w:r w:rsidRPr="00820633">
        <w:rPr>
          <w:rFonts w:eastAsia="標楷體" w:hAnsi="標楷體"/>
          <w:kern w:val="0"/>
          <w:sz w:val="22"/>
          <w:szCs w:val="22"/>
        </w:rPr>
        <w:t>宏，前揭</w:t>
      </w:r>
      <w:r w:rsidR="0066716A" w:rsidRPr="00820633">
        <w:rPr>
          <w:rFonts w:eastAsia="標楷體" w:hAnsi="標楷體"/>
          <w:sz w:val="22"/>
          <w:szCs w:val="22"/>
        </w:rPr>
        <w:t>註</w:t>
      </w:r>
      <w:r w:rsidR="0066716A" w:rsidRPr="00820633">
        <w:rPr>
          <w:rFonts w:eastAsia="標楷體"/>
          <w:sz w:val="22"/>
          <w:szCs w:val="22"/>
        </w:rPr>
        <w:t>5</w:t>
      </w:r>
      <w:r w:rsidRPr="00820633">
        <w:rPr>
          <w:rFonts w:eastAsia="標楷體" w:hAnsi="標楷體"/>
          <w:kern w:val="0"/>
          <w:sz w:val="22"/>
          <w:szCs w:val="22"/>
        </w:rPr>
        <w:t>，頁</w:t>
      </w:r>
      <w:r w:rsidRPr="00820633">
        <w:rPr>
          <w:rFonts w:eastAsia="標楷體"/>
          <w:kern w:val="0"/>
          <w:sz w:val="22"/>
          <w:szCs w:val="22"/>
        </w:rPr>
        <w:t>350</w:t>
      </w:r>
      <w:r w:rsidRPr="00820633">
        <w:rPr>
          <w:rFonts w:eastAsia="標楷體" w:hAnsi="標楷體"/>
          <w:kern w:val="0"/>
          <w:sz w:val="22"/>
          <w:szCs w:val="22"/>
        </w:rPr>
        <w:t>以下。</w:t>
      </w:r>
    </w:p>
  </w:footnote>
  <w:footnote w:id="22">
    <w:p w:rsidR="002031E1" w:rsidRPr="00251C67" w:rsidRDefault="002031E1" w:rsidP="00D40597">
      <w:pPr>
        <w:kinsoku w:val="0"/>
        <w:overflowPunct w:val="0"/>
        <w:adjustRightInd w:val="0"/>
        <w:snapToGrid w:val="0"/>
        <w:spacing w:line="391" w:lineRule="exact"/>
        <w:ind w:left="227" w:hanging="227"/>
        <w:rPr>
          <w:kern w:val="0"/>
          <w:sz w:val="22"/>
          <w:szCs w:val="22"/>
        </w:rPr>
      </w:pPr>
      <w:r w:rsidRPr="00251C67">
        <w:rPr>
          <w:rStyle w:val="ab"/>
          <w:kern w:val="0"/>
          <w:sz w:val="22"/>
          <w:szCs w:val="22"/>
        </w:rPr>
        <w:footnoteRef/>
      </w:r>
      <w:r w:rsidR="002B2DC9" w:rsidRPr="00251C67">
        <w:rPr>
          <w:rFonts w:hAnsi="標楷體" w:hint="eastAsia"/>
          <w:kern w:val="0"/>
          <w:sz w:val="22"/>
          <w:szCs w:val="22"/>
        </w:rPr>
        <w:t xml:space="preserve"> </w:t>
      </w:r>
      <w:r w:rsidRPr="00251C67">
        <w:rPr>
          <w:rFonts w:hAnsi="標楷體"/>
          <w:kern w:val="0"/>
          <w:sz w:val="22"/>
          <w:szCs w:val="22"/>
        </w:rPr>
        <w:t>塩野</w:t>
      </w:r>
      <w:r w:rsidRPr="00251C67">
        <w:rPr>
          <w:kern w:val="0"/>
          <w:sz w:val="22"/>
          <w:szCs w:val="22"/>
        </w:rPr>
        <w:t xml:space="preserve"> </w:t>
      </w:r>
      <w:r w:rsidRPr="00251C67">
        <w:rPr>
          <w:rFonts w:hAnsi="標楷體"/>
          <w:kern w:val="0"/>
          <w:sz w:val="22"/>
          <w:szCs w:val="22"/>
        </w:rPr>
        <w:t>宏，前揭</w:t>
      </w:r>
      <w:r w:rsidR="00DD5910" w:rsidRPr="00251C67">
        <w:rPr>
          <w:rFonts w:hAnsi="標楷體"/>
          <w:sz w:val="22"/>
          <w:szCs w:val="22"/>
        </w:rPr>
        <w:t>註</w:t>
      </w:r>
      <w:r w:rsidR="00DD5910" w:rsidRPr="00251C67">
        <w:rPr>
          <w:sz w:val="22"/>
          <w:szCs w:val="22"/>
        </w:rPr>
        <w:t>5</w:t>
      </w:r>
      <w:r w:rsidRPr="00251C67">
        <w:rPr>
          <w:rFonts w:hAnsi="標楷體"/>
          <w:kern w:val="0"/>
          <w:sz w:val="22"/>
          <w:szCs w:val="22"/>
        </w:rPr>
        <w:t>，頁</w:t>
      </w:r>
      <w:r w:rsidRPr="00251C67">
        <w:rPr>
          <w:kern w:val="0"/>
          <w:sz w:val="22"/>
          <w:szCs w:val="22"/>
        </w:rPr>
        <w:t>344</w:t>
      </w:r>
      <w:r w:rsidRPr="00251C67">
        <w:rPr>
          <w:rFonts w:hAnsi="標楷體"/>
          <w:kern w:val="0"/>
          <w:sz w:val="22"/>
          <w:szCs w:val="22"/>
        </w:rPr>
        <w:t>以下。</w:t>
      </w:r>
    </w:p>
  </w:footnote>
  <w:footnote w:id="23">
    <w:p w:rsidR="00DD5910" w:rsidRPr="00251C67" w:rsidRDefault="00DD5910" w:rsidP="00D40597">
      <w:pPr>
        <w:pStyle w:val="a9"/>
        <w:spacing w:line="391" w:lineRule="exact"/>
        <w:rPr>
          <w:rFonts w:eastAsia="標楷體"/>
          <w:sz w:val="22"/>
          <w:szCs w:val="22"/>
        </w:rPr>
      </w:pPr>
      <w:r w:rsidRPr="00251C67">
        <w:rPr>
          <w:rStyle w:val="ab"/>
          <w:rFonts w:eastAsia="標楷體"/>
          <w:sz w:val="22"/>
          <w:szCs w:val="22"/>
        </w:rPr>
        <w:footnoteRef/>
      </w:r>
      <w:r w:rsidR="002B2DC9" w:rsidRPr="00251C67">
        <w:rPr>
          <w:rFonts w:eastAsia="標楷體" w:hAnsi="標楷體" w:hint="eastAsia"/>
          <w:sz w:val="22"/>
          <w:szCs w:val="22"/>
        </w:rPr>
        <w:t xml:space="preserve"> </w:t>
      </w:r>
      <w:r w:rsidRPr="00251C67">
        <w:rPr>
          <w:rFonts w:eastAsia="標楷體" w:hAnsi="標楷體"/>
          <w:sz w:val="22"/>
          <w:szCs w:val="22"/>
        </w:rPr>
        <w:t>參考吳志光，前揭註</w:t>
      </w:r>
      <w:r w:rsidRPr="00251C67">
        <w:rPr>
          <w:rFonts w:eastAsia="標楷體"/>
          <w:sz w:val="22"/>
          <w:szCs w:val="22"/>
        </w:rPr>
        <w:t>3</w:t>
      </w:r>
      <w:r w:rsidRPr="00251C67">
        <w:rPr>
          <w:rFonts w:eastAsia="標楷體" w:hAnsi="標楷體"/>
          <w:sz w:val="22"/>
          <w:szCs w:val="22"/>
        </w:rPr>
        <w:t>，頁</w:t>
      </w:r>
      <w:r w:rsidRPr="00251C67">
        <w:rPr>
          <w:rFonts w:eastAsia="標楷體"/>
          <w:sz w:val="22"/>
          <w:szCs w:val="22"/>
        </w:rPr>
        <w:t>134</w:t>
      </w:r>
      <w:r w:rsidRPr="00251C67">
        <w:rPr>
          <w:rFonts w:eastAsia="標楷體" w:hAnsi="標楷體"/>
          <w:sz w:val="22"/>
          <w:szCs w:val="22"/>
        </w:rPr>
        <w:t>。</w:t>
      </w:r>
    </w:p>
  </w:footnote>
  <w:footnote w:id="24">
    <w:p w:rsidR="002031E1" w:rsidRPr="00251C67" w:rsidRDefault="002031E1" w:rsidP="00D40597">
      <w:pPr>
        <w:kinsoku w:val="0"/>
        <w:overflowPunct w:val="0"/>
        <w:adjustRightInd w:val="0"/>
        <w:snapToGrid w:val="0"/>
        <w:spacing w:line="391" w:lineRule="exact"/>
        <w:ind w:left="227" w:hanging="227"/>
        <w:rPr>
          <w:kern w:val="0"/>
          <w:sz w:val="22"/>
          <w:szCs w:val="22"/>
        </w:rPr>
      </w:pPr>
      <w:r w:rsidRPr="00251C67">
        <w:rPr>
          <w:rStyle w:val="ab"/>
          <w:kern w:val="0"/>
          <w:sz w:val="22"/>
          <w:szCs w:val="22"/>
        </w:rPr>
        <w:footnoteRef/>
      </w:r>
      <w:r w:rsidR="002B2DC9" w:rsidRPr="00251C67">
        <w:rPr>
          <w:rFonts w:hAnsi="標楷體" w:hint="eastAsia"/>
          <w:kern w:val="0"/>
          <w:sz w:val="22"/>
          <w:szCs w:val="22"/>
        </w:rPr>
        <w:t xml:space="preserve"> </w:t>
      </w:r>
      <w:r w:rsidRPr="00251C67">
        <w:rPr>
          <w:rFonts w:hAnsi="標楷體"/>
          <w:kern w:val="0"/>
          <w:sz w:val="22"/>
          <w:szCs w:val="22"/>
        </w:rPr>
        <w:t>日本最高法院見解亦</w:t>
      </w:r>
      <w:r w:rsidRPr="00251C67">
        <w:rPr>
          <w:rFonts w:hAnsi="標楷體"/>
          <w:kern w:val="0"/>
          <w:sz w:val="22"/>
          <w:szCs w:val="22"/>
          <w:lang w:val="fr-FR"/>
        </w:rPr>
        <w:t>認為</w:t>
      </w:r>
      <w:r w:rsidRPr="00251C67">
        <w:rPr>
          <w:rFonts w:hAnsi="標楷體"/>
          <w:kern w:val="0"/>
          <w:sz w:val="22"/>
          <w:szCs w:val="22"/>
        </w:rPr>
        <w:t>此乃屬民法上之不法行為問題。</w:t>
      </w:r>
    </w:p>
  </w:footnote>
  <w:footnote w:id="25">
    <w:p w:rsidR="00214F8F" w:rsidRPr="00251C67" w:rsidRDefault="00214F8F" w:rsidP="002B2DC9">
      <w:pPr>
        <w:pStyle w:val="a9"/>
        <w:spacing w:line="391" w:lineRule="exact"/>
        <w:rPr>
          <w:rFonts w:eastAsia="標楷體"/>
          <w:sz w:val="22"/>
          <w:szCs w:val="22"/>
        </w:rPr>
      </w:pPr>
      <w:r w:rsidRPr="00251C67">
        <w:rPr>
          <w:rStyle w:val="ab"/>
        </w:rPr>
        <w:footnoteRef/>
      </w:r>
      <w:r w:rsidR="002B2DC9" w:rsidRPr="00251C67">
        <w:rPr>
          <w:rFonts w:hint="eastAsia"/>
        </w:rPr>
        <w:t xml:space="preserve"> </w:t>
      </w:r>
      <w:r w:rsidRPr="00251C67">
        <w:rPr>
          <w:rFonts w:eastAsia="標楷體" w:hAnsi="標楷體"/>
          <w:sz w:val="22"/>
          <w:szCs w:val="22"/>
        </w:rPr>
        <w:t>塩野</w:t>
      </w:r>
      <w:r w:rsidRPr="00251C67">
        <w:rPr>
          <w:rFonts w:eastAsia="標楷體"/>
          <w:sz w:val="22"/>
          <w:szCs w:val="22"/>
        </w:rPr>
        <w:t xml:space="preserve"> </w:t>
      </w:r>
      <w:r w:rsidRPr="00251C67">
        <w:rPr>
          <w:rFonts w:eastAsia="標楷體" w:hAnsi="標楷體"/>
          <w:sz w:val="22"/>
          <w:szCs w:val="22"/>
        </w:rPr>
        <w:t>宏，前揭註</w:t>
      </w:r>
      <w:r w:rsidRPr="00251C67">
        <w:rPr>
          <w:rFonts w:eastAsia="標楷體"/>
          <w:sz w:val="22"/>
          <w:szCs w:val="22"/>
        </w:rPr>
        <w:t>5</w:t>
      </w:r>
      <w:r w:rsidRPr="00251C67">
        <w:rPr>
          <w:rFonts w:eastAsia="標楷體" w:hAnsi="標楷體"/>
          <w:sz w:val="22"/>
          <w:szCs w:val="22"/>
        </w:rPr>
        <w:t>，頁</w:t>
      </w:r>
      <w:r w:rsidRPr="00251C67">
        <w:rPr>
          <w:rFonts w:eastAsia="標楷體"/>
          <w:sz w:val="22"/>
          <w:szCs w:val="22"/>
        </w:rPr>
        <w:t>351</w:t>
      </w:r>
      <w:r w:rsidRPr="00251C67">
        <w:rPr>
          <w:rFonts w:eastAsia="標楷體" w:hAnsi="標楷體"/>
          <w:sz w:val="22"/>
          <w:szCs w:val="22"/>
        </w:rPr>
        <w:t>以下。</w:t>
      </w:r>
    </w:p>
  </w:footnote>
  <w:footnote w:id="26">
    <w:p w:rsidR="00214F8F" w:rsidRPr="00251C67" w:rsidRDefault="00214F8F" w:rsidP="003515EB">
      <w:pPr>
        <w:pStyle w:val="a9"/>
        <w:spacing w:line="391" w:lineRule="exact"/>
        <w:jc w:val="both"/>
        <w:rPr>
          <w:rFonts w:hint="eastAsia"/>
        </w:rPr>
      </w:pPr>
      <w:r w:rsidRPr="00AB5B85">
        <w:rPr>
          <w:rStyle w:val="ab"/>
          <w:sz w:val="22"/>
          <w:szCs w:val="22"/>
        </w:rPr>
        <w:footnoteRef/>
      </w:r>
      <w:r w:rsidR="00AA722C" w:rsidRPr="000660A7">
        <w:rPr>
          <w:rFonts w:hint="eastAsia"/>
          <w:sz w:val="22"/>
          <w:szCs w:val="22"/>
        </w:rPr>
        <w:t xml:space="preserve"> </w:t>
      </w:r>
      <w:r w:rsidRPr="00251C67">
        <w:rPr>
          <w:rFonts w:eastAsia="標楷體" w:hAnsi="標楷體"/>
          <w:sz w:val="22"/>
          <w:szCs w:val="22"/>
        </w:rPr>
        <w:t>參考塩野</w:t>
      </w:r>
      <w:r w:rsidRPr="00251C67">
        <w:rPr>
          <w:rFonts w:eastAsia="標楷體"/>
          <w:sz w:val="22"/>
          <w:szCs w:val="22"/>
        </w:rPr>
        <w:t xml:space="preserve"> </w:t>
      </w:r>
      <w:r w:rsidRPr="00251C67">
        <w:rPr>
          <w:rFonts w:eastAsia="標楷體" w:hAnsi="標楷體"/>
          <w:sz w:val="22"/>
          <w:szCs w:val="22"/>
        </w:rPr>
        <w:t>宏，前揭註</w:t>
      </w:r>
      <w:r w:rsidRPr="00251C67">
        <w:rPr>
          <w:rFonts w:eastAsia="標楷體"/>
          <w:sz w:val="22"/>
          <w:szCs w:val="22"/>
        </w:rPr>
        <w:t>5</w:t>
      </w:r>
      <w:r w:rsidRPr="00251C67">
        <w:rPr>
          <w:rFonts w:eastAsia="標楷體" w:hAnsi="標楷體"/>
          <w:sz w:val="22"/>
          <w:szCs w:val="22"/>
        </w:rPr>
        <w:t>，頁</w:t>
      </w:r>
      <w:r w:rsidRPr="00251C67">
        <w:rPr>
          <w:rFonts w:eastAsia="標楷體"/>
          <w:sz w:val="22"/>
          <w:szCs w:val="22"/>
        </w:rPr>
        <w:t>358</w:t>
      </w:r>
      <w:r w:rsidRPr="00251C67">
        <w:rPr>
          <w:rFonts w:eastAsia="標楷體" w:hAnsi="標楷體"/>
          <w:sz w:val="22"/>
          <w:szCs w:val="22"/>
        </w:rPr>
        <w:t>、</w:t>
      </w:r>
      <w:r w:rsidRPr="00251C67">
        <w:rPr>
          <w:rFonts w:eastAsia="標楷體"/>
          <w:sz w:val="22"/>
          <w:szCs w:val="22"/>
        </w:rPr>
        <w:t>359</w:t>
      </w:r>
      <w:r w:rsidRPr="00251C67">
        <w:rPr>
          <w:rFonts w:eastAsia="標楷體" w:hAnsi="標楷體"/>
          <w:sz w:val="22"/>
          <w:szCs w:val="22"/>
        </w:rPr>
        <w:t>。</w:t>
      </w:r>
    </w:p>
  </w:footnote>
  <w:footnote w:id="27">
    <w:p w:rsidR="002031E1" w:rsidRPr="00251C67" w:rsidRDefault="002031E1" w:rsidP="003515EB">
      <w:pPr>
        <w:kinsoku w:val="0"/>
        <w:overflowPunct w:val="0"/>
        <w:adjustRightInd w:val="0"/>
        <w:snapToGrid w:val="0"/>
        <w:spacing w:line="391" w:lineRule="exact"/>
        <w:ind w:left="227" w:hanging="227"/>
        <w:jc w:val="both"/>
        <w:rPr>
          <w:kern w:val="0"/>
          <w:sz w:val="22"/>
          <w:szCs w:val="22"/>
        </w:rPr>
      </w:pPr>
      <w:r w:rsidRPr="00251C67">
        <w:rPr>
          <w:rStyle w:val="ab"/>
          <w:kern w:val="0"/>
          <w:sz w:val="22"/>
          <w:szCs w:val="22"/>
        </w:rPr>
        <w:footnoteRef/>
      </w:r>
      <w:r w:rsidRPr="00251C67">
        <w:rPr>
          <w:kern w:val="0"/>
          <w:sz w:val="22"/>
          <w:szCs w:val="22"/>
        </w:rPr>
        <w:t xml:space="preserve"> </w:t>
      </w:r>
      <w:r w:rsidRPr="00251C67">
        <w:rPr>
          <w:rFonts w:hAnsi="標楷體"/>
          <w:kern w:val="0"/>
          <w:sz w:val="22"/>
          <w:szCs w:val="22"/>
        </w:rPr>
        <w:t>隨時代演進與社會發展要求，如日本在最高裁昭和</w:t>
      </w:r>
      <w:r w:rsidRPr="00251C67">
        <w:rPr>
          <w:kern w:val="0"/>
          <w:sz w:val="22"/>
          <w:szCs w:val="22"/>
        </w:rPr>
        <w:t>43</w:t>
      </w:r>
      <w:r w:rsidRPr="00251C67">
        <w:rPr>
          <w:rFonts w:hAnsi="標楷體"/>
          <w:kern w:val="0"/>
          <w:sz w:val="22"/>
          <w:szCs w:val="22"/>
        </w:rPr>
        <w:t>年</w:t>
      </w:r>
      <w:r w:rsidRPr="00251C67">
        <w:rPr>
          <w:kern w:val="0"/>
          <w:sz w:val="22"/>
          <w:szCs w:val="22"/>
        </w:rPr>
        <w:t>12</w:t>
      </w:r>
      <w:r w:rsidRPr="00251C67">
        <w:rPr>
          <w:rFonts w:hAnsi="標楷體"/>
          <w:kern w:val="0"/>
          <w:sz w:val="22"/>
          <w:szCs w:val="22"/>
        </w:rPr>
        <w:t>月</w:t>
      </w:r>
      <w:r w:rsidRPr="00251C67">
        <w:rPr>
          <w:kern w:val="0"/>
          <w:sz w:val="22"/>
          <w:szCs w:val="22"/>
        </w:rPr>
        <w:t>18</w:t>
      </w:r>
      <w:r w:rsidRPr="00251C67">
        <w:rPr>
          <w:rFonts w:hAnsi="標楷體"/>
          <w:kern w:val="0"/>
          <w:sz w:val="22"/>
          <w:szCs w:val="22"/>
        </w:rPr>
        <w:t>日</w:t>
      </w:r>
      <w:r w:rsidR="00B1423F">
        <w:rPr>
          <w:rFonts w:hAnsi="標楷體" w:hint="eastAsia"/>
          <w:kern w:val="0"/>
          <w:sz w:val="22"/>
          <w:szCs w:val="22"/>
        </w:rPr>
        <w:t>(</w:t>
      </w:r>
      <w:r w:rsidRPr="00251C67">
        <w:rPr>
          <w:kern w:val="0"/>
          <w:sz w:val="22"/>
          <w:szCs w:val="22"/>
        </w:rPr>
        <w:t>1968</w:t>
      </w:r>
      <w:r w:rsidRPr="00251C67">
        <w:rPr>
          <w:rFonts w:hAnsi="標楷體"/>
          <w:kern w:val="0"/>
          <w:sz w:val="22"/>
          <w:szCs w:val="22"/>
        </w:rPr>
        <w:t>年</w:t>
      </w:r>
      <w:r w:rsidR="00B1423F">
        <w:rPr>
          <w:rFonts w:hAnsi="標楷體" w:hint="eastAsia"/>
          <w:kern w:val="0"/>
          <w:sz w:val="22"/>
          <w:szCs w:val="22"/>
        </w:rPr>
        <w:t>)</w:t>
      </w:r>
      <w:r w:rsidRPr="00251C67">
        <w:rPr>
          <w:rFonts w:hAnsi="標楷體"/>
          <w:kern w:val="0"/>
          <w:sz w:val="22"/>
          <w:szCs w:val="22"/>
        </w:rPr>
        <w:t>大法廷判決之後，修改屋外廣告物法，即</w:t>
      </w:r>
      <w:r w:rsidRPr="00251C67">
        <w:rPr>
          <w:kern w:val="0"/>
          <w:sz w:val="22"/>
          <w:szCs w:val="22"/>
        </w:rPr>
        <w:t>1973</w:t>
      </w:r>
      <w:r w:rsidRPr="00251C67">
        <w:rPr>
          <w:rFonts w:hAnsi="標楷體"/>
          <w:kern w:val="0"/>
          <w:sz w:val="22"/>
          <w:szCs w:val="22"/>
        </w:rPr>
        <w:t>年屋外廣告物法第十五條（現為第二十九條）修正，規定有：</w:t>
      </w:r>
      <w:r w:rsidRPr="00251C67">
        <w:rPr>
          <w:rFonts w:hAnsi="標楷體"/>
          <w:kern w:val="0"/>
          <w:sz w:val="22"/>
          <w:szCs w:val="22"/>
          <w:lang w:val="de-DE"/>
        </w:rPr>
        <w:t>「本法及依本法訂定之條例於適用時，應注意避免對國民政治活動之自由，及其他國民基本人權為不當之侵害。」值得我國未來制定法律之參考。</w:t>
      </w:r>
    </w:p>
  </w:footnote>
  <w:footnote w:id="28">
    <w:p w:rsidR="002031E1" w:rsidRPr="000B2BFF" w:rsidRDefault="002031E1" w:rsidP="001640B8">
      <w:pPr>
        <w:kinsoku w:val="0"/>
        <w:overflowPunct w:val="0"/>
        <w:adjustRightInd w:val="0"/>
        <w:snapToGrid w:val="0"/>
        <w:spacing w:line="391" w:lineRule="exact"/>
        <w:ind w:left="196" w:hanging="196"/>
        <w:jc w:val="both"/>
        <w:rPr>
          <w:kern w:val="0"/>
          <w:sz w:val="22"/>
          <w:szCs w:val="22"/>
        </w:rPr>
      </w:pPr>
      <w:r w:rsidRPr="000B2BFF">
        <w:rPr>
          <w:rStyle w:val="ab"/>
          <w:kern w:val="0"/>
          <w:sz w:val="22"/>
          <w:szCs w:val="22"/>
        </w:rPr>
        <w:footnoteRef/>
      </w:r>
      <w:r w:rsidRPr="000B2BFF">
        <w:rPr>
          <w:kern w:val="0"/>
          <w:sz w:val="22"/>
          <w:szCs w:val="22"/>
        </w:rPr>
        <w:t xml:space="preserve"> </w:t>
      </w:r>
      <w:r w:rsidRPr="000B2BFF">
        <w:rPr>
          <w:rFonts w:hAnsi="標楷體"/>
          <w:kern w:val="0"/>
          <w:sz w:val="22"/>
          <w:szCs w:val="22"/>
        </w:rPr>
        <w:t>工廠管理輔導法</w:t>
      </w:r>
      <w:r w:rsidRPr="000B2BFF">
        <w:rPr>
          <w:rFonts w:hAnsi="標楷體"/>
          <w:color w:val="000000"/>
          <w:kern w:val="0"/>
          <w:sz w:val="22"/>
          <w:szCs w:val="22"/>
          <w:lang w:val="fr-FR"/>
        </w:rPr>
        <w:t>第二十三</w:t>
      </w:r>
      <w:r w:rsidRPr="000B2BFF">
        <w:rPr>
          <w:rFonts w:hAnsi="標楷體"/>
          <w:kern w:val="0"/>
          <w:sz w:val="22"/>
          <w:szCs w:val="22"/>
        </w:rPr>
        <w:t>條</w:t>
      </w:r>
      <w:r w:rsidRPr="000B2BFF">
        <w:rPr>
          <w:rFonts w:hAnsi="標楷體"/>
          <w:color w:val="000000"/>
          <w:kern w:val="0"/>
          <w:sz w:val="22"/>
          <w:szCs w:val="22"/>
          <w:lang w:val="fr-FR"/>
        </w:rPr>
        <w:t>第四</w:t>
      </w:r>
      <w:r w:rsidRPr="000B2BFF">
        <w:rPr>
          <w:rFonts w:hAnsi="標楷體"/>
          <w:kern w:val="0"/>
          <w:sz w:val="22"/>
          <w:szCs w:val="22"/>
        </w:rPr>
        <w:t>項、石油管理法第五十二條第三項、建築法第九十六條之一第二項、道路交通管理處罰條例第八十二條第二項、第八十五條之三第四項、漁港法第十七條第一項第一款、違章建築處理辦法第八條規定參照。</w:t>
      </w:r>
    </w:p>
  </w:footnote>
  <w:footnote w:id="29">
    <w:p w:rsidR="002031E1" w:rsidRPr="00DB55A4" w:rsidRDefault="002031E1" w:rsidP="001640B8">
      <w:pPr>
        <w:kinsoku w:val="0"/>
        <w:overflowPunct w:val="0"/>
        <w:adjustRightInd w:val="0"/>
        <w:snapToGrid w:val="0"/>
        <w:spacing w:line="391" w:lineRule="exact"/>
        <w:ind w:left="182" w:hanging="182"/>
        <w:rPr>
          <w:kern w:val="0"/>
          <w:sz w:val="22"/>
          <w:szCs w:val="22"/>
        </w:rPr>
      </w:pPr>
      <w:r w:rsidRPr="00DB55A4">
        <w:rPr>
          <w:rStyle w:val="ab"/>
          <w:kern w:val="0"/>
          <w:sz w:val="22"/>
          <w:szCs w:val="22"/>
        </w:rPr>
        <w:footnoteRef/>
      </w:r>
      <w:r w:rsidRPr="00DB55A4">
        <w:rPr>
          <w:rFonts w:hAnsi="標楷體" w:hint="eastAsia"/>
          <w:kern w:val="0"/>
          <w:sz w:val="22"/>
          <w:szCs w:val="22"/>
        </w:rPr>
        <w:t xml:space="preserve"> </w:t>
      </w:r>
      <w:r w:rsidRPr="00DB55A4">
        <w:rPr>
          <w:rFonts w:hAnsi="標楷體"/>
          <w:kern w:val="0"/>
          <w:sz w:val="22"/>
          <w:szCs w:val="22"/>
        </w:rPr>
        <w:t>電影法第九條：「</w:t>
      </w:r>
      <w:r w:rsidRPr="00DB55A4">
        <w:rPr>
          <w:rFonts w:hAnsi="標楷體"/>
          <w:color w:val="000000"/>
          <w:kern w:val="0"/>
          <w:sz w:val="22"/>
          <w:szCs w:val="22"/>
          <w:lang w:val="fr-FR"/>
        </w:rPr>
        <w:t>申請</w:t>
      </w:r>
      <w:r w:rsidRPr="00DB55A4">
        <w:rPr>
          <w:rFonts w:hAnsi="標楷體"/>
          <w:kern w:val="0"/>
          <w:sz w:val="22"/>
          <w:szCs w:val="22"/>
        </w:rPr>
        <w:t>電影片、電影片之廣告片審議分級者，應填具申請書，並檢附相關文件、資料，報中央主管機關核准（第一項）。電影片、電影片之廣告片非經中央主管機關審議分級並核准者，不得映演。但教育行政機關主管之教學電影片，不在此限（第二項）。</w:t>
      </w:r>
      <w:r w:rsidR="00196B98">
        <w:rPr>
          <w:rFonts w:hint="eastAsia"/>
          <w:kern w:val="0"/>
          <w:sz w:val="22"/>
          <w:szCs w:val="22"/>
        </w:rPr>
        <w:t>……</w:t>
      </w:r>
      <w:r w:rsidRPr="00DB55A4">
        <w:rPr>
          <w:rFonts w:hAnsi="標楷體"/>
          <w:kern w:val="0"/>
          <w:sz w:val="22"/>
          <w:szCs w:val="22"/>
        </w:rPr>
        <w:t>」。</w:t>
      </w:r>
    </w:p>
  </w:footnote>
  <w:footnote w:id="30">
    <w:p w:rsidR="002031E1" w:rsidRPr="00DB55A4" w:rsidRDefault="002031E1" w:rsidP="001640B8">
      <w:pPr>
        <w:kinsoku w:val="0"/>
        <w:overflowPunct w:val="0"/>
        <w:adjustRightInd w:val="0"/>
        <w:snapToGrid w:val="0"/>
        <w:spacing w:line="391" w:lineRule="exact"/>
        <w:ind w:left="182" w:hanging="182"/>
        <w:rPr>
          <w:kern w:val="0"/>
          <w:sz w:val="22"/>
          <w:szCs w:val="22"/>
        </w:rPr>
      </w:pPr>
      <w:r w:rsidRPr="00DB55A4">
        <w:rPr>
          <w:rStyle w:val="ab"/>
          <w:kern w:val="0"/>
          <w:sz w:val="22"/>
          <w:szCs w:val="22"/>
        </w:rPr>
        <w:footnoteRef/>
      </w:r>
      <w:r w:rsidRPr="00DB55A4">
        <w:rPr>
          <w:rFonts w:hAnsi="標楷體" w:hint="eastAsia"/>
          <w:kern w:val="0"/>
          <w:sz w:val="22"/>
          <w:szCs w:val="22"/>
        </w:rPr>
        <w:t xml:space="preserve"> </w:t>
      </w:r>
      <w:r w:rsidRPr="00DB55A4">
        <w:rPr>
          <w:rFonts w:hAnsi="標楷體"/>
          <w:kern w:val="0"/>
          <w:sz w:val="22"/>
          <w:szCs w:val="22"/>
        </w:rPr>
        <w:t>例如</w:t>
      </w:r>
      <w:hyperlink r:id="rId1" w:history="1">
        <w:r w:rsidRPr="00DB55A4">
          <w:rPr>
            <w:rFonts w:hAnsi="標楷體"/>
            <w:kern w:val="0"/>
            <w:sz w:val="22"/>
            <w:szCs w:val="22"/>
          </w:rPr>
          <w:t>廣播</w:t>
        </w:r>
        <w:r w:rsidRPr="00DB55A4">
          <w:rPr>
            <w:rFonts w:hAnsi="標楷體"/>
            <w:color w:val="000000"/>
            <w:kern w:val="0"/>
            <w:sz w:val="22"/>
            <w:szCs w:val="22"/>
            <w:lang w:val="fr-FR"/>
          </w:rPr>
          <w:t>電視</w:t>
        </w:r>
        <w:r w:rsidRPr="00DB55A4">
          <w:rPr>
            <w:rFonts w:hAnsi="標楷體"/>
            <w:kern w:val="0"/>
            <w:sz w:val="22"/>
            <w:szCs w:val="22"/>
          </w:rPr>
          <w:t>法</w:t>
        </w:r>
      </w:hyperlink>
      <w:r w:rsidRPr="00DB55A4">
        <w:rPr>
          <w:rFonts w:hAnsi="標楷體"/>
          <w:kern w:val="0"/>
          <w:sz w:val="22"/>
          <w:szCs w:val="22"/>
        </w:rPr>
        <w:t>第三十四條：「廣告內容涉及藥品、食品、化粧品、醫療器材、醫療技術及醫療業務者，應先送經衛生主管機關核准，取得證明文件。」；</w:t>
      </w:r>
      <w:hyperlink r:id="rId2" w:history="1">
        <w:r w:rsidRPr="00DB55A4">
          <w:rPr>
            <w:rFonts w:hAnsi="標楷體"/>
            <w:kern w:val="0"/>
            <w:sz w:val="22"/>
            <w:szCs w:val="22"/>
          </w:rPr>
          <w:t>藥事法</w:t>
        </w:r>
      </w:hyperlink>
      <w:r w:rsidRPr="00DB55A4">
        <w:rPr>
          <w:rFonts w:hAnsi="標楷體"/>
          <w:kern w:val="0"/>
          <w:sz w:val="22"/>
          <w:szCs w:val="22"/>
        </w:rPr>
        <w:t>第六十六條第一項前段：「藥商刊播藥物廣告時，應於刊播前將所有文字、圖畫或言詞，申請中央或直轄市衛生主管機關核准，並向傳播業者送驗核准文件。」；食品安全衛生管理法第二十八條第三項：「中央主管機關對於特殊營養食品、易導致慢性病或不適合兒童及特殊需求者長期食用之食品，得限制其促銷或廣告；其食品之項目、促銷或廣告之限制與停止刊播及其他應遵行事項之辦法，由中央主管機關定之。」；化粧品衛生管理條例第二十四條第二項：「化粧品之廠商登載或宣播廣告時，應於事前將所有文字、畫面或言詞，申請中央或直轄市衛生主管機關核准，並向傳播機構繳驗核准之證明文件。」；醫療法第九條：「本法所稱醫療廣告，係指利用傳播媒體或其他方法，宣傳醫療業務，以達招徠患者醫療為目的之行為。」第八十五條第二項：「利用廣播、電視之醫療廣告，在前項內容範圍內，得以口語化方式為之。但應先經所在地直轄市或縣（市）主管機關核准」等。</w:t>
      </w:r>
    </w:p>
  </w:footnote>
  <w:footnote w:id="31">
    <w:p w:rsidR="002031E1" w:rsidRPr="00DB55A4" w:rsidRDefault="002031E1" w:rsidP="001640B8">
      <w:pPr>
        <w:kinsoku w:val="0"/>
        <w:overflowPunct w:val="0"/>
        <w:adjustRightInd w:val="0"/>
        <w:snapToGrid w:val="0"/>
        <w:spacing w:line="391" w:lineRule="exact"/>
        <w:ind w:left="182" w:hanging="182"/>
        <w:rPr>
          <w:kern w:val="0"/>
          <w:sz w:val="22"/>
          <w:szCs w:val="22"/>
        </w:rPr>
      </w:pPr>
      <w:r w:rsidRPr="00DB55A4">
        <w:rPr>
          <w:rStyle w:val="ab"/>
          <w:kern w:val="0"/>
          <w:sz w:val="22"/>
          <w:szCs w:val="22"/>
        </w:rPr>
        <w:footnoteRef/>
      </w:r>
      <w:r w:rsidRPr="00DB55A4">
        <w:rPr>
          <w:rFonts w:hAnsi="標楷體" w:hint="eastAsia"/>
          <w:kern w:val="0"/>
          <w:sz w:val="22"/>
          <w:szCs w:val="22"/>
        </w:rPr>
        <w:t xml:space="preserve"> </w:t>
      </w:r>
      <w:r w:rsidRPr="00DB55A4">
        <w:rPr>
          <w:rFonts w:hAnsi="標楷體"/>
          <w:kern w:val="0"/>
          <w:sz w:val="22"/>
          <w:szCs w:val="22"/>
        </w:rPr>
        <w:t>本院釋字第四一四號解釋文：「藥物廣告係為獲得財產而從事之經濟活動，涉及財產權之保障，並具商業上意見</w:t>
      </w:r>
      <w:r w:rsidRPr="00DB55A4">
        <w:rPr>
          <w:rFonts w:hAnsi="標楷體"/>
          <w:color w:val="000000"/>
          <w:kern w:val="0"/>
          <w:sz w:val="22"/>
          <w:szCs w:val="22"/>
          <w:lang w:val="fr-FR"/>
        </w:rPr>
        <w:t>表達</w:t>
      </w:r>
      <w:r w:rsidRPr="00DB55A4">
        <w:rPr>
          <w:rFonts w:hAnsi="標楷體"/>
          <w:kern w:val="0"/>
          <w:sz w:val="22"/>
          <w:szCs w:val="22"/>
        </w:rPr>
        <w:t>之性質，惟因與國民健康有重大關係，基於公共利益之維護，應受較嚴格之規範。藥事法第六十六條第一項規定：藥商刊播藥物廣告時，應於刊播前將所有文字、圖畫或言詞，申請省（市）衛生主管機關核准，旨在確保藥物廣告之真實，維護國民健康，為增進公共利益所必要，與憲法第十一條及第十五條尚屬相符。</w:t>
      </w:r>
      <w:r w:rsidR="006B7B19">
        <w:rPr>
          <w:rFonts w:hint="eastAsia"/>
          <w:kern w:val="0"/>
          <w:sz w:val="22"/>
          <w:szCs w:val="22"/>
        </w:rPr>
        <w:t>……</w:t>
      </w:r>
      <w:r w:rsidRPr="00DB55A4">
        <w:rPr>
          <w:rFonts w:hAnsi="標楷體"/>
          <w:kern w:val="0"/>
          <w:sz w:val="22"/>
          <w:szCs w:val="22"/>
        </w:rPr>
        <w:t>」參照。</w:t>
      </w:r>
    </w:p>
  </w:footnote>
  <w:footnote w:id="32">
    <w:p w:rsidR="002031E1" w:rsidRPr="00F92094" w:rsidRDefault="002031E1" w:rsidP="00B9637C">
      <w:pPr>
        <w:pStyle w:val="a9"/>
        <w:kinsoku w:val="0"/>
        <w:overflowPunct w:val="0"/>
        <w:adjustRightInd w:val="0"/>
        <w:spacing w:afterLines="20" w:after="48" w:line="391" w:lineRule="exact"/>
        <w:ind w:left="182" w:hanging="182"/>
        <w:jc w:val="both"/>
        <w:rPr>
          <w:rFonts w:eastAsia="標楷體"/>
          <w:kern w:val="0"/>
          <w:sz w:val="22"/>
          <w:szCs w:val="22"/>
        </w:rPr>
      </w:pPr>
      <w:r w:rsidRPr="00F92094">
        <w:rPr>
          <w:rStyle w:val="ab"/>
          <w:rFonts w:eastAsia="標楷體"/>
          <w:kern w:val="0"/>
          <w:sz w:val="22"/>
          <w:szCs w:val="22"/>
        </w:rPr>
        <w:footnoteRef/>
      </w:r>
      <w:r w:rsidRPr="00F92094">
        <w:rPr>
          <w:rFonts w:eastAsia="標楷體"/>
          <w:kern w:val="0"/>
          <w:sz w:val="22"/>
          <w:szCs w:val="22"/>
        </w:rPr>
        <w:t xml:space="preserve"> </w:t>
      </w:r>
      <w:r w:rsidRPr="00F92094">
        <w:rPr>
          <w:rFonts w:eastAsia="標楷體" w:hAnsi="標楷體"/>
          <w:kern w:val="0"/>
          <w:sz w:val="22"/>
          <w:szCs w:val="22"/>
        </w:rPr>
        <w:t>類似規定，如道路交通安全處理條例第八十二條第一項第八款及第二項規定，對於未經許可在道路設置廣告牌，經勸導行為人不即時清除或行為人不在場，該設置廣告牌行為，如構成交通安全之妨礙，該妨礙物視同廢棄物，依廢棄物法令清除之。</w:t>
      </w:r>
    </w:p>
  </w:footnote>
  <w:footnote w:id="33">
    <w:p w:rsidR="002031E1" w:rsidRPr="00861AA1" w:rsidRDefault="002031E1" w:rsidP="00A24684">
      <w:pPr>
        <w:kinsoku w:val="0"/>
        <w:overflowPunct w:val="0"/>
        <w:adjustRightInd w:val="0"/>
        <w:snapToGrid w:val="0"/>
        <w:spacing w:line="391" w:lineRule="exact"/>
        <w:ind w:left="182" w:hanging="182"/>
        <w:jc w:val="both"/>
        <w:rPr>
          <w:kern w:val="0"/>
          <w:sz w:val="22"/>
          <w:szCs w:val="22"/>
        </w:rPr>
      </w:pPr>
      <w:r w:rsidRPr="00861AA1">
        <w:rPr>
          <w:rStyle w:val="ab"/>
          <w:kern w:val="0"/>
          <w:sz w:val="22"/>
          <w:szCs w:val="22"/>
        </w:rPr>
        <w:footnoteRef/>
      </w:r>
      <w:r w:rsidRPr="00861AA1">
        <w:rPr>
          <w:kern w:val="0"/>
          <w:sz w:val="22"/>
          <w:szCs w:val="22"/>
        </w:rPr>
        <w:t xml:space="preserve"> </w:t>
      </w:r>
      <w:r w:rsidRPr="00861AA1">
        <w:rPr>
          <w:rFonts w:hAnsi="標楷體"/>
          <w:kern w:val="0"/>
          <w:sz w:val="22"/>
          <w:szCs w:val="22"/>
        </w:rPr>
        <w:t>如參考公共論壇原則，於使用政府所有財產（例如公園及人行道）時，政府於憲法上負有提供言論使用之義務。政府如欲為言論之限制，須符合一定要件。即如除非內容限制符合嚴格審查（</w:t>
      </w:r>
      <w:r w:rsidRPr="00861AA1">
        <w:rPr>
          <w:kern w:val="0"/>
          <w:sz w:val="22"/>
          <w:szCs w:val="22"/>
        </w:rPr>
        <w:t>strict scrutiny</w:t>
      </w:r>
      <w:r w:rsidRPr="00861AA1">
        <w:rPr>
          <w:rFonts w:hAnsi="標楷體"/>
          <w:kern w:val="0"/>
          <w:sz w:val="22"/>
          <w:szCs w:val="22"/>
        </w:rPr>
        <w:t>），否則所規制之內容中立（</w:t>
      </w:r>
      <w:r w:rsidRPr="00861AA1">
        <w:rPr>
          <w:kern w:val="0"/>
          <w:sz w:val="22"/>
          <w:szCs w:val="22"/>
        </w:rPr>
        <w:t>content-neutral</w:t>
      </w:r>
      <w:r w:rsidRPr="00861AA1">
        <w:rPr>
          <w:rFonts w:hAnsi="標楷體"/>
          <w:kern w:val="0"/>
          <w:sz w:val="22"/>
          <w:szCs w:val="22"/>
        </w:rPr>
        <w:t>）。另須為重要政府利益而為合理之時間、地點或方式限制。有關公共論壇使用之核准或許可制度，除非係為重要之目的，始賦予核准機關依明確標準審核，否則幾乎不給予自由決定，並提供程序保障（如核准申請之快速決定及核准拒絕之司法審查）等。參照</w:t>
      </w:r>
      <w:r w:rsidRPr="00861AA1">
        <w:rPr>
          <w:kern w:val="0"/>
          <w:sz w:val="22"/>
          <w:szCs w:val="22"/>
        </w:rPr>
        <w:t>Erwin Chemerinsky, Constitutional Law: principles and policies, p.1167</w:t>
      </w:r>
      <w:r w:rsidRPr="00861AA1">
        <w:rPr>
          <w:rFonts w:hAnsi="標楷體"/>
          <w:kern w:val="0"/>
          <w:sz w:val="22"/>
          <w:szCs w:val="22"/>
        </w:rPr>
        <w:t>（</w:t>
      </w:r>
      <w:r w:rsidRPr="00861AA1">
        <w:rPr>
          <w:kern w:val="0"/>
          <w:sz w:val="22"/>
          <w:szCs w:val="22"/>
        </w:rPr>
        <w:t>4</w:t>
      </w:r>
      <w:r w:rsidRPr="00861AA1">
        <w:rPr>
          <w:kern w:val="0"/>
          <w:sz w:val="22"/>
          <w:szCs w:val="22"/>
          <w:vertAlign w:val="superscript"/>
        </w:rPr>
        <w:t>th</w:t>
      </w:r>
      <w:r w:rsidRPr="00861AA1">
        <w:rPr>
          <w:kern w:val="0"/>
          <w:sz w:val="22"/>
          <w:szCs w:val="22"/>
        </w:rPr>
        <w:t xml:space="preserve"> ed. 2011</w:t>
      </w:r>
      <w:r w:rsidRPr="00861AA1">
        <w:rPr>
          <w:rFonts w:hAnsi="標楷體"/>
          <w:kern w:val="0"/>
          <w:sz w:val="22"/>
          <w:szCs w:val="22"/>
        </w:rPr>
        <w:t>）</w:t>
      </w:r>
      <w:r w:rsidRPr="00861AA1">
        <w:rPr>
          <w:kern w:val="0"/>
          <w:sz w:val="22"/>
          <w:szCs w:val="22"/>
        </w:rPr>
        <w:t>.</w:t>
      </w:r>
    </w:p>
  </w:footnote>
  <w:footnote w:id="34">
    <w:p w:rsidR="002031E1" w:rsidRPr="00861AA1" w:rsidRDefault="002031E1" w:rsidP="00DB2AFF">
      <w:pPr>
        <w:kinsoku w:val="0"/>
        <w:overflowPunct w:val="0"/>
        <w:adjustRightInd w:val="0"/>
        <w:snapToGrid w:val="0"/>
        <w:spacing w:line="391" w:lineRule="exact"/>
        <w:ind w:left="227" w:hanging="227"/>
        <w:jc w:val="both"/>
        <w:rPr>
          <w:kern w:val="0"/>
          <w:sz w:val="22"/>
          <w:szCs w:val="22"/>
        </w:rPr>
      </w:pPr>
      <w:r w:rsidRPr="00861AA1">
        <w:rPr>
          <w:rStyle w:val="ab"/>
          <w:kern w:val="0"/>
          <w:sz w:val="22"/>
          <w:szCs w:val="22"/>
        </w:rPr>
        <w:footnoteRef/>
      </w:r>
      <w:r w:rsidRPr="00861AA1">
        <w:rPr>
          <w:kern w:val="0"/>
          <w:sz w:val="22"/>
          <w:szCs w:val="22"/>
        </w:rPr>
        <w:t xml:space="preserve"> </w:t>
      </w:r>
      <w:r w:rsidRPr="00861AA1">
        <w:rPr>
          <w:rFonts w:hAnsi="標楷體"/>
          <w:kern w:val="0"/>
          <w:sz w:val="22"/>
          <w:szCs w:val="22"/>
        </w:rPr>
        <w:t>參照</w:t>
      </w:r>
      <w:r w:rsidRPr="00861AA1">
        <w:rPr>
          <w:kern w:val="0"/>
          <w:sz w:val="22"/>
          <w:szCs w:val="22"/>
        </w:rPr>
        <w:t>Epping/Hillgruber</w:t>
      </w:r>
      <w:r w:rsidRPr="00861AA1">
        <w:rPr>
          <w:rFonts w:hAnsi="標楷體"/>
          <w:kern w:val="0"/>
          <w:sz w:val="22"/>
          <w:szCs w:val="22"/>
        </w:rPr>
        <w:t>（</w:t>
      </w:r>
      <w:r w:rsidRPr="00861AA1">
        <w:rPr>
          <w:kern w:val="0"/>
          <w:sz w:val="22"/>
          <w:szCs w:val="22"/>
        </w:rPr>
        <w:t>Hrsg</w:t>
      </w:r>
      <w:r w:rsidRPr="00861AA1">
        <w:rPr>
          <w:rFonts w:hAnsi="標楷體"/>
          <w:kern w:val="0"/>
          <w:sz w:val="22"/>
          <w:szCs w:val="22"/>
        </w:rPr>
        <w:t>）</w:t>
      </w:r>
      <w:r w:rsidRPr="00861AA1">
        <w:rPr>
          <w:kern w:val="0"/>
          <w:sz w:val="22"/>
          <w:szCs w:val="22"/>
        </w:rPr>
        <w:t>, BeckOK GG/Schemmer GG Art.5 Rn.20-21</w:t>
      </w:r>
      <w:r w:rsidRPr="00861AA1">
        <w:rPr>
          <w:rFonts w:hAnsi="標楷體"/>
          <w:kern w:val="0"/>
          <w:sz w:val="22"/>
          <w:szCs w:val="22"/>
        </w:rPr>
        <w:t>（</w:t>
      </w:r>
      <w:r w:rsidRPr="00861AA1">
        <w:rPr>
          <w:kern w:val="0"/>
          <w:sz w:val="22"/>
          <w:szCs w:val="22"/>
        </w:rPr>
        <w:t>01.09.2015</w:t>
      </w:r>
      <w:r w:rsidRPr="00861AA1">
        <w:rPr>
          <w:rFonts w:hAnsi="標楷體"/>
          <w:kern w:val="0"/>
          <w:sz w:val="22"/>
          <w:szCs w:val="22"/>
        </w:rPr>
        <w:t>）</w:t>
      </w:r>
      <w:r w:rsidRPr="00861AA1">
        <w:rPr>
          <w:kern w:val="0"/>
          <w:sz w:val="22"/>
          <w:szCs w:val="22"/>
        </w:rPr>
        <w:t>.</w:t>
      </w:r>
    </w:p>
  </w:footnote>
  <w:footnote w:id="35">
    <w:p w:rsidR="002031E1" w:rsidRPr="00B339AD" w:rsidRDefault="002031E1" w:rsidP="00A24684">
      <w:pPr>
        <w:kinsoku w:val="0"/>
        <w:overflowPunct w:val="0"/>
        <w:adjustRightInd w:val="0"/>
        <w:snapToGrid w:val="0"/>
        <w:spacing w:line="391" w:lineRule="exact"/>
        <w:ind w:left="182" w:hanging="182"/>
        <w:jc w:val="both"/>
        <w:rPr>
          <w:kern w:val="0"/>
        </w:rPr>
      </w:pPr>
      <w:r w:rsidRPr="00861AA1">
        <w:rPr>
          <w:rStyle w:val="ab"/>
          <w:kern w:val="0"/>
          <w:sz w:val="22"/>
          <w:szCs w:val="22"/>
        </w:rPr>
        <w:footnoteRef/>
      </w:r>
      <w:r w:rsidRPr="00861AA1">
        <w:rPr>
          <w:kern w:val="0"/>
          <w:sz w:val="22"/>
          <w:szCs w:val="22"/>
        </w:rPr>
        <w:t xml:space="preserve"> </w:t>
      </w:r>
      <w:r w:rsidRPr="00861AA1">
        <w:rPr>
          <w:rFonts w:hAnsi="標楷體"/>
          <w:kern w:val="0"/>
          <w:sz w:val="22"/>
          <w:szCs w:val="22"/>
        </w:rPr>
        <w:t>有認為意見</w:t>
      </w:r>
      <w:r w:rsidRPr="00861AA1">
        <w:rPr>
          <w:rFonts w:hAnsi="標楷體"/>
          <w:color w:val="000000"/>
          <w:kern w:val="0"/>
          <w:sz w:val="22"/>
          <w:szCs w:val="22"/>
          <w:lang w:val="fr-FR"/>
        </w:rPr>
        <w:t>納入</w:t>
      </w:r>
      <w:r w:rsidRPr="00861AA1">
        <w:rPr>
          <w:rFonts w:hAnsi="標楷體"/>
          <w:kern w:val="0"/>
          <w:sz w:val="22"/>
          <w:szCs w:val="22"/>
        </w:rPr>
        <w:t>意見自由保障範圍，非繫於品質上價值標準之實現。國家不應區分界定意見之有價值與無價值，亦不問價值判斷在感性上正確或錯誤，或理性上有無理由。傳播自由包括意見自由、資訊自由及媒體自由等。在確定傳播自由之保障範圍時，係以表達及散布之意見為標的，如政治、文化、世界觀或經濟關係，而是否為其理想上所欲追尋之目標或獲利意圖，並非重要。如於確定意見自由保障範圍時，捨棄品質上預先規定，原則上商業廣告受保護。廣告包含意見且對接收者信念形成有所影響。對其保護，於往昔憲法上不爭論。美國最高法院自</w:t>
      </w:r>
      <w:r w:rsidRPr="00861AA1">
        <w:rPr>
          <w:kern w:val="0"/>
          <w:sz w:val="22"/>
          <w:szCs w:val="22"/>
        </w:rPr>
        <w:t>1975</w:t>
      </w:r>
      <w:r w:rsidRPr="00861AA1">
        <w:rPr>
          <w:rFonts w:hAnsi="標楷體"/>
          <w:kern w:val="0"/>
          <w:sz w:val="22"/>
          <w:szCs w:val="22"/>
        </w:rPr>
        <w:t>年後之判決發展，及歐洲人權法院對於商業言論加以保護。之後德國法院陸續有裁判對於醫療廣告等亦予以保護。有認為如廣告具有可評價、意見形成之內容或包含說明者，經濟性廣告得主張意見自由基本權。另如出版物</w:t>
      </w:r>
      <w:r w:rsidRPr="00B339AD">
        <w:rPr>
          <w:rFonts w:hAnsi="標楷體"/>
          <w:kern w:val="0"/>
          <w:sz w:val="22"/>
          <w:szCs w:val="22"/>
        </w:rPr>
        <w:t>之廣告，則屬於德國基本法第五條第一項第二段規定之出版自由保障範圍。（參照</w:t>
      </w:r>
      <w:r w:rsidRPr="00B339AD">
        <w:rPr>
          <w:kern w:val="0"/>
          <w:sz w:val="22"/>
          <w:szCs w:val="22"/>
        </w:rPr>
        <w:t>Gloy/Loschelder/Erdmann, Wettbewerbsrecht, 4.Aufl., 2010,§69 Rn.19-22.</w:t>
      </w:r>
      <w:r w:rsidRPr="00B339AD">
        <w:rPr>
          <w:rFonts w:hAnsi="標楷體"/>
          <w:kern w:val="0"/>
          <w:sz w:val="22"/>
          <w:szCs w:val="22"/>
        </w:rPr>
        <w:t>）</w:t>
      </w:r>
    </w:p>
  </w:footnote>
  <w:footnote w:id="36">
    <w:p w:rsidR="002031E1" w:rsidRPr="00B339AD" w:rsidRDefault="002031E1" w:rsidP="00696482">
      <w:pPr>
        <w:kinsoku w:val="0"/>
        <w:overflowPunct w:val="0"/>
        <w:adjustRightInd w:val="0"/>
        <w:snapToGrid w:val="0"/>
        <w:spacing w:line="391" w:lineRule="exact"/>
        <w:ind w:left="227" w:hanging="227"/>
        <w:rPr>
          <w:kern w:val="0"/>
          <w:sz w:val="22"/>
          <w:szCs w:val="22"/>
        </w:rPr>
      </w:pPr>
      <w:r w:rsidRPr="00B339AD">
        <w:rPr>
          <w:rStyle w:val="ab"/>
          <w:kern w:val="0"/>
          <w:sz w:val="22"/>
          <w:szCs w:val="22"/>
        </w:rPr>
        <w:footnoteRef/>
      </w:r>
      <w:r w:rsidRPr="00B339AD">
        <w:rPr>
          <w:kern w:val="0"/>
          <w:sz w:val="22"/>
          <w:szCs w:val="22"/>
        </w:rPr>
        <w:t xml:space="preserve"> </w:t>
      </w:r>
      <w:r w:rsidRPr="00B339AD">
        <w:rPr>
          <w:rFonts w:hAnsi="標楷體"/>
          <w:kern w:val="0"/>
          <w:sz w:val="22"/>
          <w:szCs w:val="22"/>
        </w:rPr>
        <w:t>參照</w:t>
      </w:r>
      <w:r w:rsidRPr="00B339AD">
        <w:rPr>
          <w:color w:val="000000"/>
          <w:kern w:val="0"/>
          <w:sz w:val="22"/>
          <w:szCs w:val="22"/>
          <w:lang w:val="fr-FR"/>
        </w:rPr>
        <w:t>Horn</w:t>
      </w:r>
      <w:r w:rsidRPr="00B339AD">
        <w:rPr>
          <w:kern w:val="0"/>
          <w:sz w:val="22"/>
          <w:szCs w:val="22"/>
        </w:rPr>
        <w:t>, in: Stern/Becker</w:t>
      </w:r>
      <w:r w:rsidRPr="00B339AD">
        <w:rPr>
          <w:rFonts w:hAnsi="標楷體"/>
          <w:kern w:val="0"/>
          <w:sz w:val="22"/>
          <w:szCs w:val="22"/>
        </w:rPr>
        <w:t>（</w:t>
      </w:r>
      <w:r w:rsidRPr="00B339AD">
        <w:rPr>
          <w:kern w:val="0"/>
          <w:sz w:val="22"/>
          <w:szCs w:val="22"/>
        </w:rPr>
        <w:t>Hrsg.</w:t>
      </w:r>
      <w:r w:rsidRPr="00B339AD">
        <w:rPr>
          <w:rFonts w:hAnsi="標楷體"/>
          <w:kern w:val="0"/>
          <w:sz w:val="22"/>
          <w:szCs w:val="22"/>
        </w:rPr>
        <w:t>）</w:t>
      </w:r>
      <w:r w:rsidRPr="00B339AD">
        <w:rPr>
          <w:kern w:val="0"/>
          <w:sz w:val="22"/>
          <w:szCs w:val="22"/>
        </w:rPr>
        <w:t>, Grundrechts-Kommentar, Koeln:Carl Heymanns Verlag, 2010, Art. 2 Rn.6, 20.</w:t>
      </w:r>
    </w:p>
  </w:footnote>
  <w:footnote w:id="37">
    <w:p w:rsidR="002031E1" w:rsidRPr="0008235A" w:rsidRDefault="002031E1" w:rsidP="00696482">
      <w:pPr>
        <w:kinsoku w:val="0"/>
        <w:overflowPunct w:val="0"/>
        <w:adjustRightInd w:val="0"/>
        <w:snapToGrid w:val="0"/>
        <w:spacing w:line="391" w:lineRule="exact"/>
        <w:ind w:left="227" w:hanging="227"/>
        <w:rPr>
          <w:kern w:val="0"/>
          <w:sz w:val="22"/>
          <w:szCs w:val="22"/>
        </w:rPr>
      </w:pPr>
      <w:r w:rsidRPr="0008235A">
        <w:rPr>
          <w:rStyle w:val="ab"/>
          <w:kern w:val="0"/>
          <w:sz w:val="22"/>
          <w:szCs w:val="22"/>
        </w:rPr>
        <w:footnoteRef/>
      </w:r>
      <w:r w:rsidRPr="0008235A">
        <w:rPr>
          <w:kern w:val="0"/>
          <w:sz w:val="22"/>
          <w:szCs w:val="22"/>
        </w:rPr>
        <w:t xml:space="preserve"> </w:t>
      </w:r>
      <w:r w:rsidRPr="0008235A">
        <w:rPr>
          <w:rFonts w:hAnsi="標楷體"/>
          <w:kern w:val="0"/>
          <w:sz w:val="22"/>
          <w:szCs w:val="22"/>
        </w:rPr>
        <w:t>此於</w:t>
      </w:r>
      <w:r w:rsidRPr="0008235A">
        <w:rPr>
          <w:rFonts w:hAnsi="標楷體"/>
          <w:color w:val="000000"/>
          <w:kern w:val="0"/>
          <w:sz w:val="22"/>
          <w:szCs w:val="22"/>
          <w:lang w:val="fr-FR"/>
        </w:rPr>
        <w:t>一般行為</w:t>
      </w:r>
      <w:r w:rsidRPr="0008235A">
        <w:rPr>
          <w:rFonts w:hAnsi="標楷體"/>
          <w:kern w:val="0"/>
          <w:sz w:val="22"/>
          <w:szCs w:val="22"/>
        </w:rPr>
        <w:t>自由作為德國基本法第二條第一項之原則上補充性規定，即所謂具有適用上補充性之攔截性基本權（</w:t>
      </w:r>
      <w:r w:rsidRPr="0008235A">
        <w:rPr>
          <w:kern w:val="0"/>
          <w:sz w:val="22"/>
          <w:szCs w:val="22"/>
        </w:rPr>
        <w:t>sog. Auffanggrundrecht mit Anwendungssubsidiarität</w:t>
      </w:r>
      <w:r w:rsidRPr="0008235A">
        <w:rPr>
          <w:rFonts w:hAnsi="標楷體"/>
          <w:kern w:val="0"/>
          <w:sz w:val="22"/>
          <w:szCs w:val="22"/>
        </w:rPr>
        <w:t>）</w:t>
      </w:r>
      <w:r w:rsidRPr="0008235A">
        <w:rPr>
          <w:rFonts w:hAnsi="標楷體"/>
          <w:kern w:val="0"/>
          <w:sz w:val="22"/>
          <w:szCs w:val="22"/>
          <w:lang w:val="de-DE"/>
        </w:rPr>
        <w:t>。參照</w:t>
      </w:r>
      <w:r w:rsidRPr="0008235A">
        <w:rPr>
          <w:kern w:val="0"/>
          <w:sz w:val="22"/>
          <w:szCs w:val="22"/>
        </w:rPr>
        <w:t>Mauz/Dürig, GG – beck-online, 74. EL Mai 2015, Art.2 Rn.21ff..</w:t>
      </w:r>
    </w:p>
  </w:footnote>
  <w:footnote w:id="38">
    <w:p w:rsidR="002031E1" w:rsidRPr="0008235A" w:rsidRDefault="002031E1" w:rsidP="00B22CB5">
      <w:pPr>
        <w:kinsoku w:val="0"/>
        <w:overflowPunct w:val="0"/>
        <w:adjustRightInd w:val="0"/>
        <w:snapToGrid w:val="0"/>
        <w:spacing w:line="391" w:lineRule="exact"/>
        <w:ind w:left="182" w:hanging="182"/>
        <w:jc w:val="both"/>
        <w:rPr>
          <w:kern w:val="0"/>
          <w:sz w:val="22"/>
          <w:szCs w:val="22"/>
        </w:rPr>
      </w:pPr>
      <w:r w:rsidRPr="0008235A">
        <w:rPr>
          <w:rStyle w:val="ab"/>
          <w:kern w:val="0"/>
          <w:sz w:val="22"/>
          <w:szCs w:val="22"/>
        </w:rPr>
        <w:footnoteRef/>
      </w:r>
      <w:r w:rsidRPr="0008235A">
        <w:rPr>
          <w:kern w:val="0"/>
          <w:sz w:val="22"/>
          <w:szCs w:val="22"/>
        </w:rPr>
        <w:t xml:space="preserve"> </w:t>
      </w:r>
      <w:r w:rsidRPr="0008235A">
        <w:rPr>
          <w:rFonts w:hAnsi="標楷體"/>
          <w:kern w:val="0"/>
          <w:sz w:val="22"/>
          <w:szCs w:val="22"/>
        </w:rPr>
        <w:t>基本權利與其他憲法保護之法益間，於問題解決時相互歸屬，而獲取其實在性，創設基本權界線，此係德國所謂務實諧和原則（</w:t>
      </w:r>
      <w:r w:rsidRPr="0008235A">
        <w:rPr>
          <w:kern w:val="0"/>
          <w:sz w:val="22"/>
          <w:szCs w:val="22"/>
        </w:rPr>
        <w:t>Prinzip praktischer Konkordanz</w:t>
      </w:r>
      <w:r w:rsidRPr="0008235A">
        <w:rPr>
          <w:rFonts w:hAnsi="標楷體"/>
          <w:kern w:val="0"/>
          <w:sz w:val="22"/>
          <w:szCs w:val="22"/>
        </w:rPr>
        <w:t>），並為基本權與基本權界限之法益</w:t>
      </w:r>
      <w:r w:rsidRPr="0008235A">
        <w:rPr>
          <w:rFonts w:ascii="Cambria" w:hAnsi="標楷體" w:cs="Arial" w:hint="eastAsia"/>
          <w:kern w:val="0"/>
          <w:sz w:val="22"/>
          <w:szCs w:val="22"/>
        </w:rPr>
        <w:t>間</w:t>
      </w:r>
      <w:r w:rsidRPr="0008235A">
        <w:rPr>
          <w:rFonts w:hAnsi="標楷體"/>
          <w:kern w:val="0"/>
          <w:sz w:val="22"/>
          <w:szCs w:val="22"/>
        </w:rPr>
        <w:t>合乎比例所</w:t>
      </w:r>
      <w:r w:rsidRPr="0008235A">
        <w:rPr>
          <w:rFonts w:hAnsi="標楷體"/>
          <w:color w:val="000000"/>
          <w:kern w:val="0"/>
          <w:sz w:val="22"/>
          <w:szCs w:val="22"/>
          <w:lang w:val="fr-FR"/>
        </w:rPr>
        <w:t>必要</w:t>
      </w:r>
      <w:r w:rsidRPr="0008235A">
        <w:rPr>
          <w:rFonts w:hAnsi="標楷體"/>
          <w:kern w:val="0"/>
          <w:sz w:val="22"/>
          <w:szCs w:val="22"/>
        </w:rPr>
        <w:t>之歸屬。參照</w:t>
      </w:r>
      <w:r w:rsidRPr="0008235A">
        <w:rPr>
          <w:kern w:val="0"/>
          <w:sz w:val="22"/>
          <w:szCs w:val="22"/>
        </w:rPr>
        <w:t xml:space="preserve"> Konrad Hesse, Grundz</w:t>
      </w:r>
      <w:r w:rsidRPr="0008235A">
        <w:rPr>
          <w:kern w:val="0"/>
          <w:sz w:val="22"/>
          <w:szCs w:val="22"/>
          <w:lang w:val="de-DE"/>
        </w:rPr>
        <w:t>ü</w:t>
      </w:r>
      <w:r w:rsidRPr="0008235A">
        <w:rPr>
          <w:kern w:val="0"/>
          <w:sz w:val="22"/>
          <w:szCs w:val="22"/>
        </w:rPr>
        <w:t xml:space="preserve">ge des Verfassungsrechts der Bundesrepublik Deutschland, Heidelberg : C. F. Müller, Neudruck der 20.Aufl., Rn.72, 317. </w:t>
      </w:r>
      <w:r w:rsidRPr="0008235A">
        <w:rPr>
          <w:rFonts w:hAnsi="標楷體"/>
          <w:kern w:val="0"/>
          <w:sz w:val="22"/>
          <w:szCs w:val="22"/>
        </w:rPr>
        <w:t>有關基本權與基本義務之間的調和，釋字第</w:t>
      </w:r>
      <w:r w:rsidRPr="0008235A">
        <w:rPr>
          <w:kern w:val="0"/>
          <w:sz w:val="22"/>
          <w:szCs w:val="22"/>
        </w:rPr>
        <w:t>688</w:t>
      </w:r>
      <w:r w:rsidRPr="0008235A">
        <w:rPr>
          <w:rFonts w:hAnsi="標楷體"/>
          <w:kern w:val="0"/>
          <w:sz w:val="22"/>
          <w:szCs w:val="22"/>
        </w:rPr>
        <w:t>號解釋之蘇永欽大法官協同意見書，曾提及如何使其得到最務實的和諧（</w:t>
      </w:r>
      <w:r w:rsidRPr="0008235A">
        <w:rPr>
          <w:spacing w:val="-2"/>
          <w:kern w:val="0"/>
          <w:sz w:val="22"/>
          <w:szCs w:val="22"/>
        </w:rPr>
        <w:t>praktische Konkordanz</w:t>
      </w:r>
      <w:r w:rsidRPr="0008235A">
        <w:rPr>
          <w:rFonts w:hAnsi="標楷體"/>
          <w:spacing w:val="-2"/>
          <w:kern w:val="0"/>
          <w:sz w:val="22"/>
          <w:szCs w:val="22"/>
        </w:rPr>
        <w:t>）。另參照法治斌、董保城，憲法新論，</w:t>
      </w:r>
      <w:r w:rsidR="008B0FAB">
        <w:rPr>
          <w:rFonts w:hAnsi="標楷體" w:hint="eastAsia"/>
          <w:spacing w:val="-2"/>
          <w:kern w:val="0"/>
          <w:sz w:val="22"/>
          <w:szCs w:val="22"/>
        </w:rPr>
        <w:t>台</w:t>
      </w:r>
      <w:r w:rsidRPr="0008235A">
        <w:rPr>
          <w:rFonts w:hAnsi="標楷體"/>
          <w:spacing w:val="-2"/>
          <w:kern w:val="0"/>
          <w:sz w:val="22"/>
          <w:szCs w:val="22"/>
        </w:rPr>
        <w:t>北市</w:t>
      </w:r>
      <w:r w:rsidRPr="0008235A">
        <w:rPr>
          <w:spacing w:val="-2"/>
          <w:kern w:val="0"/>
          <w:sz w:val="22"/>
          <w:szCs w:val="22"/>
        </w:rPr>
        <w:t>:</w:t>
      </w:r>
      <w:r w:rsidRPr="0008235A">
        <w:rPr>
          <w:rFonts w:hAnsi="標楷體"/>
          <w:spacing w:val="-2"/>
          <w:kern w:val="0"/>
          <w:sz w:val="22"/>
          <w:szCs w:val="22"/>
        </w:rPr>
        <w:t>元照，</w:t>
      </w:r>
      <w:r w:rsidRPr="0008235A">
        <w:rPr>
          <w:spacing w:val="-2"/>
          <w:kern w:val="0"/>
          <w:sz w:val="22"/>
          <w:szCs w:val="22"/>
        </w:rPr>
        <w:t>2010</w:t>
      </w:r>
      <w:r w:rsidRPr="0008235A">
        <w:rPr>
          <w:rFonts w:hAnsi="標楷體"/>
          <w:spacing w:val="-2"/>
          <w:kern w:val="0"/>
          <w:sz w:val="22"/>
          <w:szCs w:val="22"/>
        </w:rPr>
        <w:t>年，頁</w:t>
      </w:r>
      <w:r w:rsidRPr="0008235A">
        <w:rPr>
          <w:spacing w:val="-2"/>
          <w:kern w:val="0"/>
          <w:sz w:val="22"/>
          <w:szCs w:val="22"/>
        </w:rPr>
        <w:t>207-208</w:t>
      </w:r>
      <w:r w:rsidRPr="0008235A">
        <w:rPr>
          <w:rFonts w:hAnsi="標楷體"/>
          <w:spacing w:val="-2"/>
          <w:kern w:val="0"/>
          <w:sz w:val="22"/>
          <w:szCs w:val="22"/>
        </w:rPr>
        <w:t>。</w:t>
      </w:r>
    </w:p>
  </w:footnote>
  <w:footnote w:id="39">
    <w:p w:rsidR="002031E1" w:rsidRPr="0008235A" w:rsidRDefault="002031E1" w:rsidP="00B22CB5">
      <w:pPr>
        <w:kinsoku w:val="0"/>
        <w:overflowPunct w:val="0"/>
        <w:adjustRightInd w:val="0"/>
        <w:snapToGrid w:val="0"/>
        <w:spacing w:line="391" w:lineRule="exact"/>
        <w:ind w:left="182" w:hanging="182"/>
        <w:jc w:val="both"/>
        <w:rPr>
          <w:kern w:val="0"/>
          <w:sz w:val="22"/>
          <w:szCs w:val="22"/>
        </w:rPr>
      </w:pPr>
      <w:r w:rsidRPr="0008235A">
        <w:rPr>
          <w:rStyle w:val="ab"/>
          <w:kern w:val="0"/>
          <w:sz w:val="22"/>
          <w:szCs w:val="22"/>
        </w:rPr>
        <w:footnoteRef/>
      </w:r>
      <w:r w:rsidRPr="0008235A">
        <w:rPr>
          <w:kern w:val="0"/>
          <w:sz w:val="22"/>
          <w:szCs w:val="22"/>
        </w:rPr>
        <w:t xml:space="preserve"> </w:t>
      </w:r>
      <w:r w:rsidRPr="0008235A">
        <w:rPr>
          <w:rFonts w:hAnsi="標楷體"/>
          <w:kern w:val="0"/>
          <w:sz w:val="22"/>
          <w:szCs w:val="22"/>
        </w:rPr>
        <w:t>奧地利憲法第一百三十九條第五項針對命令違憲，但如法定準備所必要者，得定六個月至十八個月，及第一百四十條第五項針對法律違憲，得定不得超過十八個月，使之失其效力。參照</w:t>
      </w:r>
      <w:r w:rsidRPr="0008235A">
        <w:rPr>
          <w:kern w:val="0"/>
          <w:sz w:val="22"/>
          <w:szCs w:val="22"/>
        </w:rPr>
        <w:t xml:space="preserve">Mayer/Muzak, Bundes-Verfassungsrecht, 5.Aufl., Wien:Manz, 2015, B Art. 139 IV.4.. </w:t>
      </w:r>
    </w:p>
  </w:footnote>
  <w:footnote w:id="40">
    <w:p w:rsidR="002031E1" w:rsidRPr="002A6357" w:rsidRDefault="002031E1" w:rsidP="00B22CB5">
      <w:pPr>
        <w:kinsoku w:val="0"/>
        <w:overflowPunct w:val="0"/>
        <w:adjustRightInd w:val="0"/>
        <w:snapToGrid w:val="0"/>
        <w:spacing w:line="391" w:lineRule="exact"/>
        <w:ind w:left="182" w:hanging="182"/>
        <w:jc w:val="both"/>
        <w:rPr>
          <w:kern w:val="0"/>
          <w:sz w:val="22"/>
          <w:szCs w:val="22"/>
        </w:rPr>
      </w:pPr>
      <w:r w:rsidRPr="002A6357">
        <w:rPr>
          <w:rStyle w:val="ab"/>
          <w:kern w:val="0"/>
          <w:sz w:val="22"/>
          <w:szCs w:val="22"/>
        </w:rPr>
        <w:footnoteRef/>
      </w:r>
      <w:r w:rsidRPr="002A6357">
        <w:rPr>
          <w:kern w:val="0"/>
          <w:sz w:val="22"/>
          <w:szCs w:val="22"/>
        </w:rPr>
        <w:t xml:space="preserve"> </w:t>
      </w:r>
      <w:r w:rsidRPr="002A6357">
        <w:rPr>
          <w:rFonts w:hAnsi="標楷體"/>
          <w:kern w:val="0"/>
          <w:sz w:val="22"/>
          <w:szCs w:val="22"/>
        </w:rPr>
        <w:t>另參照</w:t>
      </w:r>
      <w:r w:rsidRPr="002A6357">
        <w:rPr>
          <w:rFonts w:hAnsi="標楷體"/>
          <w:color w:val="000000"/>
          <w:kern w:val="0"/>
          <w:sz w:val="22"/>
          <w:szCs w:val="22"/>
          <w:lang w:val="fr-FR"/>
        </w:rPr>
        <w:t>李震山</w:t>
      </w:r>
      <w:r w:rsidRPr="002A6357">
        <w:rPr>
          <w:rFonts w:hAnsi="標楷體"/>
          <w:kern w:val="0"/>
          <w:sz w:val="22"/>
          <w:szCs w:val="22"/>
        </w:rPr>
        <w:t>大法官釋字第七二五號解釋部分協同意見書及該意見書註</w:t>
      </w:r>
      <w:r w:rsidRPr="002A6357">
        <w:rPr>
          <w:kern w:val="0"/>
          <w:sz w:val="22"/>
          <w:szCs w:val="22"/>
        </w:rPr>
        <w:t>2</w:t>
      </w:r>
      <w:r w:rsidRPr="002A6357">
        <w:rPr>
          <w:rFonts w:hAnsi="標楷體"/>
          <w:kern w:val="0"/>
          <w:sz w:val="22"/>
          <w:szCs w:val="22"/>
        </w:rPr>
        <w:t>，引用吳信華教授對於德國法上無效宣告及與憲法不一致宣告之論述。李大法官並認為未來若欲宣告「定期失效」，須同時就避免「造成</w:t>
      </w:r>
      <w:r w:rsidRPr="002A6357">
        <w:rPr>
          <w:rFonts w:hAnsi="標楷體"/>
          <w:color w:val="000000"/>
          <w:kern w:val="0"/>
          <w:sz w:val="22"/>
          <w:szCs w:val="22"/>
          <w:lang w:val="fr-FR"/>
        </w:rPr>
        <w:t>法規</w:t>
      </w:r>
      <w:r w:rsidRPr="002A6357">
        <w:rPr>
          <w:rFonts w:hAnsi="標楷體"/>
          <w:kern w:val="0"/>
          <w:sz w:val="22"/>
          <w:szCs w:val="22"/>
        </w:rPr>
        <w:t>真空狀態」、「法秩序驟然發生重大之衝擊」兩要件盡舉證與闡明義務，否則，即應儘可能採宣告「立即失效」之方法，回歸憲法第一百七十一條第一項及第一百七十二條規定之精神。</w:t>
      </w:r>
    </w:p>
  </w:footnote>
  <w:footnote w:id="41">
    <w:p w:rsidR="002031E1" w:rsidRPr="002A6357" w:rsidRDefault="002031E1" w:rsidP="003774A9">
      <w:pPr>
        <w:kinsoku w:val="0"/>
        <w:overflowPunct w:val="0"/>
        <w:adjustRightInd w:val="0"/>
        <w:snapToGrid w:val="0"/>
        <w:spacing w:line="391" w:lineRule="exact"/>
        <w:ind w:left="227" w:hanging="227"/>
        <w:jc w:val="both"/>
        <w:rPr>
          <w:kern w:val="0"/>
          <w:sz w:val="22"/>
          <w:szCs w:val="22"/>
        </w:rPr>
      </w:pPr>
      <w:r w:rsidRPr="002A6357">
        <w:rPr>
          <w:rStyle w:val="ab"/>
          <w:kern w:val="0"/>
          <w:sz w:val="22"/>
          <w:szCs w:val="22"/>
        </w:rPr>
        <w:footnoteRef/>
      </w:r>
      <w:r w:rsidRPr="002A6357">
        <w:rPr>
          <w:rFonts w:hAnsi="標楷體" w:hint="eastAsia"/>
          <w:kern w:val="0"/>
          <w:sz w:val="22"/>
          <w:szCs w:val="22"/>
        </w:rPr>
        <w:t xml:space="preserve"> </w:t>
      </w:r>
      <w:r w:rsidRPr="002A6357">
        <w:rPr>
          <w:rFonts w:hAnsi="標楷體"/>
          <w:kern w:val="0"/>
          <w:sz w:val="22"/>
          <w:szCs w:val="22"/>
        </w:rPr>
        <w:t>參照吳庚、</w:t>
      </w:r>
      <w:r w:rsidRPr="002A6357">
        <w:rPr>
          <w:rFonts w:hAnsi="標楷體"/>
          <w:color w:val="000000"/>
          <w:kern w:val="0"/>
          <w:sz w:val="22"/>
          <w:szCs w:val="22"/>
          <w:lang w:val="fr-FR"/>
        </w:rPr>
        <w:t>陳淳文</w:t>
      </w:r>
      <w:r w:rsidRPr="002A6357">
        <w:rPr>
          <w:rFonts w:hAnsi="標楷體"/>
          <w:kern w:val="0"/>
          <w:sz w:val="22"/>
          <w:szCs w:val="22"/>
        </w:rPr>
        <w:t>，憲法理論與政府體制，</w:t>
      </w:r>
      <w:r w:rsidR="008B0FAB">
        <w:rPr>
          <w:rFonts w:hAnsi="標楷體" w:hint="eastAsia"/>
          <w:kern w:val="0"/>
          <w:sz w:val="22"/>
          <w:szCs w:val="22"/>
        </w:rPr>
        <w:t>台</w:t>
      </w:r>
      <w:r w:rsidRPr="002A6357">
        <w:rPr>
          <w:rFonts w:hAnsi="標楷體"/>
          <w:kern w:val="0"/>
          <w:sz w:val="22"/>
          <w:szCs w:val="22"/>
        </w:rPr>
        <w:t>北</w:t>
      </w:r>
      <w:r w:rsidRPr="002A6357">
        <w:rPr>
          <w:kern w:val="0"/>
          <w:sz w:val="22"/>
          <w:szCs w:val="22"/>
        </w:rPr>
        <w:t>:</w:t>
      </w:r>
      <w:r w:rsidRPr="002A6357">
        <w:rPr>
          <w:rFonts w:hAnsi="標楷體"/>
          <w:kern w:val="0"/>
          <w:sz w:val="22"/>
          <w:szCs w:val="22"/>
        </w:rPr>
        <w:t>作者發行，民國</w:t>
      </w:r>
      <w:r w:rsidRPr="002A6357">
        <w:rPr>
          <w:kern w:val="0"/>
          <w:sz w:val="22"/>
          <w:szCs w:val="22"/>
        </w:rPr>
        <w:t>104</w:t>
      </w:r>
      <w:r w:rsidRPr="002A6357">
        <w:rPr>
          <w:rFonts w:hAnsi="標楷體"/>
          <w:kern w:val="0"/>
          <w:sz w:val="22"/>
          <w:szCs w:val="22"/>
        </w:rPr>
        <w:t>年</w:t>
      </w:r>
      <w:r w:rsidRPr="002A6357">
        <w:rPr>
          <w:kern w:val="0"/>
          <w:sz w:val="22"/>
          <w:szCs w:val="22"/>
        </w:rPr>
        <w:t>9</w:t>
      </w:r>
      <w:r w:rsidRPr="002A6357">
        <w:rPr>
          <w:rFonts w:hAnsi="標楷體"/>
          <w:kern w:val="0"/>
          <w:sz w:val="22"/>
          <w:szCs w:val="22"/>
        </w:rPr>
        <w:t>月增訂三版，頁</w:t>
      </w:r>
      <w:r w:rsidRPr="002A6357">
        <w:rPr>
          <w:kern w:val="0"/>
          <w:sz w:val="22"/>
          <w:szCs w:val="22"/>
        </w:rPr>
        <w:t>756</w:t>
      </w:r>
      <w:r w:rsidRPr="002A6357">
        <w:rPr>
          <w:rFonts w:hAnsi="標楷體"/>
          <w:kern w:val="0"/>
          <w:sz w:val="22"/>
          <w:szCs w:val="22"/>
        </w:rPr>
        <w:t>。</w:t>
      </w:r>
    </w:p>
  </w:footnote>
  <w:footnote w:id="42">
    <w:p w:rsidR="006D3DBA" w:rsidRDefault="002031E1" w:rsidP="00C46F83">
      <w:pPr>
        <w:kinsoku w:val="0"/>
        <w:overflowPunct w:val="0"/>
        <w:adjustRightInd w:val="0"/>
        <w:snapToGrid w:val="0"/>
        <w:spacing w:line="391" w:lineRule="exact"/>
        <w:ind w:left="266" w:hanging="266"/>
        <w:jc w:val="both"/>
        <w:rPr>
          <w:rFonts w:hint="eastAsia"/>
          <w:kern w:val="0"/>
          <w:sz w:val="22"/>
          <w:szCs w:val="22"/>
        </w:rPr>
      </w:pPr>
      <w:r w:rsidRPr="002A6357">
        <w:rPr>
          <w:rStyle w:val="ab"/>
          <w:kern w:val="0"/>
          <w:sz w:val="22"/>
          <w:szCs w:val="22"/>
        </w:rPr>
        <w:footnoteRef/>
      </w:r>
      <w:r w:rsidRPr="002A6357">
        <w:rPr>
          <w:kern w:val="0"/>
          <w:sz w:val="22"/>
          <w:szCs w:val="22"/>
        </w:rPr>
        <w:t xml:space="preserve"> </w:t>
      </w:r>
      <w:r w:rsidRPr="002A6357">
        <w:rPr>
          <w:rFonts w:hAnsi="標楷體"/>
          <w:kern w:val="0"/>
          <w:sz w:val="22"/>
          <w:szCs w:val="22"/>
        </w:rPr>
        <w:t>依德國憲法法院法第七十八條第一段規定，憲法法院於裁判主文上，得視個案而就違憲之法律宣告無效，另可為與憲法不符之宣告，有稱</w:t>
      </w:r>
      <w:r w:rsidRPr="002A6357">
        <w:rPr>
          <w:kern w:val="0"/>
          <w:sz w:val="22"/>
          <w:szCs w:val="22"/>
        </w:rPr>
        <w:t>”Unvereinbarkeitserklärung”</w:t>
      </w:r>
      <w:r w:rsidRPr="002A6357">
        <w:rPr>
          <w:rFonts w:hAnsi="標楷體"/>
          <w:kern w:val="0"/>
          <w:sz w:val="22"/>
          <w:szCs w:val="22"/>
        </w:rPr>
        <w:t>，此屬於單純與憲法不符之宣告（</w:t>
      </w:r>
      <w:r w:rsidRPr="002A6357">
        <w:rPr>
          <w:kern w:val="0"/>
          <w:sz w:val="22"/>
          <w:szCs w:val="22"/>
        </w:rPr>
        <w:t>eine bloße Unvereinbarerklärung</w:t>
      </w:r>
      <w:r w:rsidRPr="002A6357">
        <w:rPr>
          <w:rFonts w:hAnsi="標楷體"/>
          <w:kern w:val="0"/>
          <w:sz w:val="22"/>
          <w:szCs w:val="22"/>
        </w:rPr>
        <w:t>），或對違反基本權之規範之違憲宣告。（參照</w:t>
      </w:r>
      <w:r w:rsidRPr="002A6357">
        <w:rPr>
          <w:kern w:val="0"/>
          <w:sz w:val="22"/>
          <w:szCs w:val="22"/>
        </w:rPr>
        <w:t xml:space="preserve"> Maunz/Schmidt-</w:t>
      </w:r>
    </w:p>
    <w:p w:rsidR="002031E1" w:rsidRPr="002A6357" w:rsidRDefault="002031E1" w:rsidP="00C46F83">
      <w:pPr>
        <w:kinsoku w:val="0"/>
        <w:overflowPunct w:val="0"/>
        <w:adjustRightInd w:val="0"/>
        <w:snapToGrid w:val="0"/>
        <w:spacing w:line="391" w:lineRule="exact"/>
        <w:ind w:left="266"/>
        <w:jc w:val="both"/>
        <w:rPr>
          <w:kern w:val="0"/>
          <w:sz w:val="22"/>
          <w:szCs w:val="22"/>
        </w:rPr>
      </w:pPr>
      <w:r w:rsidRPr="002A6357">
        <w:rPr>
          <w:kern w:val="0"/>
          <w:sz w:val="22"/>
          <w:szCs w:val="22"/>
        </w:rPr>
        <w:t>Bleibtreu/Klein/Bethge, Bundesverfassungsgerichtsgesetz Kommentar Band 2, M</w:t>
      </w:r>
      <w:r w:rsidRPr="002A6357">
        <w:rPr>
          <w:kern w:val="0"/>
          <w:sz w:val="22"/>
          <w:szCs w:val="22"/>
          <w:lang w:val="de-DE"/>
        </w:rPr>
        <w:t xml:space="preserve">ünchen:Beck, Dezember 2014, </w:t>
      </w:r>
      <w:r w:rsidRPr="002A6357">
        <w:rPr>
          <w:kern w:val="0"/>
          <w:sz w:val="22"/>
          <w:szCs w:val="22"/>
        </w:rPr>
        <w:t>§78 Rn.57ff..</w:t>
      </w:r>
      <w:r w:rsidRPr="002A6357">
        <w:rPr>
          <w:rFonts w:hAnsi="標楷體"/>
          <w:kern w:val="0"/>
          <w:sz w:val="22"/>
          <w:szCs w:val="22"/>
        </w:rPr>
        <w:t>）</w:t>
      </w:r>
      <w:r w:rsidRPr="002A6357">
        <w:rPr>
          <w:kern w:val="0"/>
          <w:sz w:val="22"/>
          <w:szCs w:val="22"/>
        </w:rPr>
        <w:t xml:space="preserve">  </w:t>
      </w:r>
      <w:r w:rsidRPr="002A6357">
        <w:rPr>
          <w:rFonts w:hAnsi="標楷體"/>
          <w:kern w:val="0"/>
          <w:sz w:val="22"/>
          <w:szCs w:val="22"/>
        </w:rPr>
        <w:t>德奧相關制度之比較，參照吳庚、陳淳文，前揭書，頁</w:t>
      </w:r>
      <w:r w:rsidRPr="002A6357">
        <w:rPr>
          <w:kern w:val="0"/>
          <w:sz w:val="22"/>
          <w:szCs w:val="22"/>
        </w:rPr>
        <w:t>755</w:t>
      </w:r>
      <w:r w:rsidRPr="002A6357">
        <w:rPr>
          <w:rFonts w:hAnsi="標楷體"/>
          <w:kern w:val="0"/>
          <w:sz w:val="22"/>
          <w:szCs w:val="22"/>
        </w:rPr>
        <w:t>。</w:t>
      </w:r>
    </w:p>
  </w:footnote>
  <w:footnote w:id="43">
    <w:p w:rsidR="002031E1" w:rsidRPr="001B30B6" w:rsidRDefault="002031E1" w:rsidP="003774A9">
      <w:pPr>
        <w:kinsoku w:val="0"/>
        <w:overflowPunct w:val="0"/>
        <w:adjustRightInd w:val="0"/>
        <w:snapToGrid w:val="0"/>
        <w:spacing w:line="391" w:lineRule="exact"/>
        <w:ind w:left="227" w:hanging="227"/>
        <w:jc w:val="both"/>
        <w:rPr>
          <w:kern w:val="0"/>
        </w:rPr>
      </w:pPr>
      <w:r w:rsidRPr="001B30B6">
        <w:rPr>
          <w:rStyle w:val="ab"/>
          <w:kern w:val="0"/>
          <w:sz w:val="22"/>
          <w:szCs w:val="22"/>
        </w:rPr>
        <w:footnoteRef/>
      </w:r>
      <w:r w:rsidRPr="001B30B6">
        <w:rPr>
          <w:kern w:val="0"/>
          <w:sz w:val="22"/>
          <w:szCs w:val="22"/>
        </w:rPr>
        <w:t xml:space="preserve"> </w:t>
      </w:r>
      <w:r w:rsidRPr="001B30B6">
        <w:rPr>
          <w:rFonts w:hAnsi="標楷體"/>
          <w:kern w:val="0"/>
          <w:sz w:val="22"/>
          <w:szCs w:val="22"/>
        </w:rPr>
        <w:t>參照</w:t>
      </w:r>
      <w:r w:rsidRPr="001B30B6">
        <w:rPr>
          <w:kern w:val="0"/>
          <w:sz w:val="22"/>
          <w:szCs w:val="22"/>
        </w:rPr>
        <w:t xml:space="preserve">Michael Sachs, </w:t>
      </w:r>
      <w:r w:rsidRPr="001B30B6">
        <w:rPr>
          <w:color w:val="000000"/>
          <w:kern w:val="0"/>
          <w:sz w:val="22"/>
          <w:szCs w:val="22"/>
          <w:lang w:val="fr-FR"/>
        </w:rPr>
        <w:t>Verfassungsprozessrecht</w:t>
      </w:r>
      <w:r w:rsidRPr="001B30B6">
        <w:rPr>
          <w:kern w:val="0"/>
          <w:sz w:val="22"/>
          <w:szCs w:val="22"/>
        </w:rPr>
        <w:t>, 3.Aufl., 2010, T</w:t>
      </w:r>
      <w:r w:rsidRPr="001B30B6">
        <w:rPr>
          <w:kern w:val="0"/>
          <w:sz w:val="22"/>
          <w:szCs w:val="22"/>
          <w:lang w:val="de-DE"/>
        </w:rPr>
        <w:t>ü</w:t>
      </w:r>
      <w:r w:rsidRPr="001B30B6">
        <w:rPr>
          <w:kern w:val="0"/>
          <w:sz w:val="22"/>
          <w:szCs w:val="22"/>
        </w:rPr>
        <w:t xml:space="preserve">bingen:Mohr Siebeck, Rn.156ff., </w:t>
      </w:r>
      <w:smartTag w:uri="urn:schemas-microsoft-com:office:smarttags" w:element="chmetcnv">
        <w:smartTagPr>
          <w:attr w:name="UnitName" w:val="F"/>
          <w:attr w:name="SourceValue" w:val="221"/>
          <w:attr w:name="HasSpace" w:val="False"/>
          <w:attr w:name="Negative" w:val="False"/>
          <w:attr w:name="NumberType" w:val="1"/>
          <w:attr w:name="TCSC" w:val="0"/>
        </w:smartTagPr>
        <w:r w:rsidRPr="001B30B6">
          <w:rPr>
            <w:kern w:val="0"/>
            <w:sz w:val="22"/>
            <w:szCs w:val="22"/>
          </w:rPr>
          <w:t>221f</w:t>
        </w:r>
      </w:smartTag>
      <w:r w:rsidRPr="001B30B6">
        <w:rPr>
          <w:kern w:val="0"/>
          <w:sz w:val="22"/>
          <w:szCs w:val="22"/>
        </w:rPr>
        <w:t>..</w:t>
      </w:r>
    </w:p>
  </w:footnote>
  <w:footnote w:id="44">
    <w:p w:rsidR="002031E1" w:rsidRPr="001A774D" w:rsidRDefault="002031E1" w:rsidP="00316B70">
      <w:pPr>
        <w:kinsoku w:val="0"/>
        <w:overflowPunct w:val="0"/>
        <w:adjustRightInd w:val="0"/>
        <w:snapToGrid w:val="0"/>
        <w:spacing w:line="391" w:lineRule="exact"/>
        <w:ind w:left="182" w:hanging="182"/>
        <w:jc w:val="both"/>
        <w:rPr>
          <w:kern w:val="0"/>
          <w:sz w:val="22"/>
          <w:szCs w:val="22"/>
        </w:rPr>
      </w:pPr>
      <w:r w:rsidRPr="001A774D">
        <w:rPr>
          <w:rStyle w:val="ab"/>
          <w:kern w:val="0"/>
          <w:sz w:val="22"/>
          <w:szCs w:val="22"/>
        </w:rPr>
        <w:footnoteRef/>
      </w:r>
      <w:r w:rsidRPr="001A774D">
        <w:rPr>
          <w:kern w:val="0"/>
          <w:sz w:val="22"/>
          <w:szCs w:val="22"/>
        </w:rPr>
        <w:t xml:space="preserve"> </w:t>
      </w:r>
      <w:r w:rsidRPr="001A774D">
        <w:rPr>
          <w:rFonts w:hAnsi="標楷體"/>
          <w:kern w:val="0"/>
          <w:sz w:val="22"/>
          <w:szCs w:val="22"/>
        </w:rPr>
        <w:t>所謂「視同廢棄物」的特別規定，例如，道路交通管理處罰條例第</w:t>
      </w:r>
      <w:r w:rsidRPr="001A774D">
        <w:rPr>
          <w:kern w:val="0"/>
          <w:sz w:val="22"/>
          <w:szCs w:val="22"/>
        </w:rPr>
        <w:t>82</w:t>
      </w:r>
      <w:r w:rsidRPr="001A774D">
        <w:rPr>
          <w:rFonts w:hAnsi="標楷體"/>
          <w:kern w:val="0"/>
          <w:sz w:val="22"/>
          <w:szCs w:val="22"/>
        </w:rPr>
        <w:t>條第</w:t>
      </w:r>
      <w:r w:rsidRPr="001A774D">
        <w:rPr>
          <w:kern w:val="0"/>
          <w:sz w:val="22"/>
          <w:szCs w:val="22"/>
        </w:rPr>
        <w:t>1</w:t>
      </w:r>
      <w:r w:rsidRPr="001A774D">
        <w:rPr>
          <w:rFonts w:hAnsi="標楷體"/>
          <w:kern w:val="0"/>
          <w:sz w:val="22"/>
          <w:szCs w:val="22"/>
        </w:rPr>
        <w:t>項第</w:t>
      </w:r>
      <w:r w:rsidRPr="001A774D">
        <w:rPr>
          <w:kern w:val="0"/>
          <w:sz w:val="22"/>
          <w:szCs w:val="22"/>
        </w:rPr>
        <w:t>8</w:t>
      </w:r>
      <w:r w:rsidRPr="001A774D">
        <w:rPr>
          <w:rFonts w:hAnsi="標楷體"/>
          <w:kern w:val="0"/>
          <w:sz w:val="22"/>
          <w:szCs w:val="22"/>
        </w:rPr>
        <w:t>款規定：「未經許可在道路設置石碑、廣告牌、綵坊或其他類似物。」可責令行為人即時停止並消除障礙外，處行為人或其雇主新臺幣一千二百元以上二千四百元以下罰鍰。同時同條第</w:t>
      </w:r>
      <w:r w:rsidRPr="001A774D">
        <w:rPr>
          <w:kern w:val="0"/>
          <w:sz w:val="22"/>
          <w:szCs w:val="22"/>
        </w:rPr>
        <w:t>2</w:t>
      </w:r>
      <w:r w:rsidRPr="001A774D">
        <w:rPr>
          <w:rFonts w:hAnsi="標楷體"/>
          <w:kern w:val="0"/>
          <w:sz w:val="22"/>
          <w:szCs w:val="22"/>
        </w:rPr>
        <w:t>項規定：「前項第一款妨礙交通之物、第八款之廣告牌、經勸導行為人不即時清除或行為人不在場，視同廢棄物，依廢棄物法令清除之。」，則專對妨礙交通的廣告物，在兩種情形下（勸導行為人不即時清除及行為人不在場），可視同廢棄物，依廢棄物法令清除之。</w:t>
      </w:r>
    </w:p>
  </w:footnote>
  <w:footnote w:id="45">
    <w:p w:rsidR="002031E1" w:rsidRPr="001A774D" w:rsidRDefault="002031E1" w:rsidP="00696482">
      <w:pPr>
        <w:kinsoku w:val="0"/>
        <w:overflowPunct w:val="0"/>
        <w:adjustRightInd w:val="0"/>
        <w:snapToGrid w:val="0"/>
        <w:spacing w:line="391" w:lineRule="exact"/>
        <w:ind w:left="227" w:hanging="227"/>
        <w:rPr>
          <w:kern w:val="0"/>
          <w:sz w:val="22"/>
          <w:szCs w:val="22"/>
        </w:rPr>
      </w:pPr>
      <w:r w:rsidRPr="001A774D">
        <w:rPr>
          <w:rStyle w:val="ab"/>
          <w:kern w:val="0"/>
          <w:sz w:val="22"/>
          <w:szCs w:val="22"/>
        </w:rPr>
        <w:footnoteRef/>
      </w:r>
      <w:r w:rsidRPr="001A774D">
        <w:rPr>
          <w:kern w:val="0"/>
          <w:sz w:val="22"/>
          <w:szCs w:val="22"/>
        </w:rPr>
        <w:t xml:space="preserve"> </w:t>
      </w:r>
      <w:r w:rsidRPr="001A774D">
        <w:rPr>
          <w:rFonts w:hAnsi="標楷體"/>
          <w:kern w:val="0"/>
          <w:sz w:val="22"/>
          <w:szCs w:val="22"/>
        </w:rPr>
        <w:t>參見廢棄物清理法第二條對所謂廢棄物的定義（一般廢棄物、事業廢棄物）都完全限制在一般人民所能理解的拋棄與無用之物。</w:t>
      </w:r>
    </w:p>
  </w:footnote>
  <w:footnote w:id="46">
    <w:p w:rsidR="002031E1" w:rsidRPr="001A774D" w:rsidRDefault="002031E1" w:rsidP="00316B70">
      <w:pPr>
        <w:kinsoku w:val="0"/>
        <w:overflowPunct w:val="0"/>
        <w:adjustRightInd w:val="0"/>
        <w:snapToGrid w:val="0"/>
        <w:spacing w:line="391" w:lineRule="exact"/>
        <w:ind w:left="227" w:hanging="227"/>
        <w:jc w:val="both"/>
        <w:rPr>
          <w:kern w:val="0"/>
          <w:sz w:val="22"/>
          <w:szCs w:val="22"/>
        </w:rPr>
      </w:pPr>
      <w:r w:rsidRPr="001A774D">
        <w:rPr>
          <w:rStyle w:val="ab"/>
          <w:kern w:val="0"/>
          <w:sz w:val="22"/>
          <w:szCs w:val="22"/>
        </w:rPr>
        <w:footnoteRef/>
      </w:r>
      <w:r w:rsidRPr="001A774D">
        <w:rPr>
          <w:kern w:val="0"/>
          <w:sz w:val="22"/>
          <w:szCs w:val="22"/>
        </w:rPr>
        <w:t xml:space="preserve"> </w:t>
      </w:r>
      <w:r w:rsidRPr="001A774D">
        <w:rPr>
          <w:rFonts w:hAnsi="標楷體"/>
          <w:kern w:val="0"/>
          <w:sz w:val="22"/>
          <w:szCs w:val="22"/>
        </w:rPr>
        <w:t>本法可以概括的</w:t>
      </w:r>
      <w:r w:rsidRPr="001A774D">
        <w:rPr>
          <w:rFonts w:hAnsi="標楷體"/>
          <w:color w:val="000000"/>
          <w:kern w:val="0"/>
          <w:sz w:val="22"/>
          <w:szCs w:val="22"/>
          <w:lang w:val="fr-FR"/>
        </w:rPr>
        <w:t>規定</w:t>
      </w:r>
      <w:r w:rsidRPr="001A774D">
        <w:rPr>
          <w:rFonts w:hAnsi="標楷體"/>
          <w:kern w:val="0"/>
          <w:sz w:val="22"/>
          <w:szCs w:val="22"/>
        </w:rPr>
        <w:t>，其他法律規定視同廢棄物的處理，得依本法之規定行之。例如，註</w:t>
      </w:r>
      <w:r w:rsidRPr="001A774D">
        <w:rPr>
          <w:kern w:val="0"/>
          <w:sz w:val="22"/>
          <w:szCs w:val="22"/>
        </w:rPr>
        <w:t>1</w:t>
      </w:r>
      <w:r w:rsidRPr="001A774D">
        <w:rPr>
          <w:rFonts w:hAnsi="標楷體"/>
          <w:kern w:val="0"/>
          <w:sz w:val="22"/>
          <w:szCs w:val="22"/>
        </w:rPr>
        <w:t>所提及的道路交通管理處罰條例第</w:t>
      </w:r>
      <w:r w:rsidRPr="001A774D">
        <w:rPr>
          <w:kern w:val="0"/>
          <w:sz w:val="22"/>
          <w:szCs w:val="22"/>
        </w:rPr>
        <w:t>82</w:t>
      </w:r>
      <w:r w:rsidRPr="001A774D">
        <w:rPr>
          <w:rFonts w:hAnsi="標楷體"/>
          <w:kern w:val="0"/>
          <w:sz w:val="22"/>
          <w:szCs w:val="22"/>
        </w:rPr>
        <w:t>條第</w:t>
      </w:r>
      <w:r w:rsidRPr="001A774D">
        <w:rPr>
          <w:kern w:val="0"/>
          <w:sz w:val="22"/>
          <w:szCs w:val="22"/>
        </w:rPr>
        <w:t>2</w:t>
      </w:r>
      <w:r w:rsidRPr="001A774D">
        <w:rPr>
          <w:rFonts w:hAnsi="標楷體"/>
          <w:kern w:val="0"/>
          <w:sz w:val="22"/>
          <w:szCs w:val="22"/>
        </w:rPr>
        <w:t>項，便是一例。即將本法作為廢棄物清理的基準法。如此可以保留各種法律以其不同目的，決定何種物品已構成廢棄物的要件，非必與本法的要件相同不可。這種方式，當比多數意見在此種「純粹廢棄物事件」來作抽象規範還來得明確可行。</w:t>
      </w:r>
    </w:p>
  </w:footnote>
  <w:footnote w:id="47">
    <w:p w:rsidR="002031E1" w:rsidRPr="002C3708" w:rsidRDefault="002031E1" w:rsidP="00DE7F97">
      <w:pPr>
        <w:kinsoku w:val="0"/>
        <w:overflowPunct w:val="0"/>
        <w:adjustRightInd w:val="0"/>
        <w:snapToGrid w:val="0"/>
        <w:spacing w:line="391" w:lineRule="exact"/>
        <w:ind w:left="196" w:hanging="196"/>
        <w:jc w:val="both"/>
        <w:rPr>
          <w:kern w:val="0"/>
          <w:sz w:val="22"/>
          <w:szCs w:val="22"/>
        </w:rPr>
      </w:pPr>
      <w:r w:rsidRPr="002C3708">
        <w:rPr>
          <w:rStyle w:val="ab"/>
          <w:kern w:val="0"/>
          <w:sz w:val="22"/>
          <w:szCs w:val="22"/>
        </w:rPr>
        <w:footnoteRef/>
      </w:r>
      <w:r w:rsidRPr="002C3708">
        <w:rPr>
          <w:kern w:val="0"/>
          <w:sz w:val="22"/>
          <w:szCs w:val="22"/>
        </w:rPr>
        <w:t xml:space="preserve"> </w:t>
      </w:r>
      <w:r w:rsidRPr="002C3708">
        <w:rPr>
          <w:rFonts w:hAnsi="標楷體"/>
          <w:kern w:val="0"/>
          <w:sz w:val="22"/>
          <w:szCs w:val="22"/>
        </w:rPr>
        <w:t>按依公職人員選舉罷免法第</w:t>
      </w:r>
      <w:r w:rsidRPr="002C3708">
        <w:rPr>
          <w:kern w:val="0"/>
          <w:sz w:val="22"/>
          <w:szCs w:val="22"/>
        </w:rPr>
        <w:t>52</w:t>
      </w:r>
      <w:r w:rsidRPr="002C3708">
        <w:rPr>
          <w:rFonts w:hAnsi="標楷體"/>
          <w:kern w:val="0"/>
          <w:sz w:val="22"/>
          <w:szCs w:val="22"/>
        </w:rPr>
        <w:t>條第</w:t>
      </w:r>
      <w:r w:rsidRPr="002C3708">
        <w:rPr>
          <w:kern w:val="0"/>
          <w:sz w:val="22"/>
          <w:szCs w:val="22"/>
        </w:rPr>
        <w:t>4</w:t>
      </w:r>
      <w:r w:rsidRPr="002C3708">
        <w:rPr>
          <w:rFonts w:hAnsi="標楷體"/>
          <w:kern w:val="0"/>
          <w:sz w:val="22"/>
          <w:szCs w:val="22"/>
        </w:rPr>
        <w:t>項：「競選廣告物之懸掛或豎立，不得妨礙公共安全或交通秩序，並應於投票日後七日內自行清除；違反者，依有關法令規定處理。」此處的「依有關法令規定處理」，究依系爭</w:t>
      </w:r>
      <w:r w:rsidRPr="002C3708">
        <w:rPr>
          <w:rFonts w:hAnsi="標楷體"/>
          <w:color w:val="000000"/>
          <w:kern w:val="0"/>
          <w:sz w:val="22"/>
          <w:szCs w:val="22"/>
          <w:lang w:val="fr-FR"/>
        </w:rPr>
        <w:t>規定</w:t>
      </w:r>
      <w:r w:rsidRPr="002C3708">
        <w:rPr>
          <w:rFonts w:hAnsi="標楷體"/>
          <w:kern w:val="0"/>
          <w:sz w:val="22"/>
          <w:szCs w:val="22"/>
        </w:rPr>
        <w:t>或是第</w:t>
      </w:r>
      <w:r w:rsidRPr="002C3708">
        <w:rPr>
          <w:kern w:val="0"/>
          <w:sz w:val="22"/>
          <w:szCs w:val="22"/>
        </w:rPr>
        <w:t>10</w:t>
      </w:r>
      <w:r w:rsidRPr="002C3708">
        <w:rPr>
          <w:rFonts w:hAnsi="標楷體"/>
          <w:kern w:val="0"/>
          <w:sz w:val="22"/>
          <w:szCs w:val="22"/>
        </w:rPr>
        <w:t>款的污染廣告？實務上採後者，例如，行政院環境保護署民國</w:t>
      </w:r>
      <w:smartTag w:uri="urn:schemas-microsoft-com:office:smarttags" w:element="chsdate">
        <w:smartTagPr>
          <w:attr w:name="IsROCDate" w:val="False"/>
          <w:attr w:name="IsLunarDate" w:val="False"/>
          <w:attr w:name="Day" w:val="27"/>
          <w:attr w:name="Month" w:val="9"/>
          <w:attr w:name="Year" w:val="1994"/>
        </w:smartTagPr>
        <w:r w:rsidRPr="002C3708">
          <w:rPr>
            <w:kern w:val="0"/>
            <w:sz w:val="22"/>
            <w:szCs w:val="22"/>
          </w:rPr>
          <w:t>94</w:t>
        </w:r>
        <w:r w:rsidRPr="002C3708">
          <w:rPr>
            <w:rFonts w:hAnsi="標楷體"/>
            <w:kern w:val="0"/>
            <w:sz w:val="22"/>
            <w:szCs w:val="22"/>
          </w:rPr>
          <w:t>年</w:t>
        </w:r>
        <w:r w:rsidRPr="002C3708">
          <w:rPr>
            <w:kern w:val="0"/>
            <w:sz w:val="22"/>
            <w:szCs w:val="22"/>
          </w:rPr>
          <w:t>9</w:t>
        </w:r>
        <w:r w:rsidRPr="002C3708">
          <w:rPr>
            <w:rFonts w:hAnsi="標楷體"/>
            <w:kern w:val="0"/>
            <w:sz w:val="22"/>
            <w:szCs w:val="22"/>
          </w:rPr>
          <w:t>月</w:t>
        </w:r>
        <w:r w:rsidRPr="002C3708">
          <w:rPr>
            <w:kern w:val="0"/>
            <w:sz w:val="22"/>
            <w:szCs w:val="22"/>
          </w:rPr>
          <w:t>27</w:t>
        </w:r>
        <w:r w:rsidRPr="002C3708">
          <w:rPr>
            <w:rFonts w:hAnsi="標楷體"/>
            <w:kern w:val="0"/>
            <w:sz w:val="22"/>
            <w:szCs w:val="22"/>
          </w:rPr>
          <w:t>日</w:t>
        </w:r>
      </w:smartTag>
      <w:r w:rsidRPr="002C3708">
        <w:rPr>
          <w:rFonts w:hAnsi="標楷體"/>
          <w:kern w:val="0"/>
          <w:sz w:val="22"/>
          <w:szCs w:val="22"/>
        </w:rPr>
        <w:t>環署廢字第</w:t>
      </w:r>
      <w:r w:rsidRPr="002C3708">
        <w:rPr>
          <w:kern w:val="0"/>
          <w:sz w:val="22"/>
          <w:szCs w:val="22"/>
        </w:rPr>
        <w:t>0940074277</w:t>
      </w:r>
      <w:r w:rsidRPr="002C3708">
        <w:rPr>
          <w:rFonts w:hAnsi="標楷體"/>
          <w:kern w:val="0"/>
          <w:sz w:val="22"/>
          <w:szCs w:val="22"/>
        </w:rPr>
        <w:t>號函：「一、查內政部於</w:t>
      </w:r>
      <w:smartTag w:uri="urn:schemas-microsoft-com:office:smarttags" w:element="chsdate">
        <w:smartTagPr>
          <w:attr w:name="IsROCDate" w:val="False"/>
          <w:attr w:name="IsLunarDate" w:val="False"/>
          <w:attr w:name="Day" w:val="23"/>
          <w:attr w:name="Month" w:val="7"/>
          <w:attr w:name="Year" w:val="1993"/>
        </w:smartTagPr>
        <w:r w:rsidRPr="002C3708">
          <w:rPr>
            <w:kern w:val="0"/>
            <w:sz w:val="22"/>
            <w:szCs w:val="22"/>
          </w:rPr>
          <w:t xml:space="preserve">93 </w:t>
        </w:r>
        <w:r w:rsidRPr="002C3708">
          <w:rPr>
            <w:rFonts w:hAnsi="標楷體"/>
            <w:kern w:val="0"/>
            <w:sz w:val="22"/>
            <w:szCs w:val="22"/>
          </w:rPr>
          <w:t>年</w:t>
        </w:r>
        <w:r w:rsidRPr="002C3708">
          <w:rPr>
            <w:kern w:val="0"/>
            <w:sz w:val="22"/>
            <w:szCs w:val="22"/>
          </w:rPr>
          <w:t>7</w:t>
        </w:r>
        <w:r w:rsidRPr="002C3708">
          <w:rPr>
            <w:rFonts w:hAnsi="標楷體"/>
            <w:kern w:val="0"/>
            <w:sz w:val="22"/>
            <w:szCs w:val="22"/>
          </w:rPr>
          <w:t>月</w:t>
        </w:r>
        <w:r w:rsidRPr="002C3708">
          <w:rPr>
            <w:kern w:val="0"/>
            <w:sz w:val="22"/>
            <w:szCs w:val="22"/>
          </w:rPr>
          <w:t>23</w:t>
        </w:r>
      </w:smartTag>
      <w:r w:rsidRPr="002C3708">
        <w:rPr>
          <w:rFonts w:hAnsi="標楷體"/>
          <w:kern w:val="0"/>
          <w:sz w:val="22"/>
          <w:szCs w:val="22"/>
        </w:rPr>
        <w:t>日已廢止『廣告物管理辦法』。競選期間選舉廣告物之管理應依『公職人員選舉罷免法』相關規定辦理。二、競選期間前張貼廣告管理，請依廢棄物清理法第</w:t>
      </w:r>
      <w:r w:rsidRPr="002C3708">
        <w:rPr>
          <w:kern w:val="0"/>
          <w:sz w:val="22"/>
          <w:szCs w:val="22"/>
        </w:rPr>
        <w:t>27</w:t>
      </w:r>
      <w:r w:rsidRPr="002C3708">
        <w:rPr>
          <w:rFonts w:hAnsi="標楷體"/>
          <w:kern w:val="0"/>
          <w:sz w:val="22"/>
          <w:szCs w:val="22"/>
        </w:rPr>
        <w:t>條第</w:t>
      </w:r>
      <w:r w:rsidRPr="002C3708">
        <w:rPr>
          <w:kern w:val="0"/>
          <w:sz w:val="22"/>
          <w:szCs w:val="22"/>
        </w:rPr>
        <w:t>10</w:t>
      </w:r>
      <w:r w:rsidRPr="002C3708">
        <w:rPr>
          <w:rFonts w:hAnsi="標楷體"/>
          <w:kern w:val="0"/>
          <w:sz w:val="22"/>
          <w:szCs w:val="22"/>
        </w:rPr>
        <w:t>款在指定清除地區內嚴禁張貼或噴漆廣告污染定著物規定辦理。另懸掛或豎立標語、看板、旗幟、布條之廣告物管理，應依內政部「招牌廣告及樹立廣告管理</w:t>
      </w:r>
      <w:r w:rsidRPr="002C3708">
        <w:rPr>
          <w:rFonts w:hAnsi="標楷體"/>
          <w:color w:val="000000"/>
          <w:kern w:val="0"/>
          <w:sz w:val="22"/>
          <w:szCs w:val="22"/>
          <w:lang w:val="fr-FR"/>
        </w:rPr>
        <w:t>辦法</w:t>
      </w:r>
      <w:r w:rsidRPr="002C3708">
        <w:rPr>
          <w:rFonts w:hAnsi="標楷體"/>
          <w:kern w:val="0"/>
          <w:sz w:val="22"/>
          <w:szCs w:val="22"/>
        </w:rPr>
        <w:t>」相關規定辦理。」</w:t>
      </w:r>
    </w:p>
  </w:footnote>
  <w:footnote w:id="48">
    <w:p w:rsidR="002031E1" w:rsidRPr="009F45C8" w:rsidRDefault="002031E1" w:rsidP="00550C6A">
      <w:pPr>
        <w:kinsoku w:val="0"/>
        <w:overflowPunct w:val="0"/>
        <w:adjustRightInd w:val="0"/>
        <w:snapToGrid w:val="0"/>
        <w:spacing w:line="414" w:lineRule="exact"/>
        <w:ind w:left="196" w:hanging="196"/>
        <w:jc w:val="both"/>
        <w:rPr>
          <w:kern w:val="0"/>
          <w:sz w:val="22"/>
          <w:szCs w:val="22"/>
        </w:rPr>
      </w:pPr>
      <w:r w:rsidRPr="009F45C8">
        <w:rPr>
          <w:rStyle w:val="ab"/>
          <w:kern w:val="0"/>
          <w:sz w:val="22"/>
          <w:szCs w:val="22"/>
        </w:rPr>
        <w:footnoteRef/>
      </w:r>
      <w:r w:rsidRPr="009F45C8">
        <w:rPr>
          <w:kern w:val="0"/>
          <w:sz w:val="22"/>
          <w:szCs w:val="22"/>
        </w:rPr>
        <w:t xml:space="preserve"> </w:t>
      </w:r>
      <w:r w:rsidRPr="009F45C8">
        <w:rPr>
          <w:rFonts w:hAnsi="標楷體"/>
          <w:kern w:val="0"/>
          <w:sz w:val="22"/>
          <w:szCs w:val="22"/>
        </w:rPr>
        <w:t>在此情形，既然廣告的張貼</w:t>
      </w:r>
      <w:r w:rsidRPr="009F45C8">
        <w:rPr>
          <w:rFonts w:hAnsi="標楷體"/>
          <w:color w:val="000000"/>
          <w:kern w:val="0"/>
          <w:sz w:val="22"/>
          <w:szCs w:val="22"/>
        </w:rPr>
        <w:t>依地方廣告管制自治規章</w:t>
      </w:r>
      <w:r w:rsidRPr="009F45C8">
        <w:rPr>
          <w:rFonts w:hAnsi="標楷體"/>
          <w:kern w:val="0"/>
          <w:sz w:val="22"/>
          <w:szCs w:val="22"/>
        </w:rPr>
        <w:t>採行許可制，對於未獲許可的廣告，儘管實際上造成「美化」定著物的效果，亦仍可視為應罰鍰與強制清除的不法廣告物，而非污染之廣告物。</w:t>
      </w:r>
    </w:p>
  </w:footnote>
  <w:footnote w:id="49">
    <w:p w:rsidR="002031E1" w:rsidRPr="009F45C8" w:rsidRDefault="002031E1" w:rsidP="003B3DC5">
      <w:pPr>
        <w:kinsoku w:val="0"/>
        <w:overflowPunct w:val="0"/>
        <w:adjustRightInd w:val="0"/>
        <w:snapToGrid w:val="0"/>
        <w:spacing w:line="391" w:lineRule="exact"/>
        <w:ind w:left="227" w:hanging="227"/>
        <w:rPr>
          <w:kern w:val="0"/>
          <w:sz w:val="22"/>
          <w:szCs w:val="22"/>
        </w:rPr>
      </w:pPr>
      <w:r w:rsidRPr="009F45C8">
        <w:rPr>
          <w:rStyle w:val="ab"/>
          <w:kern w:val="0"/>
          <w:sz w:val="22"/>
          <w:szCs w:val="22"/>
        </w:rPr>
        <w:footnoteRef/>
      </w:r>
      <w:r w:rsidRPr="009F45C8">
        <w:rPr>
          <w:kern w:val="0"/>
          <w:sz w:val="22"/>
          <w:szCs w:val="22"/>
        </w:rPr>
        <w:t xml:space="preserve"> </w:t>
      </w:r>
      <w:r w:rsidRPr="009F45C8">
        <w:rPr>
          <w:rFonts w:hAnsi="標楷體"/>
          <w:kern w:val="0"/>
          <w:sz w:val="22"/>
          <w:szCs w:val="22"/>
        </w:rPr>
        <w:t>招牌廣告及樹立廣告管理辦法（民國</w:t>
      </w:r>
      <w:r w:rsidRPr="009F45C8">
        <w:rPr>
          <w:kern w:val="0"/>
          <w:sz w:val="22"/>
          <w:szCs w:val="22"/>
        </w:rPr>
        <w:t>93</w:t>
      </w:r>
      <w:r w:rsidRPr="009F45C8">
        <w:rPr>
          <w:rFonts w:hAnsi="標楷體"/>
          <w:kern w:val="0"/>
          <w:sz w:val="22"/>
          <w:szCs w:val="22"/>
        </w:rPr>
        <w:t>年</w:t>
      </w:r>
      <w:r w:rsidRPr="009F45C8">
        <w:rPr>
          <w:kern w:val="0"/>
          <w:sz w:val="22"/>
          <w:szCs w:val="22"/>
        </w:rPr>
        <w:t>6</w:t>
      </w:r>
      <w:r w:rsidRPr="009F45C8">
        <w:rPr>
          <w:rFonts w:hAnsi="標楷體"/>
          <w:kern w:val="0"/>
          <w:sz w:val="22"/>
          <w:szCs w:val="22"/>
        </w:rPr>
        <w:t>月</w:t>
      </w:r>
      <w:r w:rsidRPr="009F45C8">
        <w:rPr>
          <w:kern w:val="0"/>
          <w:sz w:val="22"/>
          <w:szCs w:val="22"/>
        </w:rPr>
        <w:t>17</w:t>
      </w:r>
      <w:r w:rsidRPr="009F45C8">
        <w:rPr>
          <w:rFonts w:hAnsi="標楷體"/>
          <w:kern w:val="0"/>
          <w:sz w:val="22"/>
          <w:szCs w:val="22"/>
        </w:rPr>
        <w:t>日發布）第</w:t>
      </w:r>
      <w:r w:rsidRPr="009F45C8">
        <w:rPr>
          <w:kern w:val="0"/>
          <w:sz w:val="22"/>
          <w:szCs w:val="22"/>
        </w:rPr>
        <w:t>14</w:t>
      </w:r>
      <w:r w:rsidRPr="009F45C8">
        <w:rPr>
          <w:rFonts w:hAnsi="標楷體"/>
          <w:kern w:val="0"/>
          <w:sz w:val="22"/>
          <w:szCs w:val="22"/>
        </w:rPr>
        <w:t>條：</w:t>
      </w:r>
    </w:p>
    <w:p w:rsidR="002031E1" w:rsidRPr="009F45C8" w:rsidRDefault="002031E1" w:rsidP="00851CE0">
      <w:pPr>
        <w:kinsoku w:val="0"/>
        <w:overflowPunct w:val="0"/>
        <w:adjustRightInd w:val="0"/>
        <w:snapToGrid w:val="0"/>
        <w:spacing w:line="391" w:lineRule="exact"/>
        <w:ind w:left="426" w:hanging="258"/>
        <w:rPr>
          <w:kern w:val="0"/>
          <w:sz w:val="22"/>
          <w:szCs w:val="22"/>
        </w:rPr>
      </w:pPr>
      <w:r w:rsidRPr="009F45C8">
        <w:rPr>
          <w:rFonts w:hAnsi="標楷體"/>
          <w:kern w:val="0"/>
          <w:sz w:val="22"/>
          <w:szCs w:val="22"/>
        </w:rPr>
        <w:t>「下列處所不得設置招牌廣告及樹立廣告：</w:t>
      </w:r>
    </w:p>
    <w:p w:rsidR="002031E1" w:rsidRPr="00C03C48" w:rsidRDefault="00492579" w:rsidP="003B3DC5">
      <w:pPr>
        <w:pStyle w:val="a9"/>
        <w:kinsoku w:val="0"/>
        <w:overflowPunct w:val="0"/>
        <w:adjustRightInd w:val="0"/>
        <w:spacing w:line="391" w:lineRule="exact"/>
        <w:ind w:leftChars="135" w:left="849" w:hangingChars="193" w:hanging="417"/>
        <w:rPr>
          <w:rFonts w:eastAsia="標楷體"/>
          <w:spacing w:val="-2"/>
          <w:kern w:val="0"/>
          <w:sz w:val="22"/>
          <w:szCs w:val="22"/>
        </w:rPr>
      </w:pPr>
      <w:r w:rsidRPr="00C03C48">
        <w:rPr>
          <w:rFonts w:eastAsia="標楷體" w:hAnsi="標楷體"/>
          <w:spacing w:val="-2"/>
          <w:kern w:val="0"/>
          <w:sz w:val="22"/>
          <w:szCs w:val="22"/>
        </w:rPr>
        <w:t>一</w:t>
      </w:r>
      <w:r w:rsidRPr="00C03C48">
        <w:rPr>
          <w:rFonts w:eastAsia="標楷體" w:hAnsi="標楷體" w:hint="eastAsia"/>
          <w:spacing w:val="-2"/>
          <w:kern w:val="0"/>
          <w:sz w:val="22"/>
          <w:szCs w:val="22"/>
        </w:rPr>
        <w:t>、</w:t>
      </w:r>
      <w:r w:rsidR="002031E1" w:rsidRPr="00C03C48">
        <w:rPr>
          <w:rFonts w:eastAsia="標楷體" w:hAnsi="標楷體"/>
          <w:spacing w:val="-2"/>
          <w:kern w:val="0"/>
          <w:sz w:val="22"/>
          <w:szCs w:val="22"/>
        </w:rPr>
        <w:t>公路、高岡處所或公園、綠地、名勝、古蹟等處所。但經各目的事業主管機關核准者，不在此限。</w:t>
      </w:r>
    </w:p>
    <w:p w:rsidR="002031E1" w:rsidRPr="007124C2" w:rsidRDefault="002031E1" w:rsidP="003B3DC5">
      <w:pPr>
        <w:pStyle w:val="a9"/>
        <w:kinsoku w:val="0"/>
        <w:overflowPunct w:val="0"/>
        <w:adjustRightInd w:val="0"/>
        <w:spacing w:line="391" w:lineRule="exact"/>
        <w:ind w:leftChars="135" w:left="849" w:hangingChars="193" w:hanging="417"/>
        <w:rPr>
          <w:rFonts w:eastAsia="標楷體" w:hAnsi="標楷體"/>
          <w:spacing w:val="-2"/>
          <w:kern w:val="0"/>
          <w:sz w:val="22"/>
          <w:szCs w:val="22"/>
        </w:rPr>
      </w:pPr>
      <w:r w:rsidRPr="007124C2">
        <w:rPr>
          <w:rFonts w:eastAsia="標楷體" w:hAnsi="標楷體"/>
          <w:spacing w:val="-2"/>
          <w:kern w:val="0"/>
          <w:sz w:val="22"/>
          <w:szCs w:val="22"/>
        </w:rPr>
        <w:t>二、妨礙公共安全或交通安全處所。</w:t>
      </w:r>
    </w:p>
    <w:p w:rsidR="002031E1" w:rsidRPr="007124C2" w:rsidRDefault="002031E1" w:rsidP="003B3DC5">
      <w:pPr>
        <w:pStyle w:val="a9"/>
        <w:kinsoku w:val="0"/>
        <w:overflowPunct w:val="0"/>
        <w:adjustRightInd w:val="0"/>
        <w:spacing w:line="391" w:lineRule="exact"/>
        <w:ind w:leftChars="135" w:left="849" w:hangingChars="193" w:hanging="417"/>
        <w:rPr>
          <w:rFonts w:eastAsia="標楷體" w:hAnsi="標楷體"/>
          <w:spacing w:val="-2"/>
          <w:kern w:val="0"/>
          <w:sz w:val="22"/>
          <w:szCs w:val="22"/>
        </w:rPr>
      </w:pPr>
      <w:r w:rsidRPr="007124C2">
        <w:rPr>
          <w:rFonts w:eastAsia="標楷體" w:hAnsi="標楷體" w:hint="eastAsia"/>
          <w:spacing w:val="-2"/>
          <w:kern w:val="0"/>
          <w:sz w:val="22"/>
          <w:szCs w:val="22"/>
        </w:rPr>
        <w:t>三、妨礙市容、風景或觀瞻處所。</w:t>
      </w:r>
    </w:p>
    <w:p w:rsidR="002031E1" w:rsidRPr="007124C2" w:rsidRDefault="002031E1" w:rsidP="003B3DC5">
      <w:pPr>
        <w:pStyle w:val="a9"/>
        <w:kinsoku w:val="0"/>
        <w:overflowPunct w:val="0"/>
        <w:adjustRightInd w:val="0"/>
        <w:spacing w:line="391" w:lineRule="exact"/>
        <w:ind w:leftChars="135" w:left="849" w:hangingChars="193" w:hanging="417"/>
        <w:rPr>
          <w:rFonts w:eastAsia="標楷體" w:hAnsi="標楷體"/>
          <w:spacing w:val="-2"/>
          <w:kern w:val="0"/>
          <w:sz w:val="22"/>
          <w:szCs w:val="22"/>
        </w:rPr>
      </w:pPr>
      <w:r w:rsidRPr="007124C2">
        <w:rPr>
          <w:rFonts w:eastAsia="標楷體" w:hAnsi="標楷體" w:hint="eastAsia"/>
          <w:spacing w:val="-2"/>
          <w:kern w:val="0"/>
          <w:sz w:val="22"/>
          <w:szCs w:val="22"/>
        </w:rPr>
        <w:t>四、妨礙都市計畫或建築工程認為不適當之處所。</w:t>
      </w:r>
    </w:p>
    <w:p w:rsidR="002031E1" w:rsidRPr="007124C2" w:rsidRDefault="002031E1" w:rsidP="003B3DC5">
      <w:pPr>
        <w:pStyle w:val="a9"/>
        <w:kinsoku w:val="0"/>
        <w:overflowPunct w:val="0"/>
        <w:adjustRightInd w:val="0"/>
        <w:spacing w:line="391" w:lineRule="exact"/>
        <w:ind w:leftChars="135" w:left="849" w:hangingChars="193" w:hanging="417"/>
        <w:rPr>
          <w:rFonts w:eastAsia="標楷體" w:hAnsi="標楷體"/>
          <w:spacing w:val="-2"/>
          <w:kern w:val="0"/>
          <w:sz w:val="22"/>
          <w:szCs w:val="22"/>
        </w:rPr>
      </w:pPr>
      <w:r w:rsidRPr="007124C2">
        <w:rPr>
          <w:rFonts w:eastAsia="標楷體" w:hAnsi="標楷體" w:hint="eastAsia"/>
          <w:spacing w:val="-2"/>
          <w:kern w:val="0"/>
          <w:sz w:val="22"/>
          <w:szCs w:val="22"/>
        </w:rPr>
        <w:t>五、公路兩側禁建、限建範圍不得設置之處所。</w:t>
      </w:r>
    </w:p>
    <w:p w:rsidR="002031E1" w:rsidRPr="007124C2" w:rsidRDefault="002031E1" w:rsidP="003B3DC5">
      <w:pPr>
        <w:pStyle w:val="a9"/>
        <w:kinsoku w:val="0"/>
        <w:overflowPunct w:val="0"/>
        <w:adjustRightInd w:val="0"/>
        <w:spacing w:line="391" w:lineRule="exact"/>
        <w:ind w:leftChars="135" w:left="849" w:hangingChars="193" w:hanging="417"/>
        <w:rPr>
          <w:rFonts w:eastAsia="標楷體" w:hAnsi="標楷體"/>
          <w:spacing w:val="-2"/>
          <w:kern w:val="0"/>
          <w:sz w:val="22"/>
          <w:szCs w:val="22"/>
        </w:rPr>
      </w:pPr>
      <w:r w:rsidRPr="007124C2">
        <w:rPr>
          <w:rFonts w:eastAsia="標楷體" w:hAnsi="標楷體" w:hint="eastAsia"/>
          <w:spacing w:val="-2"/>
          <w:kern w:val="0"/>
          <w:sz w:val="22"/>
          <w:szCs w:val="22"/>
        </w:rPr>
        <w:t>六、阻礙該建築物各樓層依各類場所消防安全設備標準規定設置之避難器具開口部開啟、使用及下降操作之處所。</w:t>
      </w:r>
    </w:p>
    <w:p w:rsidR="002031E1" w:rsidRPr="007124C2" w:rsidRDefault="002031E1" w:rsidP="003B3DC5">
      <w:pPr>
        <w:pStyle w:val="a9"/>
        <w:kinsoku w:val="0"/>
        <w:overflowPunct w:val="0"/>
        <w:adjustRightInd w:val="0"/>
        <w:spacing w:line="391" w:lineRule="exact"/>
        <w:ind w:leftChars="135" w:left="849" w:hangingChars="193" w:hanging="417"/>
        <w:rPr>
          <w:rFonts w:eastAsia="標楷體" w:hAnsi="標楷體"/>
          <w:spacing w:val="-2"/>
          <w:kern w:val="0"/>
          <w:sz w:val="22"/>
          <w:szCs w:val="22"/>
        </w:rPr>
      </w:pPr>
      <w:r w:rsidRPr="007124C2">
        <w:rPr>
          <w:rFonts w:eastAsia="標楷體" w:hAnsi="標楷體" w:hint="eastAsia"/>
          <w:spacing w:val="-2"/>
          <w:kern w:val="0"/>
          <w:sz w:val="22"/>
          <w:szCs w:val="22"/>
        </w:rPr>
        <w:t>七、其他法令禁止設置之處所</w:t>
      </w:r>
      <w:r w:rsidRPr="007124C2">
        <w:rPr>
          <w:rFonts w:eastAsia="標楷體" w:hAnsi="標楷體"/>
          <w:spacing w:val="-2"/>
          <w:kern w:val="0"/>
          <w:sz w:val="22"/>
          <w:szCs w:val="22"/>
        </w:rPr>
        <w:t xml:space="preserve"> </w:t>
      </w:r>
      <w:r w:rsidRPr="007124C2">
        <w:rPr>
          <w:rFonts w:eastAsia="標楷體" w:hAnsi="標楷體" w:hint="eastAsia"/>
          <w:spacing w:val="-2"/>
          <w:kern w:val="0"/>
          <w:sz w:val="22"/>
          <w:szCs w:val="22"/>
        </w:rPr>
        <w:t>。」</w:t>
      </w:r>
    </w:p>
  </w:footnote>
  <w:footnote w:id="50">
    <w:p w:rsidR="002031E1" w:rsidRPr="00B47E44" w:rsidRDefault="002031E1" w:rsidP="003B3DC5">
      <w:pPr>
        <w:kinsoku w:val="0"/>
        <w:overflowPunct w:val="0"/>
        <w:adjustRightInd w:val="0"/>
        <w:snapToGrid w:val="0"/>
        <w:spacing w:line="391" w:lineRule="exact"/>
        <w:ind w:left="227" w:hanging="227"/>
        <w:rPr>
          <w:kern w:val="0"/>
          <w:sz w:val="22"/>
          <w:szCs w:val="22"/>
        </w:rPr>
      </w:pPr>
      <w:r w:rsidRPr="00B47E44">
        <w:rPr>
          <w:rStyle w:val="ab"/>
          <w:kern w:val="0"/>
          <w:sz w:val="22"/>
          <w:szCs w:val="22"/>
        </w:rPr>
        <w:footnoteRef/>
      </w:r>
      <w:r w:rsidRPr="00B47E44">
        <w:rPr>
          <w:kern w:val="0"/>
          <w:sz w:val="22"/>
          <w:szCs w:val="22"/>
        </w:rPr>
        <w:t xml:space="preserve"> </w:t>
      </w:r>
      <w:r w:rsidRPr="00B47E44">
        <w:rPr>
          <w:rFonts w:hint="eastAsia"/>
          <w:kern w:val="0"/>
          <w:sz w:val="22"/>
          <w:szCs w:val="22"/>
        </w:rPr>
        <w:t>中華民國</w:t>
      </w:r>
      <w:r w:rsidRPr="00B47E44">
        <w:rPr>
          <w:rFonts w:hAnsi="標楷體"/>
          <w:color w:val="000000"/>
          <w:kern w:val="0"/>
          <w:sz w:val="22"/>
          <w:szCs w:val="22"/>
          <w:lang w:val="fr-FR"/>
        </w:rPr>
        <w:t>100</w:t>
      </w:r>
      <w:r w:rsidRPr="00B47E44">
        <w:rPr>
          <w:rFonts w:hint="eastAsia"/>
          <w:kern w:val="0"/>
          <w:sz w:val="22"/>
          <w:szCs w:val="22"/>
        </w:rPr>
        <w:t>年</w:t>
      </w:r>
      <w:r w:rsidRPr="00B47E44">
        <w:rPr>
          <w:kern w:val="0"/>
          <w:sz w:val="22"/>
          <w:szCs w:val="22"/>
        </w:rPr>
        <w:t>4</w:t>
      </w:r>
      <w:r w:rsidRPr="00B47E44">
        <w:rPr>
          <w:rFonts w:hint="eastAsia"/>
          <w:kern w:val="0"/>
          <w:sz w:val="22"/>
          <w:szCs w:val="22"/>
        </w:rPr>
        <w:t>月</w:t>
      </w:r>
      <w:r w:rsidRPr="00B47E44">
        <w:rPr>
          <w:kern w:val="0"/>
          <w:sz w:val="22"/>
          <w:szCs w:val="22"/>
        </w:rPr>
        <w:t>7</w:t>
      </w:r>
      <w:r w:rsidRPr="00B47E44">
        <w:rPr>
          <w:rFonts w:hint="eastAsia"/>
          <w:kern w:val="0"/>
          <w:sz w:val="22"/>
          <w:szCs w:val="22"/>
        </w:rPr>
        <w:t>日臺北市政府</w:t>
      </w:r>
      <w:r w:rsidRPr="00B47E44">
        <w:rPr>
          <w:kern w:val="0"/>
          <w:sz w:val="22"/>
          <w:szCs w:val="22"/>
        </w:rPr>
        <w:t>（</w:t>
      </w:r>
      <w:r w:rsidRPr="00B47E44">
        <w:rPr>
          <w:kern w:val="0"/>
          <w:sz w:val="22"/>
          <w:szCs w:val="22"/>
        </w:rPr>
        <w:t>100</w:t>
      </w:r>
      <w:r w:rsidRPr="00B47E44">
        <w:rPr>
          <w:kern w:val="0"/>
          <w:sz w:val="22"/>
          <w:szCs w:val="22"/>
        </w:rPr>
        <w:t>）</w:t>
      </w:r>
      <w:r w:rsidRPr="00B47E44">
        <w:rPr>
          <w:rFonts w:hint="eastAsia"/>
          <w:kern w:val="0"/>
          <w:sz w:val="22"/>
          <w:szCs w:val="22"/>
        </w:rPr>
        <w:t>府法三字第</w:t>
      </w:r>
      <w:r w:rsidRPr="00B47E44">
        <w:rPr>
          <w:kern w:val="0"/>
          <w:sz w:val="22"/>
          <w:szCs w:val="22"/>
        </w:rPr>
        <w:t>10030993400</w:t>
      </w:r>
      <w:r w:rsidRPr="00B47E44">
        <w:rPr>
          <w:rFonts w:hint="eastAsia"/>
          <w:kern w:val="0"/>
          <w:sz w:val="22"/>
          <w:szCs w:val="22"/>
        </w:rPr>
        <w:t>號令訂頒。</w:t>
      </w:r>
    </w:p>
  </w:footnote>
  <w:footnote w:id="51">
    <w:p w:rsidR="002031E1" w:rsidRPr="00B47E44" w:rsidRDefault="002031E1" w:rsidP="003B3DC5">
      <w:pPr>
        <w:kinsoku w:val="0"/>
        <w:overflowPunct w:val="0"/>
        <w:adjustRightInd w:val="0"/>
        <w:snapToGrid w:val="0"/>
        <w:spacing w:line="391" w:lineRule="exact"/>
        <w:ind w:left="227" w:hanging="227"/>
        <w:rPr>
          <w:kern w:val="0"/>
          <w:sz w:val="22"/>
          <w:szCs w:val="22"/>
        </w:rPr>
      </w:pPr>
      <w:r w:rsidRPr="00B47E44">
        <w:rPr>
          <w:rStyle w:val="ab"/>
          <w:kern w:val="0"/>
          <w:sz w:val="22"/>
          <w:szCs w:val="22"/>
        </w:rPr>
        <w:footnoteRef/>
      </w:r>
      <w:r w:rsidRPr="00B47E44">
        <w:rPr>
          <w:kern w:val="0"/>
          <w:sz w:val="22"/>
          <w:szCs w:val="22"/>
          <w:lang w:val="de-DE"/>
        </w:rPr>
        <w:t xml:space="preserve"> </w:t>
      </w:r>
      <w:r w:rsidRPr="00B47E44">
        <w:rPr>
          <w:rFonts w:hint="eastAsia"/>
          <w:kern w:val="0"/>
          <w:sz w:val="22"/>
          <w:szCs w:val="22"/>
          <w:lang w:val="de-DE"/>
        </w:rPr>
        <w:t>參見註</w:t>
      </w:r>
      <w:r w:rsidRPr="00B47E44">
        <w:rPr>
          <w:kern w:val="0"/>
          <w:sz w:val="22"/>
          <w:szCs w:val="22"/>
          <w:lang w:val="de-DE"/>
        </w:rPr>
        <w:t>1</w:t>
      </w:r>
      <w:r w:rsidRPr="00B47E44">
        <w:rPr>
          <w:rFonts w:hint="eastAsia"/>
          <w:kern w:val="0"/>
          <w:sz w:val="22"/>
          <w:szCs w:val="22"/>
          <w:lang w:val="de-DE"/>
        </w:rPr>
        <w:t>處。</w:t>
      </w:r>
    </w:p>
  </w:footnote>
  <w:footnote w:id="52">
    <w:p w:rsidR="002031E1" w:rsidRPr="00B47E44" w:rsidRDefault="002031E1" w:rsidP="00AC7A3D">
      <w:pPr>
        <w:kinsoku w:val="0"/>
        <w:overflowPunct w:val="0"/>
        <w:adjustRightInd w:val="0"/>
        <w:snapToGrid w:val="0"/>
        <w:spacing w:line="391" w:lineRule="exact"/>
        <w:ind w:left="196" w:hanging="196"/>
        <w:jc w:val="both"/>
        <w:rPr>
          <w:kern w:val="0"/>
          <w:sz w:val="22"/>
          <w:szCs w:val="22"/>
        </w:rPr>
      </w:pPr>
      <w:r w:rsidRPr="00B47E44">
        <w:rPr>
          <w:rStyle w:val="ab"/>
          <w:kern w:val="0"/>
          <w:sz w:val="22"/>
          <w:szCs w:val="22"/>
        </w:rPr>
        <w:footnoteRef/>
      </w:r>
      <w:r w:rsidRPr="00B47E44">
        <w:rPr>
          <w:kern w:val="0"/>
          <w:sz w:val="22"/>
          <w:szCs w:val="22"/>
        </w:rPr>
        <w:t xml:space="preserve"> </w:t>
      </w:r>
      <w:r w:rsidRPr="00B47E44">
        <w:rPr>
          <w:rFonts w:hint="eastAsia"/>
          <w:kern w:val="0"/>
          <w:sz w:val="22"/>
          <w:szCs w:val="22"/>
        </w:rPr>
        <w:t>例如，</w:t>
      </w:r>
      <w:r w:rsidRPr="00B47E44">
        <w:rPr>
          <w:rFonts w:hAnsi="標楷體" w:hint="eastAsia"/>
          <w:color w:val="000000"/>
          <w:kern w:val="0"/>
          <w:sz w:val="22"/>
          <w:szCs w:val="22"/>
          <w:lang w:val="fr-FR"/>
        </w:rPr>
        <w:t>高雄市</w:t>
      </w:r>
      <w:r w:rsidRPr="00B47E44">
        <w:rPr>
          <w:rFonts w:hint="eastAsia"/>
          <w:kern w:val="0"/>
          <w:sz w:val="22"/>
          <w:szCs w:val="22"/>
        </w:rPr>
        <w:t>廣告物管理自治條例第</w:t>
      </w:r>
      <w:r w:rsidRPr="00B47E44">
        <w:rPr>
          <w:kern w:val="0"/>
          <w:sz w:val="22"/>
          <w:szCs w:val="22"/>
        </w:rPr>
        <w:t>1</w:t>
      </w:r>
      <w:r w:rsidRPr="00B47E44">
        <w:rPr>
          <w:rFonts w:hint="eastAsia"/>
          <w:kern w:val="0"/>
          <w:sz w:val="22"/>
          <w:szCs w:val="22"/>
        </w:rPr>
        <w:t>條：「為管理本市廣告物，以改善市容觀瞻、維護公共安全及塑造都市特色，特制定本自治條例。」即未明示其法源。同時，得援引地方制度法第</w:t>
      </w:r>
      <w:r w:rsidRPr="00B47E44">
        <w:rPr>
          <w:kern w:val="0"/>
          <w:sz w:val="22"/>
          <w:szCs w:val="22"/>
        </w:rPr>
        <w:t>26</w:t>
      </w:r>
      <w:r w:rsidRPr="00B47E44">
        <w:rPr>
          <w:rFonts w:hint="eastAsia"/>
          <w:kern w:val="0"/>
          <w:sz w:val="22"/>
          <w:szCs w:val="22"/>
        </w:rPr>
        <w:t>條有關於罰鍰，課予清除義務，以及連續處罰的執行罰的</w:t>
      </w:r>
      <w:r w:rsidRPr="00B47E44">
        <w:rPr>
          <w:rFonts w:hAnsi="標楷體" w:hint="eastAsia"/>
          <w:color w:val="000000"/>
          <w:kern w:val="0"/>
          <w:sz w:val="22"/>
          <w:szCs w:val="22"/>
          <w:lang w:val="fr-FR"/>
        </w:rPr>
        <w:t>權限</w:t>
      </w:r>
      <w:r w:rsidRPr="00B47E44">
        <w:rPr>
          <w:rFonts w:hint="eastAsia"/>
          <w:kern w:val="0"/>
          <w:sz w:val="22"/>
          <w:szCs w:val="22"/>
        </w:rPr>
        <w:t>，能擁有規範廣告的完整權限也。</w:t>
      </w:r>
    </w:p>
  </w:footnote>
  <w:footnote w:id="53">
    <w:p w:rsidR="002031E1" w:rsidRPr="001037BB" w:rsidRDefault="002031E1" w:rsidP="00696482">
      <w:pPr>
        <w:kinsoku w:val="0"/>
        <w:overflowPunct w:val="0"/>
        <w:adjustRightInd w:val="0"/>
        <w:snapToGrid w:val="0"/>
        <w:spacing w:line="391" w:lineRule="exact"/>
        <w:ind w:left="227" w:hanging="227"/>
        <w:rPr>
          <w:kern w:val="0"/>
          <w:sz w:val="22"/>
          <w:szCs w:val="22"/>
        </w:rPr>
      </w:pPr>
      <w:r w:rsidRPr="001037BB">
        <w:rPr>
          <w:rStyle w:val="ab"/>
          <w:kern w:val="0"/>
          <w:sz w:val="22"/>
          <w:szCs w:val="22"/>
        </w:rPr>
        <w:footnoteRef/>
      </w:r>
      <w:r w:rsidRPr="001037BB">
        <w:rPr>
          <w:kern w:val="0"/>
          <w:sz w:val="22"/>
          <w:szCs w:val="22"/>
        </w:rPr>
        <w:t xml:space="preserve"> </w:t>
      </w:r>
      <w:r w:rsidRPr="001037BB">
        <w:rPr>
          <w:rFonts w:hAnsi="標楷體"/>
          <w:kern w:val="0"/>
          <w:sz w:val="22"/>
          <w:szCs w:val="22"/>
        </w:rPr>
        <w:t>參見前註</w:t>
      </w:r>
      <w:r w:rsidRPr="001037BB">
        <w:rPr>
          <w:kern w:val="0"/>
          <w:sz w:val="22"/>
          <w:szCs w:val="22"/>
        </w:rPr>
        <w:t>9</w:t>
      </w:r>
      <w:r w:rsidRPr="001037BB">
        <w:rPr>
          <w:rFonts w:hAnsi="標楷體"/>
          <w:kern w:val="0"/>
          <w:sz w:val="22"/>
          <w:szCs w:val="22"/>
        </w:rPr>
        <w:t>之高雄市</w:t>
      </w:r>
      <w:r w:rsidRPr="001037BB">
        <w:rPr>
          <w:rFonts w:hAnsi="標楷體"/>
          <w:color w:val="000000"/>
          <w:kern w:val="0"/>
          <w:sz w:val="22"/>
          <w:szCs w:val="22"/>
          <w:lang w:val="fr-FR"/>
        </w:rPr>
        <w:t>廣告</w:t>
      </w:r>
      <w:r w:rsidRPr="001037BB">
        <w:rPr>
          <w:rFonts w:hAnsi="標楷體"/>
          <w:kern w:val="0"/>
          <w:sz w:val="22"/>
          <w:szCs w:val="22"/>
        </w:rPr>
        <w:t>物管理自治條例。</w:t>
      </w:r>
    </w:p>
  </w:footnote>
  <w:footnote w:id="54">
    <w:p w:rsidR="002031E1" w:rsidRPr="00FC1AFA" w:rsidRDefault="002031E1" w:rsidP="003F1BF6">
      <w:pPr>
        <w:kinsoku w:val="0"/>
        <w:overflowPunct w:val="0"/>
        <w:spacing w:line="391" w:lineRule="exact"/>
        <w:ind w:left="227" w:hanging="227"/>
        <w:jc w:val="both"/>
        <w:rPr>
          <w:sz w:val="22"/>
          <w:szCs w:val="22"/>
        </w:rPr>
      </w:pPr>
      <w:r w:rsidRPr="00FC1AFA">
        <w:rPr>
          <w:rStyle w:val="ab"/>
          <w:sz w:val="22"/>
          <w:szCs w:val="22"/>
        </w:rPr>
        <w:footnoteRef/>
      </w:r>
      <w:r w:rsidRPr="00FC1AFA">
        <w:rPr>
          <w:sz w:val="22"/>
          <w:szCs w:val="22"/>
        </w:rPr>
        <w:t xml:space="preserve"> </w:t>
      </w:r>
      <w:r w:rsidRPr="00FC1AFA">
        <w:rPr>
          <w:rFonts w:hAnsi="標楷體"/>
          <w:sz w:val="22"/>
          <w:szCs w:val="22"/>
        </w:rPr>
        <w:t>例如，</w:t>
      </w:r>
      <w:r w:rsidRPr="00FC1AFA">
        <w:rPr>
          <w:rFonts w:hAnsi="標楷體"/>
          <w:color w:val="000000"/>
          <w:kern w:val="0"/>
          <w:sz w:val="22"/>
          <w:szCs w:val="22"/>
          <w:lang w:val="fr-FR"/>
        </w:rPr>
        <w:t>德國</w:t>
      </w:r>
      <w:r w:rsidRPr="00FC1AFA">
        <w:rPr>
          <w:rFonts w:hAnsi="標楷體"/>
          <w:sz w:val="22"/>
          <w:szCs w:val="22"/>
        </w:rPr>
        <w:t>便經常採行此種方式，對於違法張貼的廣告物，加以處罰及強制清除，例如，近年來德國聯邦憲法法院在</w:t>
      </w:r>
      <w:smartTag w:uri="urn:schemas-microsoft-com:office:smarttags" w:element="chsdate">
        <w:smartTagPr>
          <w:attr w:name="IsROCDate" w:val="False"/>
          <w:attr w:name="IsLunarDate" w:val="False"/>
          <w:attr w:name="Day" w:val="24"/>
          <w:attr w:name="Month" w:val="9"/>
          <w:attr w:name="Year" w:val="2009"/>
        </w:smartTagPr>
        <w:r w:rsidRPr="00FC1AFA">
          <w:rPr>
            <w:sz w:val="22"/>
            <w:szCs w:val="22"/>
          </w:rPr>
          <w:t>2009</w:t>
        </w:r>
        <w:r w:rsidRPr="00FC1AFA">
          <w:rPr>
            <w:rFonts w:hAnsi="標楷體"/>
            <w:sz w:val="22"/>
            <w:szCs w:val="22"/>
          </w:rPr>
          <w:t>年</w:t>
        </w:r>
        <w:r w:rsidRPr="00FC1AFA">
          <w:rPr>
            <w:sz w:val="22"/>
            <w:szCs w:val="22"/>
          </w:rPr>
          <w:t>9</w:t>
        </w:r>
        <w:r w:rsidRPr="00FC1AFA">
          <w:rPr>
            <w:rFonts w:hAnsi="標楷體"/>
            <w:sz w:val="22"/>
            <w:szCs w:val="22"/>
          </w:rPr>
          <w:t>月</w:t>
        </w:r>
        <w:r w:rsidRPr="00FC1AFA">
          <w:rPr>
            <w:sz w:val="22"/>
            <w:szCs w:val="22"/>
          </w:rPr>
          <w:t>24</w:t>
        </w:r>
        <w:r w:rsidRPr="00FC1AFA">
          <w:rPr>
            <w:rFonts w:hAnsi="標楷體"/>
            <w:sz w:val="22"/>
            <w:szCs w:val="22"/>
          </w:rPr>
          <w:t>日</w:t>
        </w:r>
      </w:smartTag>
      <w:r w:rsidRPr="00FC1AFA">
        <w:rPr>
          <w:rFonts w:hAnsi="標楷體"/>
          <w:sz w:val="22"/>
          <w:szCs w:val="22"/>
        </w:rPr>
        <w:t>，公布的一個「德國國家黨廣告拆除案」</w:t>
      </w:r>
      <w:r w:rsidR="00E316C9">
        <w:rPr>
          <w:rFonts w:hAnsi="標楷體" w:hint="eastAsia"/>
          <w:sz w:val="22"/>
          <w:szCs w:val="22"/>
        </w:rPr>
        <w:t>(</w:t>
      </w:r>
      <w:r w:rsidRPr="00FC1AFA">
        <w:rPr>
          <w:sz w:val="22"/>
          <w:szCs w:val="22"/>
        </w:rPr>
        <w:t>NPD-Plakate-Urteil</w:t>
      </w:r>
      <w:r w:rsidR="003F1BF6">
        <w:rPr>
          <w:rFonts w:hAnsi="標楷體" w:hint="eastAsia"/>
          <w:sz w:val="22"/>
          <w:szCs w:val="22"/>
        </w:rPr>
        <w:t>)</w:t>
      </w:r>
      <w:r w:rsidRPr="00FC1AFA">
        <w:rPr>
          <w:rFonts w:hAnsi="標楷體"/>
          <w:sz w:val="22"/>
          <w:szCs w:val="22"/>
        </w:rPr>
        <w:t>便認為：地方政府根據相關法律，對於不法的張貼廣告，可以依據行政執行法來清除之，並不屬於侵犯人民言論自由權，故屬於合憲之行為。本案起因於進右傾的德國國家黨</w:t>
      </w:r>
      <w:r w:rsidR="003F1BF6">
        <w:rPr>
          <w:rFonts w:hAnsi="標楷體" w:hint="eastAsia"/>
          <w:sz w:val="22"/>
          <w:szCs w:val="22"/>
        </w:rPr>
        <w:t>(</w:t>
      </w:r>
      <w:r w:rsidRPr="00FC1AFA">
        <w:rPr>
          <w:sz w:val="22"/>
          <w:szCs w:val="22"/>
        </w:rPr>
        <w:t>NPD</w:t>
      </w:r>
      <w:r w:rsidR="003F1BF6">
        <w:rPr>
          <w:rFonts w:hAnsi="標楷體" w:hint="eastAsia"/>
          <w:sz w:val="22"/>
          <w:szCs w:val="22"/>
        </w:rPr>
        <w:t>)</w:t>
      </w:r>
      <w:r w:rsidRPr="00FC1AFA">
        <w:rPr>
          <w:rFonts w:hAnsi="標楷體"/>
          <w:sz w:val="22"/>
          <w:szCs w:val="22"/>
        </w:rPr>
        <w:t>在</w:t>
      </w:r>
      <w:r w:rsidRPr="00FC1AFA">
        <w:rPr>
          <w:sz w:val="22"/>
          <w:szCs w:val="22"/>
        </w:rPr>
        <w:t>2009</w:t>
      </w:r>
      <w:r w:rsidRPr="00FC1AFA">
        <w:rPr>
          <w:rFonts w:hAnsi="標楷體"/>
          <w:sz w:val="22"/>
          <w:szCs w:val="22"/>
        </w:rPr>
        <w:t>年</w:t>
      </w:r>
      <w:r w:rsidRPr="00FC1AFA">
        <w:rPr>
          <w:sz w:val="22"/>
          <w:szCs w:val="22"/>
        </w:rPr>
        <w:t>8</w:t>
      </w:r>
      <w:r w:rsidRPr="00FC1AFA">
        <w:rPr>
          <w:rFonts w:hAnsi="標楷體"/>
          <w:sz w:val="22"/>
          <w:szCs w:val="22"/>
        </w:rPr>
        <w:t>月的選戰中，在許多鄉鎮懸掛為了納粹侵略波蘭的行徑翻案的廣告「侵犯波蘭？別再扯了！」</w:t>
      </w:r>
      <w:r w:rsidR="003F1BF6">
        <w:rPr>
          <w:rFonts w:hAnsi="標楷體" w:hint="eastAsia"/>
          <w:sz w:val="22"/>
          <w:szCs w:val="22"/>
        </w:rPr>
        <w:t>(</w:t>
      </w:r>
      <w:r w:rsidRPr="00FC1AFA">
        <w:rPr>
          <w:sz w:val="22"/>
          <w:szCs w:val="22"/>
        </w:rPr>
        <w:t>Polen-Invasion Stoppen.</w:t>
      </w:r>
      <w:r w:rsidR="003F1BF6" w:rsidRPr="003F1BF6">
        <w:rPr>
          <w:rFonts w:hAnsi="標楷體" w:hint="eastAsia"/>
          <w:sz w:val="22"/>
          <w:szCs w:val="22"/>
        </w:rPr>
        <w:t xml:space="preserve"> </w:t>
      </w:r>
      <w:r w:rsidR="003F1BF6">
        <w:rPr>
          <w:rFonts w:hAnsi="標楷體" w:hint="eastAsia"/>
          <w:sz w:val="22"/>
          <w:szCs w:val="22"/>
        </w:rPr>
        <w:t>)</w:t>
      </w:r>
      <w:r w:rsidRPr="00FC1AFA">
        <w:rPr>
          <w:rFonts w:hAnsi="標楷體"/>
          <w:sz w:val="22"/>
          <w:szCs w:val="22"/>
        </w:rPr>
        <w:t>，被地方政府控告違反所屬麥可倫堡</w:t>
      </w:r>
      <w:r w:rsidRPr="00FC1AFA">
        <w:rPr>
          <w:sz w:val="22"/>
          <w:szCs w:val="22"/>
        </w:rPr>
        <w:t>─</w:t>
      </w:r>
      <w:r w:rsidRPr="00FC1AFA">
        <w:rPr>
          <w:rFonts w:hAnsi="標楷體"/>
          <w:sz w:val="22"/>
          <w:szCs w:val="22"/>
        </w:rPr>
        <w:t>佛波門邦</w:t>
      </w:r>
      <w:r w:rsidR="003F1BF6">
        <w:rPr>
          <w:rFonts w:hAnsi="標楷體" w:hint="eastAsia"/>
          <w:sz w:val="22"/>
          <w:szCs w:val="22"/>
        </w:rPr>
        <w:t>(</w:t>
      </w:r>
      <w:r w:rsidRPr="00FC1AFA">
        <w:rPr>
          <w:sz w:val="22"/>
          <w:szCs w:val="22"/>
        </w:rPr>
        <w:t>Mecklenburg-Vorpommern</w:t>
      </w:r>
      <w:r w:rsidR="003F1BF6" w:rsidRPr="003F1BF6">
        <w:rPr>
          <w:rFonts w:hAnsi="標楷體" w:hint="eastAsia"/>
          <w:sz w:val="22"/>
          <w:szCs w:val="22"/>
        </w:rPr>
        <w:t xml:space="preserve"> </w:t>
      </w:r>
      <w:r w:rsidR="003F1BF6">
        <w:rPr>
          <w:rFonts w:hAnsi="標楷體" w:hint="eastAsia"/>
          <w:sz w:val="22"/>
          <w:szCs w:val="22"/>
        </w:rPr>
        <w:t>)</w:t>
      </w:r>
      <w:r w:rsidRPr="00FC1AFA">
        <w:rPr>
          <w:rFonts w:hAnsi="標楷體"/>
          <w:sz w:val="22"/>
          <w:szCs w:val="22"/>
        </w:rPr>
        <w:t>的社會秩序維護法，因為該項廣告的內容觸犯刑法破壞種族和諧，及鼓吹納粹思想等煽惑犯罪之嫌，而命拆除，並處</w:t>
      </w:r>
      <w:r w:rsidRPr="00FC1AFA">
        <w:rPr>
          <w:sz w:val="22"/>
          <w:szCs w:val="22"/>
        </w:rPr>
        <w:t>5,000</w:t>
      </w:r>
      <w:r w:rsidRPr="00FC1AFA">
        <w:rPr>
          <w:rFonts w:hAnsi="標楷體"/>
          <w:sz w:val="22"/>
          <w:szCs w:val="22"/>
        </w:rPr>
        <w:t>歐元的罰鍰。國家黨不服而起訴，最終並經邦高等行政法院</w:t>
      </w:r>
      <w:smartTag w:uri="urn:schemas-microsoft-com:office:smarttags" w:element="chsdate">
        <w:smartTagPr>
          <w:attr w:name="IsROCDate" w:val="False"/>
          <w:attr w:name="IsLunarDate" w:val="False"/>
          <w:attr w:name="Day" w:val="19"/>
          <w:attr w:name="Month" w:val="9"/>
          <w:attr w:name="Year" w:val="2009"/>
        </w:smartTagPr>
        <w:r w:rsidRPr="00FC1AFA">
          <w:rPr>
            <w:sz w:val="22"/>
            <w:szCs w:val="22"/>
          </w:rPr>
          <w:t>2009</w:t>
        </w:r>
        <w:r w:rsidRPr="00FC1AFA">
          <w:rPr>
            <w:rFonts w:hAnsi="標楷體"/>
            <w:sz w:val="22"/>
            <w:szCs w:val="22"/>
          </w:rPr>
          <w:t>年</w:t>
        </w:r>
        <w:r w:rsidRPr="00FC1AFA">
          <w:rPr>
            <w:sz w:val="22"/>
            <w:szCs w:val="22"/>
          </w:rPr>
          <w:t>9</w:t>
        </w:r>
        <w:r w:rsidRPr="00FC1AFA">
          <w:rPr>
            <w:rFonts w:hAnsi="標楷體"/>
            <w:sz w:val="22"/>
            <w:szCs w:val="22"/>
          </w:rPr>
          <w:t>月</w:t>
        </w:r>
        <w:r w:rsidRPr="00FC1AFA">
          <w:rPr>
            <w:sz w:val="22"/>
            <w:szCs w:val="22"/>
          </w:rPr>
          <w:t>19</w:t>
        </w:r>
        <w:r w:rsidRPr="00FC1AFA">
          <w:rPr>
            <w:rFonts w:hAnsi="標楷體"/>
            <w:sz w:val="22"/>
            <w:szCs w:val="22"/>
          </w:rPr>
          <w:t>日</w:t>
        </w:r>
      </w:smartTag>
      <w:r w:rsidRPr="00FC1AFA">
        <w:rPr>
          <w:rFonts w:hAnsi="標楷體"/>
          <w:sz w:val="22"/>
          <w:szCs w:val="22"/>
        </w:rPr>
        <w:t>以裁定駁回而上訴確定。國家黨認為此舉侵犯其政治抗爭之言論自由權。但德國聯邦憲法法院以極快的效率作出了裁定：認定對比起生活在波蘭族群及人民的生存、人格權與人性尊嚴而言，這種彰顯政治鬥爭的言論顯為「低價值的本質」</w:t>
      </w:r>
      <w:r w:rsidR="003879AB">
        <w:rPr>
          <w:rFonts w:hAnsi="標楷體" w:hint="eastAsia"/>
          <w:sz w:val="22"/>
          <w:szCs w:val="22"/>
        </w:rPr>
        <w:t>(</w:t>
      </w:r>
      <w:r w:rsidRPr="00FC1AFA">
        <w:rPr>
          <w:sz w:val="22"/>
          <w:szCs w:val="22"/>
        </w:rPr>
        <w:t>minderwertige Wesen</w:t>
      </w:r>
      <w:r w:rsidR="003879AB">
        <w:rPr>
          <w:rFonts w:hAnsi="標楷體" w:hint="eastAsia"/>
          <w:sz w:val="22"/>
          <w:szCs w:val="22"/>
        </w:rPr>
        <w:t>)</w:t>
      </w:r>
      <w:r w:rsidRPr="00FC1AFA">
        <w:rPr>
          <w:rFonts w:hAnsi="標楷體"/>
          <w:sz w:val="22"/>
          <w:szCs w:val="22"/>
        </w:rPr>
        <w:t>。</w:t>
      </w:r>
      <w:r w:rsidRPr="00FC1AFA">
        <w:rPr>
          <w:sz w:val="22"/>
          <w:szCs w:val="22"/>
        </w:rPr>
        <w:t>2 BvR 2179, Beschluss vom 24.09.2009.</w:t>
      </w:r>
      <w:r w:rsidRPr="00FC1AFA">
        <w:rPr>
          <w:rFonts w:hAnsi="標楷體"/>
          <w:sz w:val="22"/>
          <w:szCs w:val="22"/>
        </w:rPr>
        <w:t>故聯邦憲法法院的立論，顯然認為廣告標語，雖是政治抗爭中的言論自由，但並不將之如美國般，視為最高價值的法益，而給予最嚴格的保障，反而將其與其他牽涉的人權相對比，而得出了「低階法益保障」的結論。同時本案也涉及對於廣告內容的審核，也未以「事前審查之禁止原則」來論究，也不論及以社會秩序維護法來制止或除去有違反該法之嫌的廣告是否違憲的問題。德國聯邦憲法法院本件判決，可以給本案在方法論上的一個極佳之思考方向。</w:t>
      </w:r>
    </w:p>
  </w:footnote>
  <w:footnote w:id="55">
    <w:p w:rsidR="002031E1" w:rsidRPr="00FC1AFA" w:rsidRDefault="002031E1" w:rsidP="00AF249D">
      <w:pPr>
        <w:kinsoku w:val="0"/>
        <w:overflowPunct w:val="0"/>
        <w:spacing w:line="391" w:lineRule="exact"/>
        <w:ind w:left="266" w:hanging="266"/>
        <w:jc w:val="both"/>
        <w:rPr>
          <w:sz w:val="22"/>
          <w:szCs w:val="22"/>
        </w:rPr>
      </w:pPr>
      <w:r w:rsidRPr="00FC1AFA">
        <w:rPr>
          <w:rStyle w:val="ab"/>
          <w:sz w:val="22"/>
          <w:szCs w:val="22"/>
        </w:rPr>
        <w:footnoteRef/>
      </w:r>
      <w:r w:rsidRPr="00FC1AFA">
        <w:rPr>
          <w:sz w:val="22"/>
          <w:szCs w:val="22"/>
          <w:lang w:val="de-DE"/>
        </w:rPr>
        <w:t xml:space="preserve"> </w:t>
      </w:r>
      <w:r w:rsidRPr="00FC1AFA">
        <w:rPr>
          <w:rFonts w:hAnsi="標楷體"/>
          <w:sz w:val="22"/>
          <w:szCs w:val="22"/>
          <w:lang w:val="de-DE"/>
        </w:rPr>
        <w:t>例如，德國各個鄉鎮幾乎都有類似的廣告物規則，由規定除了自家商店門窗、牆壁張貼廣告外，其他地方張貼廣告皆要獲得許可。德國各鄉鎮的情況乃委託民間公司，負責申請、張貼、收費等事宜，以求一致性，瑞士亦同。日本各地方也不乏類似的廣告，例如，全國性質的「屋外廣告物法」（昭和</w:t>
      </w:r>
      <w:smartTag w:uri="urn:schemas-microsoft-com:office:smarttags" w:element="chsdate">
        <w:smartTagPr>
          <w:attr w:name="IsROCDate" w:val="False"/>
          <w:attr w:name="IsLunarDate" w:val="False"/>
          <w:attr w:name="Day" w:val="3"/>
          <w:attr w:name="Month" w:val="6"/>
          <w:attr w:name="Year" w:val="2024"/>
        </w:smartTagPr>
        <w:r w:rsidRPr="00FC1AFA">
          <w:rPr>
            <w:sz w:val="22"/>
            <w:szCs w:val="22"/>
            <w:lang w:val="de-DE"/>
          </w:rPr>
          <w:t>24</w:t>
        </w:r>
        <w:r w:rsidRPr="00FC1AFA">
          <w:rPr>
            <w:rFonts w:hAnsi="標楷體"/>
            <w:sz w:val="22"/>
            <w:szCs w:val="22"/>
            <w:lang w:val="de-DE"/>
          </w:rPr>
          <w:t>年</w:t>
        </w:r>
        <w:r w:rsidRPr="00FC1AFA">
          <w:rPr>
            <w:sz w:val="22"/>
            <w:szCs w:val="22"/>
            <w:lang w:val="de-DE"/>
          </w:rPr>
          <w:t>6</w:t>
        </w:r>
        <w:r w:rsidRPr="00FC1AFA">
          <w:rPr>
            <w:rFonts w:hAnsi="標楷體"/>
            <w:sz w:val="22"/>
            <w:szCs w:val="22"/>
            <w:lang w:val="de-DE"/>
          </w:rPr>
          <w:t>月</w:t>
        </w:r>
        <w:r w:rsidRPr="00FC1AFA">
          <w:rPr>
            <w:sz w:val="22"/>
            <w:szCs w:val="22"/>
            <w:lang w:val="de-DE"/>
          </w:rPr>
          <w:t>3</w:t>
        </w:r>
        <w:r w:rsidRPr="00FC1AFA">
          <w:rPr>
            <w:rFonts w:hAnsi="標楷體"/>
            <w:sz w:val="22"/>
            <w:szCs w:val="22"/>
            <w:lang w:val="de-DE"/>
          </w:rPr>
          <w:t>日</w:t>
        </w:r>
      </w:smartTag>
      <w:r w:rsidRPr="00FC1AFA">
        <w:rPr>
          <w:rFonts w:hAnsi="標楷體"/>
          <w:sz w:val="22"/>
          <w:szCs w:val="22"/>
          <w:lang w:val="de-DE"/>
        </w:rPr>
        <w:t>，法律第百八十九號；最後改正平成</w:t>
      </w:r>
      <w:smartTag w:uri="urn:schemas-microsoft-com:office:smarttags" w:element="chsdate">
        <w:smartTagPr>
          <w:attr w:name="IsROCDate" w:val="False"/>
          <w:attr w:name="IsLunarDate" w:val="False"/>
          <w:attr w:name="Day" w:val="3"/>
          <w:attr w:name="Month" w:val="6"/>
          <w:attr w:name="Year" w:val="2023"/>
        </w:smartTagPr>
        <w:r w:rsidRPr="00FC1AFA">
          <w:rPr>
            <w:sz w:val="22"/>
            <w:szCs w:val="22"/>
            <w:lang w:val="de-DE"/>
          </w:rPr>
          <w:t>23</w:t>
        </w:r>
        <w:r w:rsidRPr="00FC1AFA">
          <w:rPr>
            <w:rFonts w:hAnsi="標楷體"/>
            <w:sz w:val="22"/>
            <w:szCs w:val="22"/>
            <w:lang w:val="de-DE"/>
          </w:rPr>
          <w:t>年</w:t>
        </w:r>
        <w:r w:rsidRPr="00FC1AFA">
          <w:rPr>
            <w:sz w:val="22"/>
            <w:szCs w:val="22"/>
            <w:lang w:val="de-DE"/>
          </w:rPr>
          <w:t>6</w:t>
        </w:r>
        <w:r w:rsidRPr="00FC1AFA">
          <w:rPr>
            <w:rFonts w:hAnsi="標楷體"/>
            <w:sz w:val="22"/>
            <w:szCs w:val="22"/>
            <w:lang w:val="de-DE"/>
          </w:rPr>
          <w:t>月</w:t>
        </w:r>
        <w:r w:rsidRPr="00FC1AFA">
          <w:rPr>
            <w:sz w:val="22"/>
            <w:szCs w:val="22"/>
            <w:lang w:val="de-DE"/>
          </w:rPr>
          <w:t>3</w:t>
        </w:r>
        <w:r w:rsidRPr="00FC1AFA">
          <w:rPr>
            <w:rFonts w:hAnsi="標楷體"/>
            <w:sz w:val="22"/>
            <w:szCs w:val="22"/>
            <w:lang w:val="de-DE"/>
          </w:rPr>
          <w:t>日</w:t>
        </w:r>
      </w:smartTag>
      <w:r w:rsidRPr="00FC1AFA">
        <w:rPr>
          <w:rFonts w:hAnsi="標楷體"/>
          <w:sz w:val="22"/>
          <w:szCs w:val="22"/>
          <w:lang w:val="de-DE"/>
        </w:rPr>
        <w:t>，法律第六十一號），各地方，如北海道屋外廣告條例（昭和</w:t>
      </w:r>
      <w:smartTag w:uri="urn:schemas-microsoft-com:office:smarttags" w:element="chsdate">
        <w:smartTagPr>
          <w:attr w:name="IsROCDate" w:val="False"/>
          <w:attr w:name="IsLunarDate" w:val="False"/>
          <w:attr w:name="Day" w:val="25"/>
          <w:attr w:name="Month" w:val="11"/>
          <w:attr w:name="Year" w:val="2025"/>
        </w:smartTagPr>
        <w:r w:rsidRPr="00FC1AFA">
          <w:rPr>
            <w:sz w:val="22"/>
            <w:szCs w:val="22"/>
            <w:lang w:val="de-DE"/>
          </w:rPr>
          <w:t>25</w:t>
        </w:r>
        <w:r w:rsidRPr="00FC1AFA">
          <w:rPr>
            <w:rFonts w:hAnsi="標楷體"/>
            <w:sz w:val="22"/>
            <w:szCs w:val="22"/>
            <w:lang w:val="de-DE"/>
          </w:rPr>
          <w:t>年</w:t>
        </w:r>
        <w:r w:rsidRPr="00FC1AFA">
          <w:rPr>
            <w:sz w:val="22"/>
            <w:szCs w:val="22"/>
            <w:lang w:val="de-DE"/>
          </w:rPr>
          <w:t>11</w:t>
        </w:r>
        <w:r w:rsidRPr="00FC1AFA">
          <w:rPr>
            <w:rFonts w:hAnsi="標楷體"/>
            <w:sz w:val="22"/>
            <w:szCs w:val="22"/>
            <w:lang w:val="de-DE"/>
          </w:rPr>
          <w:t>月</w:t>
        </w:r>
        <w:r w:rsidRPr="00FC1AFA">
          <w:rPr>
            <w:sz w:val="22"/>
            <w:szCs w:val="22"/>
            <w:lang w:val="de-DE"/>
          </w:rPr>
          <w:t>25</w:t>
        </w:r>
        <w:r w:rsidRPr="00FC1AFA">
          <w:rPr>
            <w:rFonts w:hAnsi="標楷體"/>
            <w:sz w:val="22"/>
            <w:szCs w:val="22"/>
            <w:lang w:val="de-DE"/>
          </w:rPr>
          <w:t>日</w:t>
        </w:r>
      </w:smartTag>
      <w:r w:rsidRPr="00FC1AFA">
        <w:rPr>
          <w:rFonts w:hAnsi="標楷體"/>
          <w:sz w:val="22"/>
          <w:szCs w:val="22"/>
          <w:lang w:val="de-DE"/>
        </w:rPr>
        <w:t>，條例第</w:t>
      </w:r>
      <w:r w:rsidRPr="00FC1AFA">
        <w:rPr>
          <w:sz w:val="22"/>
          <w:szCs w:val="22"/>
          <w:lang w:val="de-DE"/>
        </w:rPr>
        <w:t>70</w:t>
      </w:r>
      <w:r w:rsidRPr="00FC1AFA">
        <w:rPr>
          <w:rFonts w:hAnsi="標楷體"/>
          <w:sz w:val="22"/>
          <w:szCs w:val="22"/>
          <w:lang w:val="de-DE"/>
        </w:rPr>
        <w:t>號），以及北海道屋外廣告條例施行規則（最後改正平成</w:t>
      </w:r>
      <w:smartTag w:uri="urn:schemas-microsoft-com:office:smarttags" w:element="chsdate">
        <w:smartTagPr>
          <w:attr w:name="IsROCDate" w:val="False"/>
          <w:attr w:name="IsLunarDate" w:val="False"/>
          <w:attr w:name="Day" w:val="24"/>
          <w:attr w:name="Month" w:val="12"/>
          <w:attr w:name="Year" w:val="2026"/>
        </w:smartTagPr>
        <w:r w:rsidRPr="00FC1AFA">
          <w:rPr>
            <w:sz w:val="22"/>
            <w:szCs w:val="22"/>
            <w:lang w:val="de-DE"/>
          </w:rPr>
          <w:t>26</w:t>
        </w:r>
        <w:r w:rsidRPr="00FC1AFA">
          <w:rPr>
            <w:rFonts w:hAnsi="標楷體"/>
            <w:sz w:val="22"/>
            <w:szCs w:val="22"/>
            <w:lang w:val="de-DE"/>
          </w:rPr>
          <w:t>年</w:t>
        </w:r>
        <w:r w:rsidRPr="00FC1AFA">
          <w:rPr>
            <w:sz w:val="22"/>
            <w:szCs w:val="22"/>
            <w:lang w:val="de-DE"/>
          </w:rPr>
          <w:t>12</w:t>
        </w:r>
        <w:r w:rsidRPr="00FC1AFA">
          <w:rPr>
            <w:rFonts w:hAnsi="標楷體"/>
            <w:sz w:val="22"/>
            <w:szCs w:val="22"/>
            <w:lang w:val="de-DE"/>
          </w:rPr>
          <w:t>月</w:t>
        </w:r>
        <w:r w:rsidRPr="00FC1AFA">
          <w:rPr>
            <w:sz w:val="22"/>
            <w:szCs w:val="22"/>
            <w:lang w:val="de-DE"/>
          </w:rPr>
          <w:t>24</w:t>
        </w:r>
        <w:r w:rsidRPr="00FC1AFA">
          <w:rPr>
            <w:rFonts w:hAnsi="標楷體"/>
            <w:sz w:val="22"/>
            <w:szCs w:val="22"/>
            <w:lang w:val="de-DE"/>
          </w:rPr>
          <w:t>日</w:t>
        </w:r>
      </w:smartTag>
      <w:r w:rsidRPr="00FC1AFA">
        <w:rPr>
          <w:rFonts w:hAnsi="標楷體"/>
          <w:sz w:val="22"/>
          <w:szCs w:val="22"/>
          <w:lang w:val="de-DE"/>
        </w:rPr>
        <w:t>，規則第</w:t>
      </w:r>
      <w:r w:rsidRPr="00FC1AFA">
        <w:rPr>
          <w:sz w:val="22"/>
          <w:szCs w:val="22"/>
          <w:lang w:val="de-DE"/>
        </w:rPr>
        <w:t>95</w:t>
      </w:r>
      <w:r w:rsidRPr="00FC1AFA">
        <w:rPr>
          <w:rFonts w:hAnsi="標楷體"/>
          <w:sz w:val="22"/>
          <w:szCs w:val="22"/>
          <w:lang w:val="de-DE"/>
        </w:rPr>
        <w:t>號）。顯然，臺南市政府所制定的廣告物管理規範，與日本頗為類似。</w:t>
      </w:r>
    </w:p>
  </w:footnote>
  <w:footnote w:id="56">
    <w:p w:rsidR="00E87119" w:rsidRPr="00E87119" w:rsidRDefault="00E87119" w:rsidP="00AF249D">
      <w:pPr>
        <w:kinsoku w:val="0"/>
        <w:overflowPunct w:val="0"/>
        <w:spacing w:line="391" w:lineRule="exact"/>
        <w:ind w:left="266" w:hanging="266"/>
        <w:jc w:val="both"/>
        <w:rPr>
          <w:kern w:val="0"/>
          <w:sz w:val="22"/>
          <w:szCs w:val="22"/>
        </w:rPr>
      </w:pPr>
      <w:r w:rsidRPr="00E87119">
        <w:rPr>
          <w:rStyle w:val="ab"/>
          <w:kern w:val="0"/>
          <w:sz w:val="22"/>
          <w:szCs w:val="22"/>
        </w:rPr>
        <w:footnoteRef/>
      </w:r>
      <w:r>
        <w:rPr>
          <w:rFonts w:hAnsi="標楷體" w:hint="eastAsia"/>
          <w:kern w:val="0"/>
          <w:sz w:val="22"/>
          <w:szCs w:val="22"/>
        </w:rPr>
        <w:t xml:space="preserve"> </w:t>
      </w:r>
      <w:r w:rsidRPr="00E87119">
        <w:rPr>
          <w:rFonts w:hAnsi="標楷體"/>
          <w:kern w:val="0"/>
          <w:sz w:val="22"/>
          <w:szCs w:val="22"/>
        </w:rPr>
        <w:t>例如，公職人員選舉罷免法第</w:t>
      </w:r>
      <w:r w:rsidRPr="00E87119">
        <w:rPr>
          <w:kern w:val="0"/>
          <w:sz w:val="22"/>
          <w:szCs w:val="22"/>
        </w:rPr>
        <w:t>45</w:t>
      </w:r>
      <w:r w:rsidRPr="00E87119">
        <w:rPr>
          <w:rFonts w:hAnsi="標楷體"/>
          <w:kern w:val="0"/>
          <w:sz w:val="22"/>
          <w:szCs w:val="22"/>
        </w:rPr>
        <w:t>條第</w:t>
      </w:r>
      <w:r w:rsidRPr="00E87119">
        <w:rPr>
          <w:kern w:val="0"/>
          <w:sz w:val="22"/>
          <w:szCs w:val="22"/>
        </w:rPr>
        <w:t>5</w:t>
      </w:r>
      <w:r w:rsidRPr="00E87119">
        <w:rPr>
          <w:rFonts w:hAnsi="標楷體"/>
          <w:kern w:val="0"/>
          <w:sz w:val="22"/>
          <w:szCs w:val="22"/>
        </w:rPr>
        <w:t>款，有不得懸掛或豎立標語、看板、旗幟、布條等廣告物為候選人宣傳之規定；第</w:t>
      </w:r>
      <w:r w:rsidRPr="00E87119">
        <w:rPr>
          <w:kern w:val="0"/>
          <w:sz w:val="22"/>
          <w:szCs w:val="22"/>
        </w:rPr>
        <w:t>52</w:t>
      </w:r>
      <w:r w:rsidRPr="00E87119">
        <w:rPr>
          <w:rFonts w:hAnsi="標楷體"/>
          <w:kern w:val="0"/>
          <w:sz w:val="22"/>
          <w:szCs w:val="22"/>
        </w:rPr>
        <w:t>條有極為詳盡關於宣傳品印發及競選廣告物之懸掛豎立注意事項；其中第</w:t>
      </w:r>
      <w:r w:rsidRPr="00E87119">
        <w:rPr>
          <w:kern w:val="0"/>
          <w:sz w:val="22"/>
          <w:szCs w:val="22"/>
        </w:rPr>
        <w:t>4</w:t>
      </w:r>
      <w:r w:rsidRPr="00E87119">
        <w:rPr>
          <w:rFonts w:hAnsi="標楷體"/>
          <w:kern w:val="0"/>
          <w:sz w:val="22"/>
          <w:szCs w:val="22"/>
        </w:rPr>
        <w:t>項還有：「競選廣告物之懸掛或豎立，不得妨礙公共安全或交通秩序，並應於投票日後七日內自行清除；違反者，依有關法令規定處理。」的規定，與本案原因案件頗有密切的關連。</w:t>
      </w:r>
    </w:p>
  </w:footnote>
  <w:footnote w:id="57">
    <w:p w:rsidR="002031E1" w:rsidRPr="008D0387" w:rsidRDefault="002031E1" w:rsidP="00AF249D">
      <w:pPr>
        <w:kinsoku w:val="0"/>
        <w:overflowPunct w:val="0"/>
        <w:spacing w:line="391" w:lineRule="exact"/>
        <w:ind w:left="266" w:hanging="266"/>
        <w:jc w:val="both"/>
        <w:rPr>
          <w:kern w:val="0"/>
          <w:sz w:val="22"/>
          <w:szCs w:val="22"/>
        </w:rPr>
      </w:pPr>
      <w:r w:rsidRPr="008D0387">
        <w:rPr>
          <w:rStyle w:val="ab"/>
          <w:kern w:val="0"/>
          <w:sz w:val="22"/>
          <w:szCs w:val="22"/>
        </w:rPr>
        <w:footnoteRef/>
      </w:r>
      <w:r w:rsidRPr="008D0387">
        <w:rPr>
          <w:kern w:val="0"/>
          <w:sz w:val="22"/>
          <w:szCs w:val="22"/>
        </w:rPr>
        <w:t xml:space="preserve"> </w:t>
      </w:r>
      <w:r w:rsidRPr="008D0387">
        <w:rPr>
          <w:rFonts w:hAnsi="標楷體"/>
          <w:kern w:val="0"/>
          <w:sz w:val="22"/>
          <w:szCs w:val="22"/>
        </w:rPr>
        <w:t>例如，美國涉及新聞自由最重要的案例，</w:t>
      </w:r>
      <w:r w:rsidRPr="008D0387">
        <w:rPr>
          <w:kern w:val="0"/>
          <w:sz w:val="22"/>
          <w:szCs w:val="22"/>
        </w:rPr>
        <w:t>New York Times Co. v. Sullivan, 376 U.S. 254</w:t>
      </w:r>
      <w:r w:rsidRPr="008D0387">
        <w:rPr>
          <w:rFonts w:hAnsi="標楷體"/>
          <w:kern w:val="0"/>
          <w:sz w:val="22"/>
          <w:szCs w:val="22"/>
        </w:rPr>
        <w:t>（</w:t>
      </w:r>
      <w:r w:rsidRPr="008D0387">
        <w:rPr>
          <w:kern w:val="0"/>
          <w:sz w:val="22"/>
          <w:szCs w:val="22"/>
        </w:rPr>
        <w:t>1964</w:t>
      </w:r>
      <w:r w:rsidRPr="008D0387">
        <w:rPr>
          <w:rFonts w:hAnsi="標楷體"/>
          <w:kern w:val="0"/>
          <w:sz w:val="22"/>
          <w:szCs w:val="22"/>
        </w:rPr>
        <w:t>）。便是源於一則刊登在</w:t>
      </w:r>
      <w:r w:rsidRPr="008D0387">
        <w:rPr>
          <w:rFonts w:hAnsi="標楷體"/>
          <w:color w:val="000000"/>
          <w:kern w:val="0"/>
          <w:sz w:val="22"/>
          <w:szCs w:val="22"/>
          <w:lang w:val="fr-FR"/>
        </w:rPr>
        <w:t>紐約時報</w:t>
      </w:r>
      <w:r w:rsidRPr="008D0387">
        <w:rPr>
          <w:rFonts w:hAnsi="標楷體"/>
          <w:kern w:val="0"/>
          <w:sz w:val="22"/>
          <w:szCs w:val="22"/>
        </w:rPr>
        <w:t>的廣告，涉及譭謗，而使紐約時報涉訟，紐約時報援引新聞自由，將言論自由納入此自由的保障範圍之下，美國最高法院才作出此保障新聞自由涉及言論自由時，必須符合「譭謗須具備</w:t>
      </w:r>
      <w:r w:rsidRPr="008D0387">
        <w:rPr>
          <w:rFonts w:hAnsi="標楷體"/>
          <w:color w:val="000000"/>
          <w:kern w:val="0"/>
          <w:sz w:val="22"/>
          <w:szCs w:val="22"/>
          <w:lang w:val="fr-FR"/>
        </w:rPr>
        <w:t>真實</w:t>
      </w:r>
      <w:r w:rsidRPr="008D0387">
        <w:rPr>
          <w:rFonts w:hAnsi="標楷體"/>
          <w:kern w:val="0"/>
          <w:sz w:val="22"/>
          <w:szCs w:val="22"/>
        </w:rPr>
        <w:t>惡意」要件的著名案例。</w:t>
      </w:r>
    </w:p>
  </w:footnote>
  <w:footnote w:id="58">
    <w:p w:rsidR="002031E1" w:rsidRPr="008D0387" w:rsidRDefault="002031E1" w:rsidP="00AF249D">
      <w:pPr>
        <w:kinsoku w:val="0"/>
        <w:overflowPunct w:val="0"/>
        <w:spacing w:line="391" w:lineRule="exact"/>
        <w:ind w:left="266" w:hanging="266"/>
        <w:jc w:val="both"/>
        <w:rPr>
          <w:kern w:val="0"/>
          <w:sz w:val="22"/>
          <w:szCs w:val="22"/>
        </w:rPr>
      </w:pPr>
      <w:r w:rsidRPr="008D0387">
        <w:rPr>
          <w:rStyle w:val="ab"/>
          <w:kern w:val="0"/>
          <w:sz w:val="22"/>
          <w:szCs w:val="22"/>
        </w:rPr>
        <w:footnoteRef/>
      </w:r>
      <w:r w:rsidRPr="008D0387">
        <w:rPr>
          <w:kern w:val="0"/>
          <w:sz w:val="22"/>
          <w:szCs w:val="22"/>
        </w:rPr>
        <w:t xml:space="preserve"> </w:t>
      </w:r>
      <w:r w:rsidRPr="008D0387">
        <w:rPr>
          <w:rFonts w:hAnsi="標楷體"/>
          <w:kern w:val="0"/>
          <w:sz w:val="22"/>
          <w:szCs w:val="22"/>
        </w:rPr>
        <w:t>法治斌，論美國妨害名譽法制之憲法義務，刊載：前述書第</w:t>
      </w:r>
      <w:r w:rsidRPr="008D0387">
        <w:rPr>
          <w:kern w:val="0"/>
          <w:sz w:val="22"/>
          <w:szCs w:val="22"/>
        </w:rPr>
        <w:t>51</w:t>
      </w:r>
      <w:r w:rsidRPr="008D0387">
        <w:rPr>
          <w:rFonts w:hAnsi="標楷體"/>
          <w:kern w:val="0"/>
          <w:sz w:val="22"/>
          <w:szCs w:val="22"/>
        </w:rPr>
        <w:t>頁；林子儀，言論自由與名譽權</w:t>
      </w:r>
      <w:r w:rsidRPr="00EC5668">
        <w:rPr>
          <w:rFonts w:hAnsi="標楷體"/>
          <w:kern w:val="0"/>
          <w:sz w:val="22"/>
          <w:szCs w:val="22"/>
        </w:rPr>
        <w:t>保障</w:t>
      </w:r>
      <w:r w:rsidRPr="008D0387">
        <w:rPr>
          <w:rFonts w:hAnsi="標楷體"/>
          <w:kern w:val="0"/>
          <w:sz w:val="22"/>
          <w:szCs w:val="22"/>
        </w:rPr>
        <w:t>之新發展，</w:t>
      </w:r>
      <w:r w:rsidRPr="008D0387">
        <w:rPr>
          <w:rFonts w:hAnsi="標楷體"/>
          <w:color w:val="000000"/>
          <w:kern w:val="0"/>
          <w:sz w:val="22"/>
          <w:szCs w:val="22"/>
          <w:lang w:val="fr-FR"/>
        </w:rPr>
        <w:t>刊載</w:t>
      </w:r>
      <w:r w:rsidRPr="008D0387">
        <w:rPr>
          <w:rFonts w:hAnsi="標楷體"/>
          <w:kern w:val="0"/>
          <w:sz w:val="22"/>
          <w:szCs w:val="22"/>
        </w:rPr>
        <w:t>：焦興鎧（主編），美國最高法院重要判例之研究（</w:t>
      </w:r>
      <w:r w:rsidRPr="008D0387">
        <w:rPr>
          <w:kern w:val="0"/>
          <w:sz w:val="22"/>
          <w:szCs w:val="22"/>
        </w:rPr>
        <w:t>1990</w:t>
      </w:r>
      <w:r w:rsidRPr="008D0387">
        <w:rPr>
          <w:rFonts w:hAnsi="標楷體"/>
          <w:kern w:val="0"/>
          <w:sz w:val="22"/>
          <w:szCs w:val="22"/>
        </w:rPr>
        <w:t>～</w:t>
      </w:r>
      <w:r w:rsidRPr="008D0387">
        <w:rPr>
          <w:kern w:val="0"/>
          <w:sz w:val="22"/>
          <w:szCs w:val="22"/>
        </w:rPr>
        <w:t>1992</w:t>
      </w:r>
      <w:r w:rsidRPr="008D0387">
        <w:rPr>
          <w:rFonts w:hAnsi="標楷體"/>
          <w:kern w:val="0"/>
          <w:sz w:val="22"/>
          <w:szCs w:val="22"/>
        </w:rPr>
        <w:t>），中央研究院，歐美研究所出版，</w:t>
      </w:r>
      <w:r w:rsidRPr="008D0387">
        <w:rPr>
          <w:rFonts w:hAnsi="標楷體"/>
          <w:color w:val="000000"/>
          <w:kern w:val="0"/>
          <w:sz w:val="22"/>
          <w:szCs w:val="22"/>
          <w:lang w:val="fr-FR"/>
        </w:rPr>
        <w:t>民國</w:t>
      </w:r>
      <w:r w:rsidRPr="008D0387">
        <w:rPr>
          <w:kern w:val="0"/>
          <w:sz w:val="22"/>
          <w:szCs w:val="22"/>
        </w:rPr>
        <w:t>84</w:t>
      </w:r>
      <w:r w:rsidRPr="008D0387">
        <w:rPr>
          <w:rFonts w:hAnsi="標楷體"/>
          <w:kern w:val="0"/>
          <w:sz w:val="22"/>
          <w:szCs w:val="22"/>
        </w:rPr>
        <w:t>年，第</w:t>
      </w:r>
      <w:r w:rsidRPr="008D0387">
        <w:rPr>
          <w:kern w:val="0"/>
          <w:sz w:val="22"/>
          <w:szCs w:val="22"/>
        </w:rPr>
        <w:t xml:space="preserve">13 </w:t>
      </w:r>
      <w:r w:rsidRPr="008D0387">
        <w:rPr>
          <w:rFonts w:hAnsi="標楷體"/>
          <w:kern w:val="0"/>
          <w:sz w:val="22"/>
          <w:szCs w:val="22"/>
        </w:rPr>
        <w:t>頁；</w:t>
      </w:r>
      <w:r w:rsidRPr="008D0387">
        <w:rPr>
          <w:rFonts w:hAnsi="標楷體"/>
          <w:kern w:val="0"/>
          <w:sz w:val="22"/>
          <w:szCs w:val="22"/>
          <w:lang w:val="de-DE"/>
        </w:rPr>
        <w:t>可參見陳新民，憲法學釋論，修正</w:t>
      </w:r>
      <w:r w:rsidRPr="008D0387">
        <w:rPr>
          <w:kern w:val="0"/>
          <w:sz w:val="22"/>
          <w:szCs w:val="22"/>
          <w:lang w:val="de-DE"/>
        </w:rPr>
        <w:t>8</w:t>
      </w:r>
      <w:r w:rsidRPr="008D0387">
        <w:rPr>
          <w:rFonts w:hAnsi="標楷體"/>
          <w:kern w:val="0"/>
          <w:sz w:val="22"/>
          <w:szCs w:val="22"/>
          <w:lang w:val="de-DE"/>
        </w:rPr>
        <w:t>版，民國</w:t>
      </w:r>
      <w:r w:rsidRPr="008D0387">
        <w:rPr>
          <w:kern w:val="0"/>
          <w:sz w:val="22"/>
          <w:szCs w:val="22"/>
          <w:lang w:val="de-DE"/>
        </w:rPr>
        <w:t>104</w:t>
      </w:r>
      <w:r w:rsidRPr="008D0387">
        <w:rPr>
          <w:rFonts w:hAnsi="標楷體"/>
          <w:kern w:val="0"/>
          <w:sz w:val="22"/>
          <w:szCs w:val="22"/>
          <w:lang w:val="de-DE"/>
        </w:rPr>
        <w:t>年</w:t>
      </w:r>
      <w:r w:rsidRPr="008D0387">
        <w:rPr>
          <w:kern w:val="0"/>
          <w:sz w:val="22"/>
          <w:szCs w:val="22"/>
          <w:lang w:val="de-DE"/>
        </w:rPr>
        <w:t>5</w:t>
      </w:r>
      <w:r w:rsidRPr="008D0387">
        <w:rPr>
          <w:rFonts w:hAnsi="標楷體"/>
          <w:kern w:val="0"/>
          <w:sz w:val="22"/>
          <w:szCs w:val="22"/>
          <w:lang w:val="de-DE"/>
        </w:rPr>
        <w:t>月，第</w:t>
      </w:r>
      <w:r w:rsidRPr="008D0387">
        <w:rPr>
          <w:kern w:val="0"/>
          <w:sz w:val="22"/>
          <w:szCs w:val="22"/>
          <w:lang w:val="de-DE"/>
        </w:rPr>
        <w:t>283</w:t>
      </w:r>
      <w:r w:rsidRPr="008D0387">
        <w:rPr>
          <w:rFonts w:hAnsi="標楷體"/>
          <w:kern w:val="0"/>
          <w:sz w:val="22"/>
          <w:szCs w:val="22"/>
          <w:lang w:val="de-DE"/>
        </w:rPr>
        <w:t>頁以下。</w:t>
      </w:r>
    </w:p>
  </w:footnote>
  <w:footnote w:id="59">
    <w:p w:rsidR="002031E1" w:rsidRPr="008D0387" w:rsidRDefault="002031E1" w:rsidP="00AF249D">
      <w:pPr>
        <w:kinsoku w:val="0"/>
        <w:overflowPunct w:val="0"/>
        <w:spacing w:line="391" w:lineRule="exact"/>
        <w:ind w:left="266" w:hanging="266"/>
        <w:jc w:val="both"/>
        <w:rPr>
          <w:kern w:val="0"/>
          <w:sz w:val="22"/>
          <w:szCs w:val="22"/>
        </w:rPr>
      </w:pPr>
      <w:r w:rsidRPr="008D0387">
        <w:rPr>
          <w:rStyle w:val="ab"/>
          <w:kern w:val="0"/>
          <w:sz w:val="22"/>
          <w:szCs w:val="22"/>
        </w:rPr>
        <w:footnoteRef/>
      </w:r>
      <w:r w:rsidRPr="008D0387">
        <w:rPr>
          <w:kern w:val="0"/>
          <w:sz w:val="22"/>
          <w:szCs w:val="22"/>
          <w:lang w:val="de-DE"/>
        </w:rPr>
        <w:t xml:space="preserve"> </w:t>
      </w:r>
      <w:r w:rsidRPr="008D0387">
        <w:rPr>
          <w:rFonts w:hAnsi="標楷體"/>
          <w:kern w:val="0"/>
          <w:sz w:val="22"/>
          <w:szCs w:val="22"/>
          <w:lang w:val="de-DE"/>
        </w:rPr>
        <w:t>可參見陳新民，</w:t>
      </w:r>
      <w:r w:rsidRPr="008D0387">
        <w:rPr>
          <w:rFonts w:hAnsi="標楷體"/>
          <w:color w:val="000000"/>
          <w:kern w:val="0"/>
          <w:sz w:val="22"/>
          <w:szCs w:val="22"/>
          <w:lang w:val="fr-FR"/>
        </w:rPr>
        <w:t>憲法</w:t>
      </w:r>
      <w:r w:rsidRPr="008D0387">
        <w:rPr>
          <w:rFonts w:hAnsi="標楷體"/>
          <w:kern w:val="0"/>
          <w:sz w:val="22"/>
          <w:szCs w:val="22"/>
          <w:lang w:val="de-DE"/>
        </w:rPr>
        <w:t>學釋論，第</w:t>
      </w:r>
      <w:r w:rsidRPr="008D0387">
        <w:rPr>
          <w:kern w:val="0"/>
          <w:sz w:val="22"/>
          <w:szCs w:val="22"/>
          <w:lang w:val="de-DE"/>
        </w:rPr>
        <w:t>350</w:t>
      </w:r>
      <w:r w:rsidRPr="008D0387">
        <w:rPr>
          <w:rFonts w:hAnsi="標楷體"/>
          <w:kern w:val="0"/>
          <w:sz w:val="22"/>
          <w:szCs w:val="22"/>
          <w:lang w:val="de-DE"/>
        </w:rPr>
        <w:t>頁以下。</w:t>
      </w:r>
    </w:p>
  </w:footnote>
  <w:footnote w:id="60">
    <w:p w:rsidR="002031E1" w:rsidRPr="001C1190" w:rsidRDefault="002031E1" w:rsidP="00AF249D">
      <w:pPr>
        <w:kinsoku w:val="0"/>
        <w:overflowPunct w:val="0"/>
        <w:spacing w:line="391" w:lineRule="exact"/>
        <w:ind w:left="266" w:hanging="266"/>
        <w:jc w:val="both"/>
        <w:rPr>
          <w:kern w:val="0"/>
          <w:sz w:val="22"/>
          <w:szCs w:val="22"/>
        </w:rPr>
      </w:pPr>
      <w:r w:rsidRPr="001C1190">
        <w:rPr>
          <w:rStyle w:val="ab"/>
          <w:kern w:val="0"/>
          <w:sz w:val="22"/>
          <w:szCs w:val="22"/>
        </w:rPr>
        <w:footnoteRef/>
      </w:r>
      <w:r w:rsidRPr="001C1190">
        <w:rPr>
          <w:kern w:val="0"/>
          <w:sz w:val="22"/>
          <w:szCs w:val="22"/>
        </w:rPr>
        <w:t xml:space="preserve"> </w:t>
      </w:r>
      <w:r w:rsidRPr="001C1190">
        <w:rPr>
          <w:rFonts w:hAnsi="標楷體"/>
          <w:kern w:val="0"/>
          <w:sz w:val="22"/>
          <w:szCs w:val="22"/>
        </w:rPr>
        <w:t>否則，在論理上可否合理化系爭規定所援的廢棄物清理法第</w:t>
      </w:r>
      <w:r w:rsidRPr="001C1190">
        <w:rPr>
          <w:kern w:val="0"/>
          <w:sz w:val="22"/>
          <w:szCs w:val="22"/>
        </w:rPr>
        <w:t>27</w:t>
      </w:r>
      <w:r w:rsidRPr="001C1190">
        <w:rPr>
          <w:rFonts w:hAnsi="標楷體"/>
          <w:kern w:val="0"/>
          <w:sz w:val="22"/>
          <w:szCs w:val="22"/>
        </w:rPr>
        <w:t>條的其他</w:t>
      </w:r>
      <w:r w:rsidRPr="001C1190">
        <w:rPr>
          <w:kern w:val="0"/>
          <w:sz w:val="22"/>
          <w:szCs w:val="22"/>
        </w:rPr>
        <w:t>1</w:t>
      </w:r>
      <w:r w:rsidRPr="001C1190">
        <w:rPr>
          <w:rFonts w:hAnsi="標楷體"/>
          <w:kern w:val="0"/>
          <w:sz w:val="22"/>
          <w:szCs w:val="22"/>
        </w:rPr>
        <w:t>到第</w:t>
      </w:r>
      <w:r w:rsidRPr="001C1190">
        <w:rPr>
          <w:kern w:val="0"/>
          <w:sz w:val="22"/>
          <w:szCs w:val="22"/>
        </w:rPr>
        <w:t>10</w:t>
      </w:r>
      <w:r w:rsidRPr="001C1190">
        <w:rPr>
          <w:rFonts w:hAnsi="標楷體"/>
          <w:kern w:val="0"/>
          <w:sz w:val="22"/>
          <w:szCs w:val="22"/>
        </w:rPr>
        <w:t>款為「一般行為自由」之管制，而第</w:t>
      </w:r>
      <w:r w:rsidRPr="001C1190">
        <w:rPr>
          <w:kern w:val="0"/>
          <w:sz w:val="22"/>
          <w:szCs w:val="22"/>
        </w:rPr>
        <w:t>11</w:t>
      </w:r>
      <w:r w:rsidRPr="001C1190">
        <w:rPr>
          <w:rFonts w:hAnsi="標楷體"/>
          <w:kern w:val="0"/>
          <w:sz w:val="22"/>
          <w:szCs w:val="22"/>
        </w:rPr>
        <w:t>款突然一變轉為言論自由之限制乎？</w:t>
      </w:r>
    </w:p>
  </w:footnote>
  <w:footnote w:id="61">
    <w:p w:rsidR="002031E1" w:rsidRPr="00352D1A" w:rsidRDefault="002031E1" w:rsidP="00444883">
      <w:pPr>
        <w:kinsoku w:val="0"/>
        <w:overflowPunct w:val="0"/>
        <w:adjustRightInd w:val="0"/>
        <w:snapToGrid w:val="0"/>
        <w:spacing w:line="391" w:lineRule="exact"/>
        <w:ind w:left="266" w:hanging="266"/>
        <w:rPr>
          <w:kern w:val="0"/>
          <w:sz w:val="22"/>
          <w:szCs w:val="22"/>
        </w:rPr>
      </w:pPr>
      <w:r w:rsidRPr="00352D1A">
        <w:rPr>
          <w:rStyle w:val="ab"/>
          <w:kern w:val="0"/>
          <w:sz w:val="22"/>
          <w:szCs w:val="22"/>
        </w:rPr>
        <w:footnoteRef/>
      </w:r>
      <w:r w:rsidRPr="00352D1A">
        <w:rPr>
          <w:kern w:val="0"/>
          <w:sz w:val="22"/>
          <w:szCs w:val="22"/>
        </w:rPr>
        <w:t xml:space="preserve"> </w:t>
      </w:r>
      <w:r w:rsidRPr="00352D1A">
        <w:rPr>
          <w:rFonts w:hAnsi="標楷體"/>
          <w:kern w:val="0"/>
          <w:sz w:val="22"/>
          <w:szCs w:val="22"/>
        </w:rPr>
        <w:t>可參見陳新民，</w:t>
      </w:r>
      <w:r w:rsidRPr="00352D1A">
        <w:rPr>
          <w:rFonts w:hAnsi="標楷體"/>
          <w:color w:val="000000"/>
          <w:kern w:val="0"/>
          <w:sz w:val="22"/>
          <w:szCs w:val="22"/>
          <w:lang w:val="fr-FR"/>
        </w:rPr>
        <w:t>李光耀</w:t>
      </w:r>
      <w:r w:rsidRPr="00352D1A">
        <w:rPr>
          <w:rFonts w:hAnsi="標楷體"/>
          <w:kern w:val="0"/>
          <w:sz w:val="22"/>
          <w:szCs w:val="22"/>
        </w:rPr>
        <w:t>的法治觀</w:t>
      </w:r>
      <w:r w:rsidRPr="00352D1A">
        <w:rPr>
          <w:kern w:val="0"/>
          <w:sz w:val="22"/>
          <w:szCs w:val="22"/>
        </w:rPr>
        <w:t>—</w:t>
      </w:r>
      <w:r w:rsidRPr="00352D1A">
        <w:rPr>
          <w:rFonts w:hAnsi="標楷體"/>
          <w:kern w:val="0"/>
          <w:sz w:val="22"/>
          <w:szCs w:val="22"/>
        </w:rPr>
        <w:t>以中國法家思想來驗證，當代公法新論</w:t>
      </w:r>
      <w:r w:rsidRPr="00352D1A">
        <w:rPr>
          <w:kern w:val="0"/>
          <w:sz w:val="22"/>
          <w:szCs w:val="22"/>
        </w:rPr>
        <w:t>─</w:t>
      </w:r>
      <w:r w:rsidRPr="00352D1A">
        <w:rPr>
          <w:rFonts w:hAnsi="標楷體"/>
          <w:kern w:val="0"/>
          <w:sz w:val="22"/>
          <w:szCs w:val="22"/>
        </w:rPr>
        <w:t>翁岳生教授七秩誕辰祝壽論文集，上冊，元照出版社，</w:t>
      </w:r>
      <w:r w:rsidRPr="00352D1A">
        <w:rPr>
          <w:kern w:val="0"/>
          <w:sz w:val="22"/>
          <w:szCs w:val="22"/>
        </w:rPr>
        <w:t>2002</w:t>
      </w:r>
      <w:r w:rsidRPr="00352D1A">
        <w:rPr>
          <w:rFonts w:hAnsi="標楷體"/>
          <w:kern w:val="0"/>
          <w:sz w:val="22"/>
          <w:szCs w:val="22"/>
        </w:rPr>
        <w:t>年</w:t>
      </w:r>
      <w:r w:rsidRPr="00352D1A">
        <w:rPr>
          <w:kern w:val="0"/>
          <w:sz w:val="22"/>
          <w:szCs w:val="22"/>
        </w:rPr>
        <w:t>7</w:t>
      </w:r>
      <w:r w:rsidRPr="00352D1A">
        <w:rPr>
          <w:rFonts w:hAnsi="標楷體"/>
          <w:kern w:val="0"/>
          <w:sz w:val="22"/>
          <w:szCs w:val="22"/>
        </w:rPr>
        <w:t>月，第</w:t>
      </w:r>
      <w:r w:rsidRPr="00352D1A">
        <w:rPr>
          <w:kern w:val="0"/>
          <w:sz w:val="22"/>
          <w:szCs w:val="22"/>
        </w:rPr>
        <w:t>682</w:t>
      </w:r>
      <w:r w:rsidRPr="00352D1A">
        <w:rPr>
          <w:rFonts w:hAnsi="標楷體"/>
          <w:kern w:val="0"/>
          <w:sz w:val="22"/>
          <w:szCs w:val="22"/>
        </w:rPr>
        <w:t>頁。</w:t>
      </w:r>
    </w:p>
  </w:footnote>
  <w:footnote w:id="62">
    <w:p w:rsidR="002031E1" w:rsidRPr="00352D1A" w:rsidRDefault="002031E1" w:rsidP="005E1FF9">
      <w:pPr>
        <w:kinsoku w:val="0"/>
        <w:overflowPunct w:val="0"/>
        <w:adjustRightInd w:val="0"/>
        <w:snapToGrid w:val="0"/>
        <w:spacing w:line="391" w:lineRule="exact"/>
        <w:ind w:left="227" w:hanging="227"/>
        <w:rPr>
          <w:kern w:val="0"/>
          <w:sz w:val="22"/>
          <w:szCs w:val="22"/>
        </w:rPr>
      </w:pPr>
      <w:r w:rsidRPr="00352D1A">
        <w:rPr>
          <w:rStyle w:val="ab"/>
          <w:kern w:val="0"/>
          <w:sz w:val="22"/>
          <w:szCs w:val="22"/>
        </w:rPr>
        <w:footnoteRef/>
      </w:r>
      <w:r w:rsidRPr="00352D1A">
        <w:rPr>
          <w:kern w:val="0"/>
          <w:sz w:val="22"/>
          <w:szCs w:val="22"/>
        </w:rPr>
        <w:t xml:space="preserve"> </w:t>
      </w:r>
      <w:r w:rsidRPr="00352D1A">
        <w:rPr>
          <w:rFonts w:hAnsi="標楷體"/>
          <w:kern w:val="0"/>
          <w:sz w:val="22"/>
          <w:szCs w:val="22"/>
        </w:rPr>
        <w:t>陳新民，行政法學總論，新九版，</w:t>
      </w:r>
      <w:r w:rsidRPr="00352D1A">
        <w:rPr>
          <w:kern w:val="0"/>
          <w:sz w:val="22"/>
          <w:szCs w:val="22"/>
        </w:rPr>
        <w:t>2015</w:t>
      </w:r>
      <w:r w:rsidRPr="00352D1A">
        <w:rPr>
          <w:rFonts w:hAnsi="標楷體"/>
          <w:kern w:val="0"/>
          <w:sz w:val="22"/>
          <w:szCs w:val="22"/>
        </w:rPr>
        <w:t>年</w:t>
      </w:r>
      <w:r w:rsidRPr="00352D1A">
        <w:rPr>
          <w:kern w:val="0"/>
          <w:sz w:val="22"/>
          <w:szCs w:val="22"/>
        </w:rPr>
        <w:t>10</w:t>
      </w:r>
      <w:r w:rsidRPr="00352D1A">
        <w:rPr>
          <w:rFonts w:hAnsi="標楷體"/>
          <w:kern w:val="0"/>
          <w:sz w:val="22"/>
          <w:szCs w:val="22"/>
        </w:rPr>
        <w:t>月，第</w:t>
      </w:r>
      <w:r w:rsidRPr="00352D1A">
        <w:rPr>
          <w:kern w:val="0"/>
          <w:sz w:val="22"/>
          <w:szCs w:val="22"/>
        </w:rPr>
        <w:t>181</w:t>
      </w:r>
      <w:r w:rsidRPr="00352D1A">
        <w:rPr>
          <w:rFonts w:hAnsi="標楷體"/>
          <w:kern w:val="0"/>
          <w:sz w:val="22"/>
          <w:szCs w:val="22"/>
        </w:rPr>
        <w:t>頁。</w:t>
      </w:r>
    </w:p>
  </w:footnote>
  <w:footnote w:id="63">
    <w:p w:rsidR="002031E1" w:rsidRPr="009F2955" w:rsidRDefault="002031E1" w:rsidP="00696482">
      <w:pPr>
        <w:kinsoku w:val="0"/>
        <w:overflowPunct w:val="0"/>
        <w:adjustRightInd w:val="0"/>
        <w:snapToGrid w:val="0"/>
        <w:spacing w:line="391" w:lineRule="exact"/>
        <w:ind w:left="227" w:hanging="227"/>
        <w:rPr>
          <w:kern w:val="0"/>
          <w:sz w:val="22"/>
          <w:szCs w:val="22"/>
        </w:rPr>
      </w:pPr>
      <w:r w:rsidRPr="009F2955">
        <w:rPr>
          <w:rStyle w:val="ab"/>
          <w:kern w:val="0"/>
          <w:sz w:val="22"/>
          <w:szCs w:val="22"/>
        </w:rPr>
        <w:footnoteRef/>
      </w:r>
      <w:r w:rsidRPr="009F2955">
        <w:rPr>
          <w:kern w:val="0"/>
          <w:sz w:val="22"/>
          <w:szCs w:val="22"/>
          <w:lang w:val="de-DE"/>
        </w:rPr>
        <w:t xml:space="preserve"> Gustav Radbruch, </w:t>
      </w:r>
      <w:r w:rsidRPr="009F2955">
        <w:rPr>
          <w:rFonts w:hAnsi="標楷體"/>
          <w:color w:val="000000"/>
          <w:kern w:val="0"/>
          <w:sz w:val="22"/>
          <w:szCs w:val="22"/>
          <w:lang w:val="fr-FR"/>
        </w:rPr>
        <w:t>Aphorismen</w:t>
      </w:r>
      <w:r w:rsidRPr="009F2955">
        <w:rPr>
          <w:kern w:val="0"/>
          <w:sz w:val="22"/>
          <w:szCs w:val="22"/>
          <w:lang w:val="de-DE"/>
        </w:rPr>
        <w:t xml:space="preserve"> zur Rechtsweisheit, 1963, S.111.</w:t>
      </w:r>
    </w:p>
  </w:footnote>
  <w:footnote w:id="64">
    <w:p w:rsidR="002031E1" w:rsidRPr="009F2955" w:rsidRDefault="002031E1" w:rsidP="00D63F39">
      <w:pPr>
        <w:kinsoku w:val="0"/>
        <w:overflowPunct w:val="0"/>
        <w:adjustRightInd w:val="0"/>
        <w:snapToGrid w:val="0"/>
        <w:spacing w:line="391" w:lineRule="exact"/>
        <w:ind w:left="252" w:hanging="252"/>
        <w:rPr>
          <w:kern w:val="0"/>
          <w:sz w:val="22"/>
          <w:szCs w:val="22"/>
        </w:rPr>
      </w:pPr>
      <w:r w:rsidRPr="009F2955">
        <w:rPr>
          <w:rStyle w:val="ab"/>
          <w:kern w:val="0"/>
          <w:sz w:val="22"/>
          <w:szCs w:val="22"/>
        </w:rPr>
        <w:footnoteRef/>
      </w:r>
      <w:r w:rsidRPr="009F2955">
        <w:rPr>
          <w:kern w:val="0"/>
          <w:sz w:val="22"/>
          <w:szCs w:val="22"/>
          <w:lang w:val="de-DE"/>
        </w:rPr>
        <w:t xml:space="preserve"> </w:t>
      </w:r>
      <w:r w:rsidRPr="009F2955">
        <w:rPr>
          <w:rFonts w:hAnsi="標楷體"/>
          <w:kern w:val="0"/>
          <w:sz w:val="22"/>
          <w:szCs w:val="22"/>
        </w:rPr>
        <w:t>賴特布魯赫這句名言「也危及了放在玻璃櫥窗內易碎的磁器」</w:t>
      </w:r>
      <w:r w:rsidRPr="009F2955">
        <w:rPr>
          <w:rFonts w:hAnsi="標楷體"/>
          <w:kern w:val="0"/>
          <w:sz w:val="22"/>
          <w:szCs w:val="22"/>
          <w:lang w:val="de-DE"/>
        </w:rPr>
        <w:t>，</w:t>
      </w:r>
      <w:r w:rsidRPr="009F2955">
        <w:rPr>
          <w:rFonts w:hAnsi="標楷體"/>
          <w:kern w:val="0"/>
          <w:sz w:val="22"/>
          <w:szCs w:val="22"/>
        </w:rPr>
        <w:t>馬上會令人聯想到著名的</w:t>
      </w:r>
      <w:r w:rsidRPr="009F2955">
        <w:rPr>
          <w:kern w:val="0"/>
          <w:sz w:val="22"/>
          <w:szCs w:val="22"/>
          <w:lang w:val="de-DE"/>
        </w:rPr>
        <w:t>1938</w:t>
      </w:r>
      <w:r w:rsidRPr="009F2955">
        <w:rPr>
          <w:rFonts w:hAnsi="標楷體"/>
          <w:kern w:val="0"/>
          <w:sz w:val="22"/>
          <w:szCs w:val="22"/>
        </w:rPr>
        <w:t>年</w:t>
      </w:r>
      <w:r w:rsidRPr="009F2955">
        <w:rPr>
          <w:kern w:val="0"/>
          <w:sz w:val="22"/>
          <w:szCs w:val="22"/>
          <w:lang w:val="de-DE"/>
        </w:rPr>
        <w:t>11</w:t>
      </w:r>
      <w:r w:rsidRPr="009F2955">
        <w:rPr>
          <w:rFonts w:hAnsi="標楷體"/>
          <w:kern w:val="0"/>
          <w:sz w:val="22"/>
          <w:szCs w:val="22"/>
        </w:rPr>
        <w:t>月</w:t>
      </w:r>
      <w:r w:rsidRPr="009F2955">
        <w:rPr>
          <w:kern w:val="0"/>
          <w:sz w:val="22"/>
          <w:szCs w:val="22"/>
          <w:lang w:val="de-DE"/>
        </w:rPr>
        <w:t>9</w:t>
      </w:r>
      <w:r w:rsidRPr="009F2955">
        <w:rPr>
          <w:rFonts w:hAnsi="標楷體"/>
          <w:kern w:val="0"/>
          <w:sz w:val="22"/>
          <w:szCs w:val="22"/>
        </w:rPr>
        <w:t>日晚上納粹</w:t>
      </w:r>
      <w:r w:rsidRPr="009F2955">
        <w:rPr>
          <w:rFonts w:hAnsi="標楷體"/>
          <w:color w:val="000000"/>
          <w:kern w:val="0"/>
          <w:sz w:val="22"/>
          <w:szCs w:val="22"/>
          <w:lang w:val="fr-FR"/>
        </w:rPr>
        <w:t>政權</w:t>
      </w:r>
      <w:r w:rsidRPr="009F2955">
        <w:rPr>
          <w:rFonts w:hAnsi="標楷體"/>
          <w:kern w:val="0"/>
          <w:sz w:val="22"/>
          <w:szCs w:val="22"/>
        </w:rPr>
        <w:t>發動反猶太人的暴動</w:t>
      </w:r>
      <w:r w:rsidRPr="009F2955">
        <w:rPr>
          <w:rFonts w:hAnsi="標楷體"/>
          <w:kern w:val="0"/>
          <w:sz w:val="22"/>
          <w:szCs w:val="22"/>
          <w:lang w:val="de-DE"/>
        </w:rPr>
        <w:t>，</w:t>
      </w:r>
      <w:r w:rsidRPr="009F2955">
        <w:rPr>
          <w:rFonts w:hAnsi="標楷體"/>
          <w:kern w:val="0"/>
          <w:sz w:val="22"/>
          <w:szCs w:val="22"/>
        </w:rPr>
        <w:t>全國砸碎了</w:t>
      </w:r>
      <w:r w:rsidRPr="009F2955">
        <w:rPr>
          <w:kern w:val="0"/>
          <w:sz w:val="22"/>
          <w:szCs w:val="22"/>
          <w:lang w:val="de-DE"/>
        </w:rPr>
        <w:t>7500</w:t>
      </w:r>
      <w:r w:rsidRPr="009F2955">
        <w:rPr>
          <w:rFonts w:hAnsi="標楷體"/>
          <w:kern w:val="0"/>
          <w:sz w:val="22"/>
          <w:szCs w:val="22"/>
          <w:lang w:val="de-DE"/>
        </w:rPr>
        <w:t>家猶太人的商店，致使全國到處城市街道上撒滿了碎玻璃，史稱</w:t>
      </w:r>
      <w:r w:rsidRPr="009F2955">
        <w:rPr>
          <w:rFonts w:hAnsi="標楷體"/>
          <w:kern w:val="0"/>
          <w:sz w:val="22"/>
          <w:szCs w:val="22"/>
        </w:rPr>
        <w:t>「碎玻璃窗之夜」</w:t>
      </w:r>
      <w:r w:rsidR="00D4238C">
        <w:rPr>
          <w:rFonts w:hAnsi="標楷體" w:hint="eastAsia"/>
          <w:kern w:val="0"/>
          <w:sz w:val="22"/>
          <w:szCs w:val="22"/>
          <w:lang w:val="de-DE"/>
        </w:rPr>
        <w:t>(</w:t>
      </w:r>
      <w:r w:rsidRPr="009F2955">
        <w:rPr>
          <w:kern w:val="0"/>
          <w:sz w:val="22"/>
          <w:szCs w:val="22"/>
          <w:lang w:val="de-DE"/>
        </w:rPr>
        <w:t>the Night of Broken Glass</w:t>
      </w:r>
      <w:r w:rsidR="00D4238C">
        <w:rPr>
          <w:rFonts w:hAnsi="標楷體" w:hint="eastAsia"/>
          <w:kern w:val="0"/>
          <w:sz w:val="22"/>
          <w:szCs w:val="22"/>
          <w:lang w:val="de-DE"/>
        </w:rPr>
        <w:t>)</w:t>
      </w:r>
      <w:r w:rsidRPr="009F2955">
        <w:rPr>
          <w:rFonts w:hAnsi="標楷體"/>
          <w:kern w:val="0"/>
          <w:sz w:val="22"/>
          <w:szCs w:val="22"/>
        </w:rPr>
        <w:t>。但在德國國家宣傳機器</w:t>
      </w:r>
      <w:r w:rsidRPr="009F2955">
        <w:rPr>
          <w:kern w:val="0"/>
          <w:sz w:val="22"/>
          <w:szCs w:val="22"/>
        </w:rPr>
        <w:t>──</w:t>
      </w:r>
      <w:r w:rsidRPr="009F2955">
        <w:rPr>
          <w:rFonts w:hAnsi="標楷體"/>
          <w:kern w:val="0"/>
          <w:sz w:val="22"/>
          <w:szCs w:val="22"/>
        </w:rPr>
        <w:t>宣傳部長戈培爾的煽惑，改稱為「水晶之夜」</w:t>
      </w:r>
      <w:r w:rsidR="00D4238C">
        <w:rPr>
          <w:rFonts w:hAnsi="標楷體" w:hint="eastAsia"/>
          <w:kern w:val="0"/>
          <w:sz w:val="22"/>
          <w:szCs w:val="22"/>
          <w:lang w:val="de-DE"/>
        </w:rPr>
        <w:t>(</w:t>
      </w:r>
      <w:r w:rsidRPr="009F2955">
        <w:rPr>
          <w:kern w:val="0"/>
          <w:sz w:val="22"/>
          <w:szCs w:val="22"/>
          <w:lang w:val="de-DE"/>
        </w:rPr>
        <w:t>Kristallnacht</w:t>
      </w:r>
      <w:r w:rsidR="00D4238C">
        <w:rPr>
          <w:rFonts w:hAnsi="標楷體" w:hint="eastAsia"/>
          <w:kern w:val="0"/>
          <w:sz w:val="22"/>
          <w:szCs w:val="22"/>
          <w:lang w:val="de-DE"/>
        </w:rPr>
        <w:t>)</w:t>
      </w:r>
      <w:r w:rsidRPr="009F2955">
        <w:rPr>
          <w:rFonts w:hAnsi="標楷體"/>
          <w:kern w:val="0"/>
          <w:sz w:val="22"/>
          <w:szCs w:val="22"/>
          <w:lang w:val="de-DE"/>
        </w:rPr>
        <w:t>，而將此暴動神聖化。</w:t>
      </w:r>
      <w:r w:rsidRPr="009F2955">
        <w:rPr>
          <w:rFonts w:hAnsi="標楷體"/>
          <w:kern w:val="0"/>
          <w:sz w:val="22"/>
          <w:szCs w:val="22"/>
        </w:rPr>
        <w:t>賴特布魯赫當是指此史實為戒。</w:t>
      </w:r>
    </w:p>
  </w:footnote>
  <w:footnote w:id="65">
    <w:p w:rsidR="002031E1" w:rsidRPr="009F2955" w:rsidRDefault="002031E1" w:rsidP="005E1FF9">
      <w:pPr>
        <w:kinsoku w:val="0"/>
        <w:overflowPunct w:val="0"/>
        <w:adjustRightInd w:val="0"/>
        <w:snapToGrid w:val="0"/>
        <w:spacing w:line="391" w:lineRule="exact"/>
        <w:ind w:left="227" w:hanging="227"/>
        <w:rPr>
          <w:kern w:val="0"/>
          <w:sz w:val="22"/>
          <w:szCs w:val="22"/>
        </w:rPr>
      </w:pPr>
      <w:r w:rsidRPr="009F2955">
        <w:rPr>
          <w:rStyle w:val="ab"/>
          <w:kern w:val="0"/>
          <w:sz w:val="22"/>
          <w:szCs w:val="22"/>
        </w:rPr>
        <w:footnoteRef/>
      </w:r>
      <w:r w:rsidRPr="009F2955">
        <w:rPr>
          <w:kern w:val="0"/>
          <w:sz w:val="22"/>
          <w:szCs w:val="22"/>
        </w:rPr>
        <w:t xml:space="preserve"> </w:t>
      </w:r>
      <w:r w:rsidRPr="009F2955">
        <w:rPr>
          <w:rFonts w:hAnsi="標楷體"/>
          <w:kern w:val="0"/>
          <w:sz w:val="22"/>
          <w:szCs w:val="22"/>
        </w:rPr>
        <w:t>參見廢棄物</w:t>
      </w:r>
      <w:r w:rsidRPr="009F2955">
        <w:rPr>
          <w:rFonts w:hAnsi="標楷體"/>
          <w:color w:val="000000"/>
          <w:kern w:val="0"/>
          <w:sz w:val="22"/>
          <w:szCs w:val="22"/>
          <w:lang w:val="fr-FR"/>
        </w:rPr>
        <w:t>清理</w:t>
      </w:r>
      <w:r w:rsidRPr="009F2955">
        <w:rPr>
          <w:rFonts w:hAnsi="標楷體"/>
          <w:kern w:val="0"/>
          <w:sz w:val="22"/>
          <w:szCs w:val="22"/>
        </w:rPr>
        <w:t>法第二十七條（九十年十月二十四日修正公布，迄未修正）：</w:t>
      </w:r>
    </w:p>
    <w:p w:rsidR="002031E1" w:rsidRPr="009F2955" w:rsidRDefault="002031E1" w:rsidP="005E1FF9">
      <w:pPr>
        <w:kinsoku w:val="0"/>
        <w:overflowPunct w:val="0"/>
        <w:adjustRightInd w:val="0"/>
        <w:snapToGrid w:val="0"/>
        <w:spacing w:line="391" w:lineRule="exact"/>
        <w:ind w:left="406" w:hanging="227"/>
        <w:rPr>
          <w:kern w:val="0"/>
          <w:sz w:val="22"/>
          <w:szCs w:val="22"/>
        </w:rPr>
      </w:pPr>
      <w:r w:rsidRPr="009F2955">
        <w:rPr>
          <w:rFonts w:hAnsi="標楷體"/>
          <w:kern w:val="0"/>
          <w:sz w:val="22"/>
          <w:szCs w:val="22"/>
        </w:rPr>
        <w:t>「在指定清除</w:t>
      </w:r>
      <w:r w:rsidRPr="009F2955">
        <w:rPr>
          <w:rFonts w:hAnsi="標楷體"/>
          <w:color w:val="000000"/>
          <w:kern w:val="0"/>
          <w:sz w:val="22"/>
          <w:szCs w:val="22"/>
          <w:lang w:val="fr-FR"/>
        </w:rPr>
        <w:t>地區</w:t>
      </w:r>
      <w:r w:rsidRPr="009F2955">
        <w:rPr>
          <w:rFonts w:hAnsi="標楷體"/>
          <w:kern w:val="0"/>
          <w:sz w:val="22"/>
          <w:szCs w:val="22"/>
        </w:rPr>
        <w:t>內嚴禁有下列行為：</w:t>
      </w:r>
    </w:p>
    <w:p w:rsidR="002031E1" w:rsidRPr="009F2955" w:rsidRDefault="002031E1" w:rsidP="005E1FF9">
      <w:pPr>
        <w:kinsoku w:val="0"/>
        <w:overflowPunct w:val="0"/>
        <w:adjustRightInd w:val="0"/>
        <w:snapToGrid w:val="0"/>
        <w:spacing w:line="391" w:lineRule="exact"/>
        <w:ind w:left="854" w:hanging="423"/>
        <w:rPr>
          <w:kern w:val="0"/>
          <w:sz w:val="22"/>
          <w:szCs w:val="22"/>
        </w:rPr>
      </w:pPr>
      <w:r w:rsidRPr="009F2955">
        <w:rPr>
          <w:rFonts w:hAnsi="標楷體"/>
          <w:kern w:val="0"/>
          <w:sz w:val="22"/>
          <w:szCs w:val="22"/>
        </w:rPr>
        <w:t>一、隨地吐痰、檳榔汁、檳榔渣，拋棄紙屑、煙蒂、口香糖、瓜果或其皮、核、汁、渣或其他一般廢棄物。</w:t>
      </w:r>
    </w:p>
    <w:p w:rsidR="002031E1" w:rsidRPr="00BC12E6" w:rsidRDefault="002031E1" w:rsidP="005E1FF9">
      <w:pPr>
        <w:kinsoku w:val="0"/>
        <w:overflowPunct w:val="0"/>
        <w:adjustRightInd w:val="0"/>
        <w:snapToGrid w:val="0"/>
        <w:spacing w:line="391" w:lineRule="exact"/>
        <w:ind w:left="854" w:hanging="423"/>
        <w:rPr>
          <w:rFonts w:hAnsi="標楷體"/>
          <w:kern w:val="0"/>
          <w:sz w:val="22"/>
          <w:szCs w:val="22"/>
        </w:rPr>
      </w:pPr>
      <w:r w:rsidRPr="009F2955">
        <w:rPr>
          <w:rFonts w:hAnsi="標楷體"/>
          <w:kern w:val="0"/>
          <w:sz w:val="22"/>
          <w:szCs w:val="22"/>
        </w:rPr>
        <w:t>二、污染地面、池溏、水溝、牆壁、樑柱、電桿、樹木、道路、橋樑或其他土地定著物。</w:t>
      </w:r>
    </w:p>
    <w:p w:rsidR="002031E1" w:rsidRPr="00BC12E6" w:rsidRDefault="002031E1" w:rsidP="005E1FF9">
      <w:pPr>
        <w:kinsoku w:val="0"/>
        <w:overflowPunct w:val="0"/>
        <w:adjustRightInd w:val="0"/>
        <w:snapToGrid w:val="0"/>
        <w:spacing w:line="391" w:lineRule="exact"/>
        <w:ind w:left="854" w:hanging="423"/>
        <w:rPr>
          <w:rFonts w:hAnsi="標楷體"/>
          <w:kern w:val="0"/>
          <w:sz w:val="22"/>
          <w:szCs w:val="22"/>
        </w:rPr>
      </w:pPr>
      <w:r w:rsidRPr="009F2955">
        <w:rPr>
          <w:rFonts w:hAnsi="標楷體"/>
          <w:kern w:val="0"/>
          <w:sz w:val="22"/>
          <w:szCs w:val="22"/>
        </w:rPr>
        <w:t>三、於路旁、屋外或屋頂曝晒、堆置有礙衛生整潔之物。</w:t>
      </w:r>
    </w:p>
    <w:p w:rsidR="002031E1" w:rsidRPr="00BC12E6" w:rsidRDefault="002031E1" w:rsidP="005E1FF9">
      <w:pPr>
        <w:kinsoku w:val="0"/>
        <w:overflowPunct w:val="0"/>
        <w:adjustRightInd w:val="0"/>
        <w:snapToGrid w:val="0"/>
        <w:spacing w:line="391" w:lineRule="exact"/>
        <w:ind w:left="854" w:hanging="423"/>
        <w:rPr>
          <w:rFonts w:hAnsi="標楷體"/>
          <w:kern w:val="0"/>
          <w:sz w:val="22"/>
          <w:szCs w:val="22"/>
        </w:rPr>
      </w:pPr>
      <w:r w:rsidRPr="009F2955">
        <w:rPr>
          <w:rFonts w:hAnsi="標楷體"/>
          <w:kern w:val="0"/>
          <w:sz w:val="22"/>
          <w:szCs w:val="22"/>
        </w:rPr>
        <w:t>四、</w:t>
      </w:r>
      <w:r w:rsidRPr="00BC12E6">
        <w:rPr>
          <w:rFonts w:hAnsi="標楷體"/>
          <w:kern w:val="0"/>
          <w:sz w:val="22"/>
          <w:szCs w:val="22"/>
        </w:rPr>
        <w:t>自廢棄物</w:t>
      </w:r>
      <w:r w:rsidRPr="009F2955">
        <w:rPr>
          <w:rFonts w:hAnsi="標楷體"/>
          <w:kern w:val="0"/>
          <w:sz w:val="22"/>
          <w:szCs w:val="22"/>
        </w:rPr>
        <w:t>清除、處理及貯存工具、設備或處所中搜揀經廢棄之物。但搜揀依第五條第六項所定回收項目之一般廢棄物，不在此限。</w:t>
      </w:r>
    </w:p>
    <w:p w:rsidR="002031E1" w:rsidRPr="00BC12E6" w:rsidRDefault="002031E1" w:rsidP="005E1FF9">
      <w:pPr>
        <w:kinsoku w:val="0"/>
        <w:overflowPunct w:val="0"/>
        <w:adjustRightInd w:val="0"/>
        <w:snapToGrid w:val="0"/>
        <w:spacing w:line="391" w:lineRule="exact"/>
        <w:ind w:left="854" w:hanging="423"/>
        <w:rPr>
          <w:rFonts w:hAnsi="標楷體"/>
          <w:kern w:val="0"/>
          <w:sz w:val="22"/>
          <w:szCs w:val="22"/>
        </w:rPr>
      </w:pPr>
      <w:r w:rsidRPr="009F2955">
        <w:rPr>
          <w:rFonts w:hAnsi="標楷體"/>
          <w:kern w:val="0"/>
          <w:sz w:val="22"/>
          <w:szCs w:val="22"/>
        </w:rPr>
        <w:t>五、拋置熱灰燼、危險化學物品或爆炸性物品於廢棄物貯存設備。</w:t>
      </w:r>
    </w:p>
    <w:p w:rsidR="002031E1" w:rsidRPr="00BC12E6" w:rsidRDefault="002031E1" w:rsidP="005E1FF9">
      <w:pPr>
        <w:kinsoku w:val="0"/>
        <w:overflowPunct w:val="0"/>
        <w:adjustRightInd w:val="0"/>
        <w:snapToGrid w:val="0"/>
        <w:spacing w:line="391" w:lineRule="exact"/>
        <w:ind w:left="854" w:hanging="423"/>
        <w:rPr>
          <w:rFonts w:hAnsi="標楷體"/>
          <w:kern w:val="0"/>
          <w:sz w:val="22"/>
          <w:szCs w:val="22"/>
        </w:rPr>
      </w:pPr>
      <w:r w:rsidRPr="009F2955">
        <w:rPr>
          <w:rFonts w:hAnsi="標楷體"/>
          <w:kern w:val="0"/>
          <w:sz w:val="22"/>
          <w:szCs w:val="22"/>
        </w:rPr>
        <w:t>六、棄置動物屍體於廢棄物貯存設備以外處所。</w:t>
      </w:r>
    </w:p>
    <w:p w:rsidR="002031E1" w:rsidRPr="00BC12E6" w:rsidRDefault="002031E1" w:rsidP="005E1FF9">
      <w:pPr>
        <w:kinsoku w:val="0"/>
        <w:overflowPunct w:val="0"/>
        <w:adjustRightInd w:val="0"/>
        <w:snapToGrid w:val="0"/>
        <w:spacing w:line="391" w:lineRule="exact"/>
        <w:ind w:left="854" w:hanging="423"/>
        <w:rPr>
          <w:rFonts w:hAnsi="標楷體"/>
          <w:kern w:val="0"/>
          <w:sz w:val="22"/>
          <w:szCs w:val="22"/>
        </w:rPr>
      </w:pPr>
      <w:r w:rsidRPr="009F2955">
        <w:rPr>
          <w:rFonts w:hAnsi="標楷體"/>
          <w:kern w:val="0"/>
          <w:sz w:val="22"/>
          <w:szCs w:val="22"/>
        </w:rPr>
        <w:t>七、隨地便溺。</w:t>
      </w:r>
    </w:p>
    <w:p w:rsidR="002031E1" w:rsidRPr="00BC12E6" w:rsidRDefault="002031E1" w:rsidP="005E1FF9">
      <w:pPr>
        <w:kinsoku w:val="0"/>
        <w:overflowPunct w:val="0"/>
        <w:adjustRightInd w:val="0"/>
        <w:snapToGrid w:val="0"/>
        <w:spacing w:line="391" w:lineRule="exact"/>
        <w:ind w:left="854" w:hanging="423"/>
        <w:rPr>
          <w:rFonts w:hAnsi="標楷體"/>
          <w:kern w:val="0"/>
          <w:sz w:val="22"/>
          <w:szCs w:val="22"/>
        </w:rPr>
      </w:pPr>
      <w:r w:rsidRPr="009F2955">
        <w:rPr>
          <w:rFonts w:hAnsi="標楷體"/>
          <w:kern w:val="0"/>
          <w:sz w:val="22"/>
          <w:szCs w:val="22"/>
        </w:rPr>
        <w:t>八、於水溝棄置雜物。</w:t>
      </w:r>
    </w:p>
    <w:p w:rsidR="002031E1" w:rsidRPr="00BC12E6" w:rsidRDefault="002031E1" w:rsidP="005E1FF9">
      <w:pPr>
        <w:kinsoku w:val="0"/>
        <w:overflowPunct w:val="0"/>
        <w:adjustRightInd w:val="0"/>
        <w:snapToGrid w:val="0"/>
        <w:spacing w:line="391" w:lineRule="exact"/>
        <w:ind w:left="854" w:hanging="423"/>
        <w:rPr>
          <w:rFonts w:hAnsi="標楷體"/>
          <w:kern w:val="0"/>
          <w:sz w:val="22"/>
          <w:szCs w:val="22"/>
        </w:rPr>
      </w:pPr>
      <w:r w:rsidRPr="009F2955">
        <w:rPr>
          <w:rFonts w:hAnsi="標楷體"/>
          <w:kern w:val="0"/>
          <w:sz w:val="22"/>
          <w:szCs w:val="22"/>
        </w:rPr>
        <w:t>九、飼養禽、畜有礙附近環境衛生。</w:t>
      </w:r>
    </w:p>
    <w:p w:rsidR="002031E1" w:rsidRPr="00BC12E6" w:rsidRDefault="002031E1" w:rsidP="005E1FF9">
      <w:pPr>
        <w:kinsoku w:val="0"/>
        <w:overflowPunct w:val="0"/>
        <w:adjustRightInd w:val="0"/>
        <w:snapToGrid w:val="0"/>
        <w:spacing w:line="391" w:lineRule="exact"/>
        <w:ind w:left="854" w:hanging="423"/>
        <w:rPr>
          <w:rFonts w:hAnsi="標楷體"/>
          <w:kern w:val="0"/>
          <w:sz w:val="22"/>
          <w:szCs w:val="22"/>
        </w:rPr>
      </w:pPr>
      <w:r w:rsidRPr="009F2955">
        <w:rPr>
          <w:rFonts w:hAnsi="標楷體"/>
          <w:kern w:val="0"/>
          <w:sz w:val="22"/>
          <w:szCs w:val="22"/>
        </w:rPr>
        <w:t>十、張貼或噴漆廣告污染定著物。</w:t>
      </w:r>
    </w:p>
    <w:p w:rsidR="002031E1" w:rsidRPr="009F2955" w:rsidRDefault="002031E1" w:rsidP="005E1FF9">
      <w:pPr>
        <w:kinsoku w:val="0"/>
        <w:overflowPunct w:val="0"/>
        <w:adjustRightInd w:val="0"/>
        <w:snapToGrid w:val="0"/>
        <w:spacing w:line="391" w:lineRule="exact"/>
        <w:ind w:left="854" w:hanging="423"/>
        <w:rPr>
          <w:kern w:val="0"/>
          <w:sz w:val="22"/>
          <w:szCs w:val="22"/>
        </w:rPr>
      </w:pPr>
      <w:r w:rsidRPr="009F2955">
        <w:rPr>
          <w:rFonts w:hAnsi="標楷體"/>
          <w:b/>
          <w:kern w:val="0"/>
          <w:sz w:val="22"/>
          <w:szCs w:val="22"/>
        </w:rPr>
        <w:t>十一、其他經</w:t>
      </w:r>
      <w:r w:rsidRPr="00624C07">
        <w:rPr>
          <w:rFonts w:hAnsi="標楷體"/>
          <w:b/>
          <w:color w:val="000000"/>
          <w:kern w:val="0"/>
          <w:sz w:val="22"/>
          <w:szCs w:val="22"/>
          <w:lang w:val="fr-FR"/>
        </w:rPr>
        <w:t>主管機關</w:t>
      </w:r>
      <w:r w:rsidRPr="009F2955">
        <w:rPr>
          <w:rFonts w:hAnsi="標楷體"/>
          <w:b/>
          <w:kern w:val="0"/>
          <w:sz w:val="22"/>
          <w:szCs w:val="22"/>
        </w:rPr>
        <w:t>公告之污染環境行為</w:t>
      </w:r>
      <w:r w:rsidRPr="009F2955">
        <w:rPr>
          <w:rFonts w:hAnsi="標楷體"/>
          <w:kern w:val="0"/>
          <w:sz w:val="22"/>
          <w:szCs w:val="22"/>
        </w:rPr>
        <w:t>。」</w:t>
      </w:r>
    </w:p>
  </w:footnote>
  <w:footnote w:id="66">
    <w:p w:rsidR="002031E1" w:rsidRPr="009F2955" w:rsidRDefault="002031E1" w:rsidP="005E1FF9">
      <w:pPr>
        <w:kinsoku w:val="0"/>
        <w:overflowPunct w:val="0"/>
        <w:adjustRightInd w:val="0"/>
        <w:snapToGrid w:val="0"/>
        <w:spacing w:line="391" w:lineRule="exact"/>
        <w:ind w:left="182" w:hanging="182"/>
        <w:rPr>
          <w:kern w:val="0"/>
          <w:sz w:val="22"/>
          <w:szCs w:val="22"/>
        </w:rPr>
      </w:pPr>
      <w:r w:rsidRPr="009F2955">
        <w:rPr>
          <w:rStyle w:val="ab"/>
          <w:kern w:val="0"/>
          <w:sz w:val="22"/>
          <w:szCs w:val="22"/>
        </w:rPr>
        <w:footnoteRef/>
      </w:r>
      <w:r w:rsidRPr="009F2955">
        <w:rPr>
          <w:kern w:val="0"/>
          <w:sz w:val="22"/>
          <w:szCs w:val="22"/>
        </w:rPr>
        <w:t xml:space="preserve"> </w:t>
      </w:r>
      <w:r w:rsidRPr="009F2955">
        <w:rPr>
          <w:rFonts w:hAnsi="標楷體"/>
          <w:kern w:val="0"/>
          <w:sz w:val="22"/>
          <w:szCs w:val="22"/>
        </w:rPr>
        <w:t>廢棄物清理法第五十條第三款：「有下列情形之一者，處新臺幣一千二百元以上六千元以下罰鍰。經限期改善，屆期仍未完成改善者，按日連續處罰：</w:t>
      </w:r>
      <w:r w:rsidR="00303DE8">
        <w:rPr>
          <w:rFonts w:hint="eastAsia"/>
          <w:kern w:val="0"/>
          <w:sz w:val="22"/>
          <w:szCs w:val="22"/>
        </w:rPr>
        <w:t>……</w:t>
      </w:r>
      <w:r w:rsidRPr="009F2955">
        <w:rPr>
          <w:rFonts w:hAnsi="標楷體"/>
          <w:b/>
          <w:kern w:val="0"/>
          <w:sz w:val="22"/>
          <w:szCs w:val="22"/>
        </w:rPr>
        <w:t>三、為第二十七條各款行為之</w:t>
      </w:r>
      <w:r w:rsidRPr="00671E71">
        <w:rPr>
          <w:rFonts w:hAnsi="標楷體"/>
          <w:b/>
          <w:kern w:val="0"/>
          <w:sz w:val="22"/>
          <w:szCs w:val="22"/>
        </w:rPr>
        <w:t>一</w:t>
      </w:r>
      <w:r w:rsidRPr="009F2955">
        <w:rPr>
          <w:rFonts w:hAnsi="標楷體"/>
          <w:kern w:val="0"/>
          <w:sz w:val="22"/>
          <w:szCs w:val="22"/>
        </w:rPr>
        <w:t>。」</w:t>
      </w:r>
    </w:p>
  </w:footnote>
  <w:footnote w:id="67">
    <w:p w:rsidR="002031E1" w:rsidRPr="009F2955" w:rsidRDefault="002031E1" w:rsidP="005E1FF9">
      <w:pPr>
        <w:kinsoku w:val="0"/>
        <w:overflowPunct w:val="0"/>
        <w:adjustRightInd w:val="0"/>
        <w:snapToGrid w:val="0"/>
        <w:spacing w:line="391" w:lineRule="exact"/>
        <w:ind w:left="227" w:hanging="227"/>
        <w:rPr>
          <w:kern w:val="0"/>
          <w:sz w:val="22"/>
          <w:szCs w:val="22"/>
        </w:rPr>
      </w:pPr>
      <w:r w:rsidRPr="009F2955">
        <w:rPr>
          <w:rStyle w:val="ab"/>
          <w:kern w:val="0"/>
          <w:sz w:val="22"/>
          <w:szCs w:val="22"/>
        </w:rPr>
        <w:footnoteRef/>
      </w:r>
      <w:r w:rsidRPr="009F2955">
        <w:rPr>
          <w:kern w:val="0"/>
          <w:sz w:val="22"/>
          <w:szCs w:val="22"/>
        </w:rPr>
        <w:t xml:space="preserve"> </w:t>
      </w:r>
      <w:r w:rsidRPr="009F2955">
        <w:rPr>
          <w:rFonts w:hAnsi="標楷體"/>
          <w:kern w:val="0"/>
          <w:sz w:val="22"/>
          <w:szCs w:val="22"/>
        </w:rPr>
        <w:t>參見臺南市環境保護局九十八年七月十日南市環廢處字第</w:t>
      </w:r>
      <w:r w:rsidRPr="00671E71">
        <w:rPr>
          <w:rFonts w:ascii="標楷體" w:hAnsi="標楷體"/>
          <w:kern w:val="0"/>
          <w:sz w:val="22"/>
          <w:szCs w:val="22"/>
        </w:rPr>
        <w:t>九八○七○七四</w:t>
      </w:r>
      <w:r w:rsidRPr="009F2955">
        <w:rPr>
          <w:rFonts w:hAnsi="標楷體"/>
          <w:kern w:val="0"/>
          <w:sz w:val="22"/>
          <w:szCs w:val="22"/>
        </w:rPr>
        <w:t>號裁處書。</w:t>
      </w:r>
    </w:p>
  </w:footnote>
  <w:footnote w:id="68">
    <w:p w:rsidR="002031E1" w:rsidRPr="009F2955" w:rsidRDefault="002031E1" w:rsidP="005E1FF9">
      <w:pPr>
        <w:kinsoku w:val="0"/>
        <w:overflowPunct w:val="0"/>
        <w:adjustRightInd w:val="0"/>
        <w:snapToGrid w:val="0"/>
        <w:spacing w:line="391" w:lineRule="exact"/>
        <w:ind w:left="227" w:hanging="227"/>
        <w:rPr>
          <w:kern w:val="0"/>
          <w:sz w:val="22"/>
          <w:szCs w:val="22"/>
        </w:rPr>
      </w:pPr>
      <w:r w:rsidRPr="009F2955">
        <w:rPr>
          <w:rStyle w:val="ab"/>
          <w:kern w:val="0"/>
          <w:sz w:val="22"/>
          <w:szCs w:val="22"/>
        </w:rPr>
        <w:footnoteRef/>
      </w:r>
      <w:r w:rsidRPr="009F2955">
        <w:rPr>
          <w:kern w:val="0"/>
          <w:sz w:val="22"/>
          <w:szCs w:val="22"/>
        </w:rPr>
        <w:t xml:space="preserve"> </w:t>
      </w:r>
      <w:r w:rsidRPr="009F2955">
        <w:rPr>
          <w:rFonts w:hAnsi="標楷體"/>
          <w:kern w:val="0"/>
          <w:sz w:val="22"/>
          <w:szCs w:val="22"/>
        </w:rPr>
        <w:t>參見臺南市政府九十八年十一月十三日南市行救字第</w:t>
      </w:r>
      <w:r w:rsidRPr="00671E71">
        <w:rPr>
          <w:rFonts w:ascii="標楷體" w:hAnsi="標楷體"/>
          <w:kern w:val="0"/>
          <w:sz w:val="22"/>
          <w:szCs w:val="22"/>
        </w:rPr>
        <w:t>○九八二六五九三五六○</w:t>
      </w:r>
      <w:r w:rsidRPr="009F2955">
        <w:rPr>
          <w:rFonts w:hAnsi="標楷體"/>
          <w:kern w:val="0"/>
          <w:sz w:val="22"/>
          <w:szCs w:val="22"/>
        </w:rPr>
        <w:t>號訴願決定書。</w:t>
      </w:r>
    </w:p>
  </w:footnote>
  <w:footnote w:id="69">
    <w:p w:rsidR="002031E1" w:rsidRPr="009F2955" w:rsidRDefault="002031E1" w:rsidP="005E1FF9">
      <w:pPr>
        <w:kinsoku w:val="0"/>
        <w:overflowPunct w:val="0"/>
        <w:adjustRightInd w:val="0"/>
        <w:snapToGrid w:val="0"/>
        <w:spacing w:line="391" w:lineRule="exact"/>
        <w:ind w:left="227" w:hanging="227"/>
        <w:rPr>
          <w:kern w:val="0"/>
          <w:sz w:val="22"/>
          <w:szCs w:val="22"/>
        </w:rPr>
      </w:pPr>
      <w:r w:rsidRPr="009F2955">
        <w:rPr>
          <w:rStyle w:val="ab"/>
          <w:kern w:val="0"/>
          <w:sz w:val="22"/>
          <w:szCs w:val="22"/>
        </w:rPr>
        <w:footnoteRef/>
      </w:r>
      <w:r w:rsidRPr="009F2955">
        <w:rPr>
          <w:kern w:val="0"/>
          <w:sz w:val="22"/>
          <w:szCs w:val="22"/>
        </w:rPr>
        <w:t xml:space="preserve"> </w:t>
      </w:r>
      <w:r w:rsidRPr="009F2955">
        <w:rPr>
          <w:rFonts w:hAnsi="標楷體"/>
          <w:kern w:val="0"/>
          <w:sz w:val="22"/>
          <w:szCs w:val="22"/>
        </w:rPr>
        <w:t>參見臺南市環境保護局九十八年十二月二十一日南市環廢處字第</w:t>
      </w:r>
      <w:r w:rsidRPr="00671E71">
        <w:rPr>
          <w:rFonts w:ascii="標楷體" w:hAnsi="標楷體"/>
          <w:kern w:val="0"/>
          <w:sz w:val="22"/>
          <w:szCs w:val="22"/>
        </w:rPr>
        <w:t>○九八一二○八七</w:t>
      </w:r>
      <w:r w:rsidRPr="009F2955">
        <w:rPr>
          <w:rFonts w:hAnsi="標楷體"/>
          <w:kern w:val="0"/>
          <w:sz w:val="22"/>
          <w:szCs w:val="22"/>
        </w:rPr>
        <w:t>號裁處書。</w:t>
      </w:r>
    </w:p>
  </w:footnote>
  <w:footnote w:id="70">
    <w:p w:rsidR="002031E1" w:rsidRPr="009F2955" w:rsidRDefault="002031E1" w:rsidP="005E1FF9">
      <w:pPr>
        <w:kinsoku w:val="0"/>
        <w:overflowPunct w:val="0"/>
        <w:adjustRightInd w:val="0"/>
        <w:snapToGrid w:val="0"/>
        <w:spacing w:line="391" w:lineRule="exact"/>
        <w:ind w:left="227" w:hanging="227"/>
        <w:rPr>
          <w:kern w:val="0"/>
          <w:sz w:val="22"/>
          <w:szCs w:val="22"/>
        </w:rPr>
      </w:pPr>
      <w:r w:rsidRPr="009F2955">
        <w:rPr>
          <w:rStyle w:val="ab"/>
          <w:kern w:val="0"/>
          <w:sz w:val="22"/>
          <w:szCs w:val="22"/>
        </w:rPr>
        <w:footnoteRef/>
      </w:r>
      <w:r w:rsidRPr="009F2955">
        <w:rPr>
          <w:kern w:val="0"/>
          <w:sz w:val="22"/>
          <w:szCs w:val="22"/>
        </w:rPr>
        <w:t xml:space="preserve"> </w:t>
      </w:r>
      <w:r w:rsidRPr="009F2955">
        <w:rPr>
          <w:rFonts w:hAnsi="標楷體"/>
          <w:kern w:val="0"/>
          <w:sz w:val="22"/>
          <w:szCs w:val="22"/>
        </w:rPr>
        <w:t>參見臺南市政府九十九年四月十六日南市行救字第</w:t>
      </w:r>
      <w:r w:rsidRPr="00671E71">
        <w:rPr>
          <w:rFonts w:ascii="標楷體" w:hAnsi="標楷體"/>
          <w:kern w:val="0"/>
          <w:sz w:val="22"/>
          <w:szCs w:val="22"/>
        </w:rPr>
        <w:t>○九九二六五二八二四○</w:t>
      </w:r>
      <w:r w:rsidRPr="009F2955">
        <w:rPr>
          <w:rFonts w:hAnsi="標楷體"/>
          <w:kern w:val="0"/>
          <w:sz w:val="22"/>
          <w:szCs w:val="22"/>
        </w:rPr>
        <w:t>號訴願決定書。</w:t>
      </w:r>
    </w:p>
  </w:footnote>
  <w:footnote w:id="71">
    <w:p w:rsidR="002031E1" w:rsidRPr="009F2955" w:rsidRDefault="002031E1" w:rsidP="005E1FF9">
      <w:pPr>
        <w:kinsoku w:val="0"/>
        <w:overflowPunct w:val="0"/>
        <w:adjustRightInd w:val="0"/>
        <w:snapToGrid w:val="0"/>
        <w:spacing w:line="391" w:lineRule="exact"/>
        <w:ind w:left="182" w:hanging="182"/>
        <w:rPr>
          <w:kern w:val="0"/>
          <w:sz w:val="22"/>
          <w:szCs w:val="22"/>
        </w:rPr>
      </w:pPr>
      <w:r w:rsidRPr="009F2955">
        <w:rPr>
          <w:rStyle w:val="ab"/>
          <w:kern w:val="0"/>
          <w:sz w:val="22"/>
          <w:szCs w:val="22"/>
        </w:rPr>
        <w:footnoteRef/>
      </w:r>
      <w:r w:rsidRPr="009F2955">
        <w:rPr>
          <w:kern w:val="0"/>
          <w:sz w:val="22"/>
          <w:szCs w:val="22"/>
        </w:rPr>
        <w:t xml:space="preserve"> </w:t>
      </w:r>
      <w:r w:rsidRPr="009F2955">
        <w:rPr>
          <w:rFonts w:hAnsi="標楷體"/>
          <w:kern w:val="0"/>
          <w:sz w:val="22"/>
          <w:szCs w:val="22"/>
        </w:rPr>
        <w:t>參見九十九年九月十七日高雄高等行政法院九十九年簡字第二一四號判決（無理由駁回）；九十九年十二月二十三日最高行政法院九十九年度裁字第三四九一號裁定（以訴訟事件所涉法律見解不具有行政訴訟法第二百三十五條所定之原則重要性為由，駁回上訴）。</w:t>
      </w:r>
    </w:p>
  </w:footnote>
  <w:footnote w:id="72">
    <w:p w:rsidR="002031E1" w:rsidRPr="009F2955" w:rsidRDefault="002031E1" w:rsidP="005E1FF9">
      <w:pPr>
        <w:kinsoku w:val="0"/>
        <w:overflowPunct w:val="0"/>
        <w:adjustRightInd w:val="0"/>
        <w:snapToGrid w:val="0"/>
        <w:spacing w:line="391" w:lineRule="exact"/>
        <w:ind w:left="182" w:hanging="182"/>
        <w:rPr>
          <w:kern w:val="0"/>
          <w:sz w:val="22"/>
          <w:szCs w:val="22"/>
        </w:rPr>
      </w:pPr>
      <w:r w:rsidRPr="009F2955">
        <w:rPr>
          <w:rStyle w:val="ab"/>
          <w:kern w:val="0"/>
          <w:sz w:val="22"/>
          <w:szCs w:val="22"/>
        </w:rPr>
        <w:footnoteRef/>
      </w:r>
      <w:r w:rsidRPr="009F2955">
        <w:rPr>
          <w:kern w:val="0"/>
          <w:sz w:val="22"/>
          <w:szCs w:val="22"/>
        </w:rPr>
        <w:t xml:space="preserve"> </w:t>
      </w:r>
      <w:r w:rsidRPr="009F2955">
        <w:rPr>
          <w:rFonts w:hAnsi="標楷體"/>
          <w:kern w:val="0"/>
          <w:sz w:val="22"/>
          <w:szCs w:val="22"/>
        </w:rPr>
        <w:t>亦即就系爭規定客觀理解之文義，更為限縮解釋：所謂「其他經主管機關公告之污染環境行為」係指「同條所列舉十款行為以外，而與該十款所定行為污染環境程度相當之行為」。合憲性（限縮）解釋表面雖為「合憲」之宣告，實則為「部分違憲」之意。本院合憲性解釋先例甚多，參見釋字第</w:t>
      </w:r>
      <w:r w:rsidRPr="0064616B">
        <w:rPr>
          <w:rFonts w:ascii="標楷體" w:hAnsi="標楷體"/>
          <w:kern w:val="0"/>
          <w:sz w:val="22"/>
          <w:szCs w:val="22"/>
        </w:rPr>
        <w:t>五○九</w:t>
      </w:r>
      <w:r w:rsidRPr="009F2955">
        <w:rPr>
          <w:rFonts w:hAnsi="標楷體"/>
          <w:kern w:val="0"/>
          <w:sz w:val="22"/>
          <w:szCs w:val="22"/>
        </w:rPr>
        <w:t>號解釋、釋字第三七二號解釋等。</w:t>
      </w:r>
    </w:p>
  </w:footnote>
  <w:footnote w:id="73">
    <w:p w:rsidR="002031E1" w:rsidRPr="005E074B" w:rsidRDefault="002031E1" w:rsidP="005E1FF9">
      <w:pPr>
        <w:kinsoku w:val="0"/>
        <w:overflowPunct w:val="0"/>
        <w:adjustRightInd w:val="0"/>
        <w:snapToGrid w:val="0"/>
        <w:spacing w:line="391" w:lineRule="exact"/>
        <w:ind w:left="182" w:hanging="182"/>
        <w:rPr>
          <w:kern w:val="0"/>
          <w:sz w:val="22"/>
          <w:szCs w:val="22"/>
        </w:rPr>
      </w:pPr>
      <w:r w:rsidRPr="005E074B">
        <w:rPr>
          <w:rStyle w:val="ab"/>
          <w:kern w:val="0"/>
          <w:sz w:val="22"/>
          <w:szCs w:val="22"/>
        </w:rPr>
        <w:footnoteRef/>
      </w:r>
      <w:r w:rsidRPr="005E074B">
        <w:rPr>
          <w:kern w:val="0"/>
          <w:sz w:val="22"/>
          <w:szCs w:val="22"/>
        </w:rPr>
        <w:t xml:space="preserve"> </w:t>
      </w:r>
      <w:r w:rsidRPr="005E074B">
        <w:rPr>
          <w:rFonts w:hAnsi="標楷體"/>
          <w:color w:val="000000"/>
          <w:kern w:val="0"/>
          <w:sz w:val="22"/>
          <w:szCs w:val="22"/>
          <w:lang w:val="fr-FR"/>
        </w:rPr>
        <w:t>參見臺南市</w:t>
      </w:r>
      <w:r w:rsidRPr="005E074B">
        <w:rPr>
          <w:rFonts w:hAnsi="標楷體"/>
          <w:kern w:val="0"/>
          <w:sz w:val="22"/>
          <w:szCs w:val="22"/>
        </w:rPr>
        <w:t>政府環境保護局</w:t>
      </w:r>
      <w:r w:rsidRPr="008246E5">
        <w:rPr>
          <w:rFonts w:ascii="標楷體" w:hAnsi="標楷體"/>
          <w:kern w:val="0"/>
          <w:sz w:val="22"/>
          <w:szCs w:val="22"/>
        </w:rPr>
        <w:t>一○○年一月十一日環字第一○○○○五○三九九○</w:t>
      </w:r>
      <w:r w:rsidRPr="005E074B">
        <w:rPr>
          <w:rFonts w:hAnsi="標楷體"/>
          <w:kern w:val="0"/>
          <w:sz w:val="22"/>
          <w:szCs w:val="22"/>
        </w:rPr>
        <w:t>號公告（「基於環境衛生需要，公告臺南市清除地區，為所轄之行政區域」）。</w:t>
      </w:r>
    </w:p>
  </w:footnote>
  <w:footnote w:id="74">
    <w:p w:rsidR="002031E1" w:rsidRPr="005E074B" w:rsidRDefault="002031E1" w:rsidP="005E1FF9">
      <w:pPr>
        <w:kinsoku w:val="0"/>
        <w:overflowPunct w:val="0"/>
        <w:adjustRightInd w:val="0"/>
        <w:snapToGrid w:val="0"/>
        <w:spacing w:line="391" w:lineRule="exact"/>
        <w:ind w:left="227" w:hanging="227"/>
        <w:rPr>
          <w:kern w:val="0"/>
          <w:sz w:val="22"/>
          <w:szCs w:val="22"/>
        </w:rPr>
      </w:pPr>
      <w:r w:rsidRPr="005E074B">
        <w:rPr>
          <w:rStyle w:val="ab"/>
          <w:kern w:val="0"/>
          <w:sz w:val="22"/>
          <w:szCs w:val="22"/>
        </w:rPr>
        <w:footnoteRef/>
      </w:r>
      <w:r w:rsidRPr="005E074B">
        <w:rPr>
          <w:kern w:val="0"/>
          <w:sz w:val="22"/>
          <w:szCs w:val="22"/>
        </w:rPr>
        <w:t xml:space="preserve"> </w:t>
      </w:r>
      <w:r w:rsidRPr="005E074B">
        <w:rPr>
          <w:i/>
          <w:kern w:val="0"/>
          <w:sz w:val="22"/>
          <w:szCs w:val="22"/>
        </w:rPr>
        <w:t>See, e.g.</w:t>
      </w:r>
      <w:r w:rsidRPr="005E074B">
        <w:rPr>
          <w:kern w:val="0"/>
          <w:sz w:val="22"/>
          <w:szCs w:val="22"/>
        </w:rPr>
        <w:t>, Lovell v. Griffin, 303 US 444</w:t>
      </w:r>
      <w:r w:rsidRPr="005E074B">
        <w:rPr>
          <w:rFonts w:hAnsi="標楷體"/>
          <w:kern w:val="0"/>
          <w:sz w:val="22"/>
          <w:szCs w:val="22"/>
        </w:rPr>
        <w:t>（</w:t>
      </w:r>
      <w:r w:rsidRPr="005E074B">
        <w:rPr>
          <w:kern w:val="0"/>
          <w:sz w:val="22"/>
          <w:szCs w:val="22"/>
        </w:rPr>
        <w:t>1938</w:t>
      </w:r>
      <w:r w:rsidRPr="005E074B">
        <w:rPr>
          <w:rFonts w:hAnsi="標楷體"/>
          <w:kern w:val="0"/>
          <w:sz w:val="22"/>
          <w:szCs w:val="22"/>
        </w:rPr>
        <w:t>）</w:t>
      </w:r>
      <w:r w:rsidRPr="005E074B">
        <w:rPr>
          <w:kern w:val="0"/>
          <w:sz w:val="22"/>
          <w:szCs w:val="22"/>
        </w:rPr>
        <w:t>; Near v. Minnesota, 283 US 697</w:t>
      </w:r>
      <w:r w:rsidRPr="005E074B">
        <w:rPr>
          <w:rFonts w:hAnsi="標楷體"/>
          <w:kern w:val="0"/>
          <w:sz w:val="22"/>
          <w:szCs w:val="22"/>
        </w:rPr>
        <w:t>（</w:t>
      </w:r>
      <w:r w:rsidRPr="005E074B">
        <w:rPr>
          <w:kern w:val="0"/>
          <w:sz w:val="22"/>
          <w:szCs w:val="22"/>
        </w:rPr>
        <w:t>1931</w:t>
      </w:r>
      <w:r w:rsidRPr="005E074B">
        <w:rPr>
          <w:rFonts w:hAnsi="標楷體"/>
          <w:kern w:val="0"/>
          <w:sz w:val="22"/>
          <w:szCs w:val="22"/>
        </w:rPr>
        <w:t>）</w:t>
      </w:r>
      <w:r w:rsidRPr="005E074B">
        <w:rPr>
          <w:kern w:val="0"/>
          <w:sz w:val="22"/>
          <w:szCs w:val="22"/>
        </w:rPr>
        <w:t>.</w:t>
      </w:r>
    </w:p>
  </w:footnote>
  <w:footnote w:id="75">
    <w:p w:rsidR="002031E1" w:rsidRPr="005E074B" w:rsidRDefault="002031E1" w:rsidP="005E1FF9">
      <w:pPr>
        <w:kinsoku w:val="0"/>
        <w:overflowPunct w:val="0"/>
        <w:adjustRightInd w:val="0"/>
        <w:snapToGrid w:val="0"/>
        <w:spacing w:line="391" w:lineRule="exact"/>
        <w:ind w:left="227" w:hanging="227"/>
        <w:rPr>
          <w:kern w:val="0"/>
          <w:sz w:val="22"/>
          <w:szCs w:val="22"/>
        </w:rPr>
      </w:pPr>
      <w:r w:rsidRPr="005E074B">
        <w:rPr>
          <w:rStyle w:val="ab"/>
          <w:kern w:val="0"/>
          <w:sz w:val="22"/>
          <w:szCs w:val="22"/>
        </w:rPr>
        <w:footnoteRef/>
      </w:r>
      <w:r w:rsidRPr="005E074B">
        <w:rPr>
          <w:kern w:val="0"/>
          <w:sz w:val="22"/>
          <w:szCs w:val="22"/>
        </w:rPr>
        <w:t xml:space="preserve"> </w:t>
      </w:r>
      <w:r w:rsidRPr="005E074B">
        <w:rPr>
          <w:i/>
          <w:kern w:val="0"/>
          <w:sz w:val="22"/>
          <w:szCs w:val="22"/>
        </w:rPr>
        <w:t>See, e.g.</w:t>
      </w:r>
      <w:r w:rsidRPr="005E074B">
        <w:rPr>
          <w:kern w:val="0"/>
          <w:sz w:val="22"/>
          <w:szCs w:val="22"/>
        </w:rPr>
        <w:t xml:space="preserve">, Brandenburg v. Ohio, 395 US 444 </w:t>
      </w:r>
      <w:r w:rsidRPr="005E074B">
        <w:rPr>
          <w:rFonts w:hAnsi="標楷體"/>
          <w:kern w:val="0"/>
          <w:sz w:val="22"/>
          <w:szCs w:val="22"/>
        </w:rPr>
        <w:t>（</w:t>
      </w:r>
      <w:r w:rsidRPr="005E074B">
        <w:rPr>
          <w:kern w:val="0"/>
          <w:sz w:val="22"/>
          <w:szCs w:val="22"/>
        </w:rPr>
        <w:t>1969</w:t>
      </w:r>
      <w:r w:rsidRPr="005E074B">
        <w:rPr>
          <w:rFonts w:hAnsi="標楷體"/>
          <w:kern w:val="0"/>
          <w:sz w:val="22"/>
          <w:szCs w:val="22"/>
        </w:rPr>
        <w:t>）</w:t>
      </w:r>
      <w:r w:rsidRPr="005E074B">
        <w:rPr>
          <w:kern w:val="0"/>
          <w:sz w:val="22"/>
          <w:szCs w:val="22"/>
        </w:rPr>
        <w:t>; Schenck v. United States, 249 US 47</w:t>
      </w:r>
      <w:r w:rsidRPr="005E074B">
        <w:rPr>
          <w:rFonts w:hAnsi="標楷體"/>
          <w:kern w:val="0"/>
          <w:sz w:val="22"/>
          <w:szCs w:val="22"/>
        </w:rPr>
        <w:t>（</w:t>
      </w:r>
      <w:r w:rsidRPr="005E074B">
        <w:rPr>
          <w:kern w:val="0"/>
          <w:sz w:val="22"/>
          <w:szCs w:val="22"/>
        </w:rPr>
        <w:t>1919</w:t>
      </w:r>
      <w:r w:rsidRPr="005E074B">
        <w:rPr>
          <w:rFonts w:hAnsi="標楷體"/>
          <w:kern w:val="0"/>
          <w:sz w:val="22"/>
          <w:szCs w:val="22"/>
        </w:rPr>
        <w:t>）</w:t>
      </w:r>
      <w:r w:rsidRPr="005E074B">
        <w:rPr>
          <w:kern w:val="0"/>
          <w:sz w:val="22"/>
          <w:szCs w:val="22"/>
        </w:rPr>
        <w:t xml:space="preserve">. </w:t>
      </w:r>
    </w:p>
  </w:footnote>
  <w:footnote w:id="76">
    <w:p w:rsidR="002031E1" w:rsidRPr="005E074B" w:rsidRDefault="002031E1" w:rsidP="005E1FF9">
      <w:pPr>
        <w:kinsoku w:val="0"/>
        <w:overflowPunct w:val="0"/>
        <w:adjustRightInd w:val="0"/>
        <w:snapToGrid w:val="0"/>
        <w:spacing w:line="391" w:lineRule="exact"/>
        <w:ind w:left="227" w:hanging="227"/>
        <w:rPr>
          <w:kern w:val="0"/>
        </w:rPr>
      </w:pPr>
      <w:r w:rsidRPr="005E074B">
        <w:rPr>
          <w:rStyle w:val="ab"/>
          <w:kern w:val="0"/>
          <w:sz w:val="22"/>
          <w:szCs w:val="22"/>
        </w:rPr>
        <w:footnoteRef/>
      </w:r>
      <w:r w:rsidRPr="005E074B">
        <w:rPr>
          <w:kern w:val="0"/>
          <w:sz w:val="22"/>
          <w:szCs w:val="22"/>
        </w:rPr>
        <w:t xml:space="preserve"> </w:t>
      </w:r>
      <w:r w:rsidRPr="005E074B">
        <w:rPr>
          <w:i/>
          <w:kern w:val="0"/>
          <w:sz w:val="22"/>
          <w:szCs w:val="22"/>
        </w:rPr>
        <w:t>See, e.g.</w:t>
      </w:r>
      <w:r w:rsidRPr="005E074B">
        <w:rPr>
          <w:kern w:val="0"/>
          <w:sz w:val="22"/>
          <w:szCs w:val="22"/>
        </w:rPr>
        <w:t>, New York Times Co. v. United States, 403 US 713</w:t>
      </w:r>
      <w:r w:rsidRPr="005E074B">
        <w:rPr>
          <w:rFonts w:hAnsi="標楷體"/>
          <w:kern w:val="0"/>
          <w:sz w:val="22"/>
          <w:szCs w:val="22"/>
        </w:rPr>
        <w:t>（</w:t>
      </w:r>
      <w:r w:rsidRPr="005E074B">
        <w:rPr>
          <w:kern w:val="0"/>
          <w:sz w:val="22"/>
          <w:szCs w:val="22"/>
        </w:rPr>
        <w:t>1971</w:t>
      </w:r>
      <w:r w:rsidRPr="005E074B">
        <w:rPr>
          <w:rFonts w:hAnsi="標楷體"/>
          <w:kern w:val="0"/>
          <w:sz w:val="22"/>
          <w:szCs w:val="22"/>
        </w:rPr>
        <w:t>）</w:t>
      </w:r>
      <w:r w:rsidRPr="005E074B">
        <w:rPr>
          <w:kern w:val="0"/>
          <w:sz w:val="22"/>
          <w:szCs w:val="22"/>
        </w:rPr>
        <w:t>.</w:t>
      </w:r>
    </w:p>
  </w:footnote>
  <w:footnote w:id="77">
    <w:p w:rsidR="002031E1" w:rsidRPr="005E074B" w:rsidRDefault="002031E1" w:rsidP="005E1FF9">
      <w:pPr>
        <w:kinsoku w:val="0"/>
        <w:overflowPunct w:val="0"/>
        <w:adjustRightInd w:val="0"/>
        <w:snapToGrid w:val="0"/>
        <w:spacing w:line="391" w:lineRule="exact"/>
        <w:ind w:left="266" w:hanging="266"/>
        <w:rPr>
          <w:kern w:val="0"/>
          <w:sz w:val="22"/>
          <w:szCs w:val="22"/>
        </w:rPr>
      </w:pPr>
      <w:r w:rsidRPr="005E074B">
        <w:rPr>
          <w:rStyle w:val="ab"/>
          <w:kern w:val="0"/>
          <w:sz w:val="22"/>
          <w:szCs w:val="22"/>
        </w:rPr>
        <w:footnoteRef/>
      </w:r>
      <w:r w:rsidRPr="005E074B">
        <w:rPr>
          <w:kern w:val="0"/>
          <w:sz w:val="22"/>
          <w:szCs w:val="22"/>
        </w:rPr>
        <w:t xml:space="preserve"> </w:t>
      </w:r>
      <w:r w:rsidRPr="005E074B">
        <w:rPr>
          <w:rFonts w:hAnsi="標楷體"/>
          <w:kern w:val="0"/>
          <w:sz w:val="22"/>
          <w:szCs w:val="22"/>
        </w:rPr>
        <w:t>本院釋字第三</w:t>
      </w:r>
      <w:r w:rsidRPr="005E074B">
        <w:rPr>
          <w:rFonts w:hAnsi="標楷體"/>
          <w:color w:val="000000"/>
          <w:kern w:val="0"/>
          <w:sz w:val="22"/>
          <w:szCs w:val="22"/>
          <w:lang w:val="fr-FR"/>
        </w:rPr>
        <w:t>六四號</w:t>
      </w:r>
      <w:r w:rsidRPr="005E074B">
        <w:rPr>
          <w:rFonts w:hAnsi="標楷體"/>
          <w:kern w:val="0"/>
          <w:sz w:val="22"/>
          <w:szCs w:val="22"/>
        </w:rPr>
        <w:t>解釋業已肯認「</w:t>
      </w:r>
      <w:r w:rsidRPr="005E074B">
        <w:rPr>
          <w:rFonts w:hAnsi="標楷體"/>
          <w:color w:val="000000"/>
          <w:kern w:val="0"/>
          <w:sz w:val="22"/>
          <w:szCs w:val="22"/>
        </w:rPr>
        <w:t>以</w:t>
      </w:r>
      <w:r w:rsidRPr="005E074B">
        <w:rPr>
          <w:rFonts w:hAnsi="標楷體"/>
          <w:b/>
          <w:color w:val="000000"/>
          <w:kern w:val="0"/>
          <w:sz w:val="22"/>
          <w:szCs w:val="22"/>
        </w:rPr>
        <w:t>廣播及電視方式</w:t>
      </w:r>
      <w:r w:rsidRPr="005E074B">
        <w:rPr>
          <w:rFonts w:hAnsi="標楷體"/>
          <w:color w:val="000000"/>
          <w:kern w:val="0"/>
          <w:sz w:val="22"/>
          <w:szCs w:val="22"/>
        </w:rPr>
        <w:t>表達意見，屬於憲法第十一條所保障言論自由之範圍」；本件多數大法官卻不願意承認人民於</w:t>
      </w:r>
      <w:r w:rsidRPr="005E074B">
        <w:rPr>
          <w:rFonts w:hAnsi="標楷體"/>
          <w:b/>
          <w:color w:val="000000"/>
          <w:kern w:val="0"/>
          <w:sz w:val="22"/>
          <w:szCs w:val="22"/>
        </w:rPr>
        <w:t>傳統之公有開放空間</w:t>
      </w:r>
      <w:r w:rsidRPr="005E074B">
        <w:rPr>
          <w:rFonts w:hAnsi="標楷體"/>
          <w:color w:val="000000"/>
          <w:kern w:val="0"/>
          <w:sz w:val="22"/>
          <w:szCs w:val="22"/>
        </w:rPr>
        <w:t>表達意見，屬於憲法第十一條所保障言論自由之範圍，殊難理解。</w:t>
      </w:r>
    </w:p>
  </w:footnote>
  <w:footnote w:id="78">
    <w:p w:rsidR="002031E1" w:rsidRPr="00340230" w:rsidRDefault="002031E1" w:rsidP="005E1FF9">
      <w:pPr>
        <w:kinsoku w:val="0"/>
        <w:overflowPunct w:val="0"/>
        <w:adjustRightInd w:val="0"/>
        <w:snapToGrid w:val="0"/>
        <w:spacing w:line="391" w:lineRule="exact"/>
        <w:ind w:left="266" w:hanging="266"/>
        <w:rPr>
          <w:kern w:val="0"/>
        </w:rPr>
      </w:pPr>
      <w:r w:rsidRPr="00340230">
        <w:rPr>
          <w:rStyle w:val="ab"/>
          <w:kern w:val="0"/>
          <w:sz w:val="22"/>
          <w:szCs w:val="22"/>
        </w:rPr>
        <w:footnoteRef/>
      </w:r>
      <w:r w:rsidRPr="00340230">
        <w:rPr>
          <w:kern w:val="0"/>
          <w:sz w:val="22"/>
          <w:szCs w:val="22"/>
        </w:rPr>
        <w:t xml:space="preserve"> </w:t>
      </w:r>
      <w:r w:rsidRPr="00340230">
        <w:rPr>
          <w:rFonts w:hAnsi="標楷體"/>
          <w:kern w:val="0"/>
          <w:sz w:val="22"/>
          <w:szCs w:val="22"/>
        </w:rPr>
        <w:t>參見本院釋字</w:t>
      </w:r>
      <w:r w:rsidRPr="00340230">
        <w:rPr>
          <w:rFonts w:hAnsi="標楷體"/>
          <w:color w:val="000000"/>
          <w:kern w:val="0"/>
          <w:sz w:val="22"/>
          <w:szCs w:val="22"/>
          <w:lang w:val="fr-FR"/>
        </w:rPr>
        <w:t>第</w:t>
      </w:r>
      <w:r w:rsidRPr="00AB2E8F">
        <w:rPr>
          <w:rFonts w:ascii="標楷體" w:hAnsi="標楷體"/>
          <w:color w:val="000000"/>
          <w:kern w:val="0"/>
          <w:sz w:val="22"/>
          <w:szCs w:val="22"/>
          <w:lang w:val="fr-FR"/>
        </w:rPr>
        <w:t>七</w:t>
      </w:r>
      <w:r w:rsidRPr="00AB2E8F">
        <w:rPr>
          <w:rFonts w:ascii="標楷體" w:hAnsi="標楷體"/>
          <w:kern w:val="0"/>
          <w:sz w:val="22"/>
          <w:szCs w:val="22"/>
        </w:rPr>
        <w:t>○九</w:t>
      </w:r>
      <w:r w:rsidRPr="00340230">
        <w:rPr>
          <w:rFonts w:hAnsi="標楷體"/>
          <w:kern w:val="0"/>
          <w:sz w:val="22"/>
          <w:szCs w:val="22"/>
        </w:rPr>
        <w:t>號解釋理由書第一段（「確定終局判決所適用之舊都市更新條例第十九條第三項前段雖未經聲請人聲請釋憲，惟此係規定直轄市、縣（市）政府主管機關核定都市更新事業計畫前應遵行之程序，乃同條例第十條第一項直轄市、縣（市）主管機關核准都市更新事業概要之</w:t>
      </w:r>
      <w:r w:rsidRPr="00340230">
        <w:rPr>
          <w:rFonts w:hAnsi="標楷體"/>
          <w:b/>
          <w:kern w:val="0"/>
          <w:sz w:val="22"/>
          <w:szCs w:val="22"/>
        </w:rPr>
        <w:t>後續階段</w:t>
      </w:r>
      <w:r w:rsidRPr="00340230">
        <w:rPr>
          <w:rFonts w:hAnsi="標楷體"/>
          <w:kern w:val="0"/>
          <w:sz w:val="22"/>
          <w:szCs w:val="22"/>
        </w:rPr>
        <w:t>，都市更新事業概要是否核准為都市更新事業計畫是否核定之</w:t>
      </w:r>
      <w:r w:rsidRPr="00340230">
        <w:rPr>
          <w:rFonts w:hAnsi="標楷體"/>
          <w:b/>
          <w:kern w:val="0"/>
          <w:sz w:val="22"/>
          <w:szCs w:val="22"/>
        </w:rPr>
        <w:t>前提問題</w:t>
      </w:r>
      <w:r w:rsidRPr="00340230">
        <w:rPr>
          <w:rFonts w:hAnsi="標楷體"/>
          <w:kern w:val="0"/>
          <w:sz w:val="22"/>
          <w:szCs w:val="22"/>
        </w:rPr>
        <w:t>，足見舊都市更新條例第十九條第三項前段與第十條第一項之規範功能，</w:t>
      </w:r>
      <w:r w:rsidRPr="00340230">
        <w:rPr>
          <w:rFonts w:hAnsi="標楷體"/>
          <w:b/>
          <w:kern w:val="0"/>
          <w:sz w:val="22"/>
          <w:szCs w:val="22"/>
        </w:rPr>
        <w:t>具有重要關聯性</w:t>
      </w:r>
      <w:r w:rsidRPr="00340230">
        <w:rPr>
          <w:rFonts w:hAnsi="標楷體"/>
          <w:kern w:val="0"/>
          <w:sz w:val="22"/>
          <w:szCs w:val="22"/>
        </w:rPr>
        <w:t>，爰將舊都市更新條例第十九條第三項前段一併納入審查範圍」）、第六六四號解釋理由書第一段（「少年法院認有必要時得以裁定命少年</w:t>
      </w:r>
      <w:r w:rsidRPr="00340230">
        <w:rPr>
          <w:rFonts w:hAnsi="標楷體"/>
          <w:b/>
          <w:kern w:val="0"/>
          <w:sz w:val="22"/>
          <w:szCs w:val="22"/>
        </w:rPr>
        <w:t>收容</w:t>
      </w:r>
      <w:r w:rsidRPr="00340230">
        <w:rPr>
          <w:rFonts w:hAnsi="標楷體"/>
          <w:kern w:val="0"/>
          <w:sz w:val="22"/>
          <w:szCs w:val="22"/>
        </w:rPr>
        <w:t>於少年觀護所，第四十二條第一項第四款規定少年法院得以裁定令少年入</w:t>
      </w:r>
      <w:r w:rsidRPr="00340230">
        <w:rPr>
          <w:rFonts w:hAnsi="標楷體"/>
          <w:b/>
          <w:kern w:val="0"/>
          <w:sz w:val="22"/>
          <w:szCs w:val="22"/>
        </w:rPr>
        <w:t>感化教育</w:t>
      </w:r>
      <w:r w:rsidRPr="00340230">
        <w:rPr>
          <w:rFonts w:hAnsi="標楷體"/>
          <w:kern w:val="0"/>
          <w:sz w:val="22"/>
          <w:szCs w:val="22"/>
        </w:rPr>
        <w:t>處所施以感化教育，均為聲請人依同法第三條第二款第三目規定而進行少年事件處理程序時，所須適用之</w:t>
      </w:r>
      <w:r w:rsidRPr="00340230">
        <w:rPr>
          <w:rFonts w:hAnsi="標楷體"/>
          <w:b/>
          <w:kern w:val="0"/>
          <w:sz w:val="22"/>
          <w:szCs w:val="22"/>
        </w:rPr>
        <w:t>後續處置</w:t>
      </w:r>
      <w:r w:rsidRPr="00340230">
        <w:rPr>
          <w:rFonts w:hAnsi="標楷體"/>
          <w:kern w:val="0"/>
          <w:sz w:val="22"/>
          <w:szCs w:val="22"/>
        </w:rPr>
        <w:t>規定，與第三條第二款第三目規定</w:t>
      </w:r>
      <w:r w:rsidRPr="00340230">
        <w:rPr>
          <w:rFonts w:hAnsi="標楷體"/>
          <w:b/>
          <w:kern w:val="0"/>
          <w:sz w:val="22"/>
          <w:szCs w:val="22"/>
        </w:rPr>
        <w:t>有重要關聯</w:t>
      </w:r>
      <w:r w:rsidRPr="00340230">
        <w:rPr>
          <w:rFonts w:hAnsi="標楷體"/>
          <w:kern w:val="0"/>
          <w:sz w:val="22"/>
          <w:szCs w:val="22"/>
        </w:rPr>
        <w:t>，均得為本院審查之對象，應一併納入解釋範圍」）。準此，本件「自治條例相關規定」既為地方主管機關適用「系爭公告」，就廣告物設置</w:t>
      </w:r>
      <w:r w:rsidRPr="00340230">
        <w:rPr>
          <w:kern w:val="0"/>
          <w:sz w:val="22"/>
          <w:szCs w:val="22"/>
        </w:rPr>
        <w:t>為</w:t>
      </w:r>
      <w:r w:rsidRPr="00340230">
        <w:rPr>
          <w:b/>
          <w:kern w:val="0"/>
          <w:sz w:val="22"/>
          <w:szCs w:val="22"/>
        </w:rPr>
        <w:t>准駁之依據</w:t>
      </w:r>
      <w:r w:rsidRPr="00340230">
        <w:rPr>
          <w:kern w:val="0"/>
          <w:sz w:val="22"/>
          <w:szCs w:val="22"/>
        </w:rPr>
        <w:t>，應認其與聲請人聲請解釋之「系爭公告」在適用上具有重要關聯性，從而得納入作為解釋之標的。</w:t>
      </w:r>
    </w:p>
  </w:footnote>
  <w:footnote w:id="79">
    <w:p w:rsidR="002031E1" w:rsidRPr="00340230" w:rsidRDefault="002031E1" w:rsidP="00C71094">
      <w:pPr>
        <w:kinsoku w:val="0"/>
        <w:overflowPunct w:val="0"/>
        <w:adjustRightInd w:val="0"/>
        <w:snapToGrid w:val="0"/>
        <w:spacing w:line="391" w:lineRule="exact"/>
        <w:ind w:left="249" w:hanging="249"/>
        <w:rPr>
          <w:kern w:val="0"/>
          <w:sz w:val="22"/>
          <w:szCs w:val="22"/>
        </w:rPr>
      </w:pPr>
      <w:r w:rsidRPr="00340230">
        <w:rPr>
          <w:rStyle w:val="ab"/>
          <w:kern w:val="0"/>
          <w:sz w:val="22"/>
          <w:szCs w:val="22"/>
        </w:rPr>
        <w:footnoteRef/>
      </w:r>
      <w:r w:rsidRPr="00340230">
        <w:rPr>
          <w:kern w:val="0"/>
          <w:sz w:val="22"/>
          <w:szCs w:val="22"/>
        </w:rPr>
        <w:t xml:space="preserve"> </w:t>
      </w:r>
      <w:r w:rsidRPr="00340230">
        <w:rPr>
          <w:rFonts w:hAnsi="標楷體"/>
          <w:kern w:val="0"/>
          <w:sz w:val="22"/>
          <w:szCs w:val="22"/>
        </w:rPr>
        <w:t>本席到院服務四年，</w:t>
      </w:r>
      <w:r w:rsidRPr="00340230">
        <w:rPr>
          <w:rFonts w:hAnsi="標楷體"/>
          <w:color w:val="000000"/>
          <w:kern w:val="0"/>
          <w:sz w:val="22"/>
          <w:szCs w:val="22"/>
          <w:lang w:val="fr-FR"/>
        </w:rPr>
        <w:t>言論自由</w:t>
      </w:r>
      <w:r w:rsidRPr="00340230">
        <w:rPr>
          <w:rFonts w:hAnsi="標楷體"/>
          <w:kern w:val="0"/>
          <w:sz w:val="22"/>
          <w:szCs w:val="22"/>
        </w:rPr>
        <w:t>釋憲聲請案十餘件，無一受理。其中，</w:t>
      </w:r>
      <w:r w:rsidRPr="00E56D4F">
        <w:rPr>
          <w:rFonts w:ascii="標楷體" w:hAnsi="標楷體"/>
          <w:kern w:val="0"/>
          <w:sz w:val="22"/>
          <w:szCs w:val="22"/>
        </w:rPr>
        <w:t>一○三年十二月三十一日大法官一四二六次會議決議不受理會台字第一二三二七號聲請案（焚燒國旗）及一○一年十月五</w:t>
      </w:r>
      <w:r w:rsidRPr="00340230">
        <w:rPr>
          <w:rFonts w:hAnsi="標楷體"/>
          <w:kern w:val="0"/>
          <w:sz w:val="22"/>
          <w:szCs w:val="22"/>
        </w:rPr>
        <w:t>日大法官一三九四次會議決議不受理會台字第九七二五號聲請案（污損國旗），尤具受理價值。</w:t>
      </w:r>
    </w:p>
  </w:footnote>
  <w:footnote w:id="80">
    <w:p w:rsidR="002031E1" w:rsidRPr="00340230" w:rsidRDefault="002031E1" w:rsidP="006830C1">
      <w:pPr>
        <w:kinsoku w:val="0"/>
        <w:overflowPunct w:val="0"/>
        <w:adjustRightInd w:val="0"/>
        <w:snapToGrid w:val="0"/>
        <w:spacing w:line="391" w:lineRule="exact"/>
        <w:ind w:left="227" w:hanging="227"/>
        <w:rPr>
          <w:kern w:val="0"/>
          <w:sz w:val="22"/>
          <w:szCs w:val="22"/>
        </w:rPr>
      </w:pPr>
      <w:r w:rsidRPr="00340230">
        <w:rPr>
          <w:rStyle w:val="ab"/>
          <w:kern w:val="0"/>
          <w:sz w:val="22"/>
          <w:szCs w:val="22"/>
        </w:rPr>
        <w:footnoteRef/>
      </w:r>
      <w:r w:rsidRPr="00340230">
        <w:rPr>
          <w:kern w:val="0"/>
          <w:sz w:val="22"/>
          <w:szCs w:val="22"/>
        </w:rPr>
        <w:t xml:space="preserve"> </w:t>
      </w:r>
      <w:r w:rsidRPr="00340230">
        <w:rPr>
          <w:rFonts w:hAnsi="標楷體"/>
          <w:kern w:val="0"/>
          <w:sz w:val="22"/>
          <w:szCs w:val="22"/>
        </w:rPr>
        <w:t>噴漆、黏貼</w:t>
      </w:r>
    </w:p>
  </w:footnote>
  <w:footnote w:id="81">
    <w:p w:rsidR="002031E1" w:rsidRPr="00340230" w:rsidRDefault="002031E1" w:rsidP="006830C1">
      <w:pPr>
        <w:kinsoku w:val="0"/>
        <w:overflowPunct w:val="0"/>
        <w:adjustRightInd w:val="0"/>
        <w:snapToGrid w:val="0"/>
        <w:spacing w:line="391" w:lineRule="exact"/>
        <w:ind w:left="182" w:hanging="182"/>
        <w:rPr>
          <w:kern w:val="0"/>
          <w:sz w:val="22"/>
          <w:szCs w:val="22"/>
        </w:rPr>
      </w:pPr>
      <w:r w:rsidRPr="00340230">
        <w:rPr>
          <w:rStyle w:val="ab"/>
          <w:kern w:val="0"/>
          <w:sz w:val="22"/>
          <w:szCs w:val="22"/>
        </w:rPr>
        <w:footnoteRef/>
      </w:r>
      <w:r w:rsidRPr="00340230">
        <w:rPr>
          <w:kern w:val="0"/>
          <w:sz w:val="22"/>
          <w:szCs w:val="22"/>
        </w:rPr>
        <w:t xml:space="preserve"> </w:t>
      </w:r>
      <w:r w:rsidRPr="00340230">
        <w:rPr>
          <w:rFonts w:hAnsi="標楷體"/>
          <w:kern w:val="0"/>
          <w:sz w:val="22"/>
          <w:szCs w:val="22"/>
        </w:rPr>
        <w:t>「粉刷、樹立、釘定」等固定方式設置廣告物，其污染環境結果與「噴漆」、「張貼」相同，「張掛、懸繫、夾插、置放」等非固定方式，亦會造成污染環境之結果，雖其污染較固定方式易於除去，然如不予禁止，任其長期設置，其造成之污染環境結果，即與固定方式無異。</w:t>
      </w:r>
    </w:p>
  </w:footnote>
  <w:footnote w:id="82">
    <w:p w:rsidR="002031E1" w:rsidRPr="00340230" w:rsidRDefault="002031E1" w:rsidP="006830C1">
      <w:pPr>
        <w:kinsoku w:val="0"/>
        <w:overflowPunct w:val="0"/>
        <w:adjustRightInd w:val="0"/>
        <w:snapToGrid w:val="0"/>
        <w:spacing w:line="391" w:lineRule="exact"/>
        <w:ind w:left="182" w:hanging="182"/>
        <w:rPr>
          <w:kern w:val="0"/>
          <w:sz w:val="22"/>
          <w:szCs w:val="22"/>
        </w:rPr>
      </w:pPr>
      <w:r w:rsidRPr="00340230">
        <w:rPr>
          <w:rStyle w:val="ab"/>
          <w:kern w:val="0"/>
          <w:sz w:val="22"/>
          <w:szCs w:val="22"/>
        </w:rPr>
        <w:footnoteRef/>
      </w:r>
      <w:r w:rsidRPr="00340230">
        <w:rPr>
          <w:kern w:val="0"/>
          <w:sz w:val="22"/>
          <w:szCs w:val="22"/>
        </w:rPr>
        <w:t xml:space="preserve"> </w:t>
      </w:r>
      <w:r w:rsidRPr="00340230">
        <w:rPr>
          <w:rFonts w:hAnsi="標楷體"/>
          <w:kern w:val="0"/>
          <w:sz w:val="22"/>
          <w:szCs w:val="22"/>
        </w:rPr>
        <w:t>事先設置標準，許其不經核准即設置，如同時有多數人依標準於同一場所設置，亦將造成與廢棄物清理法</w:t>
      </w:r>
      <w:r w:rsidRPr="00340230">
        <w:rPr>
          <w:rFonts w:hAnsi="標楷體"/>
          <w:color w:val="000000"/>
          <w:kern w:val="0"/>
          <w:sz w:val="22"/>
          <w:szCs w:val="22"/>
          <w:lang w:val="fr-FR"/>
        </w:rPr>
        <w:t>第二十七</w:t>
      </w:r>
      <w:r w:rsidRPr="00340230">
        <w:rPr>
          <w:rFonts w:hAnsi="標楷體"/>
          <w:kern w:val="0"/>
          <w:sz w:val="22"/>
          <w:szCs w:val="22"/>
        </w:rPr>
        <w:t>條前十款相同之污染環境。</w:t>
      </w:r>
    </w:p>
  </w:footnote>
  <w:footnote w:id="83">
    <w:p w:rsidR="002031E1" w:rsidRPr="00340230" w:rsidRDefault="002031E1" w:rsidP="006830C1">
      <w:pPr>
        <w:kinsoku w:val="0"/>
        <w:overflowPunct w:val="0"/>
        <w:adjustRightInd w:val="0"/>
        <w:snapToGrid w:val="0"/>
        <w:spacing w:line="391" w:lineRule="exact"/>
        <w:ind w:left="227" w:hanging="227"/>
        <w:rPr>
          <w:spacing w:val="-4"/>
          <w:kern w:val="0"/>
          <w:sz w:val="22"/>
          <w:szCs w:val="22"/>
        </w:rPr>
      </w:pPr>
      <w:r w:rsidRPr="00340230">
        <w:rPr>
          <w:rStyle w:val="ab"/>
          <w:spacing w:val="-4"/>
          <w:kern w:val="0"/>
          <w:sz w:val="22"/>
          <w:szCs w:val="22"/>
        </w:rPr>
        <w:footnoteRef/>
      </w:r>
      <w:r w:rsidRPr="00340230">
        <w:rPr>
          <w:spacing w:val="-4"/>
          <w:kern w:val="0"/>
          <w:sz w:val="22"/>
          <w:szCs w:val="22"/>
        </w:rPr>
        <w:t xml:space="preserve"> </w:t>
      </w:r>
      <w:r w:rsidRPr="00340230">
        <w:rPr>
          <w:rFonts w:hAnsi="標楷體"/>
          <w:spacing w:val="-4"/>
          <w:kern w:val="0"/>
          <w:sz w:val="22"/>
          <w:szCs w:val="22"/>
        </w:rPr>
        <w:t>核准程序</w:t>
      </w:r>
      <w:r w:rsidRPr="00340230">
        <w:rPr>
          <w:rFonts w:hAnsi="標楷體"/>
          <w:color w:val="000000"/>
          <w:spacing w:val="-4"/>
          <w:kern w:val="0"/>
          <w:sz w:val="22"/>
          <w:szCs w:val="22"/>
          <w:lang w:val="fr-FR"/>
        </w:rPr>
        <w:t>可以</w:t>
      </w:r>
      <w:r w:rsidRPr="00340230">
        <w:rPr>
          <w:rFonts w:hAnsi="標楷體"/>
          <w:spacing w:val="-4"/>
          <w:kern w:val="0"/>
          <w:sz w:val="22"/>
          <w:szCs w:val="22"/>
        </w:rPr>
        <w:t>併管制設置廣告物時間、場所及規模，並避免同一場所設置過多廣告物過度污染環境。</w:t>
      </w:r>
    </w:p>
  </w:footnote>
  <w:footnote w:id="84">
    <w:p w:rsidR="002031E1" w:rsidRPr="00340230" w:rsidRDefault="002031E1" w:rsidP="006830C1">
      <w:pPr>
        <w:kinsoku w:val="0"/>
        <w:overflowPunct w:val="0"/>
        <w:adjustRightInd w:val="0"/>
        <w:snapToGrid w:val="0"/>
        <w:spacing w:line="391" w:lineRule="exact"/>
        <w:ind w:left="182" w:hanging="182"/>
        <w:rPr>
          <w:kern w:val="0"/>
        </w:rPr>
      </w:pPr>
      <w:r w:rsidRPr="00340230">
        <w:rPr>
          <w:rStyle w:val="ab"/>
          <w:kern w:val="0"/>
          <w:sz w:val="22"/>
          <w:szCs w:val="22"/>
        </w:rPr>
        <w:footnoteRef/>
      </w:r>
      <w:r w:rsidRPr="00340230">
        <w:rPr>
          <w:kern w:val="0"/>
          <w:sz w:val="22"/>
          <w:szCs w:val="22"/>
        </w:rPr>
        <w:t xml:space="preserve"> </w:t>
      </w:r>
      <w:r w:rsidRPr="00340230">
        <w:rPr>
          <w:rFonts w:hAnsi="標楷體"/>
          <w:kern w:val="0"/>
          <w:sz w:val="22"/>
          <w:szCs w:val="22"/>
        </w:rPr>
        <w:t>或謂系爭規定並未規定須經核准始得設置廣告物，系爭公告以須經核准始得設置廣告物，乃增加法律所無之</w:t>
      </w:r>
      <w:r w:rsidRPr="00340230">
        <w:rPr>
          <w:rFonts w:hAnsi="標楷體"/>
          <w:color w:val="000000"/>
          <w:kern w:val="0"/>
          <w:sz w:val="22"/>
          <w:szCs w:val="22"/>
          <w:lang w:val="fr-FR"/>
        </w:rPr>
        <w:t>限制</w:t>
      </w:r>
      <w:r w:rsidRPr="00340230">
        <w:rPr>
          <w:rFonts w:hAnsi="標楷體"/>
          <w:kern w:val="0"/>
          <w:sz w:val="22"/>
          <w:szCs w:val="22"/>
        </w:rPr>
        <w:t>而有違法律保留原則。惟查系爭公告係公告在其所示場所以所示方式設置廣告物者，原則上為污染環境行為，禁止為之，例外經核准者，始得設置。核准係例外之放寬條件，非對原非污染環境行為者，加以限制。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150" w:rsidRDefault="0077515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150" w:rsidRDefault="0077515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150" w:rsidRDefault="00775150">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B40" w:rsidRDefault="005A7B40">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B40" w:rsidRDefault="005A7B40">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B40" w:rsidRDefault="005A7B4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A5A6C"/>
    <w:multiLevelType w:val="hybridMultilevel"/>
    <w:tmpl w:val="F0D605D0"/>
    <w:lvl w:ilvl="0" w:tplc="B8EE02C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732064B"/>
    <w:multiLevelType w:val="hybridMultilevel"/>
    <w:tmpl w:val="9CD64FEE"/>
    <w:lvl w:ilvl="0" w:tplc="04090015">
      <w:start w:val="1"/>
      <w:numFmt w:val="taiwaneseCountingThousand"/>
      <w:lvlText w:val="%1、"/>
      <w:lvlJc w:val="left"/>
      <w:pPr>
        <w:ind w:left="1048"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177C1EF0"/>
    <w:multiLevelType w:val="hybridMultilevel"/>
    <w:tmpl w:val="1E68EB5E"/>
    <w:lvl w:ilvl="0" w:tplc="10609FC8">
      <w:start w:val="1"/>
      <w:numFmt w:val="bullet"/>
      <w:lvlText w:val=""/>
      <w:lvlJc w:val="left"/>
      <w:pPr>
        <w:tabs>
          <w:tab w:val="num" w:pos="720"/>
        </w:tabs>
        <w:ind w:left="720" w:hanging="360"/>
      </w:pPr>
      <w:rPr>
        <w:rFonts w:ascii="Wingdings" w:hAnsi="Wingdings" w:hint="default"/>
      </w:rPr>
    </w:lvl>
    <w:lvl w:ilvl="1" w:tplc="3C4A6BC2" w:tentative="1">
      <w:start w:val="1"/>
      <w:numFmt w:val="bullet"/>
      <w:lvlText w:val=""/>
      <w:lvlJc w:val="left"/>
      <w:pPr>
        <w:tabs>
          <w:tab w:val="num" w:pos="1440"/>
        </w:tabs>
        <w:ind w:left="1440" w:hanging="360"/>
      </w:pPr>
      <w:rPr>
        <w:rFonts w:ascii="Wingdings" w:hAnsi="Wingdings" w:hint="default"/>
      </w:rPr>
    </w:lvl>
    <w:lvl w:ilvl="2" w:tplc="917A7CC0" w:tentative="1">
      <w:start w:val="1"/>
      <w:numFmt w:val="bullet"/>
      <w:lvlText w:val=""/>
      <w:lvlJc w:val="left"/>
      <w:pPr>
        <w:tabs>
          <w:tab w:val="num" w:pos="2160"/>
        </w:tabs>
        <w:ind w:left="2160" w:hanging="360"/>
      </w:pPr>
      <w:rPr>
        <w:rFonts w:ascii="Wingdings" w:hAnsi="Wingdings" w:hint="default"/>
      </w:rPr>
    </w:lvl>
    <w:lvl w:ilvl="3" w:tplc="6AF25DA0" w:tentative="1">
      <w:start w:val="1"/>
      <w:numFmt w:val="bullet"/>
      <w:lvlText w:val=""/>
      <w:lvlJc w:val="left"/>
      <w:pPr>
        <w:tabs>
          <w:tab w:val="num" w:pos="2880"/>
        </w:tabs>
        <w:ind w:left="2880" w:hanging="360"/>
      </w:pPr>
      <w:rPr>
        <w:rFonts w:ascii="Wingdings" w:hAnsi="Wingdings" w:hint="default"/>
      </w:rPr>
    </w:lvl>
    <w:lvl w:ilvl="4" w:tplc="4748F342" w:tentative="1">
      <w:start w:val="1"/>
      <w:numFmt w:val="bullet"/>
      <w:lvlText w:val=""/>
      <w:lvlJc w:val="left"/>
      <w:pPr>
        <w:tabs>
          <w:tab w:val="num" w:pos="3600"/>
        </w:tabs>
        <w:ind w:left="3600" w:hanging="360"/>
      </w:pPr>
      <w:rPr>
        <w:rFonts w:ascii="Wingdings" w:hAnsi="Wingdings" w:hint="default"/>
      </w:rPr>
    </w:lvl>
    <w:lvl w:ilvl="5" w:tplc="BABC6776" w:tentative="1">
      <w:start w:val="1"/>
      <w:numFmt w:val="bullet"/>
      <w:lvlText w:val=""/>
      <w:lvlJc w:val="left"/>
      <w:pPr>
        <w:tabs>
          <w:tab w:val="num" w:pos="4320"/>
        </w:tabs>
        <w:ind w:left="4320" w:hanging="360"/>
      </w:pPr>
      <w:rPr>
        <w:rFonts w:ascii="Wingdings" w:hAnsi="Wingdings" w:hint="default"/>
      </w:rPr>
    </w:lvl>
    <w:lvl w:ilvl="6" w:tplc="A67C4F6E" w:tentative="1">
      <w:start w:val="1"/>
      <w:numFmt w:val="bullet"/>
      <w:lvlText w:val=""/>
      <w:lvlJc w:val="left"/>
      <w:pPr>
        <w:tabs>
          <w:tab w:val="num" w:pos="5040"/>
        </w:tabs>
        <w:ind w:left="5040" w:hanging="360"/>
      </w:pPr>
      <w:rPr>
        <w:rFonts w:ascii="Wingdings" w:hAnsi="Wingdings" w:hint="default"/>
      </w:rPr>
    </w:lvl>
    <w:lvl w:ilvl="7" w:tplc="A5DA2D94" w:tentative="1">
      <w:start w:val="1"/>
      <w:numFmt w:val="bullet"/>
      <w:lvlText w:val=""/>
      <w:lvlJc w:val="left"/>
      <w:pPr>
        <w:tabs>
          <w:tab w:val="num" w:pos="5760"/>
        </w:tabs>
        <w:ind w:left="5760" w:hanging="360"/>
      </w:pPr>
      <w:rPr>
        <w:rFonts w:ascii="Wingdings" w:hAnsi="Wingdings" w:hint="default"/>
      </w:rPr>
    </w:lvl>
    <w:lvl w:ilvl="8" w:tplc="F6CCAECA" w:tentative="1">
      <w:start w:val="1"/>
      <w:numFmt w:val="bullet"/>
      <w:lvlText w:val=""/>
      <w:lvlJc w:val="left"/>
      <w:pPr>
        <w:tabs>
          <w:tab w:val="num" w:pos="6480"/>
        </w:tabs>
        <w:ind w:left="6480" w:hanging="360"/>
      </w:pPr>
      <w:rPr>
        <w:rFonts w:ascii="Wingdings" w:hAnsi="Wingdings" w:hint="default"/>
      </w:rPr>
    </w:lvl>
  </w:abstractNum>
  <w:abstractNum w:abstractNumId="3">
    <w:nsid w:val="22735D54"/>
    <w:multiLevelType w:val="hybridMultilevel"/>
    <w:tmpl w:val="F64C829E"/>
    <w:lvl w:ilvl="0" w:tplc="93DCF808">
      <w:start w:val="1"/>
      <w:numFmt w:val="taiwaneseCountingThousand"/>
      <w:lvlText w:val="(%1)"/>
      <w:lvlJc w:val="left"/>
      <w:pPr>
        <w:ind w:left="790" w:hanging="79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2E896A4D"/>
    <w:multiLevelType w:val="hybridMultilevel"/>
    <w:tmpl w:val="514EB746"/>
    <w:lvl w:ilvl="0" w:tplc="F97256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342320B"/>
    <w:multiLevelType w:val="hybridMultilevel"/>
    <w:tmpl w:val="BD2016B4"/>
    <w:lvl w:ilvl="0" w:tplc="62049C1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39884492"/>
    <w:multiLevelType w:val="hybridMultilevel"/>
    <w:tmpl w:val="650603D6"/>
    <w:lvl w:ilvl="0" w:tplc="9AE4A528">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39CB573D"/>
    <w:multiLevelType w:val="hybridMultilevel"/>
    <w:tmpl w:val="007CF428"/>
    <w:lvl w:ilvl="0" w:tplc="60CABF40">
      <w:start w:val="1"/>
      <w:numFmt w:val="bullet"/>
      <w:lvlText w:val=""/>
      <w:lvlJc w:val="left"/>
      <w:pPr>
        <w:tabs>
          <w:tab w:val="num" w:pos="720"/>
        </w:tabs>
        <w:ind w:left="720" w:hanging="360"/>
      </w:pPr>
      <w:rPr>
        <w:rFonts w:ascii="Wingdings" w:hAnsi="Wingdings" w:hint="default"/>
      </w:rPr>
    </w:lvl>
    <w:lvl w:ilvl="1" w:tplc="75A6FE7C" w:tentative="1">
      <w:start w:val="1"/>
      <w:numFmt w:val="bullet"/>
      <w:lvlText w:val=""/>
      <w:lvlJc w:val="left"/>
      <w:pPr>
        <w:tabs>
          <w:tab w:val="num" w:pos="1440"/>
        </w:tabs>
        <w:ind w:left="1440" w:hanging="360"/>
      </w:pPr>
      <w:rPr>
        <w:rFonts w:ascii="Wingdings" w:hAnsi="Wingdings" w:hint="default"/>
      </w:rPr>
    </w:lvl>
    <w:lvl w:ilvl="2" w:tplc="8B2A53A8" w:tentative="1">
      <w:start w:val="1"/>
      <w:numFmt w:val="bullet"/>
      <w:lvlText w:val=""/>
      <w:lvlJc w:val="left"/>
      <w:pPr>
        <w:tabs>
          <w:tab w:val="num" w:pos="2160"/>
        </w:tabs>
        <w:ind w:left="2160" w:hanging="360"/>
      </w:pPr>
      <w:rPr>
        <w:rFonts w:ascii="Wingdings" w:hAnsi="Wingdings" w:hint="default"/>
      </w:rPr>
    </w:lvl>
    <w:lvl w:ilvl="3" w:tplc="C52E0998" w:tentative="1">
      <w:start w:val="1"/>
      <w:numFmt w:val="bullet"/>
      <w:lvlText w:val=""/>
      <w:lvlJc w:val="left"/>
      <w:pPr>
        <w:tabs>
          <w:tab w:val="num" w:pos="2880"/>
        </w:tabs>
        <w:ind w:left="2880" w:hanging="360"/>
      </w:pPr>
      <w:rPr>
        <w:rFonts w:ascii="Wingdings" w:hAnsi="Wingdings" w:hint="default"/>
      </w:rPr>
    </w:lvl>
    <w:lvl w:ilvl="4" w:tplc="6CF0BA52" w:tentative="1">
      <w:start w:val="1"/>
      <w:numFmt w:val="bullet"/>
      <w:lvlText w:val=""/>
      <w:lvlJc w:val="left"/>
      <w:pPr>
        <w:tabs>
          <w:tab w:val="num" w:pos="3600"/>
        </w:tabs>
        <w:ind w:left="3600" w:hanging="360"/>
      </w:pPr>
      <w:rPr>
        <w:rFonts w:ascii="Wingdings" w:hAnsi="Wingdings" w:hint="default"/>
      </w:rPr>
    </w:lvl>
    <w:lvl w:ilvl="5" w:tplc="7A42CB52" w:tentative="1">
      <w:start w:val="1"/>
      <w:numFmt w:val="bullet"/>
      <w:lvlText w:val=""/>
      <w:lvlJc w:val="left"/>
      <w:pPr>
        <w:tabs>
          <w:tab w:val="num" w:pos="4320"/>
        </w:tabs>
        <w:ind w:left="4320" w:hanging="360"/>
      </w:pPr>
      <w:rPr>
        <w:rFonts w:ascii="Wingdings" w:hAnsi="Wingdings" w:hint="default"/>
      </w:rPr>
    </w:lvl>
    <w:lvl w:ilvl="6" w:tplc="B3CAD8BA" w:tentative="1">
      <w:start w:val="1"/>
      <w:numFmt w:val="bullet"/>
      <w:lvlText w:val=""/>
      <w:lvlJc w:val="left"/>
      <w:pPr>
        <w:tabs>
          <w:tab w:val="num" w:pos="5040"/>
        </w:tabs>
        <w:ind w:left="5040" w:hanging="360"/>
      </w:pPr>
      <w:rPr>
        <w:rFonts w:ascii="Wingdings" w:hAnsi="Wingdings" w:hint="default"/>
      </w:rPr>
    </w:lvl>
    <w:lvl w:ilvl="7" w:tplc="D8D618CE" w:tentative="1">
      <w:start w:val="1"/>
      <w:numFmt w:val="bullet"/>
      <w:lvlText w:val=""/>
      <w:lvlJc w:val="left"/>
      <w:pPr>
        <w:tabs>
          <w:tab w:val="num" w:pos="5760"/>
        </w:tabs>
        <w:ind w:left="5760" w:hanging="360"/>
      </w:pPr>
      <w:rPr>
        <w:rFonts w:ascii="Wingdings" w:hAnsi="Wingdings" w:hint="default"/>
      </w:rPr>
    </w:lvl>
    <w:lvl w:ilvl="8" w:tplc="14C4E01A" w:tentative="1">
      <w:start w:val="1"/>
      <w:numFmt w:val="bullet"/>
      <w:lvlText w:val=""/>
      <w:lvlJc w:val="left"/>
      <w:pPr>
        <w:tabs>
          <w:tab w:val="num" w:pos="6480"/>
        </w:tabs>
        <w:ind w:left="6480" w:hanging="360"/>
      </w:pPr>
      <w:rPr>
        <w:rFonts w:ascii="Wingdings" w:hAnsi="Wingdings" w:hint="default"/>
      </w:rPr>
    </w:lvl>
  </w:abstractNum>
  <w:abstractNum w:abstractNumId="8">
    <w:nsid w:val="3CB53AFB"/>
    <w:multiLevelType w:val="hybridMultilevel"/>
    <w:tmpl w:val="FDC63A04"/>
    <w:lvl w:ilvl="0" w:tplc="2D7404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F06785E"/>
    <w:multiLevelType w:val="hybridMultilevel"/>
    <w:tmpl w:val="2F74E75A"/>
    <w:lvl w:ilvl="0" w:tplc="830030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5201D29"/>
    <w:multiLevelType w:val="hybridMultilevel"/>
    <w:tmpl w:val="E2DA7924"/>
    <w:lvl w:ilvl="0" w:tplc="FCEA264E">
      <w:start w:val="1"/>
      <w:numFmt w:val="bullet"/>
      <w:lvlText w:val=""/>
      <w:lvlJc w:val="left"/>
      <w:pPr>
        <w:tabs>
          <w:tab w:val="num" w:pos="720"/>
        </w:tabs>
        <w:ind w:left="720" w:hanging="360"/>
      </w:pPr>
      <w:rPr>
        <w:rFonts w:ascii="Wingdings" w:hAnsi="Wingdings" w:hint="default"/>
      </w:rPr>
    </w:lvl>
    <w:lvl w:ilvl="1" w:tplc="07F003E0" w:tentative="1">
      <w:start w:val="1"/>
      <w:numFmt w:val="bullet"/>
      <w:lvlText w:val=""/>
      <w:lvlJc w:val="left"/>
      <w:pPr>
        <w:tabs>
          <w:tab w:val="num" w:pos="1440"/>
        </w:tabs>
        <w:ind w:left="1440" w:hanging="360"/>
      </w:pPr>
      <w:rPr>
        <w:rFonts w:ascii="Wingdings" w:hAnsi="Wingdings" w:hint="default"/>
      </w:rPr>
    </w:lvl>
    <w:lvl w:ilvl="2" w:tplc="293C698E" w:tentative="1">
      <w:start w:val="1"/>
      <w:numFmt w:val="bullet"/>
      <w:lvlText w:val=""/>
      <w:lvlJc w:val="left"/>
      <w:pPr>
        <w:tabs>
          <w:tab w:val="num" w:pos="2160"/>
        </w:tabs>
        <w:ind w:left="2160" w:hanging="360"/>
      </w:pPr>
      <w:rPr>
        <w:rFonts w:ascii="Wingdings" w:hAnsi="Wingdings" w:hint="default"/>
      </w:rPr>
    </w:lvl>
    <w:lvl w:ilvl="3" w:tplc="EF566D0E" w:tentative="1">
      <w:start w:val="1"/>
      <w:numFmt w:val="bullet"/>
      <w:lvlText w:val=""/>
      <w:lvlJc w:val="left"/>
      <w:pPr>
        <w:tabs>
          <w:tab w:val="num" w:pos="2880"/>
        </w:tabs>
        <w:ind w:left="2880" w:hanging="360"/>
      </w:pPr>
      <w:rPr>
        <w:rFonts w:ascii="Wingdings" w:hAnsi="Wingdings" w:hint="default"/>
      </w:rPr>
    </w:lvl>
    <w:lvl w:ilvl="4" w:tplc="1666A766" w:tentative="1">
      <w:start w:val="1"/>
      <w:numFmt w:val="bullet"/>
      <w:lvlText w:val=""/>
      <w:lvlJc w:val="left"/>
      <w:pPr>
        <w:tabs>
          <w:tab w:val="num" w:pos="3600"/>
        </w:tabs>
        <w:ind w:left="3600" w:hanging="360"/>
      </w:pPr>
      <w:rPr>
        <w:rFonts w:ascii="Wingdings" w:hAnsi="Wingdings" w:hint="default"/>
      </w:rPr>
    </w:lvl>
    <w:lvl w:ilvl="5" w:tplc="A8C05EA2" w:tentative="1">
      <w:start w:val="1"/>
      <w:numFmt w:val="bullet"/>
      <w:lvlText w:val=""/>
      <w:lvlJc w:val="left"/>
      <w:pPr>
        <w:tabs>
          <w:tab w:val="num" w:pos="4320"/>
        </w:tabs>
        <w:ind w:left="4320" w:hanging="360"/>
      </w:pPr>
      <w:rPr>
        <w:rFonts w:ascii="Wingdings" w:hAnsi="Wingdings" w:hint="default"/>
      </w:rPr>
    </w:lvl>
    <w:lvl w:ilvl="6" w:tplc="CC9291F6" w:tentative="1">
      <w:start w:val="1"/>
      <w:numFmt w:val="bullet"/>
      <w:lvlText w:val=""/>
      <w:lvlJc w:val="left"/>
      <w:pPr>
        <w:tabs>
          <w:tab w:val="num" w:pos="5040"/>
        </w:tabs>
        <w:ind w:left="5040" w:hanging="360"/>
      </w:pPr>
      <w:rPr>
        <w:rFonts w:ascii="Wingdings" w:hAnsi="Wingdings" w:hint="default"/>
      </w:rPr>
    </w:lvl>
    <w:lvl w:ilvl="7" w:tplc="01E4C670" w:tentative="1">
      <w:start w:val="1"/>
      <w:numFmt w:val="bullet"/>
      <w:lvlText w:val=""/>
      <w:lvlJc w:val="left"/>
      <w:pPr>
        <w:tabs>
          <w:tab w:val="num" w:pos="5760"/>
        </w:tabs>
        <w:ind w:left="5760" w:hanging="360"/>
      </w:pPr>
      <w:rPr>
        <w:rFonts w:ascii="Wingdings" w:hAnsi="Wingdings" w:hint="default"/>
      </w:rPr>
    </w:lvl>
    <w:lvl w:ilvl="8" w:tplc="5B0076F0" w:tentative="1">
      <w:start w:val="1"/>
      <w:numFmt w:val="bullet"/>
      <w:lvlText w:val=""/>
      <w:lvlJc w:val="left"/>
      <w:pPr>
        <w:tabs>
          <w:tab w:val="num" w:pos="6480"/>
        </w:tabs>
        <w:ind w:left="6480" w:hanging="360"/>
      </w:pPr>
      <w:rPr>
        <w:rFonts w:ascii="Wingdings" w:hAnsi="Wingdings" w:hint="default"/>
      </w:rPr>
    </w:lvl>
  </w:abstractNum>
  <w:abstractNum w:abstractNumId="11">
    <w:nsid w:val="45825F80"/>
    <w:multiLevelType w:val="hybridMultilevel"/>
    <w:tmpl w:val="28E08754"/>
    <w:lvl w:ilvl="0" w:tplc="B2F8604E">
      <w:start w:val="2"/>
      <w:numFmt w:val="none"/>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6626896"/>
    <w:multiLevelType w:val="hybridMultilevel"/>
    <w:tmpl w:val="DD629A26"/>
    <w:lvl w:ilvl="0" w:tplc="7A688D72">
      <w:start w:val="1"/>
      <w:numFmt w:val="taiwaneseCountingThousand"/>
      <w:lvlText w:val="%1、"/>
      <w:lvlJc w:val="left"/>
      <w:pPr>
        <w:ind w:left="480" w:hanging="480"/>
      </w:pPr>
      <w:rPr>
        <w:rFonts w:ascii="Calibri" w:hAnsi="Calibri"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4B182B7A"/>
    <w:multiLevelType w:val="hybridMultilevel"/>
    <w:tmpl w:val="5F22226C"/>
    <w:lvl w:ilvl="0" w:tplc="DE109E70">
      <w:start w:val="1"/>
      <w:numFmt w:val="bullet"/>
      <w:lvlText w:val=""/>
      <w:lvlJc w:val="left"/>
      <w:pPr>
        <w:tabs>
          <w:tab w:val="num" w:pos="720"/>
        </w:tabs>
        <w:ind w:left="720" w:hanging="360"/>
      </w:pPr>
      <w:rPr>
        <w:rFonts w:ascii="Wingdings" w:hAnsi="Wingdings" w:hint="default"/>
      </w:rPr>
    </w:lvl>
    <w:lvl w:ilvl="1" w:tplc="C9CE96D6" w:tentative="1">
      <w:start w:val="1"/>
      <w:numFmt w:val="bullet"/>
      <w:lvlText w:val=""/>
      <w:lvlJc w:val="left"/>
      <w:pPr>
        <w:tabs>
          <w:tab w:val="num" w:pos="1440"/>
        </w:tabs>
        <w:ind w:left="1440" w:hanging="360"/>
      </w:pPr>
      <w:rPr>
        <w:rFonts w:ascii="Wingdings" w:hAnsi="Wingdings" w:hint="default"/>
      </w:rPr>
    </w:lvl>
    <w:lvl w:ilvl="2" w:tplc="33D4D0DC" w:tentative="1">
      <w:start w:val="1"/>
      <w:numFmt w:val="bullet"/>
      <w:lvlText w:val=""/>
      <w:lvlJc w:val="left"/>
      <w:pPr>
        <w:tabs>
          <w:tab w:val="num" w:pos="2160"/>
        </w:tabs>
        <w:ind w:left="2160" w:hanging="360"/>
      </w:pPr>
      <w:rPr>
        <w:rFonts w:ascii="Wingdings" w:hAnsi="Wingdings" w:hint="default"/>
      </w:rPr>
    </w:lvl>
    <w:lvl w:ilvl="3" w:tplc="46882124" w:tentative="1">
      <w:start w:val="1"/>
      <w:numFmt w:val="bullet"/>
      <w:lvlText w:val=""/>
      <w:lvlJc w:val="left"/>
      <w:pPr>
        <w:tabs>
          <w:tab w:val="num" w:pos="2880"/>
        </w:tabs>
        <w:ind w:left="2880" w:hanging="360"/>
      </w:pPr>
      <w:rPr>
        <w:rFonts w:ascii="Wingdings" w:hAnsi="Wingdings" w:hint="default"/>
      </w:rPr>
    </w:lvl>
    <w:lvl w:ilvl="4" w:tplc="DF24EE6C" w:tentative="1">
      <w:start w:val="1"/>
      <w:numFmt w:val="bullet"/>
      <w:lvlText w:val=""/>
      <w:lvlJc w:val="left"/>
      <w:pPr>
        <w:tabs>
          <w:tab w:val="num" w:pos="3600"/>
        </w:tabs>
        <w:ind w:left="3600" w:hanging="360"/>
      </w:pPr>
      <w:rPr>
        <w:rFonts w:ascii="Wingdings" w:hAnsi="Wingdings" w:hint="default"/>
      </w:rPr>
    </w:lvl>
    <w:lvl w:ilvl="5" w:tplc="557CE8F4" w:tentative="1">
      <w:start w:val="1"/>
      <w:numFmt w:val="bullet"/>
      <w:lvlText w:val=""/>
      <w:lvlJc w:val="left"/>
      <w:pPr>
        <w:tabs>
          <w:tab w:val="num" w:pos="4320"/>
        </w:tabs>
        <w:ind w:left="4320" w:hanging="360"/>
      </w:pPr>
      <w:rPr>
        <w:rFonts w:ascii="Wingdings" w:hAnsi="Wingdings" w:hint="default"/>
      </w:rPr>
    </w:lvl>
    <w:lvl w:ilvl="6" w:tplc="997A6588" w:tentative="1">
      <w:start w:val="1"/>
      <w:numFmt w:val="bullet"/>
      <w:lvlText w:val=""/>
      <w:lvlJc w:val="left"/>
      <w:pPr>
        <w:tabs>
          <w:tab w:val="num" w:pos="5040"/>
        </w:tabs>
        <w:ind w:left="5040" w:hanging="360"/>
      </w:pPr>
      <w:rPr>
        <w:rFonts w:ascii="Wingdings" w:hAnsi="Wingdings" w:hint="default"/>
      </w:rPr>
    </w:lvl>
    <w:lvl w:ilvl="7" w:tplc="A1FE0794" w:tentative="1">
      <w:start w:val="1"/>
      <w:numFmt w:val="bullet"/>
      <w:lvlText w:val=""/>
      <w:lvlJc w:val="left"/>
      <w:pPr>
        <w:tabs>
          <w:tab w:val="num" w:pos="5760"/>
        </w:tabs>
        <w:ind w:left="5760" w:hanging="360"/>
      </w:pPr>
      <w:rPr>
        <w:rFonts w:ascii="Wingdings" w:hAnsi="Wingdings" w:hint="default"/>
      </w:rPr>
    </w:lvl>
    <w:lvl w:ilvl="8" w:tplc="20FA8A06" w:tentative="1">
      <w:start w:val="1"/>
      <w:numFmt w:val="bullet"/>
      <w:lvlText w:val=""/>
      <w:lvlJc w:val="left"/>
      <w:pPr>
        <w:tabs>
          <w:tab w:val="num" w:pos="6480"/>
        </w:tabs>
        <w:ind w:left="6480" w:hanging="360"/>
      </w:pPr>
      <w:rPr>
        <w:rFonts w:ascii="Wingdings" w:hAnsi="Wingdings" w:hint="default"/>
      </w:rPr>
    </w:lvl>
  </w:abstractNum>
  <w:abstractNum w:abstractNumId="14">
    <w:nsid w:val="4D1725F0"/>
    <w:multiLevelType w:val="hybridMultilevel"/>
    <w:tmpl w:val="4F9A245A"/>
    <w:lvl w:ilvl="0" w:tplc="DC787B0E">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79B1BB9"/>
    <w:multiLevelType w:val="hybridMultilevel"/>
    <w:tmpl w:val="66ECC706"/>
    <w:lvl w:ilvl="0" w:tplc="CEAADFF4">
      <w:start w:val="1"/>
      <w:numFmt w:val="bullet"/>
      <w:lvlText w:val=""/>
      <w:lvlJc w:val="left"/>
      <w:pPr>
        <w:tabs>
          <w:tab w:val="num" w:pos="720"/>
        </w:tabs>
        <w:ind w:left="720" w:hanging="360"/>
      </w:pPr>
      <w:rPr>
        <w:rFonts w:ascii="Wingdings" w:hAnsi="Wingdings" w:hint="default"/>
      </w:rPr>
    </w:lvl>
    <w:lvl w:ilvl="1" w:tplc="28E082DC" w:tentative="1">
      <w:start w:val="1"/>
      <w:numFmt w:val="bullet"/>
      <w:lvlText w:val=""/>
      <w:lvlJc w:val="left"/>
      <w:pPr>
        <w:tabs>
          <w:tab w:val="num" w:pos="1440"/>
        </w:tabs>
        <w:ind w:left="1440" w:hanging="360"/>
      </w:pPr>
      <w:rPr>
        <w:rFonts w:ascii="Wingdings" w:hAnsi="Wingdings" w:hint="default"/>
      </w:rPr>
    </w:lvl>
    <w:lvl w:ilvl="2" w:tplc="8F52B4AE" w:tentative="1">
      <w:start w:val="1"/>
      <w:numFmt w:val="bullet"/>
      <w:lvlText w:val=""/>
      <w:lvlJc w:val="left"/>
      <w:pPr>
        <w:tabs>
          <w:tab w:val="num" w:pos="2160"/>
        </w:tabs>
        <w:ind w:left="2160" w:hanging="360"/>
      </w:pPr>
      <w:rPr>
        <w:rFonts w:ascii="Wingdings" w:hAnsi="Wingdings" w:hint="default"/>
      </w:rPr>
    </w:lvl>
    <w:lvl w:ilvl="3" w:tplc="FA226F54" w:tentative="1">
      <w:start w:val="1"/>
      <w:numFmt w:val="bullet"/>
      <w:lvlText w:val=""/>
      <w:lvlJc w:val="left"/>
      <w:pPr>
        <w:tabs>
          <w:tab w:val="num" w:pos="2880"/>
        </w:tabs>
        <w:ind w:left="2880" w:hanging="360"/>
      </w:pPr>
      <w:rPr>
        <w:rFonts w:ascii="Wingdings" w:hAnsi="Wingdings" w:hint="default"/>
      </w:rPr>
    </w:lvl>
    <w:lvl w:ilvl="4" w:tplc="46186AC2" w:tentative="1">
      <w:start w:val="1"/>
      <w:numFmt w:val="bullet"/>
      <w:lvlText w:val=""/>
      <w:lvlJc w:val="left"/>
      <w:pPr>
        <w:tabs>
          <w:tab w:val="num" w:pos="3600"/>
        </w:tabs>
        <w:ind w:left="3600" w:hanging="360"/>
      </w:pPr>
      <w:rPr>
        <w:rFonts w:ascii="Wingdings" w:hAnsi="Wingdings" w:hint="default"/>
      </w:rPr>
    </w:lvl>
    <w:lvl w:ilvl="5" w:tplc="1B527A8A" w:tentative="1">
      <w:start w:val="1"/>
      <w:numFmt w:val="bullet"/>
      <w:lvlText w:val=""/>
      <w:lvlJc w:val="left"/>
      <w:pPr>
        <w:tabs>
          <w:tab w:val="num" w:pos="4320"/>
        </w:tabs>
        <w:ind w:left="4320" w:hanging="360"/>
      </w:pPr>
      <w:rPr>
        <w:rFonts w:ascii="Wingdings" w:hAnsi="Wingdings" w:hint="default"/>
      </w:rPr>
    </w:lvl>
    <w:lvl w:ilvl="6" w:tplc="93C68264" w:tentative="1">
      <w:start w:val="1"/>
      <w:numFmt w:val="bullet"/>
      <w:lvlText w:val=""/>
      <w:lvlJc w:val="left"/>
      <w:pPr>
        <w:tabs>
          <w:tab w:val="num" w:pos="5040"/>
        </w:tabs>
        <w:ind w:left="5040" w:hanging="360"/>
      </w:pPr>
      <w:rPr>
        <w:rFonts w:ascii="Wingdings" w:hAnsi="Wingdings" w:hint="default"/>
      </w:rPr>
    </w:lvl>
    <w:lvl w:ilvl="7" w:tplc="DE026FCE" w:tentative="1">
      <w:start w:val="1"/>
      <w:numFmt w:val="bullet"/>
      <w:lvlText w:val=""/>
      <w:lvlJc w:val="left"/>
      <w:pPr>
        <w:tabs>
          <w:tab w:val="num" w:pos="5760"/>
        </w:tabs>
        <w:ind w:left="5760" w:hanging="360"/>
      </w:pPr>
      <w:rPr>
        <w:rFonts w:ascii="Wingdings" w:hAnsi="Wingdings" w:hint="default"/>
      </w:rPr>
    </w:lvl>
    <w:lvl w:ilvl="8" w:tplc="A12E0D64" w:tentative="1">
      <w:start w:val="1"/>
      <w:numFmt w:val="bullet"/>
      <w:lvlText w:val=""/>
      <w:lvlJc w:val="left"/>
      <w:pPr>
        <w:tabs>
          <w:tab w:val="num" w:pos="6480"/>
        </w:tabs>
        <w:ind w:left="6480" w:hanging="360"/>
      </w:pPr>
      <w:rPr>
        <w:rFonts w:ascii="Wingdings" w:hAnsi="Wingdings" w:hint="default"/>
      </w:rPr>
    </w:lvl>
  </w:abstractNum>
  <w:abstractNum w:abstractNumId="16">
    <w:nsid w:val="63811692"/>
    <w:multiLevelType w:val="hybridMultilevel"/>
    <w:tmpl w:val="68F4F0FE"/>
    <w:lvl w:ilvl="0" w:tplc="44DABD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CF845B0"/>
    <w:multiLevelType w:val="hybridMultilevel"/>
    <w:tmpl w:val="5FC0C864"/>
    <w:lvl w:ilvl="0" w:tplc="5FE092BC">
      <w:start w:val="1"/>
      <w:numFmt w:val="bullet"/>
      <w:lvlText w:val=""/>
      <w:lvlJc w:val="left"/>
      <w:pPr>
        <w:tabs>
          <w:tab w:val="num" w:pos="720"/>
        </w:tabs>
        <w:ind w:left="720" w:hanging="360"/>
      </w:pPr>
      <w:rPr>
        <w:rFonts w:ascii="Wingdings" w:hAnsi="Wingdings" w:hint="default"/>
      </w:rPr>
    </w:lvl>
    <w:lvl w:ilvl="1" w:tplc="E056D17E" w:tentative="1">
      <w:start w:val="1"/>
      <w:numFmt w:val="bullet"/>
      <w:lvlText w:val=""/>
      <w:lvlJc w:val="left"/>
      <w:pPr>
        <w:tabs>
          <w:tab w:val="num" w:pos="1440"/>
        </w:tabs>
        <w:ind w:left="1440" w:hanging="360"/>
      </w:pPr>
      <w:rPr>
        <w:rFonts w:ascii="Wingdings" w:hAnsi="Wingdings" w:hint="default"/>
      </w:rPr>
    </w:lvl>
    <w:lvl w:ilvl="2" w:tplc="46CE9DCC" w:tentative="1">
      <w:start w:val="1"/>
      <w:numFmt w:val="bullet"/>
      <w:lvlText w:val=""/>
      <w:lvlJc w:val="left"/>
      <w:pPr>
        <w:tabs>
          <w:tab w:val="num" w:pos="2160"/>
        </w:tabs>
        <w:ind w:left="2160" w:hanging="360"/>
      </w:pPr>
      <w:rPr>
        <w:rFonts w:ascii="Wingdings" w:hAnsi="Wingdings" w:hint="default"/>
      </w:rPr>
    </w:lvl>
    <w:lvl w:ilvl="3" w:tplc="11344708" w:tentative="1">
      <w:start w:val="1"/>
      <w:numFmt w:val="bullet"/>
      <w:lvlText w:val=""/>
      <w:lvlJc w:val="left"/>
      <w:pPr>
        <w:tabs>
          <w:tab w:val="num" w:pos="2880"/>
        </w:tabs>
        <w:ind w:left="2880" w:hanging="360"/>
      </w:pPr>
      <w:rPr>
        <w:rFonts w:ascii="Wingdings" w:hAnsi="Wingdings" w:hint="default"/>
      </w:rPr>
    </w:lvl>
    <w:lvl w:ilvl="4" w:tplc="678E1010" w:tentative="1">
      <w:start w:val="1"/>
      <w:numFmt w:val="bullet"/>
      <w:lvlText w:val=""/>
      <w:lvlJc w:val="left"/>
      <w:pPr>
        <w:tabs>
          <w:tab w:val="num" w:pos="3600"/>
        </w:tabs>
        <w:ind w:left="3600" w:hanging="360"/>
      </w:pPr>
      <w:rPr>
        <w:rFonts w:ascii="Wingdings" w:hAnsi="Wingdings" w:hint="default"/>
      </w:rPr>
    </w:lvl>
    <w:lvl w:ilvl="5" w:tplc="9AB47B28" w:tentative="1">
      <w:start w:val="1"/>
      <w:numFmt w:val="bullet"/>
      <w:lvlText w:val=""/>
      <w:lvlJc w:val="left"/>
      <w:pPr>
        <w:tabs>
          <w:tab w:val="num" w:pos="4320"/>
        </w:tabs>
        <w:ind w:left="4320" w:hanging="360"/>
      </w:pPr>
      <w:rPr>
        <w:rFonts w:ascii="Wingdings" w:hAnsi="Wingdings" w:hint="default"/>
      </w:rPr>
    </w:lvl>
    <w:lvl w:ilvl="6" w:tplc="4BF423E2" w:tentative="1">
      <w:start w:val="1"/>
      <w:numFmt w:val="bullet"/>
      <w:lvlText w:val=""/>
      <w:lvlJc w:val="left"/>
      <w:pPr>
        <w:tabs>
          <w:tab w:val="num" w:pos="5040"/>
        </w:tabs>
        <w:ind w:left="5040" w:hanging="360"/>
      </w:pPr>
      <w:rPr>
        <w:rFonts w:ascii="Wingdings" w:hAnsi="Wingdings" w:hint="default"/>
      </w:rPr>
    </w:lvl>
    <w:lvl w:ilvl="7" w:tplc="DC067902" w:tentative="1">
      <w:start w:val="1"/>
      <w:numFmt w:val="bullet"/>
      <w:lvlText w:val=""/>
      <w:lvlJc w:val="left"/>
      <w:pPr>
        <w:tabs>
          <w:tab w:val="num" w:pos="5760"/>
        </w:tabs>
        <w:ind w:left="5760" w:hanging="360"/>
      </w:pPr>
      <w:rPr>
        <w:rFonts w:ascii="Wingdings" w:hAnsi="Wingdings" w:hint="default"/>
      </w:rPr>
    </w:lvl>
    <w:lvl w:ilvl="8" w:tplc="D86AD7D8" w:tentative="1">
      <w:start w:val="1"/>
      <w:numFmt w:val="bullet"/>
      <w:lvlText w:val=""/>
      <w:lvlJc w:val="left"/>
      <w:pPr>
        <w:tabs>
          <w:tab w:val="num" w:pos="6480"/>
        </w:tabs>
        <w:ind w:left="6480" w:hanging="360"/>
      </w:pPr>
      <w:rPr>
        <w:rFonts w:ascii="Wingdings" w:hAnsi="Wingdings" w:hint="default"/>
      </w:rPr>
    </w:lvl>
  </w:abstractNum>
  <w:abstractNum w:abstractNumId="18">
    <w:nsid w:val="787B4DE5"/>
    <w:multiLevelType w:val="hybridMultilevel"/>
    <w:tmpl w:val="2E3C4202"/>
    <w:lvl w:ilvl="0" w:tplc="25545A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6"/>
  </w:num>
  <w:num w:numId="3">
    <w:abstractNumId w:val="5"/>
  </w:num>
  <w:num w:numId="4">
    <w:abstractNumId w:val="3"/>
  </w:num>
  <w:num w:numId="5">
    <w:abstractNumId w:val="9"/>
  </w:num>
  <w:num w:numId="6">
    <w:abstractNumId w:val="18"/>
  </w:num>
  <w:num w:numId="7">
    <w:abstractNumId w:val="15"/>
  </w:num>
  <w:num w:numId="8">
    <w:abstractNumId w:val="7"/>
  </w:num>
  <w:num w:numId="9">
    <w:abstractNumId w:val="17"/>
  </w:num>
  <w:num w:numId="10">
    <w:abstractNumId w:val="2"/>
  </w:num>
  <w:num w:numId="11">
    <w:abstractNumId w:val="10"/>
  </w:num>
  <w:num w:numId="12">
    <w:abstractNumId w:val="13"/>
  </w:num>
  <w:num w:numId="13">
    <w:abstractNumId w:val="8"/>
  </w:num>
  <w:num w:numId="14">
    <w:abstractNumId w:val="16"/>
  </w:num>
  <w:num w:numId="15">
    <w:abstractNumId w:val="12"/>
  </w:num>
  <w:num w:numId="16">
    <w:abstractNumId w:val="4"/>
  </w:num>
  <w:num w:numId="17">
    <w:abstractNumId w:val="14"/>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hideSpellingErrors/>
  <w:defaultTabStop w:val="480"/>
  <w:drawingGridHorizontalSpacing w:val="142"/>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E41"/>
    <w:rsid w:val="000024EC"/>
    <w:rsid w:val="00004B99"/>
    <w:rsid w:val="000060A8"/>
    <w:rsid w:val="000110E8"/>
    <w:rsid w:val="000163D5"/>
    <w:rsid w:val="00020144"/>
    <w:rsid w:val="00022D6F"/>
    <w:rsid w:val="000260C9"/>
    <w:rsid w:val="000267A7"/>
    <w:rsid w:val="00026EDE"/>
    <w:rsid w:val="00043FAE"/>
    <w:rsid w:val="0005233C"/>
    <w:rsid w:val="0005327F"/>
    <w:rsid w:val="00060939"/>
    <w:rsid w:val="0006317B"/>
    <w:rsid w:val="00064548"/>
    <w:rsid w:val="000660A7"/>
    <w:rsid w:val="000669E3"/>
    <w:rsid w:val="000763CA"/>
    <w:rsid w:val="0008235A"/>
    <w:rsid w:val="000852CA"/>
    <w:rsid w:val="00086210"/>
    <w:rsid w:val="0009426E"/>
    <w:rsid w:val="00095C3C"/>
    <w:rsid w:val="00096AD1"/>
    <w:rsid w:val="00097AD3"/>
    <w:rsid w:val="000A08C2"/>
    <w:rsid w:val="000A5C17"/>
    <w:rsid w:val="000B1D1E"/>
    <w:rsid w:val="000B2BFF"/>
    <w:rsid w:val="000B2C4E"/>
    <w:rsid w:val="000B5094"/>
    <w:rsid w:val="000B542F"/>
    <w:rsid w:val="000B7689"/>
    <w:rsid w:val="000C0571"/>
    <w:rsid w:val="000C2AC4"/>
    <w:rsid w:val="000C4D30"/>
    <w:rsid w:val="000D574D"/>
    <w:rsid w:val="000D728B"/>
    <w:rsid w:val="000E1212"/>
    <w:rsid w:val="001037BB"/>
    <w:rsid w:val="001041D6"/>
    <w:rsid w:val="00105405"/>
    <w:rsid w:val="00113E75"/>
    <w:rsid w:val="00116F46"/>
    <w:rsid w:val="001175B9"/>
    <w:rsid w:val="001276AE"/>
    <w:rsid w:val="00135C5D"/>
    <w:rsid w:val="0014062A"/>
    <w:rsid w:val="001417A9"/>
    <w:rsid w:val="00142E7D"/>
    <w:rsid w:val="00146527"/>
    <w:rsid w:val="001466FF"/>
    <w:rsid w:val="0015308F"/>
    <w:rsid w:val="001548D0"/>
    <w:rsid w:val="00155EBC"/>
    <w:rsid w:val="00160D99"/>
    <w:rsid w:val="001640B8"/>
    <w:rsid w:val="001656ED"/>
    <w:rsid w:val="001667D9"/>
    <w:rsid w:val="00167A98"/>
    <w:rsid w:val="00173265"/>
    <w:rsid w:val="0017367F"/>
    <w:rsid w:val="00175647"/>
    <w:rsid w:val="0018469A"/>
    <w:rsid w:val="0018544A"/>
    <w:rsid w:val="0018677C"/>
    <w:rsid w:val="00186B69"/>
    <w:rsid w:val="00193601"/>
    <w:rsid w:val="001944A3"/>
    <w:rsid w:val="00196B98"/>
    <w:rsid w:val="001A05D6"/>
    <w:rsid w:val="001A0993"/>
    <w:rsid w:val="001A467B"/>
    <w:rsid w:val="001A4BEF"/>
    <w:rsid w:val="001A54C6"/>
    <w:rsid w:val="001A774D"/>
    <w:rsid w:val="001B30B6"/>
    <w:rsid w:val="001B400B"/>
    <w:rsid w:val="001B42AA"/>
    <w:rsid w:val="001B607B"/>
    <w:rsid w:val="001C1190"/>
    <w:rsid w:val="001C12DE"/>
    <w:rsid w:val="001C23ED"/>
    <w:rsid w:val="001C2EA7"/>
    <w:rsid w:val="001C4568"/>
    <w:rsid w:val="001D2C69"/>
    <w:rsid w:val="001D3027"/>
    <w:rsid w:val="001D5466"/>
    <w:rsid w:val="001D68CF"/>
    <w:rsid w:val="001E13D1"/>
    <w:rsid w:val="001E2818"/>
    <w:rsid w:val="001E56E3"/>
    <w:rsid w:val="001E572E"/>
    <w:rsid w:val="001E5FF4"/>
    <w:rsid w:val="001F02B2"/>
    <w:rsid w:val="001F0FA1"/>
    <w:rsid w:val="001F152D"/>
    <w:rsid w:val="001F1B12"/>
    <w:rsid w:val="001F5B1E"/>
    <w:rsid w:val="001F6ABB"/>
    <w:rsid w:val="00200995"/>
    <w:rsid w:val="002013EC"/>
    <w:rsid w:val="002031E1"/>
    <w:rsid w:val="002102D1"/>
    <w:rsid w:val="00214F8F"/>
    <w:rsid w:val="002151AC"/>
    <w:rsid w:val="00216C06"/>
    <w:rsid w:val="00217C0B"/>
    <w:rsid w:val="00220197"/>
    <w:rsid w:val="0022148A"/>
    <w:rsid w:val="00225257"/>
    <w:rsid w:val="00227E85"/>
    <w:rsid w:val="002340BA"/>
    <w:rsid w:val="002341B7"/>
    <w:rsid w:val="00234FCA"/>
    <w:rsid w:val="0023592C"/>
    <w:rsid w:val="00236496"/>
    <w:rsid w:val="002412BD"/>
    <w:rsid w:val="00241F6A"/>
    <w:rsid w:val="00242DB9"/>
    <w:rsid w:val="00245200"/>
    <w:rsid w:val="00247541"/>
    <w:rsid w:val="0025124B"/>
    <w:rsid w:val="00251C64"/>
    <w:rsid w:val="00251C67"/>
    <w:rsid w:val="002527FE"/>
    <w:rsid w:val="00255BEA"/>
    <w:rsid w:val="00263ECA"/>
    <w:rsid w:val="0026530B"/>
    <w:rsid w:val="00266842"/>
    <w:rsid w:val="002717A2"/>
    <w:rsid w:val="0027594F"/>
    <w:rsid w:val="00276D19"/>
    <w:rsid w:val="00280725"/>
    <w:rsid w:val="00282628"/>
    <w:rsid w:val="00287B0E"/>
    <w:rsid w:val="002909E0"/>
    <w:rsid w:val="002958DE"/>
    <w:rsid w:val="00296DB3"/>
    <w:rsid w:val="002A31B9"/>
    <w:rsid w:val="002A549F"/>
    <w:rsid w:val="002A6357"/>
    <w:rsid w:val="002B005F"/>
    <w:rsid w:val="002B13A8"/>
    <w:rsid w:val="002B2DC9"/>
    <w:rsid w:val="002B4433"/>
    <w:rsid w:val="002B4F57"/>
    <w:rsid w:val="002B700A"/>
    <w:rsid w:val="002C1C3B"/>
    <w:rsid w:val="002C2D61"/>
    <w:rsid w:val="002C3645"/>
    <w:rsid w:val="002C3708"/>
    <w:rsid w:val="002C3E19"/>
    <w:rsid w:val="002C5CF4"/>
    <w:rsid w:val="002C6063"/>
    <w:rsid w:val="002D096B"/>
    <w:rsid w:val="002D52F3"/>
    <w:rsid w:val="002E064A"/>
    <w:rsid w:val="002E24B5"/>
    <w:rsid w:val="002E55EF"/>
    <w:rsid w:val="002F5125"/>
    <w:rsid w:val="002F513A"/>
    <w:rsid w:val="00303DE8"/>
    <w:rsid w:val="003051B1"/>
    <w:rsid w:val="00307D8C"/>
    <w:rsid w:val="00311E1F"/>
    <w:rsid w:val="00316B70"/>
    <w:rsid w:val="00324155"/>
    <w:rsid w:val="0032429E"/>
    <w:rsid w:val="003247EA"/>
    <w:rsid w:val="003248ED"/>
    <w:rsid w:val="003270C6"/>
    <w:rsid w:val="00331235"/>
    <w:rsid w:val="003363A8"/>
    <w:rsid w:val="00336A8E"/>
    <w:rsid w:val="00340230"/>
    <w:rsid w:val="00340274"/>
    <w:rsid w:val="00345FFC"/>
    <w:rsid w:val="0034678D"/>
    <w:rsid w:val="003515EB"/>
    <w:rsid w:val="00352D1A"/>
    <w:rsid w:val="0035371C"/>
    <w:rsid w:val="00366E7D"/>
    <w:rsid w:val="00367CC8"/>
    <w:rsid w:val="0037097F"/>
    <w:rsid w:val="00370E43"/>
    <w:rsid w:val="003732DB"/>
    <w:rsid w:val="00376560"/>
    <w:rsid w:val="003774A9"/>
    <w:rsid w:val="003856CF"/>
    <w:rsid w:val="003879AB"/>
    <w:rsid w:val="003925CE"/>
    <w:rsid w:val="0039544E"/>
    <w:rsid w:val="003965CC"/>
    <w:rsid w:val="003A1D03"/>
    <w:rsid w:val="003A2454"/>
    <w:rsid w:val="003A2CAB"/>
    <w:rsid w:val="003A2DBB"/>
    <w:rsid w:val="003A5BDD"/>
    <w:rsid w:val="003A5CBE"/>
    <w:rsid w:val="003B3DC5"/>
    <w:rsid w:val="003C4049"/>
    <w:rsid w:val="003C4634"/>
    <w:rsid w:val="003D003C"/>
    <w:rsid w:val="003D02E5"/>
    <w:rsid w:val="003D5A49"/>
    <w:rsid w:val="003E57CE"/>
    <w:rsid w:val="003E600D"/>
    <w:rsid w:val="003F1BF6"/>
    <w:rsid w:val="003F1EF4"/>
    <w:rsid w:val="003F3CDB"/>
    <w:rsid w:val="003F6DA5"/>
    <w:rsid w:val="00403010"/>
    <w:rsid w:val="00403C01"/>
    <w:rsid w:val="00412343"/>
    <w:rsid w:val="00413B92"/>
    <w:rsid w:val="00416CBB"/>
    <w:rsid w:val="00427685"/>
    <w:rsid w:val="0043003E"/>
    <w:rsid w:val="004312D8"/>
    <w:rsid w:val="00437877"/>
    <w:rsid w:val="00444883"/>
    <w:rsid w:val="00447C01"/>
    <w:rsid w:val="004565AD"/>
    <w:rsid w:val="004618A4"/>
    <w:rsid w:val="00473340"/>
    <w:rsid w:val="00473380"/>
    <w:rsid w:val="0047355C"/>
    <w:rsid w:val="00473747"/>
    <w:rsid w:val="004753EA"/>
    <w:rsid w:val="00484649"/>
    <w:rsid w:val="004851ED"/>
    <w:rsid w:val="00486265"/>
    <w:rsid w:val="004866CB"/>
    <w:rsid w:val="00491752"/>
    <w:rsid w:val="00492579"/>
    <w:rsid w:val="00496F66"/>
    <w:rsid w:val="004A01B9"/>
    <w:rsid w:val="004A123B"/>
    <w:rsid w:val="004A61DF"/>
    <w:rsid w:val="004A7FDF"/>
    <w:rsid w:val="004B0792"/>
    <w:rsid w:val="004B17C1"/>
    <w:rsid w:val="004B6397"/>
    <w:rsid w:val="004C1ADF"/>
    <w:rsid w:val="004C4AD6"/>
    <w:rsid w:val="004C7AFA"/>
    <w:rsid w:val="004D15D7"/>
    <w:rsid w:val="004D258D"/>
    <w:rsid w:val="004D5EFC"/>
    <w:rsid w:val="004E4016"/>
    <w:rsid w:val="004F540D"/>
    <w:rsid w:val="00500377"/>
    <w:rsid w:val="00503AD7"/>
    <w:rsid w:val="00504528"/>
    <w:rsid w:val="005057B5"/>
    <w:rsid w:val="00514FA0"/>
    <w:rsid w:val="005152D1"/>
    <w:rsid w:val="005253B8"/>
    <w:rsid w:val="00525979"/>
    <w:rsid w:val="00526522"/>
    <w:rsid w:val="005333A5"/>
    <w:rsid w:val="00535AF5"/>
    <w:rsid w:val="0054042F"/>
    <w:rsid w:val="00541397"/>
    <w:rsid w:val="00541E24"/>
    <w:rsid w:val="00542AB7"/>
    <w:rsid w:val="00544E00"/>
    <w:rsid w:val="00550071"/>
    <w:rsid w:val="00550C6A"/>
    <w:rsid w:val="00555DD0"/>
    <w:rsid w:val="0056041E"/>
    <w:rsid w:val="00562E85"/>
    <w:rsid w:val="00563C43"/>
    <w:rsid w:val="00566A55"/>
    <w:rsid w:val="00572399"/>
    <w:rsid w:val="005824F1"/>
    <w:rsid w:val="005917B7"/>
    <w:rsid w:val="00594C9D"/>
    <w:rsid w:val="00595B00"/>
    <w:rsid w:val="005A170B"/>
    <w:rsid w:val="005A19C5"/>
    <w:rsid w:val="005A24ED"/>
    <w:rsid w:val="005A7B40"/>
    <w:rsid w:val="005B64F6"/>
    <w:rsid w:val="005B66F0"/>
    <w:rsid w:val="005C011B"/>
    <w:rsid w:val="005C0BCE"/>
    <w:rsid w:val="005C286C"/>
    <w:rsid w:val="005C616C"/>
    <w:rsid w:val="005C7F3C"/>
    <w:rsid w:val="005D2159"/>
    <w:rsid w:val="005E074B"/>
    <w:rsid w:val="005E1A6B"/>
    <w:rsid w:val="005E1FF9"/>
    <w:rsid w:val="005E362F"/>
    <w:rsid w:val="005E529F"/>
    <w:rsid w:val="005F046B"/>
    <w:rsid w:val="005F1A39"/>
    <w:rsid w:val="005F2475"/>
    <w:rsid w:val="005F7B5B"/>
    <w:rsid w:val="00603E8F"/>
    <w:rsid w:val="00607338"/>
    <w:rsid w:val="00614276"/>
    <w:rsid w:val="00623CDF"/>
    <w:rsid w:val="00624C07"/>
    <w:rsid w:val="0062689D"/>
    <w:rsid w:val="006303E1"/>
    <w:rsid w:val="00634424"/>
    <w:rsid w:val="00636696"/>
    <w:rsid w:val="00637C39"/>
    <w:rsid w:val="006411E2"/>
    <w:rsid w:val="00645589"/>
    <w:rsid w:val="0064616B"/>
    <w:rsid w:val="00646B5E"/>
    <w:rsid w:val="00647559"/>
    <w:rsid w:val="006476C6"/>
    <w:rsid w:val="006512EA"/>
    <w:rsid w:val="00654FBB"/>
    <w:rsid w:val="00661022"/>
    <w:rsid w:val="0066189C"/>
    <w:rsid w:val="006627C8"/>
    <w:rsid w:val="0066716A"/>
    <w:rsid w:val="00670AC5"/>
    <w:rsid w:val="00671E71"/>
    <w:rsid w:val="00672E17"/>
    <w:rsid w:val="00674882"/>
    <w:rsid w:val="006830C1"/>
    <w:rsid w:val="00687056"/>
    <w:rsid w:val="00693C19"/>
    <w:rsid w:val="00693E09"/>
    <w:rsid w:val="00696482"/>
    <w:rsid w:val="006A2EA2"/>
    <w:rsid w:val="006A331D"/>
    <w:rsid w:val="006A3AA3"/>
    <w:rsid w:val="006A3FC4"/>
    <w:rsid w:val="006A4E84"/>
    <w:rsid w:val="006A4F53"/>
    <w:rsid w:val="006A74AD"/>
    <w:rsid w:val="006B3C31"/>
    <w:rsid w:val="006B497E"/>
    <w:rsid w:val="006B521C"/>
    <w:rsid w:val="006B5FA9"/>
    <w:rsid w:val="006B65EB"/>
    <w:rsid w:val="006B7B19"/>
    <w:rsid w:val="006C26DC"/>
    <w:rsid w:val="006C2C04"/>
    <w:rsid w:val="006D2BE2"/>
    <w:rsid w:val="006D2F90"/>
    <w:rsid w:val="006D3798"/>
    <w:rsid w:val="006D3DBA"/>
    <w:rsid w:val="006D5B91"/>
    <w:rsid w:val="006D78AE"/>
    <w:rsid w:val="006E1E9E"/>
    <w:rsid w:val="006E1F60"/>
    <w:rsid w:val="006E622E"/>
    <w:rsid w:val="006E7891"/>
    <w:rsid w:val="006E7F0B"/>
    <w:rsid w:val="006F2A33"/>
    <w:rsid w:val="006F3D00"/>
    <w:rsid w:val="006F7247"/>
    <w:rsid w:val="007010DE"/>
    <w:rsid w:val="0070248E"/>
    <w:rsid w:val="007031D6"/>
    <w:rsid w:val="00710F1A"/>
    <w:rsid w:val="007124C2"/>
    <w:rsid w:val="00715526"/>
    <w:rsid w:val="007229C6"/>
    <w:rsid w:val="007243DD"/>
    <w:rsid w:val="00732019"/>
    <w:rsid w:val="00740E01"/>
    <w:rsid w:val="00741B1E"/>
    <w:rsid w:val="007428F0"/>
    <w:rsid w:val="007442FB"/>
    <w:rsid w:val="007445F3"/>
    <w:rsid w:val="00750C31"/>
    <w:rsid w:val="00756309"/>
    <w:rsid w:val="0075676E"/>
    <w:rsid w:val="00762EB4"/>
    <w:rsid w:val="00764473"/>
    <w:rsid w:val="0077130F"/>
    <w:rsid w:val="00771BA5"/>
    <w:rsid w:val="00775150"/>
    <w:rsid w:val="00775BF2"/>
    <w:rsid w:val="007804C1"/>
    <w:rsid w:val="00780A86"/>
    <w:rsid w:val="00782066"/>
    <w:rsid w:val="007827D8"/>
    <w:rsid w:val="0078309D"/>
    <w:rsid w:val="00786F79"/>
    <w:rsid w:val="007949A7"/>
    <w:rsid w:val="007A3713"/>
    <w:rsid w:val="007A5CBE"/>
    <w:rsid w:val="007A6DB6"/>
    <w:rsid w:val="007B0E7F"/>
    <w:rsid w:val="007B5EC0"/>
    <w:rsid w:val="007B62F7"/>
    <w:rsid w:val="007C0710"/>
    <w:rsid w:val="007C0EFC"/>
    <w:rsid w:val="007C2024"/>
    <w:rsid w:val="007C4667"/>
    <w:rsid w:val="007C6F4A"/>
    <w:rsid w:val="007D0955"/>
    <w:rsid w:val="007D1FF0"/>
    <w:rsid w:val="007D2668"/>
    <w:rsid w:val="007D6F0D"/>
    <w:rsid w:val="007E02ED"/>
    <w:rsid w:val="007E5D81"/>
    <w:rsid w:val="007E708C"/>
    <w:rsid w:val="007F1612"/>
    <w:rsid w:val="007F16C0"/>
    <w:rsid w:val="007F3BE5"/>
    <w:rsid w:val="007F413A"/>
    <w:rsid w:val="0080055E"/>
    <w:rsid w:val="00800E94"/>
    <w:rsid w:val="00801C5F"/>
    <w:rsid w:val="00811272"/>
    <w:rsid w:val="00812E1F"/>
    <w:rsid w:val="0081387E"/>
    <w:rsid w:val="00820633"/>
    <w:rsid w:val="00820983"/>
    <w:rsid w:val="008246E5"/>
    <w:rsid w:val="008347CC"/>
    <w:rsid w:val="008349BC"/>
    <w:rsid w:val="008403F8"/>
    <w:rsid w:val="00840839"/>
    <w:rsid w:val="008437E4"/>
    <w:rsid w:val="00844BC5"/>
    <w:rsid w:val="00845FCD"/>
    <w:rsid w:val="008477D4"/>
    <w:rsid w:val="008518A8"/>
    <w:rsid w:val="00851CE0"/>
    <w:rsid w:val="00852236"/>
    <w:rsid w:val="0085303C"/>
    <w:rsid w:val="008534C4"/>
    <w:rsid w:val="00854B58"/>
    <w:rsid w:val="00855D3C"/>
    <w:rsid w:val="00861AA1"/>
    <w:rsid w:val="00861BB5"/>
    <w:rsid w:val="008627A8"/>
    <w:rsid w:val="00866606"/>
    <w:rsid w:val="00867769"/>
    <w:rsid w:val="0087325C"/>
    <w:rsid w:val="00877C76"/>
    <w:rsid w:val="00881381"/>
    <w:rsid w:val="00881FE0"/>
    <w:rsid w:val="00882CAE"/>
    <w:rsid w:val="00884558"/>
    <w:rsid w:val="008853CC"/>
    <w:rsid w:val="008858E1"/>
    <w:rsid w:val="00885FD0"/>
    <w:rsid w:val="00894937"/>
    <w:rsid w:val="008A1822"/>
    <w:rsid w:val="008A78E0"/>
    <w:rsid w:val="008B0FAB"/>
    <w:rsid w:val="008B38C1"/>
    <w:rsid w:val="008B3D67"/>
    <w:rsid w:val="008B3E7F"/>
    <w:rsid w:val="008B416F"/>
    <w:rsid w:val="008B593E"/>
    <w:rsid w:val="008B6291"/>
    <w:rsid w:val="008B65CC"/>
    <w:rsid w:val="008C258B"/>
    <w:rsid w:val="008C608B"/>
    <w:rsid w:val="008C6A71"/>
    <w:rsid w:val="008D0387"/>
    <w:rsid w:val="008D0A57"/>
    <w:rsid w:val="008D30B0"/>
    <w:rsid w:val="008D72B4"/>
    <w:rsid w:val="008D7786"/>
    <w:rsid w:val="008D785F"/>
    <w:rsid w:val="008D7FDE"/>
    <w:rsid w:val="008E030E"/>
    <w:rsid w:val="008E3CAD"/>
    <w:rsid w:val="008F266E"/>
    <w:rsid w:val="008F330E"/>
    <w:rsid w:val="008F4B4B"/>
    <w:rsid w:val="009001A9"/>
    <w:rsid w:val="00902BBD"/>
    <w:rsid w:val="00904964"/>
    <w:rsid w:val="009145CF"/>
    <w:rsid w:val="00921306"/>
    <w:rsid w:val="009225CA"/>
    <w:rsid w:val="00925AB8"/>
    <w:rsid w:val="00926436"/>
    <w:rsid w:val="009422E9"/>
    <w:rsid w:val="00943DFF"/>
    <w:rsid w:val="00945686"/>
    <w:rsid w:val="00946876"/>
    <w:rsid w:val="00951783"/>
    <w:rsid w:val="009567F6"/>
    <w:rsid w:val="009622BE"/>
    <w:rsid w:val="0096295B"/>
    <w:rsid w:val="0096504F"/>
    <w:rsid w:val="009664ED"/>
    <w:rsid w:val="00967158"/>
    <w:rsid w:val="009677C3"/>
    <w:rsid w:val="00971F77"/>
    <w:rsid w:val="009730FB"/>
    <w:rsid w:val="00973F1D"/>
    <w:rsid w:val="00977FDC"/>
    <w:rsid w:val="009801DC"/>
    <w:rsid w:val="0098310E"/>
    <w:rsid w:val="00986E0A"/>
    <w:rsid w:val="009A0049"/>
    <w:rsid w:val="009A10CB"/>
    <w:rsid w:val="009A22B9"/>
    <w:rsid w:val="009A272D"/>
    <w:rsid w:val="009A35A6"/>
    <w:rsid w:val="009B23BD"/>
    <w:rsid w:val="009B2AFE"/>
    <w:rsid w:val="009B50D1"/>
    <w:rsid w:val="009C5E16"/>
    <w:rsid w:val="009C679D"/>
    <w:rsid w:val="009D3A7C"/>
    <w:rsid w:val="009D44D1"/>
    <w:rsid w:val="009F0F14"/>
    <w:rsid w:val="009F2955"/>
    <w:rsid w:val="009F45C8"/>
    <w:rsid w:val="009F5A88"/>
    <w:rsid w:val="009F661B"/>
    <w:rsid w:val="00A01C7D"/>
    <w:rsid w:val="00A0734B"/>
    <w:rsid w:val="00A10C0F"/>
    <w:rsid w:val="00A16E7D"/>
    <w:rsid w:val="00A2056D"/>
    <w:rsid w:val="00A217B6"/>
    <w:rsid w:val="00A24684"/>
    <w:rsid w:val="00A3139A"/>
    <w:rsid w:val="00A3222F"/>
    <w:rsid w:val="00A33187"/>
    <w:rsid w:val="00A34BC1"/>
    <w:rsid w:val="00A36E41"/>
    <w:rsid w:val="00A40318"/>
    <w:rsid w:val="00A430F4"/>
    <w:rsid w:val="00A51A1D"/>
    <w:rsid w:val="00A55A6A"/>
    <w:rsid w:val="00A55C56"/>
    <w:rsid w:val="00A5674D"/>
    <w:rsid w:val="00A6383A"/>
    <w:rsid w:val="00A6702A"/>
    <w:rsid w:val="00A73CCA"/>
    <w:rsid w:val="00A855FD"/>
    <w:rsid w:val="00A873E9"/>
    <w:rsid w:val="00AA0500"/>
    <w:rsid w:val="00AA4FFE"/>
    <w:rsid w:val="00AA722C"/>
    <w:rsid w:val="00AB2E8F"/>
    <w:rsid w:val="00AB5B85"/>
    <w:rsid w:val="00AB6A06"/>
    <w:rsid w:val="00AC2284"/>
    <w:rsid w:val="00AC24E7"/>
    <w:rsid w:val="00AC4C17"/>
    <w:rsid w:val="00AC7A3D"/>
    <w:rsid w:val="00AD4B66"/>
    <w:rsid w:val="00AD7A75"/>
    <w:rsid w:val="00AE2A20"/>
    <w:rsid w:val="00AF0B0D"/>
    <w:rsid w:val="00AF2136"/>
    <w:rsid w:val="00AF249D"/>
    <w:rsid w:val="00AF41AB"/>
    <w:rsid w:val="00AF6AB0"/>
    <w:rsid w:val="00B020CD"/>
    <w:rsid w:val="00B02DE9"/>
    <w:rsid w:val="00B03FDC"/>
    <w:rsid w:val="00B079E4"/>
    <w:rsid w:val="00B1423F"/>
    <w:rsid w:val="00B15507"/>
    <w:rsid w:val="00B15F69"/>
    <w:rsid w:val="00B22CB5"/>
    <w:rsid w:val="00B2517D"/>
    <w:rsid w:val="00B26712"/>
    <w:rsid w:val="00B270BE"/>
    <w:rsid w:val="00B2775F"/>
    <w:rsid w:val="00B339AD"/>
    <w:rsid w:val="00B3450B"/>
    <w:rsid w:val="00B36057"/>
    <w:rsid w:val="00B36806"/>
    <w:rsid w:val="00B45372"/>
    <w:rsid w:val="00B47E44"/>
    <w:rsid w:val="00B47EB3"/>
    <w:rsid w:val="00B50E71"/>
    <w:rsid w:val="00B5284D"/>
    <w:rsid w:val="00B53282"/>
    <w:rsid w:val="00B6532F"/>
    <w:rsid w:val="00B66936"/>
    <w:rsid w:val="00B70AB3"/>
    <w:rsid w:val="00B713E6"/>
    <w:rsid w:val="00B71712"/>
    <w:rsid w:val="00B72FCB"/>
    <w:rsid w:val="00B754AD"/>
    <w:rsid w:val="00B755CC"/>
    <w:rsid w:val="00B80F04"/>
    <w:rsid w:val="00B858E6"/>
    <w:rsid w:val="00B868A3"/>
    <w:rsid w:val="00B93D7F"/>
    <w:rsid w:val="00B9637C"/>
    <w:rsid w:val="00BA17C0"/>
    <w:rsid w:val="00BA26BF"/>
    <w:rsid w:val="00BA4262"/>
    <w:rsid w:val="00BA5508"/>
    <w:rsid w:val="00BB0E42"/>
    <w:rsid w:val="00BB4505"/>
    <w:rsid w:val="00BB52C8"/>
    <w:rsid w:val="00BC06E6"/>
    <w:rsid w:val="00BC12E6"/>
    <w:rsid w:val="00BC16E7"/>
    <w:rsid w:val="00BC288B"/>
    <w:rsid w:val="00BC4D1F"/>
    <w:rsid w:val="00BC63C2"/>
    <w:rsid w:val="00BC7518"/>
    <w:rsid w:val="00BD40E3"/>
    <w:rsid w:val="00BD4652"/>
    <w:rsid w:val="00BD78C6"/>
    <w:rsid w:val="00BF00C1"/>
    <w:rsid w:val="00BF0566"/>
    <w:rsid w:val="00BF1202"/>
    <w:rsid w:val="00BF34EF"/>
    <w:rsid w:val="00BF3549"/>
    <w:rsid w:val="00C03670"/>
    <w:rsid w:val="00C03C48"/>
    <w:rsid w:val="00C1187E"/>
    <w:rsid w:val="00C14E44"/>
    <w:rsid w:val="00C151EC"/>
    <w:rsid w:val="00C15406"/>
    <w:rsid w:val="00C20E4E"/>
    <w:rsid w:val="00C23706"/>
    <w:rsid w:val="00C23C32"/>
    <w:rsid w:val="00C2655F"/>
    <w:rsid w:val="00C35CBD"/>
    <w:rsid w:val="00C360BA"/>
    <w:rsid w:val="00C41073"/>
    <w:rsid w:val="00C44582"/>
    <w:rsid w:val="00C46F83"/>
    <w:rsid w:val="00C57B77"/>
    <w:rsid w:val="00C57CC8"/>
    <w:rsid w:val="00C65553"/>
    <w:rsid w:val="00C65C29"/>
    <w:rsid w:val="00C70472"/>
    <w:rsid w:val="00C71094"/>
    <w:rsid w:val="00C754A7"/>
    <w:rsid w:val="00C81E3F"/>
    <w:rsid w:val="00C82770"/>
    <w:rsid w:val="00C85A0D"/>
    <w:rsid w:val="00C918FA"/>
    <w:rsid w:val="00C91CE0"/>
    <w:rsid w:val="00C95A57"/>
    <w:rsid w:val="00CA3FA3"/>
    <w:rsid w:val="00CA7CC1"/>
    <w:rsid w:val="00CC261F"/>
    <w:rsid w:val="00CC482E"/>
    <w:rsid w:val="00CC6A65"/>
    <w:rsid w:val="00CD04F9"/>
    <w:rsid w:val="00CD1743"/>
    <w:rsid w:val="00CD7083"/>
    <w:rsid w:val="00CE1404"/>
    <w:rsid w:val="00CE57F8"/>
    <w:rsid w:val="00CE5B4F"/>
    <w:rsid w:val="00CF2248"/>
    <w:rsid w:val="00CF5283"/>
    <w:rsid w:val="00CF53C9"/>
    <w:rsid w:val="00CF7CFD"/>
    <w:rsid w:val="00D01442"/>
    <w:rsid w:val="00D02204"/>
    <w:rsid w:val="00D02E76"/>
    <w:rsid w:val="00D053B3"/>
    <w:rsid w:val="00D100E5"/>
    <w:rsid w:val="00D11813"/>
    <w:rsid w:val="00D138CD"/>
    <w:rsid w:val="00D1494F"/>
    <w:rsid w:val="00D221FA"/>
    <w:rsid w:val="00D237DD"/>
    <w:rsid w:val="00D3102C"/>
    <w:rsid w:val="00D3125F"/>
    <w:rsid w:val="00D33706"/>
    <w:rsid w:val="00D34FFE"/>
    <w:rsid w:val="00D37287"/>
    <w:rsid w:val="00D40597"/>
    <w:rsid w:val="00D407EC"/>
    <w:rsid w:val="00D4238C"/>
    <w:rsid w:val="00D45E4F"/>
    <w:rsid w:val="00D47CDA"/>
    <w:rsid w:val="00D550B5"/>
    <w:rsid w:val="00D55A80"/>
    <w:rsid w:val="00D60585"/>
    <w:rsid w:val="00D63F39"/>
    <w:rsid w:val="00D65CD2"/>
    <w:rsid w:val="00D66F1A"/>
    <w:rsid w:val="00D67288"/>
    <w:rsid w:val="00D712E6"/>
    <w:rsid w:val="00D72AE3"/>
    <w:rsid w:val="00D7333B"/>
    <w:rsid w:val="00D737E1"/>
    <w:rsid w:val="00D7427A"/>
    <w:rsid w:val="00D8016E"/>
    <w:rsid w:val="00D80D4A"/>
    <w:rsid w:val="00D84379"/>
    <w:rsid w:val="00DA002B"/>
    <w:rsid w:val="00DA0CB3"/>
    <w:rsid w:val="00DA2BD6"/>
    <w:rsid w:val="00DA59A8"/>
    <w:rsid w:val="00DB2AFF"/>
    <w:rsid w:val="00DB4BD0"/>
    <w:rsid w:val="00DB55A4"/>
    <w:rsid w:val="00DB5E05"/>
    <w:rsid w:val="00DC191A"/>
    <w:rsid w:val="00DC3092"/>
    <w:rsid w:val="00DC3AA7"/>
    <w:rsid w:val="00DC768D"/>
    <w:rsid w:val="00DD1315"/>
    <w:rsid w:val="00DD3E7D"/>
    <w:rsid w:val="00DD4611"/>
    <w:rsid w:val="00DD5910"/>
    <w:rsid w:val="00DD71EF"/>
    <w:rsid w:val="00DD7B47"/>
    <w:rsid w:val="00DE01FB"/>
    <w:rsid w:val="00DE4B2C"/>
    <w:rsid w:val="00DE7F97"/>
    <w:rsid w:val="00DF4BDF"/>
    <w:rsid w:val="00DF4DD3"/>
    <w:rsid w:val="00DF5F66"/>
    <w:rsid w:val="00E00F41"/>
    <w:rsid w:val="00E06DDC"/>
    <w:rsid w:val="00E113F1"/>
    <w:rsid w:val="00E12A1D"/>
    <w:rsid w:val="00E14350"/>
    <w:rsid w:val="00E21E01"/>
    <w:rsid w:val="00E21F2F"/>
    <w:rsid w:val="00E24E25"/>
    <w:rsid w:val="00E27D89"/>
    <w:rsid w:val="00E30F66"/>
    <w:rsid w:val="00E316C9"/>
    <w:rsid w:val="00E36C78"/>
    <w:rsid w:val="00E40D1B"/>
    <w:rsid w:val="00E4241A"/>
    <w:rsid w:val="00E4468B"/>
    <w:rsid w:val="00E44916"/>
    <w:rsid w:val="00E45DBB"/>
    <w:rsid w:val="00E56D4F"/>
    <w:rsid w:val="00E60792"/>
    <w:rsid w:val="00E65CA3"/>
    <w:rsid w:val="00E733A3"/>
    <w:rsid w:val="00E73B61"/>
    <w:rsid w:val="00E756FA"/>
    <w:rsid w:val="00E76183"/>
    <w:rsid w:val="00E76574"/>
    <w:rsid w:val="00E816E2"/>
    <w:rsid w:val="00E87119"/>
    <w:rsid w:val="00E939D9"/>
    <w:rsid w:val="00EA2D63"/>
    <w:rsid w:val="00EA3D02"/>
    <w:rsid w:val="00EB17FC"/>
    <w:rsid w:val="00EB62A5"/>
    <w:rsid w:val="00EC5668"/>
    <w:rsid w:val="00EC64BF"/>
    <w:rsid w:val="00ED009B"/>
    <w:rsid w:val="00ED05BC"/>
    <w:rsid w:val="00ED1447"/>
    <w:rsid w:val="00ED493C"/>
    <w:rsid w:val="00EE00B1"/>
    <w:rsid w:val="00EE2167"/>
    <w:rsid w:val="00EE4DD0"/>
    <w:rsid w:val="00EE53E3"/>
    <w:rsid w:val="00EE66B6"/>
    <w:rsid w:val="00EE678E"/>
    <w:rsid w:val="00EE6F14"/>
    <w:rsid w:val="00EE75AB"/>
    <w:rsid w:val="00EE7E26"/>
    <w:rsid w:val="00EE7F89"/>
    <w:rsid w:val="00EF2A42"/>
    <w:rsid w:val="00EF59D5"/>
    <w:rsid w:val="00EF6F2D"/>
    <w:rsid w:val="00EF7CDB"/>
    <w:rsid w:val="00F0265D"/>
    <w:rsid w:val="00F07995"/>
    <w:rsid w:val="00F107E5"/>
    <w:rsid w:val="00F111F8"/>
    <w:rsid w:val="00F120DE"/>
    <w:rsid w:val="00F13873"/>
    <w:rsid w:val="00F160DF"/>
    <w:rsid w:val="00F173D6"/>
    <w:rsid w:val="00F2333B"/>
    <w:rsid w:val="00F25474"/>
    <w:rsid w:val="00F25694"/>
    <w:rsid w:val="00F25F1B"/>
    <w:rsid w:val="00F2632E"/>
    <w:rsid w:val="00F30FE8"/>
    <w:rsid w:val="00F31CD6"/>
    <w:rsid w:val="00F32606"/>
    <w:rsid w:val="00F33739"/>
    <w:rsid w:val="00F34EB3"/>
    <w:rsid w:val="00F362DC"/>
    <w:rsid w:val="00F37BD1"/>
    <w:rsid w:val="00F37FA8"/>
    <w:rsid w:val="00F420F9"/>
    <w:rsid w:val="00F468FD"/>
    <w:rsid w:val="00F46ABA"/>
    <w:rsid w:val="00F57132"/>
    <w:rsid w:val="00F64D16"/>
    <w:rsid w:val="00F66132"/>
    <w:rsid w:val="00F70849"/>
    <w:rsid w:val="00F75632"/>
    <w:rsid w:val="00F76E1E"/>
    <w:rsid w:val="00F9039C"/>
    <w:rsid w:val="00F9122F"/>
    <w:rsid w:val="00F915BA"/>
    <w:rsid w:val="00F92094"/>
    <w:rsid w:val="00F9452A"/>
    <w:rsid w:val="00F977E4"/>
    <w:rsid w:val="00FA07E6"/>
    <w:rsid w:val="00FA17A9"/>
    <w:rsid w:val="00FA356C"/>
    <w:rsid w:val="00FA5D6A"/>
    <w:rsid w:val="00FB051A"/>
    <w:rsid w:val="00FB3844"/>
    <w:rsid w:val="00FB44B5"/>
    <w:rsid w:val="00FB7CE1"/>
    <w:rsid w:val="00FC0CC6"/>
    <w:rsid w:val="00FC1AFA"/>
    <w:rsid w:val="00FC6E8B"/>
    <w:rsid w:val="00FC7C77"/>
    <w:rsid w:val="00FD08A4"/>
    <w:rsid w:val="00FD2947"/>
    <w:rsid w:val="00FD4BA5"/>
    <w:rsid w:val="00FD5B18"/>
    <w:rsid w:val="00FE0655"/>
    <w:rsid w:val="00FE292E"/>
    <w:rsid w:val="00FE29B2"/>
    <w:rsid w:val="00FE4239"/>
    <w:rsid w:val="00FE45C6"/>
    <w:rsid w:val="00FE73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2470899A-885D-4D74-B83B-EDEF31B79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E41"/>
    <w:pPr>
      <w:widowControl w:val="0"/>
    </w:pPr>
    <w:rPr>
      <w:rFonts w:ascii="Times New Roman" w:eastAsia="標楷體" w:hAnsi="Times New Roman"/>
      <w:kern w:val="2"/>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題一"/>
    <w:basedOn w:val="a"/>
    <w:rsid w:val="00A36E41"/>
    <w:rPr>
      <w:rFonts w:ascii="超研澤粗楷" w:eastAsia="超研澤粗楷"/>
      <w:szCs w:val="20"/>
    </w:rPr>
  </w:style>
  <w:style w:type="paragraph" w:styleId="a4">
    <w:name w:val="header"/>
    <w:basedOn w:val="a"/>
    <w:link w:val="a5"/>
    <w:uiPriority w:val="99"/>
    <w:unhideWhenUsed/>
    <w:rsid w:val="009C679D"/>
    <w:pPr>
      <w:tabs>
        <w:tab w:val="center" w:pos="4153"/>
        <w:tab w:val="right" w:pos="8306"/>
      </w:tabs>
      <w:snapToGrid w:val="0"/>
    </w:pPr>
    <w:rPr>
      <w:sz w:val="20"/>
      <w:szCs w:val="20"/>
    </w:rPr>
  </w:style>
  <w:style w:type="character" w:customStyle="1" w:styleId="a5">
    <w:name w:val="頁首 字元"/>
    <w:basedOn w:val="a0"/>
    <w:link w:val="a4"/>
    <w:uiPriority w:val="99"/>
    <w:rsid w:val="009C679D"/>
    <w:rPr>
      <w:rFonts w:ascii="Times New Roman" w:eastAsia="標楷體" w:hAnsi="Times New Roman"/>
      <w:kern w:val="2"/>
    </w:rPr>
  </w:style>
  <w:style w:type="paragraph" w:styleId="a6">
    <w:name w:val="footer"/>
    <w:basedOn w:val="a"/>
    <w:link w:val="a7"/>
    <w:uiPriority w:val="99"/>
    <w:unhideWhenUsed/>
    <w:rsid w:val="009C679D"/>
    <w:pPr>
      <w:tabs>
        <w:tab w:val="center" w:pos="4153"/>
        <w:tab w:val="right" w:pos="8306"/>
      </w:tabs>
      <w:snapToGrid w:val="0"/>
    </w:pPr>
    <w:rPr>
      <w:sz w:val="20"/>
      <w:szCs w:val="20"/>
    </w:rPr>
  </w:style>
  <w:style w:type="character" w:customStyle="1" w:styleId="a7">
    <w:name w:val="頁尾 字元"/>
    <w:basedOn w:val="a0"/>
    <w:link w:val="a6"/>
    <w:uiPriority w:val="99"/>
    <w:rsid w:val="009C679D"/>
    <w:rPr>
      <w:rFonts w:ascii="Times New Roman" w:eastAsia="標楷體" w:hAnsi="Times New Roman"/>
      <w:kern w:val="2"/>
    </w:rPr>
  </w:style>
  <w:style w:type="paragraph" w:styleId="HTML">
    <w:name w:val="HTML Preformatted"/>
    <w:basedOn w:val="a"/>
    <w:link w:val="HTML0"/>
    <w:rsid w:val="009677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0"/>
    <w:link w:val="HTML"/>
    <w:rsid w:val="009677C3"/>
    <w:rPr>
      <w:rFonts w:ascii="細明體" w:eastAsia="細明體" w:hAnsi="細明體" w:cs="細明體"/>
      <w:sz w:val="24"/>
      <w:szCs w:val="24"/>
    </w:rPr>
  </w:style>
  <w:style w:type="character" w:styleId="a8">
    <w:name w:val="Hyperlink"/>
    <w:basedOn w:val="a0"/>
    <w:rsid w:val="001F5B1E"/>
    <w:rPr>
      <w:rFonts w:cs="Times New Roman"/>
      <w:color w:val="0000FF"/>
      <w:u w:val="single"/>
    </w:rPr>
  </w:style>
  <w:style w:type="paragraph" w:customStyle="1" w:styleId="ListParagraph">
    <w:name w:val="List Paragraph"/>
    <w:basedOn w:val="a"/>
    <w:rsid w:val="00647559"/>
    <w:pPr>
      <w:ind w:leftChars="200" w:left="480"/>
    </w:pPr>
    <w:rPr>
      <w:rFonts w:ascii="Calibri" w:eastAsia="新細明體" w:hAnsi="Calibri"/>
      <w:sz w:val="24"/>
      <w:szCs w:val="22"/>
    </w:rPr>
  </w:style>
  <w:style w:type="paragraph" w:styleId="a9">
    <w:name w:val="footnote text"/>
    <w:basedOn w:val="a"/>
    <w:link w:val="aa"/>
    <w:rsid w:val="00647559"/>
    <w:pPr>
      <w:snapToGrid w:val="0"/>
    </w:pPr>
    <w:rPr>
      <w:rFonts w:eastAsia="新細明體"/>
      <w:sz w:val="20"/>
      <w:szCs w:val="20"/>
    </w:rPr>
  </w:style>
  <w:style w:type="character" w:customStyle="1" w:styleId="aa">
    <w:name w:val="註腳文字 字元"/>
    <w:basedOn w:val="a0"/>
    <w:link w:val="a9"/>
    <w:rsid w:val="00647559"/>
    <w:rPr>
      <w:rFonts w:ascii="Times New Roman" w:hAnsi="Times New Roman"/>
      <w:kern w:val="2"/>
    </w:rPr>
  </w:style>
  <w:style w:type="character" w:styleId="ab">
    <w:name w:val="footnote reference"/>
    <w:unhideWhenUsed/>
    <w:rsid w:val="00710F1A"/>
    <w:rPr>
      <w:vertAlign w:val="superscript"/>
    </w:rPr>
  </w:style>
  <w:style w:type="character" w:customStyle="1" w:styleId="ac">
    <w:name w:val="註解方塊文字 字元"/>
    <w:basedOn w:val="a0"/>
    <w:link w:val="ad"/>
    <w:uiPriority w:val="99"/>
    <w:semiHidden/>
    <w:rsid w:val="00710F1A"/>
    <w:rPr>
      <w:rFonts w:ascii="Cambria" w:hAnsi="Cambria"/>
      <w:kern w:val="2"/>
      <w:sz w:val="18"/>
      <w:szCs w:val="18"/>
    </w:rPr>
  </w:style>
  <w:style w:type="paragraph" w:styleId="ad">
    <w:name w:val="Balloon Text"/>
    <w:basedOn w:val="a"/>
    <w:link w:val="ac"/>
    <w:uiPriority w:val="99"/>
    <w:semiHidden/>
    <w:unhideWhenUsed/>
    <w:rsid w:val="00710F1A"/>
    <w:rPr>
      <w:rFonts w:ascii="Cambria" w:eastAsia="新細明體" w:hAnsi="Cambria"/>
      <w:sz w:val="18"/>
      <w:szCs w:val="18"/>
    </w:rPr>
  </w:style>
  <w:style w:type="character" w:customStyle="1" w:styleId="apple-style-span">
    <w:name w:val="apple-style-span"/>
    <w:basedOn w:val="a0"/>
    <w:rsid w:val="00336A8E"/>
    <w:rPr>
      <w:rFonts w:cs="Times New Roman"/>
    </w:rPr>
  </w:style>
  <w:style w:type="paragraph" w:styleId="ae">
    <w:name w:val="List Paragraph"/>
    <w:basedOn w:val="a"/>
    <w:uiPriority w:val="34"/>
    <w:qFormat/>
    <w:rsid w:val="00C35CBD"/>
    <w:pPr>
      <w:ind w:leftChars="200" w:left="480"/>
    </w:pPr>
    <w:rPr>
      <w:rFonts w:ascii="Calibri" w:eastAsia="新細明體" w:hAnsi="Calibri"/>
      <w:sz w:val="24"/>
      <w:szCs w:val="22"/>
    </w:rPr>
  </w:style>
  <w:style w:type="character" w:styleId="af">
    <w:name w:val="page number"/>
    <w:basedOn w:val="a0"/>
    <w:rsid w:val="00A55A6A"/>
  </w:style>
  <w:style w:type="character" w:customStyle="1" w:styleId="jnlangue">
    <w:name w:val="jnlangue"/>
    <w:rsid w:val="00A3139A"/>
  </w:style>
  <w:style w:type="character" w:customStyle="1" w:styleId="jnkurzueamtabk">
    <w:name w:val="jnkurzueamtabk"/>
    <w:rsid w:val="00A3139A"/>
  </w:style>
  <w:style w:type="paragraph" w:customStyle="1" w:styleId="1">
    <w:name w:val="樣式1"/>
    <w:basedOn w:val="a"/>
    <w:link w:val="11"/>
    <w:rsid w:val="00A10C0F"/>
    <w:pPr>
      <w:adjustRightInd w:val="0"/>
      <w:spacing w:line="300" w:lineRule="auto"/>
      <w:ind w:left="340" w:hanging="340"/>
      <w:jc w:val="both"/>
      <w:textAlignment w:val="baseline"/>
    </w:pPr>
    <w:rPr>
      <w:kern w:val="0"/>
      <w:szCs w:val="20"/>
    </w:rPr>
  </w:style>
  <w:style w:type="character" w:customStyle="1" w:styleId="11">
    <w:name w:val="樣式1 字元1"/>
    <w:basedOn w:val="a0"/>
    <w:link w:val="1"/>
    <w:rsid w:val="00A10C0F"/>
    <w:rPr>
      <w:rFonts w:ascii="Times New Roman" w:eastAsia="標楷體" w:hAnsi="Times New Roman"/>
      <w:sz w:val="32"/>
    </w:rPr>
  </w:style>
  <w:style w:type="character" w:customStyle="1" w:styleId="af0">
    <w:name w:val="純文字 字元"/>
    <w:basedOn w:val="a0"/>
    <w:link w:val="af1"/>
    <w:semiHidden/>
    <w:locked/>
    <w:rsid w:val="003247EA"/>
    <w:rPr>
      <w:rFonts w:hAnsi="Courier New"/>
      <w:szCs w:val="24"/>
    </w:rPr>
  </w:style>
  <w:style w:type="paragraph" w:styleId="af1">
    <w:name w:val="Plain Text"/>
    <w:basedOn w:val="a"/>
    <w:link w:val="af0"/>
    <w:semiHidden/>
    <w:rsid w:val="003247EA"/>
    <w:rPr>
      <w:rFonts w:ascii="Calibri" w:eastAsia="新細明體" w:hAnsi="Courier New"/>
      <w:kern w:val="0"/>
      <w:sz w:val="20"/>
      <w:szCs w:val="24"/>
    </w:rPr>
  </w:style>
  <w:style w:type="character" w:customStyle="1" w:styleId="10">
    <w:name w:val="純文字 字元1"/>
    <w:basedOn w:val="a0"/>
    <w:link w:val="af1"/>
    <w:uiPriority w:val="99"/>
    <w:semiHidden/>
    <w:rsid w:val="003247EA"/>
    <w:rPr>
      <w:rFonts w:ascii="細明體" w:eastAsia="細明體" w:hAnsi="Courier New" w:cs="Courier New"/>
      <w:kern w:val="2"/>
      <w:sz w:val="24"/>
      <w:szCs w:val="24"/>
    </w:rPr>
  </w:style>
  <w:style w:type="paragraph" w:styleId="af2">
    <w:name w:val="No Spacing"/>
    <w:uiPriority w:val="1"/>
    <w:qFormat/>
    <w:rsid w:val="00FD4BA5"/>
    <w:pPr>
      <w:widowControl w:val="0"/>
    </w:pPr>
    <w:rPr>
      <w:rFonts w:ascii="標楷體" w:eastAsia="標楷體" w:hAnsi="標楷體"/>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2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172.16.16.159/FLAW/FLAWDAT01.asp?lsid=FL013783" TargetMode="External"/><Relationship Id="rId1" Type="http://schemas.openxmlformats.org/officeDocument/2006/relationships/hyperlink" Target="http://172.16.16.159/FLAW/FLAWDAT01.asp?lsid=FL01641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7C71F-322A-4B40-933D-F03392550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80</Pages>
  <Words>9665</Words>
  <Characters>55095</Characters>
  <Application>Microsoft Office Word</Application>
  <DocSecurity>0</DocSecurity>
  <Lines>459</Lines>
  <Paragraphs>129</Paragraphs>
  <ScaleCrop>false</ScaleCrop>
  <Company/>
  <LinksUpToDate>false</LinksUpToDate>
  <CharactersWithSpaces>64631</CharactersWithSpaces>
  <SharedDoc>false</SharedDoc>
  <HLinks>
    <vt:vector size="12" baseType="variant">
      <vt:variant>
        <vt:i4>4391005</vt:i4>
      </vt:variant>
      <vt:variant>
        <vt:i4>3</vt:i4>
      </vt:variant>
      <vt:variant>
        <vt:i4>0</vt:i4>
      </vt:variant>
      <vt:variant>
        <vt:i4>5</vt:i4>
      </vt:variant>
      <vt:variant>
        <vt:lpwstr>http://172.16.16.159/FLAW/FLAWDAT01.asp?lsid=FL013783</vt:lpwstr>
      </vt:variant>
      <vt:variant>
        <vt:lpwstr/>
      </vt:variant>
      <vt:variant>
        <vt:i4>5177438</vt:i4>
      </vt:variant>
      <vt:variant>
        <vt:i4>0</vt:i4>
      </vt:variant>
      <vt:variant>
        <vt:i4>0</vt:i4>
      </vt:variant>
      <vt:variant>
        <vt:i4>5</vt:i4>
      </vt:variant>
      <vt:variant>
        <vt:lpwstr>http://172.16.16.159/FLAW/FLAWDAT01.asp?lsid=FL016419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江宜臻</cp:lastModifiedBy>
  <cp:revision>2</cp:revision>
  <cp:lastPrinted>2016-02-17T06:26:00Z</cp:lastPrinted>
  <dcterms:created xsi:type="dcterms:W3CDTF">2016-03-25T07:39:00Z</dcterms:created>
  <dcterms:modified xsi:type="dcterms:W3CDTF">2016-03-25T07:39:00Z</dcterms:modified>
</cp:coreProperties>
</file>