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bookmarkStart w:id="0" w:name="_GoBack"/>
      <w:bookmarkEnd w:id="0"/>
    </w:p>
    <w:p w:rsidR="00A36E41" w:rsidRDefault="00A36E41" w:rsidP="00A36E41">
      <w:pPr>
        <w:tabs>
          <w:tab w:val="center" w:pos="4153"/>
          <w:tab w:val="right" w:pos="8306"/>
        </w:tabs>
        <w:overflowPunct w:val="0"/>
        <w:snapToGrid w:val="0"/>
        <w:jc w:val="center"/>
        <w:rPr>
          <w:b/>
          <w:sz w:val="40"/>
          <w:szCs w:val="4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1;mso-position-horizontal:center">
            <v:imagedata r:id="rId8" o:title=""/>
          </v:shape>
          <o:OLEObject Type="Embed" ProgID="MSPhotoEd.3" ShapeID="_x0000_s1026" DrawAspect="Content" ObjectID="_1502902891" r:id="rId9"/>
        </w:object>
      </w:r>
      <w:r>
        <w:rPr>
          <w:rFonts w:hint="eastAsia"/>
          <w:b/>
          <w:sz w:val="40"/>
          <w:szCs w:val="40"/>
        </w:rPr>
        <w:t>司法院釋字第七二</w:t>
      </w:r>
      <w:r w:rsidR="00A55A6A">
        <w:rPr>
          <w:rFonts w:hint="eastAsia"/>
          <w:b/>
          <w:sz w:val="40"/>
          <w:szCs w:val="40"/>
        </w:rPr>
        <w:t>九</w:t>
      </w:r>
      <w:r>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spacing w:line="600" w:lineRule="exact"/>
        <w:jc w:val="distribute"/>
      </w:pPr>
      <w:r>
        <w:rPr>
          <w:rFonts w:hint="eastAsia"/>
        </w:rPr>
        <w:t>司法院公布令…………………………………</w:t>
      </w:r>
      <w:r w:rsidR="00B754AD">
        <w:rPr>
          <w:rFonts w:hint="eastAsia"/>
        </w:rPr>
        <w:t>……</w:t>
      </w:r>
      <w:r>
        <w:rPr>
          <w:rFonts w:hint="eastAsia"/>
        </w:rPr>
        <w:t>……………………</w:t>
      </w:r>
      <w:r>
        <w:t>1</w:t>
      </w:r>
    </w:p>
    <w:p w:rsidR="00A36E41" w:rsidRDefault="00A36E41" w:rsidP="00A36E41">
      <w:pPr>
        <w:tabs>
          <w:tab w:val="center" w:pos="4153"/>
          <w:tab w:val="right" w:pos="8306"/>
        </w:tabs>
        <w:overflowPunct w:val="0"/>
        <w:snapToGrid w:val="0"/>
        <w:spacing w:line="600" w:lineRule="exact"/>
        <w:jc w:val="distribute"/>
      </w:pPr>
      <w:r>
        <w:rPr>
          <w:rFonts w:hint="eastAsia"/>
        </w:rPr>
        <w:t>解釋文及解釋理由書……………………………</w:t>
      </w:r>
      <w:r w:rsidR="00B754AD">
        <w:rPr>
          <w:rFonts w:hint="eastAsia"/>
        </w:rPr>
        <w:t>……</w:t>
      </w:r>
      <w:r>
        <w:rPr>
          <w:rFonts w:hint="eastAsia"/>
        </w:rPr>
        <w:t>…………………</w:t>
      </w:r>
      <w:r>
        <w:t>1</w:t>
      </w:r>
    </w:p>
    <w:p w:rsidR="00A36E41" w:rsidRPr="00BF00C1" w:rsidRDefault="00A36E41" w:rsidP="005C0BCE">
      <w:pPr>
        <w:tabs>
          <w:tab w:val="center" w:pos="4153"/>
          <w:tab w:val="right" w:pos="8306"/>
        </w:tabs>
        <w:overflowPunct w:val="0"/>
        <w:snapToGrid w:val="0"/>
        <w:spacing w:line="600" w:lineRule="exact"/>
        <w:rPr>
          <w:spacing w:val="8"/>
        </w:rPr>
      </w:pPr>
      <w:r>
        <w:rPr>
          <w:rFonts w:hint="eastAsia"/>
        </w:rPr>
        <w:t>蘇大法官永欽提出之協同意見書</w:t>
      </w:r>
      <w:r w:rsidR="005C0BCE" w:rsidRPr="00775BF2">
        <w:rPr>
          <w:rFonts w:ascii="新細明體" w:eastAsia="新細明體" w:hAnsi="新細明體" w:cs="新細明體" w:hint="eastAsia"/>
          <w:spacing w:val="6"/>
          <w:kern w:val="0"/>
          <w:fitText w:val="4961" w:id="877391875"/>
        </w:rPr>
        <w:t>……………………………………</w:t>
      </w:r>
      <w:r w:rsidR="005C0BCE" w:rsidRPr="00775BF2">
        <w:rPr>
          <w:rFonts w:ascii="新細明體" w:eastAsia="新細明體" w:hAnsi="新細明體" w:cs="新細明體" w:hint="eastAsia"/>
          <w:spacing w:val="-3"/>
          <w:kern w:val="0"/>
          <w:fitText w:val="4961" w:id="877391875"/>
        </w:rPr>
        <w:t>…</w:t>
      </w:r>
      <w:r w:rsidR="00BF00C1">
        <w:rPr>
          <w:rFonts w:hint="eastAsia"/>
          <w:kern w:val="0"/>
        </w:rPr>
        <w:t>4</w:t>
      </w:r>
    </w:p>
    <w:p w:rsidR="00A36E41" w:rsidRDefault="008F330E" w:rsidP="00550071">
      <w:pPr>
        <w:tabs>
          <w:tab w:val="center" w:pos="4153"/>
          <w:tab w:val="right" w:pos="8306"/>
        </w:tabs>
        <w:overflowPunct w:val="0"/>
        <w:snapToGrid w:val="0"/>
        <w:spacing w:line="600" w:lineRule="exact"/>
        <w:jc w:val="both"/>
      </w:pPr>
      <w:r>
        <w:rPr>
          <w:rFonts w:hint="eastAsia"/>
        </w:rPr>
        <w:t>李</w:t>
      </w:r>
      <w:r w:rsidR="00A36E41">
        <w:rPr>
          <w:rFonts w:hint="eastAsia"/>
        </w:rPr>
        <w:t>大法官</w:t>
      </w:r>
      <w:r>
        <w:rPr>
          <w:rFonts w:hint="eastAsia"/>
        </w:rPr>
        <w:t>震山</w:t>
      </w:r>
      <w:r w:rsidR="00A36E41">
        <w:rPr>
          <w:rFonts w:hint="eastAsia"/>
        </w:rPr>
        <w:t>提出之協同意見書</w:t>
      </w:r>
      <w:r w:rsidR="00BF00C1">
        <w:rPr>
          <w:rFonts w:hint="eastAsia"/>
          <w:kern w:val="0"/>
        </w:rPr>
        <w:t>………………………………………</w:t>
      </w:r>
      <w:r w:rsidR="00BF00C1">
        <w:rPr>
          <w:rFonts w:hint="eastAsia"/>
          <w:kern w:val="0"/>
        </w:rPr>
        <w:t>1</w:t>
      </w:r>
      <w:r w:rsidR="00AA0500" w:rsidRPr="00550071">
        <w:rPr>
          <w:rFonts w:hint="eastAsia"/>
          <w:kern w:val="0"/>
        </w:rPr>
        <w:t>5</w:t>
      </w:r>
    </w:p>
    <w:p w:rsidR="00A73CCA" w:rsidRDefault="008F330E" w:rsidP="008D785F">
      <w:pPr>
        <w:tabs>
          <w:tab w:val="center" w:pos="4153"/>
          <w:tab w:val="right" w:pos="8306"/>
        </w:tabs>
        <w:overflowPunct w:val="0"/>
        <w:snapToGrid w:val="0"/>
        <w:spacing w:line="600" w:lineRule="exact"/>
        <w:jc w:val="distribute"/>
      </w:pPr>
      <w:r>
        <w:rPr>
          <w:rFonts w:hint="eastAsia"/>
          <w:kern w:val="0"/>
        </w:rPr>
        <w:t>陳</w:t>
      </w:r>
      <w:r w:rsidR="00A73CCA" w:rsidRPr="005C0BCE">
        <w:rPr>
          <w:rFonts w:hint="eastAsia"/>
          <w:kern w:val="0"/>
        </w:rPr>
        <w:t>大法官</w:t>
      </w:r>
      <w:r>
        <w:rPr>
          <w:rFonts w:hint="eastAsia"/>
          <w:kern w:val="0"/>
        </w:rPr>
        <w:t>春生</w:t>
      </w:r>
      <w:r w:rsidR="00A73CCA" w:rsidRPr="005C0BCE">
        <w:rPr>
          <w:rFonts w:hint="eastAsia"/>
          <w:kern w:val="0"/>
        </w:rPr>
        <w:t>提出之協同意見書</w:t>
      </w:r>
      <w:r w:rsidR="00A73CCA">
        <w:rPr>
          <w:rFonts w:hint="eastAsia"/>
        </w:rPr>
        <w:t>………………………</w:t>
      </w:r>
      <w:r w:rsidR="00B754AD">
        <w:rPr>
          <w:rFonts w:hint="eastAsia"/>
        </w:rPr>
        <w:t>………</w:t>
      </w:r>
      <w:r w:rsidR="00A73CCA">
        <w:rPr>
          <w:rFonts w:hint="eastAsia"/>
        </w:rPr>
        <w:t>………</w:t>
      </w:r>
      <w:r w:rsidR="00F9122F">
        <w:rPr>
          <w:rFonts w:hint="eastAsia"/>
        </w:rPr>
        <w:t>2</w:t>
      </w:r>
      <w:r w:rsidR="00BF00C1">
        <w:rPr>
          <w:rFonts w:hint="eastAsia"/>
        </w:rPr>
        <w:t>2</w:t>
      </w:r>
    </w:p>
    <w:p w:rsidR="00A36E41" w:rsidRDefault="008F330E" w:rsidP="00A36E41">
      <w:pPr>
        <w:tabs>
          <w:tab w:val="center" w:pos="4153"/>
          <w:tab w:val="right" w:pos="8306"/>
        </w:tabs>
        <w:kinsoku w:val="0"/>
        <w:overflowPunct w:val="0"/>
        <w:snapToGrid w:val="0"/>
        <w:spacing w:line="600" w:lineRule="exact"/>
        <w:jc w:val="distribute"/>
      </w:pPr>
      <w:r>
        <w:rPr>
          <w:rFonts w:hint="eastAsia"/>
        </w:rPr>
        <w:t>林</w:t>
      </w:r>
      <w:r w:rsidR="00A36E41">
        <w:rPr>
          <w:rFonts w:hint="eastAsia"/>
        </w:rPr>
        <w:t>大法官</w:t>
      </w:r>
      <w:r>
        <w:rPr>
          <w:rFonts w:hint="eastAsia"/>
        </w:rPr>
        <w:t>錫堯</w:t>
      </w:r>
      <w:r w:rsidR="00A36E41">
        <w:rPr>
          <w:rFonts w:hint="eastAsia"/>
        </w:rPr>
        <w:t>提出</w:t>
      </w:r>
      <w:r w:rsidR="00B754AD">
        <w:rPr>
          <w:rFonts w:hint="eastAsia"/>
        </w:rPr>
        <w:t>之部分</w:t>
      </w:r>
      <w:r w:rsidR="009C679D">
        <w:rPr>
          <w:rFonts w:hint="eastAsia"/>
        </w:rPr>
        <w:t>協同</w:t>
      </w:r>
      <w:r w:rsidR="00B754AD">
        <w:rPr>
          <w:rFonts w:hint="eastAsia"/>
        </w:rPr>
        <w:t>部分</w:t>
      </w:r>
      <w:r w:rsidR="00A73CCA">
        <w:rPr>
          <w:rFonts w:hint="eastAsia"/>
        </w:rPr>
        <w:t>不</w:t>
      </w:r>
      <w:r w:rsidR="00A36E41">
        <w:rPr>
          <w:rFonts w:hint="eastAsia"/>
        </w:rPr>
        <w:t>同意見書…</w:t>
      </w:r>
      <w:r w:rsidR="009C679D">
        <w:rPr>
          <w:rFonts w:hint="eastAsia"/>
        </w:rPr>
        <w:t>…</w:t>
      </w:r>
      <w:r w:rsidR="00A36E41">
        <w:rPr>
          <w:rFonts w:hint="eastAsia"/>
        </w:rPr>
        <w:t>…………………</w:t>
      </w:r>
      <w:r w:rsidR="00AA0500">
        <w:rPr>
          <w:rFonts w:hint="eastAsia"/>
        </w:rPr>
        <w:t>2</w:t>
      </w:r>
      <w:r w:rsidR="00BF00C1">
        <w:rPr>
          <w:rFonts w:hint="eastAsia"/>
        </w:rPr>
        <w:t>8</w:t>
      </w:r>
    </w:p>
    <w:p w:rsidR="008F330E" w:rsidRDefault="008F330E" w:rsidP="008F330E">
      <w:pPr>
        <w:tabs>
          <w:tab w:val="center" w:pos="4153"/>
          <w:tab w:val="right" w:pos="8306"/>
        </w:tabs>
        <w:kinsoku w:val="0"/>
        <w:overflowPunct w:val="0"/>
        <w:snapToGrid w:val="0"/>
        <w:spacing w:line="600" w:lineRule="exact"/>
        <w:jc w:val="distribute"/>
      </w:pPr>
      <w:r>
        <w:rPr>
          <w:rFonts w:hint="eastAsia"/>
        </w:rPr>
        <w:t>蔡大法官清遊提出之部分協同部分不同意見書………………………</w:t>
      </w:r>
      <w:r w:rsidR="00BF00C1">
        <w:rPr>
          <w:rFonts w:hint="eastAsia"/>
        </w:rPr>
        <w:t>38</w:t>
      </w:r>
    </w:p>
    <w:p w:rsidR="008F330E" w:rsidRDefault="008F330E" w:rsidP="008F330E">
      <w:pPr>
        <w:tabs>
          <w:tab w:val="center" w:pos="4153"/>
          <w:tab w:val="right" w:pos="8306"/>
        </w:tabs>
        <w:kinsoku w:val="0"/>
        <w:overflowPunct w:val="0"/>
        <w:snapToGrid w:val="0"/>
        <w:spacing w:line="600" w:lineRule="exact"/>
        <w:jc w:val="distribute"/>
      </w:pPr>
      <w:r>
        <w:rPr>
          <w:rFonts w:hint="eastAsia"/>
        </w:rPr>
        <w:t>陳大法官新民提出之部分協同部分不同意見書………………………</w:t>
      </w:r>
      <w:r w:rsidR="00BF00C1">
        <w:rPr>
          <w:rFonts w:hint="eastAsia"/>
        </w:rPr>
        <w:t>43</w:t>
      </w:r>
    </w:p>
    <w:p w:rsidR="008F330E" w:rsidRDefault="008F330E" w:rsidP="008F330E">
      <w:pPr>
        <w:tabs>
          <w:tab w:val="center" w:pos="4153"/>
          <w:tab w:val="right" w:pos="8306"/>
        </w:tabs>
        <w:kinsoku w:val="0"/>
        <w:overflowPunct w:val="0"/>
        <w:snapToGrid w:val="0"/>
        <w:spacing w:line="600" w:lineRule="exact"/>
        <w:jc w:val="distribute"/>
      </w:pPr>
      <w:r>
        <w:rPr>
          <w:rFonts w:hint="eastAsia"/>
        </w:rPr>
        <w:t>羅大法官昌發提出之部分協同部分不同意見書………………………</w:t>
      </w:r>
      <w:r w:rsidR="00BF00C1">
        <w:rPr>
          <w:rFonts w:hint="eastAsia"/>
        </w:rPr>
        <w:t>6</w:t>
      </w:r>
      <w:r w:rsidR="00287B0E">
        <w:rPr>
          <w:rFonts w:hint="eastAsia"/>
        </w:rPr>
        <w:t>1</w:t>
      </w:r>
    </w:p>
    <w:p w:rsidR="008F330E" w:rsidRDefault="008F330E" w:rsidP="008F330E">
      <w:pPr>
        <w:tabs>
          <w:tab w:val="center" w:pos="4153"/>
          <w:tab w:val="right" w:pos="8306"/>
        </w:tabs>
        <w:kinsoku w:val="0"/>
        <w:overflowPunct w:val="0"/>
        <w:snapToGrid w:val="0"/>
        <w:spacing w:line="600" w:lineRule="exact"/>
        <w:jc w:val="distribute"/>
      </w:pPr>
      <w:r>
        <w:rPr>
          <w:rFonts w:hint="eastAsia"/>
        </w:rPr>
        <w:t>湯大法官德宗提出之部分協同部分不同意見書………………………</w:t>
      </w:r>
      <w:r w:rsidR="00BF00C1">
        <w:rPr>
          <w:rFonts w:hint="eastAsia"/>
        </w:rPr>
        <w:t>69</w:t>
      </w:r>
    </w:p>
    <w:p w:rsidR="009C679D" w:rsidRDefault="008F330E" w:rsidP="009C679D">
      <w:pPr>
        <w:tabs>
          <w:tab w:val="center" w:pos="4153"/>
          <w:tab w:val="right" w:pos="8306"/>
        </w:tabs>
        <w:overflowPunct w:val="0"/>
        <w:snapToGrid w:val="0"/>
        <w:spacing w:line="600" w:lineRule="exact"/>
        <w:jc w:val="distribute"/>
      </w:pPr>
      <w:r>
        <w:rPr>
          <w:rFonts w:hint="eastAsia"/>
        </w:rPr>
        <w:t>陳</w:t>
      </w:r>
      <w:r w:rsidR="009C679D">
        <w:rPr>
          <w:rFonts w:hint="eastAsia"/>
        </w:rPr>
        <w:t>大法官</w:t>
      </w:r>
      <w:r>
        <w:rPr>
          <w:rFonts w:hint="eastAsia"/>
        </w:rPr>
        <w:t>碧玉</w:t>
      </w:r>
      <w:r w:rsidR="009C679D">
        <w:rPr>
          <w:rFonts w:hint="eastAsia"/>
        </w:rPr>
        <w:t>提出</w:t>
      </w:r>
      <w:r w:rsidR="00251C64">
        <w:rPr>
          <w:rFonts w:hint="eastAsia"/>
        </w:rPr>
        <w:t>之</w:t>
      </w:r>
      <w:r>
        <w:rPr>
          <w:rFonts w:hint="eastAsia"/>
        </w:rPr>
        <w:t>部分</w:t>
      </w:r>
      <w:r w:rsidR="009C679D">
        <w:rPr>
          <w:rFonts w:hint="eastAsia"/>
        </w:rPr>
        <w:t>不同意見書…………………</w:t>
      </w:r>
      <w:r w:rsidR="00B754AD">
        <w:rPr>
          <w:rFonts w:hint="eastAsia"/>
        </w:rPr>
        <w:t>………</w:t>
      </w:r>
      <w:r w:rsidR="009C679D">
        <w:rPr>
          <w:rFonts w:hint="eastAsia"/>
        </w:rPr>
        <w:t>………</w:t>
      </w:r>
      <w:r w:rsidR="001C23ED">
        <w:rPr>
          <w:rFonts w:hint="eastAsia"/>
        </w:rPr>
        <w:t>8</w:t>
      </w:r>
      <w:r w:rsidR="00287B0E">
        <w:rPr>
          <w:rFonts w:hint="eastAsia"/>
        </w:rPr>
        <w:t>1</w:t>
      </w:r>
    </w:p>
    <w:p w:rsidR="00A36E41" w:rsidRDefault="008F330E" w:rsidP="00A36E41">
      <w:pPr>
        <w:tabs>
          <w:tab w:val="center" w:pos="4153"/>
          <w:tab w:val="right" w:pos="8306"/>
        </w:tabs>
        <w:overflowPunct w:val="0"/>
        <w:snapToGrid w:val="0"/>
        <w:spacing w:line="600" w:lineRule="exact"/>
        <w:jc w:val="distribute"/>
      </w:pPr>
      <w:r>
        <w:rPr>
          <w:rFonts w:hint="eastAsia"/>
        </w:rPr>
        <w:t>黃</w:t>
      </w:r>
      <w:r w:rsidR="009C679D">
        <w:rPr>
          <w:rFonts w:hint="eastAsia"/>
        </w:rPr>
        <w:t>大法官</w:t>
      </w:r>
      <w:r>
        <w:rPr>
          <w:rFonts w:hint="eastAsia"/>
        </w:rPr>
        <w:t>茂榮</w:t>
      </w:r>
      <w:r w:rsidR="009C679D">
        <w:rPr>
          <w:rFonts w:hint="eastAsia"/>
        </w:rPr>
        <w:t>提出之不</w:t>
      </w:r>
      <w:r w:rsidR="00A36E41">
        <w:rPr>
          <w:rFonts w:hint="eastAsia"/>
        </w:rPr>
        <w:t>同意見書………………………</w:t>
      </w:r>
      <w:r w:rsidR="00B754AD">
        <w:rPr>
          <w:rFonts w:hint="eastAsia"/>
        </w:rPr>
        <w:t>……</w:t>
      </w:r>
      <w:r w:rsidR="00A36E41">
        <w:rPr>
          <w:rFonts w:hint="eastAsia"/>
        </w:rPr>
        <w:t>…………</w:t>
      </w:r>
      <w:r w:rsidR="00266842">
        <w:rPr>
          <w:rFonts w:hint="eastAsia"/>
        </w:rPr>
        <w:t>8</w:t>
      </w:r>
      <w:r w:rsidR="00287B0E">
        <w:rPr>
          <w:rFonts w:hint="eastAsia"/>
        </w:rPr>
        <w:t>4</w:t>
      </w:r>
    </w:p>
    <w:p w:rsidR="007949A7" w:rsidRDefault="001D3AD1" w:rsidP="00A36E41">
      <w:pPr>
        <w:tabs>
          <w:tab w:val="center" w:pos="4153"/>
          <w:tab w:val="right" w:pos="8306"/>
        </w:tabs>
        <w:overflowPunct w:val="0"/>
        <w:snapToGrid w:val="0"/>
        <w:spacing w:line="600" w:lineRule="exact"/>
        <w:jc w:val="distribute"/>
        <w:rPr>
          <w:rFonts w:hint="eastAsia"/>
        </w:rPr>
      </w:pPr>
      <w:r>
        <w:rPr>
          <w:rFonts w:hint="eastAsia"/>
        </w:rPr>
        <w:lastRenderedPageBreak/>
        <w:tab/>
      </w:r>
      <w:r w:rsidR="008F330E">
        <w:rPr>
          <w:rFonts w:hint="eastAsia"/>
        </w:rPr>
        <w:t>最高法院檢察署</w:t>
      </w:r>
      <w:r w:rsidR="008C608B" w:rsidRPr="00977FDC">
        <w:rPr>
          <w:rFonts w:hint="eastAsia"/>
        </w:rPr>
        <w:t>釋憲聲請</w:t>
      </w:r>
      <w:r w:rsidR="008C608B">
        <w:rPr>
          <w:rFonts w:hint="eastAsia"/>
        </w:rPr>
        <w:t>書</w:t>
      </w:r>
      <w:r w:rsidR="00BF00C1">
        <w:rPr>
          <w:rFonts w:hint="eastAsia"/>
        </w:rPr>
        <w:t>………………………………</w:t>
      </w:r>
      <w:r w:rsidR="00B754AD">
        <w:rPr>
          <w:rFonts w:hint="eastAsia"/>
        </w:rPr>
        <w:t>………</w:t>
      </w:r>
      <w:r w:rsidR="00A36E41">
        <w:rPr>
          <w:rFonts w:hint="eastAsia"/>
        </w:rPr>
        <w:t>…</w:t>
      </w:r>
      <w:r w:rsidR="00287B0E">
        <w:rPr>
          <w:rFonts w:hint="eastAsia"/>
        </w:rPr>
        <w:t>…</w:t>
      </w:r>
      <w:r w:rsidR="008518A8">
        <w:rPr>
          <w:rFonts w:hint="eastAsia"/>
        </w:rPr>
        <w:t>9</w:t>
      </w:r>
      <w:r w:rsidR="00287B0E">
        <w:rPr>
          <w:rFonts w:hint="eastAsia"/>
        </w:rPr>
        <w:t>0</w:t>
      </w:r>
    </w:p>
    <w:p w:rsidR="0006317B" w:rsidRDefault="0006317B" w:rsidP="00A36E41">
      <w:pPr>
        <w:tabs>
          <w:tab w:val="center" w:pos="4153"/>
          <w:tab w:val="right" w:pos="8306"/>
        </w:tabs>
        <w:overflowPunct w:val="0"/>
        <w:snapToGrid w:val="0"/>
        <w:spacing w:line="600" w:lineRule="exact"/>
        <w:jc w:val="distribute"/>
        <w:rPr>
          <w:rFonts w:hint="eastAsia"/>
        </w:rPr>
      </w:pPr>
    </w:p>
    <w:p w:rsidR="0006317B" w:rsidRDefault="0006317B" w:rsidP="00A36E41">
      <w:pPr>
        <w:tabs>
          <w:tab w:val="center" w:pos="4153"/>
          <w:tab w:val="right" w:pos="8306"/>
        </w:tabs>
        <w:overflowPunct w:val="0"/>
        <w:snapToGrid w:val="0"/>
        <w:spacing w:line="600" w:lineRule="exact"/>
        <w:jc w:val="distribute"/>
        <w:sectPr w:rsidR="0006317B" w:rsidSect="007949A7">
          <w:footerReference w:type="default" r:id="rId10"/>
          <w:pgSz w:w="11906" w:h="16838"/>
          <w:pgMar w:top="1418" w:right="1134" w:bottom="851" w:left="1134" w:header="851" w:footer="992" w:gutter="0"/>
          <w:pgNumType w:start="1"/>
          <w:cols w:space="425"/>
          <w:titlePg/>
          <w:docGrid w:linePitch="435"/>
        </w:sectPr>
      </w:pPr>
    </w:p>
    <w:p w:rsidR="00EB62A5" w:rsidRDefault="00EB62A5" w:rsidP="00EB62A5">
      <w:pPr>
        <w:kinsoku w:val="0"/>
        <w:overflowPunct w:val="0"/>
        <w:spacing w:before="1080" w:after="1080"/>
      </w:pPr>
      <w:r w:rsidRPr="00BE1326">
        <w:rPr>
          <w:noProof/>
          <w:color w:val="000000"/>
          <w:sz w:val="24"/>
        </w:rPr>
        <w:lastRenderedPageBreak/>
        <w:pict>
          <v:shapetype id="_x0000_t202" coordsize="21600,21600" o:spt="202" path="m,l,21600r21600,l21600,xe">
            <v:stroke joinstyle="miter"/>
            <v:path gradientshapeok="t" o:connecttype="rect"/>
          </v:shapetype>
          <v:shape id="_x0000_s1027" type="#_x0000_t202" style="position:absolute;margin-left:166.75pt;margin-top:41.1pt;width:158.4pt;height:43.35pt;z-index:3" stroked="f">
            <v:textbox style="mso-next-textbox:#_x0000_s1027" inset="0,0,0,0">
              <w:txbxContent>
                <w:p w:rsidR="00D138CD" w:rsidRDefault="00D138CD"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w:r>
      <w:r>
        <w:rPr>
          <w:rFonts w:hint="eastAsia"/>
          <w:noProof/>
          <w:color w:val="000000"/>
        </w:rPr>
        <w:pict>
          <v:shape id="圖片 4" o:spid="_x0000_s1028" type="#_x0000_t75" alt="令函-1" style="position:absolute;margin-left:163pt;margin-top:28.35pt;width:169.5pt;height:70.5pt;z-index:-2;visibility:visible">
            <v:imagedata r:id="rId11" o:title="令函-1"/>
            <w10:anchorlock/>
          </v:shape>
        </w:pict>
      </w:r>
    </w:p>
    <w:p w:rsidR="00EB62A5" w:rsidRPr="0012057F" w:rsidRDefault="00EB62A5" w:rsidP="00EB62A5">
      <w:pPr>
        <w:kinsoku w:val="0"/>
        <w:overflowPunct w:val="0"/>
        <w:spacing w:after="60"/>
        <w:jc w:val="center"/>
        <w:rPr>
          <w:b/>
          <w:bCs/>
          <w:color w:val="000000"/>
          <w:sz w:val="40"/>
          <w:szCs w:val="24"/>
        </w:rPr>
      </w:pPr>
      <w:r w:rsidRPr="0012057F">
        <w:rPr>
          <w:b/>
          <w:bCs/>
          <w:color w:val="000000"/>
          <w:sz w:val="40"/>
          <w:szCs w:val="24"/>
        </w:rPr>
        <w:t>司法院　令</w:t>
      </w:r>
    </w:p>
    <w:p w:rsidR="00A36E41" w:rsidRDefault="00A36E41" w:rsidP="00B26712">
      <w:pPr>
        <w:overflowPunct w:val="0"/>
        <w:autoSpaceDE w:val="0"/>
        <w:autoSpaceDN w:val="0"/>
        <w:spacing w:line="391" w:lineRule="exact"/>
        <w:jc w:val="both"/>
        <w:textAlignment w:val="baseline"/>
        <w:rPr>
          <w:color w:val="000000"/>
        </w:rPr>
      </w:pPr>
    </w:p>
    <w:p w:rsidR="00A36E41" w:rsidRPr="00097AD3" w:rsidRDefault="00A36E41" w:rsidP="00B26712">
      <w:pPr>
        <w:overflowPunct w:val="0"/>
        <w:autoSpaceDE w:val="0"/>
        <w:autoSpaceDN w:val="0"/>
        <w:spacing w:before="120" w:line="391" w:lineRule="exact"/>
        <w:jc w:val="both"/>
        <w:textAlignment w:val="baseline"/>
        <w:rPr>
          <w:color w:val="000000"/>
          <w:kern w:val="0"/>
          <w:sz w:val="28"/>
        </w:rPr>
      </w:pPr>
      <w:r w:rsidRPr="00097AD3">
        <w:rPr>
          <w:rFonts w:hint="eastAsia"/>
          <w:color w:val="000000"/>
          <w:sz w:val="28"/>
        </w:rPr>
        <w:t>發文日期：</w:t>
      </w:r>
      <w:r w:rsidRPr="00A55A6A">
        <w:rPr>
          <w:rFonts w:hint="eastAsia"/>
          <w:color w:val="000000"/>
          <w:spacing w:val="30"/>
          <w:kern w:val="0"/>
          <w:sz w:val="28"/>
          <w:fitText w:val="3175" w:id="869443584"/>
        </w:rPr>
        <w:t>中華民國</w:t>
      </w:r>
      <w:r w:rsidRPr="00A55A6A">
        <w:rPr>
          <w:color w:val="000000"/>
          <w:spacing w:val="30"/>
          <w:kern w:val="0"/>
          <w:sz w:val="28"/>
          <w:fitText w:val="3175" w:id="869443584"/>
        </w:rPr>
        <w:t>104</w:t>
      </w:r>
      <w:r w:rsidRPr="00A55A6A">
        <w:rPr>
          <w:rFonts w:hint="eastAsia"/>
          <w:color w:val="000000"/>
          <w:spacing w:val="30"/>
          <w:kern w:val="0"/>
          <w:sz w:val="28"/>
          <w:fitText w:val="3175" w:id="869443584"/>
        </w:rPr>
        <w:t>年</w:t>
      </w:r>
      <w:r w:rsidR="00A55A6A" w:rsidRPr="00A55A6A">
        <w:rPr>
          <w:rFonts w:hint="eastAsia"/>
          <w:color w:val="000000"/>
          <w:spacing w:val="30"/>
          <w:kern w:val="0"/>
          <w:sz w:val="28"/>
          <w:fitText w:val="3175" w:id="869443584"/>
        </w:rPr>
        <w:t>5</w:t>
      </w:r>
      <w:r w:rsidRPr="00A55A6A">
        <w:rPr>
          <w:rFonts w:hint="eastAsia"/>
          <w:color w:val="000000"/>
          <w:spacing w:val="30"/>
          <w:kern w:val="0"/>
          <w:sz w:val="28"/>
          <w:fitText w:val="3175" w:id="869443584"/>
        </w:rPr>
        <w:t>月</w:t>
      </w:r>
      <w:r w:rsidR="00A55A6A" w:rsidRPr="00A55A6A">
        <w:rPr>
          <w:rFonts w:hint="eastAsia"/>
          <w:color w:val="000000"/>
          <w:spacing w:val="30"/>
          <w:kern w:val="0"/>
          <w:sz w:val="28"/>
          <w:fitText w:val="3175" w:id="869443584"/>
        </w:rPr>
        <w:t>1</w:t>
      </w:r>
      <w:r w:rsidRPr="00A55A6A">
        <w:rPr>
          <w:rFonts w:hint="eastAsia"/>
          <w:color w:val="000000"/>
          <w:spacing w:val="2"/>
          <w:kern w:val="0"/>
          <w:sz w:val="28"/>
          <w:fitText w:val="3175" w:id="869443584"/>
        </w:rPr>
        <w:t>日</w:t>
      </w:r>
    </w:p>
    <w:p w:rsidR="00A36E41" w:rsidRPr="00097AD3" w:rsidRDefault="00A36E41" w:rsidP="00B26712">
      <w:pPr>
        <w:overflowPunct w:val="0"/>
        <w:autoSpaceDE w:val="0"/>
        <w:autoSpaceDN w:val="0"/>
        <w:spacing w:after="120" w:line="391" w:lineRule="exact"/>
        <w:jc w:val="both"/>
        <w:textAlignment w:val="baseline"/>
        <w:rPr>
          <w:color w:val="000000"/>
        </w:rPr>
      </w:pPr>
      <w:r w:rsidRPr="00097AD3">
        <w:rPr>
          <w:rFonts w:hint="eastAsia"/>
          <w:color w:val="000000"/>
          <w:sz w:val="28"/>
        </w:rPr>
        <w:t>發文字號：</w:t>
      </w:r>
      <w:r w:rsidRPr="00097AD3">
        <w:rPr>
          <w:rFonts w:hint="eastAsia"/>
          <w:color w:val="000000"/>
          <w:kern w:val="0"/>
          <w:sz w:val="28"/>
        </w:rPr>
        <w:t>院台大二字第</w:t>
      </w:r>
      <w:r w:rsidRPr="00097AD3">
        <w:rPr>
          <w:color w:val="000000"/>
          <w:kern w:val="0"/>
          <w:sz w:val="28"/>
        </w:rPr>
        <w:t>10400</w:t>
      </w:r>
      <w:r w:rsidR="00A55A6A">
        <w:rPr>
          <w:rFonts w:hint="eastAsia"/>
          <w:color w:val="000000"/>
          <w:kern w:val="0"/>
          <w:sz w:val="28"/>
        </w:rPr>
        <w:t>11956</w:t>
      </w:r>
      <w:r w:rsidRPr="00097AD3">
        <w:rPr>
          <w:rFonts w:hint="eastAsia"/>
          <w:color w:val="000000"/>
          <w:kern w:val="0"/>
          <w:sz w:val="28"/>
        </w:rPr>
        <w:t>號</w:t>
      </w:r>
    </w:p>
    <w:p w:rsidR="00A36E41" w:rsidRPr="00CC6A65" w:rsidRDefault="008C608B"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公布本院大法官議決釋字第七二</w:t>
      </w:r>
      <w:r w:rsidR="00A55A6A" w:rsidRPr="00A55A6A">
        <w:rPr>
          <w:rFonts w:ascii="華康粗黑體" w:eastAsia="華康粗黑體" w:hAnsi="細明體" w:cs="細明體" w:hint="eastAsia"/>
          <w:color w:val="000000"/>
          <w:sz w:val="28"/>
          <w:szCs w:val="28"/>
        </w:rPr>
        <w:t>九</w:t>
      </w:r>
      <w:r w:rsidR="00A36E41" w:rsidRPr="00CC6A65">
        <w:rPr>
          <w:rFonts w:eastAsia="華康粗黑體" w:hint="eastAsia"/>
          <w:color w:val="000000"/>
          <w:sz w:val="28"/>
          <w:szCs w:val="28"/>
        </w:rPr>
        <w:t>號解釋</w:t>
      </w:r>
    </w:p>
    <w:p w:rsidR="00A36E41" w:rsidRPr="00CC6A65" w:rsidRDefault="008C608B"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 xml:space="preserve">　附釋字第七二</w:t>
      </w:r>
      <w:r w:rsidR="00A55A6A" w:rsidRPr="00A55A6A">
        <w:rPr>
          <w:rFonts w:ascii="華康粗黑體" w:eastAsia="華康粗黑體" w:hAnsi="細明體" w:cs="細明體" w:hint="eastAsia"/>
          <w:color w:val="000000"/>
          <w:sz w:val="28"/>
          <w:szCs w:val="28"/>
        </w:rPr>
        <w:t>九</w:t>
      </w:r>
      <w:r w:rsidR="00A36E41" w:rsidRPr="00CC6A65">
        <w:rPr>
          <w:rFonts w:eastAsia="華康粗黑體" w:hint="eastAsia"/>
          <w:color w:val="000000"/>
          <w:sz w:val="28"/>
          <w:szCs w:val="28"/>
        </w:rPr>
        <w:t>號解釋</w:t>
      </w:r>
    </w:p>
    <w:p w:rsidR="00A36E41" w:rsidRPr="00CC6A65" w:rsidRDefault="00A36E41" w:rsidP="00097AD3">
      <w:pPr>
        <w:overflowPunct w:val="0"/>
        <w:autoSpaceDE w:val="0"/>
        <w:autoSpaceDN w:val="0"/>
        <w:spacing w:before="120" w:after="120" w:line="391" w:lineRule="exact"/>
        <w:ind w:right="641"/>
        <w:jc w:val="both"/>
        <w:textAlignment w:val="baseline"/>
        <w:rPr>
          <w:color w:val="000000"/>
          <w:sz w:val="28"/>
          <w:szCs w:val="28"/>
        </w:rPr>
      </w:pPr>
      <w:r w:rsidRPr="00CC6A65">
        <w:rPr>
          <w:rFonts w:hint="eastAsia"/>
          <w:color w:val="000000"/>
          <w:sz w:val="28"/>
          <w:szCs w:val="28"/>
        </w:rPr>
        <w:t>院長　賴　浩　敏</w:t>
      </w:r>
    </w:p>
    <w:p w:rsidR="00A36E41" w:rsidRPr="00CC6A65" w:rsidRDefault="00A36E41" w:rsidP="00FA17A9">
      <w:pPr>
        <w:overflowPunct w:val="0"/>
        <w:autoSpaceDE w:val="0"/>
        <w:autoSpaceDN w:val="0"/>
        <w:spacing w:line="391" w:lineRule="exact"/>
        <w:jc w:val="both"/>
        <w:textAlignment w:val="baseline"/>
        <w:rPr>
          <w:color w:val="000000"/>
          <w:sz w:val="28"/>
          <w:szCs w:val="28"/>
        </w:rPr>
      </w:pPr>
    </w:p>
    <w:p w:rsidR="00A36E41" w:rsidRPr="00CC6A65" w:rsidRDefault="00DC3AA7"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司法院釋字第七二</w:t>
      </w:r>
      <w:r w:rsidR="00A55A6A" w:rsidRPr="00A55A6A">
        <w:rPr>
          <w:rFonts w:eastAsia="華康粗黑體" w:hint="eastAsia"/>
          <w:color w:val="000000"/>
          <w:sz w:val="28"/>
          <w:szCs w:val="28"/>
        </w:rPr>
        <w:t>九</w:t>
      </w:r>
      <w:r w:rsidR="00A36E41" w:rsidRPr="00CC6A65">
        <w:rPr>
          <w:rFonts w:eastAsia="華康粗黑體" w:hint="eastAsia"/>
          <w:color w:val="000000"/>
          <w:sz w:val="28"/>
          <w:szCs w:val="28"/>
        </w:rPr>
        <w:t>號解釋</w:t>
      </w:r>
    </w:p>
    <w:p w:rsidR="00A36E41" w:rsidRPr="00C15406" w:rsidRDefault="00A36E41" w:rsidP="00B26712">
      <w:pPr>
        <w:pStyle w:val="a3"/>
        <w:overflowPunct w:val="0"/>
        <w:autoSpaceDN w:val="0"/>
        <w:spacing w:before="240" w:after="240" w:line="391" w:lineRule="exact"/>
        <w:ind w:left="958"/>
        <w:jc w:val="both"/>
        <w:rPr>
          <w:rFonts w:ascii="華康粗黑體" w:eastAsia="華康粗黑體" w:hAnsi="新細明體" w:hint="eastAsia"/>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A55A6A" w:rsidRPr="005D442B" w:rsidRDefault="00A55A6A" w:rsidP="00FA07E6">
      <w:pPr>
        <w:spacing w:line="391" w:lineRule="exact"/>
        <w:ind w:firstLineChars="200" w:firstLine="560"/>
        <w:jc w:val="both"/>
        <w:rPr>
          <w:b/>
          <w:spacing w:val="6"/>
          <w:sz w:val="28"/>
        </w:rPr>
      </w:pPr>
      <w:r w:rsidRPr="005D442B">
        <w:rPr>
          <w:sz w:val="28"/>
        </w:rPr>
        <w:t>檢察機關代表國家進行犯罪之偵查與追訴，基於權力分立與制衡原則，且為保障檢察機關獨立行使職權，對於偵查中之案件，立法院自不得向其調閱相關卷證。立法院向檢察機關調閱已偵查終結而不起訴處分確定或未經起訴而以其他方式結案之案件卷證，須基於目的與範圍均屬明確之特定議案，並與其行使憲法上職權有重大關聯，且非屬法律所禁止者為限。如因調閱而有妨害另案偵查之虞，檢察機關得延至該另案偵查終結後，再行提供調閱之卷證資料。其調閱偵查卷證之文件原本或與原本內容相同之影本者，應經立法院院會決議；要求提供參考資料者，由院會或其委員會決議為之。因調閱卷證而知悉之資訊，其使用應限於行使憲法上職權所必要，並注意維護關係人之權益（如名譽、隱私、營業秘密等）。</w:t>
      </w:r>
      <w:r w:rsidRPr="005D442B">
        <w:rPr>
          <w:spacing w:val="6"/>
          <w:sz w:val="28"/>
        </w:rPr>
        <w:t>本院釋字第三二五號解釋應予補充。</w:t>
      </w:r>
    </w:p>
    <w:p w:rsidR="00A55A6A" w:rsidRPr="00A55A6A" w:rsidRDefault="00A55A6A" w:rsidP="00A55A6A">
      <w:pPr>
        <w:pStyle w:val="a3"/>
        <w:overflowPunct w:val="0"/>
        <w:autoSpaceDN w:val="0"/>
        <w:spacing w:before="240" w:after="240" w:line="391" w:lineRule="exact"/>
        <w:ind w:left="958"/>
        <w:jc w:val="both"/>
        <w:rPr>
          <w:rFonts w:ascii="華康粗黑體" w:eastAsia="華康粗黑體" w:hAnsi="新細明體" w:hint="eastAsia"/>
          <w:color w:val="000000"/>
          <w:sz w:val="28"/>
          <w:szCs w:val="28"/>
        </w:rPr>
      </w:pPr>
      <w:r w:rsidRPr="00A55A6A">
        <w:rPr>
          <w:rFonts w:ascii="華康粗黑體" w:eastAsia="華康粗黑體" w:hAnsi="新細明體"/>
          <w:color w:val="000000"/>
          <w:sz w:val="28"/>
          <w:szCs w:val="28"/>
        </w:rPr>
        <w:t>解釋理由書</w:t>
      </w:r>
    </w:p>
    <w:p w:rsidR="00A55A6A" w:rsidRDefault="00A55A6A" w:rsidP="00FA07E6">
      <w:pPr>
        <w:tabs>
          <w:tab w:val="left" w:pos="2127"/>
        </w:tabs>
        <w:spacing w:line="391" w:lineRule="exact"/>
        <w:ind w:firstLineChars="200" w:firstLine="560"/>
        <w:jc w:val="both"/>
        <w:rPr>
          <w:rFonts w:hint="eastAsia"/>
          <w:sz w:val="28"/>
        </w:rPr>
      </w:pPr>
      <w:r w:rsidRPr="005D442B">
        <w:rPr>
          <w:sz w:val="28"/>
        </w:rPr>
        <w:t>本件緣於立法院司法及法制委員會（下稱司法及法制委員會）為審查通訊保障及監察法部分條文修正草案等法律案，依立法院職權行使法第四十五條規定，向聲請人最高法院檢察署調閱該署一</w:t>
      </w:r>
      <w:r w:rsidR="001466FF" w:rsidRPr="00C208C4">
        <w:rPr>
          <w:rFonts w:ascii="標楷體" w:hAnsi="標楷體" w:hint="eastAsia"/>
          <w:sz w:val="28"/>
        </w:rPr>
        <w:t>○○</w:t>
      </w:r>
      <w:r w:rsidRPr="005D442B">
        <w:rPr>
          <w:sz w:val="28"/>
        </w:rPr>
        <w:t>年度特他字第六一號偵查卷證之通訊監察聲請書、筆錄、監聽譯文、公文等卷證文書影本及監聽光碟片。聲請</w:t>
      </w:r>
      <w:r w:rsidRPr="005D442B">
        <w:rPr>
          <w:sz w:val="28"/>
        </w:rPr>
        <w:lastRenderedPageBreak/>
        <w:t>人認依司法院釋字第三二五號、第五八五號解釋意旨，檢察官之偵查係對外獨立行使職權，與法官之刑事審判，應同受憲法保障，且偵查卷證係偵查行為之一部，為犯罪偵查不公開之事項，非屬立法院所得調閱之事物範圍。即令案件偵查終結後，若檢察官有違法、不當之情事，亦應由監察院調查。立法院僅能在制度、預算、法律等事項對檢察機關進行通案監督，應無介入個案調閱偵查卷證之餘地等情，而拒絕提供調閱之卷證。司法及法制委員會因認聲請人之檢察總長迴避監督、藐視國會，將檢察總長函送監察院調查。是聲請人即有本於偵查職權而與立法院調閱文件之職權發生適用憲法之爭議，乃報請其上級機關法務部，層轉行政院聲請解釋憲法。經核與司法院大法官審理案件法第五條第一項第一款、第九條之規定相符，應予受理，合先敘明。</w:t>
      </w:r>
    </w:p>
    <w:p w:rsidR="00A55A6A" w:rsidRPr="005D442B" w:rsidRDefault="00A55A6A" w:rsidP="00FA07E6">
      <w:pPr>
        <w:spacing w:line="391" w:lineRule="exact"/>
        <w:ind w:firstLineChars="200" w:firstLine="560"/>
        <w:jc w:val="both"/>
        <w:rPr>
          <w:sz w:val="28"/>
        </w:rPr>
      </w:pPr>
      <w:r w:rsidRPr="005D442B">
        <w:rPr>
          <w:sz w:val="28"/>
        </w:rPr>
        <w:t>立法院為行使憲法上所賦予之職權，除依憲法第六十七條第二項及憲法增修條文第三條第二項第一款辦理外，得經院會或其委員會之決議，要求有關機關就議案涉及事項提供參考資料；必要時並得經院會決議調閱文件原本。受要求調閱之機關非依法律規定或有其他正當理由不得拒絕。但國家機關獨立行使職權受憲法之保障者，如訴訟案件在裁判確定前就偵查、審判所為之處置及其卷證等，立法院對之調閱文件本受有限制，業經本院釋字第三二五號解釋在案。嗣依循本院上開解釋意旨制定之立法院職權行使法第四十五條規定：「立法院經院會決議，得設調閱委員會，或經委員會之決議，得設調閱專案小組，要求有關機關就特定議案涉及事項提供參考資料（第一項）。調閱委員會或調閱專案小組於必要時，得經院會之決議，向有關機關調閱前項議案涉及事項之文件原本（第二項）。」第四十七條第一項前段復規定：「受要求調閱文件之機關，除依法律或其他正當理由得拒絕外，應於五日內提供之。」</w:t>
      </w:r>
      <w:r w:rsidRPr="005D442B">
        <w:rPr>
          <w:spacing w:val="6"/>
          <w:sz w:val="28"/>
        </w:rPr>
        <w:t>立法院要求提供參考資料權及文件調閱權，係輔助立法院行使憲法職權之權力，故必須基於與議決法律案、預算案或人事同意權案等憲法上職權之特定議案有重大關聯者，始得為之。為判斷文件調閱權之行使是否與立法院職權之行使有重大關聯，</w:t>
      </w:r>
      <w:r w:rsidRPr="005D442B">
        <w:rPr>
          <w:sz w:val="28"/>
        </w:rPr>
        <w:t>上開立法院職權行使法第四十五條第一項所稱特定議案，其目的及範圍均應明確。</w:t>
      </w:r>
    </w:p>
    <w:p w:rsidR="00A55A6A" w:rsidRPr="005D442B" w:rsidRDefault="00A55A6A" w:rsidP="00FA07E6">
      <w:pPr>
        <w:snapToGrid w:val="0"/>
        <w:spacing w:line="391" w:lineRule="exact"/>
        <w:ind w:firstLineChars="200" w:firstLine="584"/>
        <w:jc w:val="both"/>
        <w:rPr>
          <w:dstrike/>
          <w:spacing w:val="6"/>
          <w:sz w:val="28"/>
        </w:rPr>
      </w:pPr>
      <w:r w:rsidRPr="005D442B">
        <w:rPr>
          <w:spacing w:val="6"/>
          <w:sz w:val="28"/>
        </w:rPr>
        <w:t>按檢察機關之偵查卷證與偵查追訴犯罪有重要關係，有其特殊性與重要性。正在進行犯罪偵查中之案件，其偵查內容倘若外洩，將使嫌疑犯串證或逃匿，而妨礙偵查之成效，影響社會治安，基於權力分立與制衡原則及憲法保障檢察機關獨立行使職權，立法院自不得調閱偵查中之相關卷證。至於偵查終結後，經不起訴處分確定或未經起訴而以其他方式結案（例如檢察實務上之簽結）之案件，既已終結偵查程序及運作，如立法院因審查目的與範圍均屬明確、且與其憲法上職權有重大關聯之特定議案所必要，又非屬法律所禁止，並依法定組織及程序調閱者，因尚無實質妨礙偵查權行使之虞，自得於經其院會決議調閱上述已偵查終結之卷證。另個案雖已偵查終結經不起訴處分確定或未經起訴而以其他方式結案，惟卷內證據資料如與檢察官續查同</w:t>
      </w:r>
      <w:r w:rsidRPr="005D442B">
        <w:rPr>
          <w:spacing w:val="6"/>
          <w:sz w:val="28"/>
        </w:rPr>
        <w:lastRenderedPageBreak/>
        <w:t>一被告或他被告另案犯罪相關者，倘因調閱而洩漏，將有妨害另案偵查追訴之虞，為實現檢察官獨立行使職權追訴犯罪，以落實國家刑罰權，檢察機關得延至該另案偵查終結提起公訴、或不起訴處分確定或未經起訴而以其他方式結案後，再行提供調閱之卷證資料。至調閱與偵查卷宗文件原本內容相符之影本，因影本所表彰文書之內容與原本相同，依前述意旨，亦應經立法院院會決議。本院釋字第三二五號解釋應予補充。另立法院行使文件調閱權，如未符合憲法或法律上之要求，自構成受調閱機關得予拒絕之正當理由。</w:t>
      </w:r>
    </w:p>
    <w:p w:rsidR="00FB051A" w:rsidRDefault="00A55A6A" w:rsidP="00FA07E6">
      <w:pPr>
        <w:snapToGrid w:val="0"/>
        <w:spacing w:line="391" w:lineRule="exact"/>
        <w:ind w:firstLineChars="200" w:firstLine="560"/>
        <w:jc w:val="both"/>
        <w:rPr>
          <w:rFonts w:hint="eastAsia"/>
          <w:sz w:val="28"/>
        </w:rPr>
      </w:pPr>
      <w:r w:rsidRPr="005D442B">
        <w:rPr>
          <w:sz w:val="28"/>
        </w:rPr>
        <w:t>立法院行使憲法上職權，向檢察機關調閱偵查卷證之文件原本或影本，由於偵查卷證之內容或含有國家機密、個人隱私、工商秘密及犯罪事證等事項，攸關國家利益及人民權利，是立法院及其委員因此知悉之資訊，其使用自應限於行使憲法上職權所必要，並須注意維護關係人之權益（如名譽、隱私、營業秘密等），對依法應予保密之事項亦應善盡保密之義務；且不得就個案偵查之過程、不起訴處分或</w:t>
      </w:r>
      <w:r w:rsidRPr="005D442B">
        <w:rPr>
          <w:spacing w:val="6"/>
          <w:sz w:val="28"/>
        </w:rPr>
        <w:t>未經起訴而</w:t>
      </w:r>
      <w:r w:rsidRPr="005D442B">
        <w:rPr>
          <w:sz w:val="28"/>
        </w:rPr>
        <w:t>以其他方式結案之結論及內容，為與行使憲法上職權無關之評論或決議，始符合權力分立、相互制衡並相互尊重之憲政原理，乃屬當然。</w:t>
      </w:r>
    </w:p>
    <w:p w:rsidR="00FB051A" w:rsidRDefault="00A55A6A" w:rsidP="00FA07E6">
      <w:pPr>
        <w:snapToGrid w:val="0"/>
        <w:spacing w:line="391" w:lineRule="exact"/>
        <w:ind w:firstLineChars="200" w:firstLine="584"/>
        <w:jc w:val="both"/>
        <w:rPr>
          <w:rFonts w:hint="eastAsia"/>
          <w:spacing w:val="6"/>
          <w:sz w:val="28"/>
        </w:rPr>
      </w:pPr>
      <w:r w:rsidRPr="005D442B">
        <w:rPr>
          <w:spacing w:val="6"/>
          <w:sz w:val="28"/>
        </w:rPr>
        <w:t>立法院與監察院職權不同，各有所司。立法院之文件調閱權，以調閱文件所得資訊作為行使立法職權之資料；而監察院之調查權，則係行使彈劾、糾舉、糾正等監察職權之手段，二者之性質、功能及目的均屬有別，並無重疊扞格之處。是立法院行使文件調閱權，自無侵犯監察院調查權之問題，檢察機關自不得執此拒絕調閱。</w:t>
      </w:r>
    </w:p>
    <w:p w:rsidR="00FB051A" w:rsidRDefault="00A55A6A" w:rsidP="00FB051A">
      <w:pPr>
        <w:snapToGrid w:val="0"/>
        <w:spacing w:line="391" w:lineRule="exact"/>
        <w:ind w:firstLineChars="200" w:firstLine="560"/>
        <w:jc w:val="both"/>
        <w:rPr>
          <w:rFonts w:hint="eastAsia"/>
          <w:sz w:val="28"/>
        </w:rPr>
      </w:pPr>
      <w:r w:rsidRPr="005D442B">
        <w:rPr>
          <w:sz w:val="28"/>
        </w:rPr>
        <w:t>立法院行使文件調閱權，如與受調閱之機關發生諸如：所調閱之事項是否屬於國家機關獨立行使職權受憲法保障之範疇、是否基於與立法院憲法上職權之特定議案有重大關聯、是否屬於法律所禁止調閱之範圍、是否依法定組織及程序調閱、以及拒絕調閱是否有正當理由等爭議時，立法院與受調閱之機關，宜循協商途徑合理解決，或以法律明定相關要件與程序，由司法機關審理解決之。相關機關應儘速建立解決機關爭議之法律機制，併此指明。</w:t>
      </w:r>
    </w:p>
    <w:p w:rsidR="00A55A6A" w:rsidRPr="005D442B" w:rsidRDefault="00A55A6A" w:rsidP="005E362F">
      <w:pPr>
        <w:widowControl/>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6" w:line="391" w:lineRule="exact"/>
        <w:ind w:firstLineChars="200" w:firstLine="560"/>
        <w:jc w:val="both"/>
        <w:rPr>
          <w:sz w:val="28"/>
        </w:rPr>
      </w:pPr>
      <w:r w:rsidRPr="005D442B">
        <w:rPr>
          <w:sz w:val="28"/>
        </w:rPr>
        <w:t>聲請人指摘司法及法制委員會決議通過之「監聽調閱專案小組運作要點」（下稱運作要點）第十一點、第十二點之內容，逾越立法院職權行使法第四十五條之範圍，牴觸憲法第六十三條及本院釋字第三二五號等解釋，聲請解釋。經查該運作要點僅係司法及法制委員會為行使立法院職權行使法第四十五條之文件調閱權，就如何調閱一</w:t>
      </w:r>
      <w:r w:rsidR="001466FF" w:rsidRPr="00C208C4">
        <w:rPr>
          <w:rFonts w:ascii="標楷體" w:hAnsi="標楷體" w:hint="eastAsia"/>
          <w:sz w:val="28"/>
        </w:rPr>
        <w:t>○○</w:t>
      </w:r>
      <w:r w:rsidRPr="005D442B">
        <w:rPr>
          <w:sz w:val="28"/>
        </w:rPr>
        <w:t>年度特他字第六一號偵查卷證之目的而自行訂定，俾作為該監聽調閱專案小組內部議事運作之作業準則（立法院中華民國一</w:t>
      </w:r>
      <w:r w:rsidR="001466FF" w:rsidRPr="00207839">
        <w:rPr>
          <w:rFonts w:ascii="標楷體" w:hAnsi="標楷體" w:hint="eastAsia"/>
          <w:sz w:val="28"/>
        </w:rPr>
        <w:t>○</w:t>
      </w:r>
      <w:r w:rsidRPr="005D442B">
        <w:rPr>
          <w:sz w:val="28"/>
        </w:rPr>
        <w:t>三年五月七日台立院司字第一</w:t>
      </w:r>
      <w:r w:rsidR="001466FF" w:rsidRPr="00C208C4">
        <w:rPr>
          <w:rFonts w:ascii="標楷體" w:hAnsi="標楷體" w:hint="eastAsia"/>
          <w:sz w:val="28"/>
        </w:rPr>
        <w:t>○</w:t>
      </w:r>
      <w:r w:rsidRPr="005D442B">
        <w:rPr>
          <w:sz w:val="28"/>
        </w:rPr>
        <w:t>三四三</w:t>
      </w:r>
      <w:r w:rsidR="001466FF" w:rsidRPr="00C208C4">
        <w:rPr>
          <w:rFonts w:ascii="標楷體" w:hAnsi="標楷體" w:hint="eastAsia"/>
          <w:sz w:val="28"/>
        </w:rPr>
        <w:t>○○</w:t>
      </w:r>
      <w:r w:rsidRPr="005D442B">
        <w:rPr>
          <w:sz w:val="28"/>
        </w:rPr>
        <w:t>二八</w:t>
      </w:r>
      <w:r w:rsidR="001466FF" w:rsidRPr="00C208C4">
        <w:rPr>
          <w:rFonts w:ascii="標楷體" w:hAnsi="標楷體" w:hint="eastAsia"/>
          <w:sz w:val="28"/>
        </w:rPr>
        <w:t>○</w:t>
      </w:r>
      <w:r w:rsidRPr="005D442B">
        <w:rPr>
          <w:sz w:val="28"/>
        </w:rPr>
        <w:t>號函參照）。是該運作要點性質上乃該委員會之內規，用以協助所設調閱專案小組運作而訂定，要屬該委員會內部議事運作之事項，尚不生法律或命令牴觸憲法之問題。此部分聲請，核與司法院大法官審理案件法第五條第一項第一款規定不符，依同條第三項規</w:t>
      </w:r>
      <w:r w:rsidRPr="005D442B">
        <w:rPr>
          <w:sz w:val="28"/>
        </w:rPr>
        <w:lastRenderedPageBreak/>
        <w:t>定，應不受理。聲請意旨另以，司法及法制委員會依立法院職權行使法第四十五條第一項向聲請人調閱偵查卷證，惟聲請人依司法院釋字第五八五號、第六三三號解釋意旨及政府資訊公開法等法律規定，並無提供給閱之義務；再依法院組織法第六十六條第十項規定，檢察總長除年度預算案及法律案外，無須至立法院列席備詢，此與運作要點第十一點規定調閱專案小組會議召開時，得邀請被調閱文件之機關首長含檢察總長率同有關人員列席說明之見解，亦屬有異。為此，聲請統一解釋云云。按司法院大法官審理案件法第七條第一項第一款本文規定：「中央或地方機關，就其職權上適用法律或命令所持見解，與本機關或他機關適用同一法律或命令時所已表示之見解有異者」得聲請統一解釋。核聲請人所陳，並未敘明其與他機關對同一法律或命令所已表示之見解有異。是此部分統一解釋之聲請，核與司法院大法官審理案件法第七條第一項第一款之規定不合，依同條第三項規定，亦應不受理。</w:t>
      </w:r>
    </w:p>
    <w:p w:rsidR="009677C3" w:rsidRPr="004E65C1" w:rsidRDefault="009677C3" w:rsidP="00CC6A65">
      <w:pPr>
        <w:spacing w:line="391" w:lineRule="exact"/>
        <w:rPr>
          <w:sz w:val="28"/>
          <w:szCs w:val="28"/>
        </w:rPr>
      </w:pPr>
      <w:r w:rsidRPr="004E65C1">
        <w:rPr>
          <w:rFonts w:hAnsi="標楷體"/>
          <w:sz w:val="28"/>
          <w:szCs w:val="28"/>
        </w:rPr>
        <w:t>大法官會議主席</w:t>
      </w:r>
      <w:r w:rsidR="00CC6A65">
        <w:rPr>
          <w:rFonts w:hint="eastAsia"/>
          <w:sz w:val="28"/>
          <w:szCs w:val="28"/>
        </w:rPr>
        <w:t xml:space="preserve">　</w:t>
      </w:r>
      <w:r w:rsidRPr="004E65C1">
        <w:rPr>
          <w:rFonts w:hAnsi="標楷體"/>
          <w:sz w:val="28"/>
          <w:szCs w:val="28"/>
        </w:rPr>
        <w:t>大法官</w:t>
      </w:r>
      <w:r w:rsidR="00CC6A65">
        <w:rPr>
          <w:rFonts w:hAnsi="標楷體" w:hint="eastAsia"/>
          <w:sz w:val="28"/>
          <w:szCs w:val="28"/>
        </w:rPr>
        <w:t xml:space="preserve">　</w:t>
      </w:r>
      <w:r w:rsidRPr="004E65C1">
        <w:rPr>
          <w:rFonts w:hAnsi="標楷體"/>
          <w:sz w:val="28"/>
          <w:szCs w:val="28"/>
        </w:rPr>
        <w:t>賴浩敏</w:t>
      </w:r>
    </w:p>
    <w:p w:rsidR="009677C3" w:rsidRPr="004E65C1" w:rsidRDefault="009677C3" w:rsidP="00B754AD">
      <w:pPr>
        <w:spacing w:line="391" w:lineRule="exact"/>
        <w:ind w:firstLineChars="800" w:firstLine="2240"/>
        <w:rPr>
          <w:sz w:val="28"/>
          <w:szCs w:val="28"/>
        </w:rPr>
      </w:pPr>
      <w:r w:rsidRPr="004E65C1">
        <w:rPr>
          <w:rFonts w:hAnsi="標楷體"/>
          <w:sz w:val="28"/>
          <w:szCs w:val="28"/>
        </w:rPr>
        <w:t>大法官</w:t>
      </w:r>
      <w:r w:rsidR="00CC6A65">
        <w:rPr>
          <w:rFonts w:hint="eastAsia"/>
          <w:sz w:val="28"/>
          <w:szCs w:val="28"/>
        </w:rPr>
        <w:t xml:space="preserve">　</w:t>
      </w:r>
      <w:r w:rsidRPr="00287B0E">
        <w:rPr>
          <w:rFonts w:hAnsi="標楷體"/>
          <w:kern w:val="0"/>
          <w:sz w:val="28"/>
          <w:szCs w:val="28"/>
          <w:fitText w:val="4200" w:id="877295872"/>
        </w:rPr>
        <w:t>蘇永欽</w:t>
      </w:r>
      <w:r w:rsidR="00CC6A65" w:rsidRPr="00287B0E">
        <w:rPr>
          <w:rFonts w:hAnsi="標楷體" w:hint="eastAsia"/>
          <w:kern w:val="0"/>
          <w:sz w:val="28"/>
          <w:szCs w:val="28"/>
          <w:fitText w:val="4200" w:id="877295872"/>
        </w:rPr>
        <w:t xml:space="preserve">　</w:t>
      </w:r>
      <w:r w:rsidRPr="00287B0E">
        <w:rPr>
          <w:rFonts w:hAnsi="標楷體"/>
          <w:kern w:val="0"/>
          <w:sz w:val="28"/>
          <w:szCs w:val="28"/>
          <w:fitText w:val="4200" w:id="877295872"/>
        </w:rPr>
        <w:t>林錫堯</w:t>
      </w:r>
      <w:r w:rsidR="00CC6A65" w:rsidRPr="00287B0E">
        <w:rPr>
          <w:rFonts w:hAnsi="標楷體" w:hint="eastAsia"/>
          <w:kern w:val="0"/>
          <w:sz w:val="28"/>
          <w:szCs w:val="28"/>
          <w:fitText w:val="4200" w:id="877295872"/>
        </w:rPr>
        <w:t xml:space="preserve">　</w:t>
      </w:r>
      <w:r w:rsidRPr="00287B0E">
        <w:rPr>
          <w:rFonts w:hAnsi="標楷體"/>
          <w:kern w:val="0"/>
          <w:sz w:val="28"/>
          <w:szCs w:val="28"/>
          <w:fitText w:val="4200" w:id="877295872"/>
        </w:rPr>
        <w:t>池啟明</w:t>
      </w:r>
      <w:r w:rsidR="00CC6A65" w:rsidRPr="00287B0E">
        <w:rPr>
          <w:rFonts w:hAnsi="標楷體" w:hint="eastAsia"/>
          <w:kern w:val="0"/>
          <w:sz w:val="28"/>
          <w:szCs w:val="28"/>
          <w:fitText w:val="4200" w:id="877295872"/>
        </w:rPr>
        <w:t xml:space="preserve">　</w:t>
      </w:r>
      <w:r w:rsidRPr="00287B0E">
        <w:rPr>
          <w:rFonts w:hAnsi="標楷體"/>
          <w:kern w:val="0"/>
          <w:sz w:val="28"/>
          <w:szCs w:val="28"/>
          <w:fitText w:val="4200" w:id="877295872"/>
        </w:rPr>
        <w:t>李震山</w:t>
      </w:r>
    </w:p>
    <w:p w:rsidR="009677C3" w:rsidRPr="004E65C1" w:rsidRDefault="009677C3" w:rsidP="00B754AD">
      <w:pPr>
        <w:spacing w:line="391" w:lineRule="exact"/>
        <w:ind w:leftChars="50" w:left="160" w:firstLineChars="1140" w:firstLine="3192"/>
        <w:rPr>
          <w:sz w:val="28"/>
          <w:szCs w:val="28"/>
        </w:rPr>
      </w:pPr>
      <w:r w:rsidRPr="00287B0E">
        <w:rPr>
          <w:rFonts w:hAnsi="標楷體"/>
          <w:kern w:val="0"/>
          <w:sz w:val="28"/>
          <w:szCs w:val="28"/>
          <w:fitText w:val="4200" w:id="877347584"/>
        </w:rPr>
        <w:t>蔡清遊</w:t>
      </w:r>
      <w:r w:rsidR="00CC6A65" w:rsidRPr="00287B0E">
        <w:rPr>
          <w:rFonts w:hAnsi="標楷體" w:hint="eastAsia"/>
          <w:kern w:val="0"/>
          <w:sz w:val="28"/>
          <w:szCs w:val="28"/>
          <w:fitText w:val="4200" w:id="877347584"/>
        </w:rPr>
        <w:t xml:space="preserve">　</w:t>
      </w:r>
      <w:r w:rsidRPr="00287B0E">
        <w:rPr>
          <w:rFonts w:hAnsi="標楷體"/>
          <w:kern w:val="0"/>
          <w:sz w:val="28"/>
          <w:szCs w:val="28"/>
          <w:fitText w:val="4200" w:id="877347584"/>
        </w:rPr>
        <w:t>黃茂榮</w:t>
      </w:r>
      <w:r w:rsidR="00CC6A65" w:rsidRPr="00287B0E">
        <w:rPr>
          <w:rFonts w:hAnsi="標楷體" w:hint="eastAsia"/>
          <w:kern w:val="0"/>
          <w:sz w:val="28"/>
          <w:szCs w:val="28"/>
          <w:fitText w:val="4200" w:id="877347584"/>
        </w:rPr>
        <w:t xml:space="preserve">　</w:t>
      </w:r>
      <w:r w:rsidRPr="00287B0E">
        <w:rPr>
          <w:rFonts w:hAnsi="標楷體"/>
          <w:kern w:val="0"/>
          <w:sz w:val="28"/>
          <w:szCs w:val="28"/>
          <w:fitText w:val="4200" w:id="877347584"/>
        </w:rPr>
        <w:t>陳</w:t>
      </w:r>
      <w:r w:rsidR="00CC6A65" w:rsidRPr="00287B0E">
        <w:rPr>
          <w:rFonts w:hint="eastAsia"/>
          <w:kern w:val="0"/>
          <w:sz w:val="28"/>
          <w:szCs w:val="28"/>
          <w:fitText w:val="4200" w:id="877347584"/>
        </w:rPr>
        <w:t xml:space="preserve">　</w:t>
      </w:r>
      <w:r w:rsidRPr="00287B0E">
        <w:rPr>
          <w:rFonts w:hAnsi="標楷體"/>
          <w:kern w:val="0"/>
          <w:sz w:val="28"/>
          <w:szCs w:val="28"/>
          <w:fitText w:val="4200" w:id="877347584"/>
        </w:rPr>
        <w:t>敏</w:t>
      </w:r>
      <w:r w:rsidR="00CC6A65" w:rsidRPr="00287B0E">
        <w:rPr>
          <w:rFonts w:hAnsi="標楷體" w:hint="eastAsia"/>
          <w:kern w:val="0"/>
          <w:sz w:val="28"/>
          <w:szCs w:val="28"/>
          <w:fitText w:val="4200" w:id="877347584"/>
        </w:rPr>
        <w:t xml:space="preserve">　</w:t>
      </w:r>
      <w:r w:rsidRPr="00287B0E">
        <w:rPr>
          <w:rFonts w:hAnsi="標楷體"/>
          <w:kern w:val="0"/>
          <w:sz w:val="28"/>
          <w:szCs w:val="28"/>
          <w:fitText w:val="4200" w:id="877347584"/>
        </w:rPr>
        <w:t>葉百修</w:t>
      </w:r>
    </w:p>
    <w:p w:rsidR="009677C3" w:rsidRPr="004E65C1" w:rsidRDefault="009677C3" w:rsidP="00E14350">
      <w:pPr>
        <w:spacing w:line="391" w:lineRule="exact"/>
        <w:ind w:leftChars="85" w:left="272" w:firstLineChars="1100" w:firstLine="3080"/>
        <w:rPr>
          <w:sz w:val="28"/>
          <w:szCs w:val="28"/>
        </w:rPr>
      </w:pPr>
      <w:r w:rsidRPr="00287B0E">
        <w:rPr>
          <w:rFonts w:hAnsi="標楷體"/>
          <w:kern w:val="0"/>
          <w:sz w:val="28"/>
          <w:szCs w:val="28"/>
          <w:fitText w:val="4200" w:id="877347585"/>
        </w:rPr>
        <w:t>陳春生</w:t>
      </w:r>
      <w:r w:rsidR="00CC6A65" w:rsidRPr="00287B0E">
        <w:rPr>
          <w:rFonts w:hAnsi="標楷體" w:hint="eastAsia"/>
          <w:kern w:val="0"/>
          <w:sz w:val="28"/>
          <w:szCs w:val="28"/>
          <w:fitText w:val="4200" w:id="877347585"/>
        </w:rPr>
        <w:t xml:space="preserve">　</w:t>
      </w:r>
      <w:r w:rsidRPr="00287B0E">
        <w:rPr>
          <w:rFonts w:hAnsi="標楷體"/>
          <w:kern w:val="0"/>
          <w:sz w:val="28"/>
          <w:szCs w:val="28"/>
          <w:fitText w:val="4200" w:id="877347585"/>
        </w:rPr>
        <w:t>陳新民</w:t>
      </w:r>
      <w:r w:rsidR="00CC6A65" w:rsidRPr="00287B0E">
        <w:rPr>
          <w:rFonts w:hAnsi="標楷體" w:hint="eastAsia"/>
          <w:kern w:val="0"/>
          <w:sz w:val="28"/>
          <w:szCs w:val="28"/>
          <w:fitText w:val="4200" w:id="877347585"/>
        </w:rPr>
        <w:t xml:space="preserve">　</w:t>
      </w:r>
      <w:r w:rsidRPr="00287B0E">
        <w:rPr>
          <w:rFonts w:hAnsi="標楷體"/>
          <w:kern w:val="0"/>
          <w:sz w:val="28"/>
          <w:szCs w:val="28"/>
          <w:fitText w:val="4200" w:id="877347585"/>
        </w:rPr>
        <w:t>陳碧玉</w:t>
      </w:r>
      <w:r w:rsidR="00CC6A65" w:rsidRPr="00287B0E">
        <w:rPr>
          <w:rFonts w:hAnsi="標楷體" w:hint="eastAsia"/>
          <w:kern w:val="0"/>
          <w:sz w:val="28"/>
          <w:szCs w:val="28"/>
          <w:fitText w:val="4200" w:id="877347585"/>
        </w:rPr>
        <w:t xml:space="preserve">　</w:t>
      </w:r>
      <w:r w:rsidRPr="00287B0E">
        <w:rPr>
          <w:rFonts w:hAnsi="標楷體"/>
          <w:kern w:val="0"/>
          <w:sz w:val="28"/>
          <w:szCs w:val="28"/>
          <w:fitText w:val="4200" w:id="877347585"/>
        </w:rPr>
        <w:t>黃璽君</w:t>
      </w:r>
    </w:p>
    <w:p w:rsidR="009677C3" w:rsidRPr="004E65C1" w:rsidRDefault="009677C3" w:rsidP="00E14350">
      <w:pPr>
        <w:spacing w:line="391" w:lineRule="exact"/>
        <w:ind w:leftChars="85" w:left="272" w:firstLineChars="1100" w:firstLine="3080"/>
        <w:rPr>
          <w:sz w:val="28"/>
          <w:szCs w:val="28"/>
        </w:rPr>
      </w:pPr>
      <w:r w:rsidRPr="004E65C1">
        <w:rPr>
          <w:rFonts w:hAnsi="標楷體"/>
          <w:sz w:val="28"/>
          <w:szCs w:val="28"/>
        </w:rPr>
        <w:t>羅昌發</w:t>
      </w:r>
      <w:r w:rsidR="00CC6A65">
        <w:rPr>
          <w:rFonts w:hAnsi="標楷體" w:hint="eastAsia"/>
          <w:sz w:val="28"/>
          <w:szCs w:val="28"/>
        </w:rPr>
        <w:t xml:space="preserve">　</w:t>
      </w:r>
      <w:r w:rsidRPr="004E65C1">
        <w:rPr>
          <w:rFonts w:hAnsi="標楷體"/>
          <w:sz w:val="28"/>
          <w:szCs w:val="28"/>
        </w:rPr>
        <w:t>湯德宗</w:t>
      </w:r>
    </w:p>
    <w:p w:rsidR="009677C3" w:rsidRPr="004E65C1" w:rsidRDefault="009677C3" w:rsidP="003965CC">
      <w:pPr>
        <w:spacing w:line="391" w:lineRule="exact"/>
        <w:rPr>
          <w:sz w:val="28"/>
          <w:szCs w:val="28"/>
        </w:rPr>
      </w:pPr>
    </w:p>
    <w:p w:rsidR="003965CC" w:rsidRPr="00DB5E05" w:rsidRDefault="003965CC" w:rsidP="00BC288B">
      <w:pPr>
        <w:overflowPunct w:val="0"/>
        <w:spacing w:line="391" w:lineRule="exact"/>
        <w:ind w:left="964" w:right="567"/>
        <w:jc w:val="distribute"/>
        <w:rPr>
          <w:kern w:val="0"/>
          <w:sz w:val="28"/>
          <w:szCs w:val="28"/>
        </w:rPr>
      </w:pPr>
      <w:r w:rsidRPr="00DB5E05">
        <w:rPr>
          <w:rFonts w:eastAsia="華康粗黑體"/>
          <w:color w:val="000000"/>
          <w:sz w:val="28"/>
          <w:szCs w:val="28"/>
        </w:rPr>
        <w:t>協同意見書</w:t>
      </w:r>
      <w:r w:rsidRPr="00DB5E05">
        <w:rPr>
          <w:rFonts w:hAnsi="標楷體" w:hint="eastAsia"/>
          <w:kern w:val="0"/>
          <w:sz w:val="28"/>
          <w:szCs w:val="28"/>
        </w:rPr>
        <w:t xml:space="preserve">　　　　　</w:t>
      </w:r>
      <w:r w:rsidR="007E02ED" w:rsidRPr="00DB5E05">
        <w:rPr>
          <w:rFonts w:hAnsi="標楷體" w:hint="eastAsia"/>
          <w:kern w:val="0"/>
          <w:sz w:val="28"/>
          <w:szCs w:val="28"/>
        </w:rPr>
        <w:t xml:space="preserve">　　　　　</w:t>
      </w:r>
      <w:r w:rsidRPr="00DB5E05">
        <w:rPr>
          <w:rFonts w:hAnsi="標楷體" w:hint="eastAsia"/>
          <w:kern w:val="0"/>
          <w:sz w:val="28"/>
          <w:szCs w:val="28"/>
        </w:rPr>
        <w:t xml:space="preserve">　　　　</w:t>
      </w:r>
      <w:r w:rsidR="008F4B4B" w:rsidRPr="00DB5E05">
        <w:rPr>
          <w:rFonts w:hAnsi="標楷體"/>
          <w:kern w:val="0"/>
          <w:sz w:val="28"/>
          <w:szCs w:val="28"/>
        </w:rPr>
        <w:t>蘇永欽</w:t>
      </w:r>
      <w:r w:rsidRPr="00DB5E05">
        <w:rPr>
          <w:rFonts w:hAnsi="標楷體"/>
          <w:kern w:val="0"/>
          <w:sz w:val="28"/>
          <w:szCs w:val="28"/>
        </w:rPr>
        <w:t>大法官</w:t>
      </w:r>
      <w:r w:rsidRPr="00DB5E05">
        <w:rPr>
          <w:rFonts w:hint="eastAsia"/>
          <w:kern w:val="0"/>
          <w:sz w:val="28"/>
          <w:szCs w:val="28"/>
        </w:rPr>
        <w:t xml:space="preserve">　</w:t>
      </w:r>
      <w:r w:rsidRPr="00DB5E05">
        <w:rPr>
          <w:rFonts w:hAnsi="標楷體"/>
          <w:kern w:val="0"/>
          <w:sz w:val="28"/>
          <w:szCs w:val="28"/>
        </w:rPr>
        <w:t>提出</w:t>
      </w:r>
    </w:p>
    <w:p w:rsidR="005A170B" w:rsidRPr="002755B8" w:rsidRDefault="005A170B" w:rsidP="001C4568">
      <w:pPr>
        <w:snapToGrid w:val="0"/>
        <w:spacing w:line="391" w:lineRule="exact"/>
        <w:ind w:firstLineChars="200" w:firstLine="560"/>
        <w:jc w:val="both"/>
        <w:rPr>
          <w:bCs/>
          <w:color w:val="000000"/>
          <w:sz w:val="28"/>
          <w:szCs w:val="28"/>
        </w:rPr>
      </w:pPr>
      <w:r w:rsidRPr="002755B8">
        <w:rPr>
          <w:rFonts w:hAnsi="標楷體"/>
          <w:bCs/>
          <w:color w:val="000000"/>
          <w:sz w:val="28"/>
          <w:szCs w:val="28"/>
        </w:rPr>
        <w:t>本件解釋要處理的核心爭議為立法院委員會成立的文件調閱小組可否調閱最高檢察署的偵查卷證，由於憲法無一字及於此一問題，有關立法院可否及在何條件下調閱其他機關的文件，完全由本院循憲法有關五院體制規定背後的精神以解釋續造，迄今先後已肯認：以委員在院會及委員會行使的質詢權為基礎的文件調閱權（釋字第三二五號解釋），及以立法院固有的立法調查權為基礎的文件調閱權（釋字第五八五號、第六三三號解釋），但皆有相當嚴格的條件。憲法賦予本院對各最高統治權之間如何區分及互動作最後解釋之權，責任之重，自不得恣意調弄以致反成憲政秩序的亂源；尤其從憲法第九十五條明文規定監察院對行政院及其部會的文件調閱權以觀，「明示其一，排除其他」，此類權力關係的續造更應從嚴，除在憲政實務上確有續造的必要外，在憲法法理上也應有堅強依據，以早期本院解釋風格之簡約，第三號有關監察院法律案提出權的續造解釋在論述上尚且特別嚴謹，足可說明。此所以本件有關立法院文件調閱權的解釋，如何得出立法院得於且僅得於偵查案件終結後、於符合一定條件下調閱相關偵查卷證的結論，對釋字第三二五號解釋又為何有所補充，實不能不將本院過去所為分權解釋遵循的原則先予整理闡明（第一段）。並在對審查結果有所說明以前，先給本件爭議的文件調閱權作一個明確的定性，釐清其與憲法</w:t>
      </w:r>
      <w:r w:rsidRPr="002755B8">
        <w:rPr>
          <w:rFonts w:hAnsi="標楷體"/>
          <w:bCs/>
          <w:color w:val="000000"/>
          <w:sz w:val="28"/>
          <w:szCs w:val="28"/>
        </w:rPr>
        <w:lastRenderedPageBreak/>
        <w:t>及憲法解釋肯認的調查權有何本質的不同（第二段），接著說明釋字第三二五號解釋對此一文件調閱權的行使所設程序要件，由於本解釋對於其中文件原本的要件有重要補充，使文件「影本」的調閱也要經過院會決議，理由書就此卻語焉不詳，因此特為較詳細的論述（第三段）。然後才就實體上為何針對偵查卷證的調閱最後做出應以案件終結為可容忍的最早時間點，並應符合其他嚴格條件，提出比較深入的論證（第四段）。最後，對於理由書就釋字第三二五號解釋並未提及，本案聲請人也未主張的爭議解決機制，何以見得我國憲政有此需要，解釋也於理由中逕襲釋字第五八五號解釋的故智作成題外的立法諭知，本席認為實屬畫蛇添足之筆，一併簡述理由於最後（第五段）。</w:t>
      </w:r>
    </w:p>
    <w:p w:rsidR="005A170B" w:rsidRPr="002755B8" w:rsidRDefault="000163D5" w:rsidP="000163D5">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一、</w:t>
      </w:r>
      <w:r w:rsidR="005A170B" w:rsidRPr="002755B8">
        <w:rPr>
          <w:rFonts w:ascii="Times New Roman" w:eastAsia="標楷體" w:hAnsi="標楷體"/>
          <w:b/>
          <w:sz w:val="28"/>
          <w:szCs w:val="28"/>
        </w:rPr>
        <w:t>有關分權的憲法續造需要較為一貫的理論基礎</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中央政府分權的續造解釋，不能不從貫穿整體規定的原則出發，就此早期解釋多簡單以「五權分治，彼此（或平等）相維」作為最高指導原則（釋字第三號、第一七五號、第四六一號、第六八二號等解釋可參），民主化後逐漸凸顯機關間制衡的意旨，較近的釋字第六一三號解釋已經納入議會主義體制普遍強調的權力分立三大指導原則：</w:t>
      </w:r>
      <w:r w:rsidRPr="002755B8">
        <w:rPr>
          <w:bCs/>
          <w:color w:val="000000"/>
          <w:sz w:val="28"/>
          <w:szCs w:val="28"/>
        </w:rPr>
        <w:t>A.</w:t>
      </w:r>
      <w:r w:rsidRPr="002755B8">
        <w:rPr>
          <w:rFonts w:hAnsi="標楷體"/>
          <w:bCs/>
          <w:color w:val="000000"/>
          <w:sz w:val="28"/>
          <w:szCs w:val="28"/>
        </w:rPr>
        <w:t>功能最適（</w:t>
      </w:r>
      <w:r w:rsidRPr="002755B8">
        <w:rPr>
          <w:bCs/>
          <w:color w:val="000000"/>
          <w:sz w:val="28"/>
          <w:szCs w:val="28"/>
        </w:rPr>
        <w:t>Funktionsgerechtigkeit</w:t>
      </w:r>
      <w:r w:rsidRPr="002755B8">
        <w:rPr>
          <w:rFonts w:hAnsi="標楷體"/>
          <w:bCs/>
          <w:color w:val="000000"/>
          <w:sz w:val="28"/>
          <w:szCs w:val="28"/>
        </w:rPr>
        <w:t>）、</w:t>
      </w:r>
      <w:r w:rsidRPr="002755B8">
        <w:rPr>
          <w:bCs/>
          <w:color w:val="000000"/>
          <w:sz w:val="28"/>
          <w:szCs w:val="28"/>
        </w:rPr>
        <w:t>B.</w:t>
      </w:r>
      <w:r w:rsidRPr="002755B8">
        <w:rPr>
          <w:rFonts w:hAnsi="標楷體"/>
          <w:bCs/>
          <w:color w:val="000000"/>
          <w:sz w:val="28"/>
          <w:szCs w:val="28"/>
        </w:rPr>
        <w:t>相互制衡（</w:t>
      </w:r>
      <w:r w:rsidRPr="002755B8">
        <w:rPr>
          <w:bCs/>
          <w:color w:val="000000"/>
          <w:sz w:val="28"/>
          <w:szCs w:val="28"/>
        </w:rPr>
        <w:t>Balance</w:t>
      </w:r>
      <w:r w:rsidRPr="002755B8">
        <w:rPr>
          <w:rFonts w:hAnsi="標楷體"/>
          <w:bCs/>
          <w:color w:val="000000"/>
          <w:sz w:val="28"/>
          <w:szCs w:val="28"/>
        </w:rPr>
        <w:t>）及</w:t>
      </w:r>
      <w:r w:rsidRPr="002755B8">
        <w:rPr>
          <w:bCs/>
          <w:color w:val="000000"/>
          <w:sz w:val="28"/>
          <w:szCs w:val="28"/>
        </w:rPr>
        <w:t>C.</w:t>
      </w:r>
      <w:r w:rsidRPr="002755B8">
        <w:rPr>
          <w:rFonts w:hAnsi="標楷體"/>
          <w:bCs/>
          <w:color w:val="000000"/>
          <w:sz w:val="28"/>
          <w:szCs w:val="28"/>
        </w:rPr>
        <w:t>核心領域（</w:t>
      </w:r>
      <w:r w:rsidRPr="002755B8">
        <w:rPr>
          <w:bCs/>
          <w:color w:val="000000"/>
          <w:sz w:val="28"/>
          <w:szCs w:val="28"/>
        </w:rPr>
        <w:t>Kernbereich</w:t>
      </w:r>
      <w:r w:rsidRPr="002755B8">
        <w:rPr>
          <w:rFonts w:hAnsi="標楷體"/>
          <w:bCs/>
          <w:color w:val="000000"/>
          <w:sz w:val="28"/>
          <w:szCs w:val="28"/>
        </w:rPr>
        <w:t>），而有如下的概括性論述：「作為憲法基本原則之一之權力分立原則，其意義不僅在於權力之區分，將所有國家事務分配由組織、制度與功能等各方面均較適當之國家機關擔當履行，以使國家決定更能有效達到正確之境地（</w:t>
      </w:r>
      <w:r w:rsidRPr="002755B8">
        <w:rPr>
          <w:bCs/>
          <w:color w:val="000000"/>
          <w:sz w:val="28"/>
          <w:szCs w:val="28"/>
        </w:rPr>
        <w:t>A</w:t>
      </w:r>
      <w:r w:rsidRPr="002755B8">
        <w:rPr>
          <w:rFonts w:hAnsi="標楷體"/>
          <w:bCs/>
          <w:color w:val="000000"/>
          <w:sz w:val="28"/>
          <w:szCs w:val="28"/>
        </w:rPr>
        <w:t>），要亦在於權力之制衡，即權力之相互牽制與抑制，以避免權力因無限制之濫用，而致侵害人民自由權利（</w:t>
      </w:r>
      <w:r w:rsidRPr="002755B8">
        <w:rPr>
          <w:bCs/>
          <w:color w:val="000000"/>
          <w:sz w:val="28"/>
          <w:szCs w:val="28"/>
        </w:rPr>
        <w:t>B</w:t>
      </w:r>
      <w:r w:rsidRPr="002755B8">
        <w:rPr>
          <w:rFonts w:hAnsi="標楷體"/>
          <w:bCs/>
          <w:color w:val="000000"/>
          <w:sz w:val="28"/>
          <w:szCs w:val="28"/>
        </w:rPr>
        <w:t>）。惟權力之相互制衡仍有其界限，除不能牴觸憲法明文規定外，亦不能侵犯各該憲法機關之權力核心領域（</w:t>
      </w:r>
      <w:r w:rsidRPr="002755B8">
        <w:rPr>
          <w:bCs/>
          <w:color w:val="000000"/>
          <w:sz w:val="28"/>
          <w:szCs w:val="28"/>
        </w:rPr>
        <w:t>C</w:t>
      </w:r>
      <w:r w:rsidRPr="002755B8">
        <w:rPr>
          <w:rFonts w:hAnsi="標楷體"/>
          <w:bCs/>
          <w:color w:val="000000"/>
          <w:sz w:val="28"/>
          <w:szCs w:val="28"/>
        </w:rPr>
        <w:t>），或對其他憲法機關權力之行使造成實質妨礙（本院釋字第五八五號解釋參照）或導致責任政治遭受破壞（本院釋字第三九一號解釋參照），例如剝奪其他憲法機關為履行憲法賦予之任務所必要之基礎人事與預算；或剝奪憲法所賦予其他國家機關之核心任務；或逕行取而代之，而使機關彼此間權力關係失衡等等情形是。」加上之前彰顯的彼此相維（</w:t>
      </w:r>
      <w:r w:rsidRPr="002755B8">
        <w:rPr>
          <w:bCs/>
          <w:color w:val="000000"/>
          <w:sz w:val="28"/>
          <w:szCs w:val="28"/>
        </w:rPr>
        <w:t>D</w:t>
      </w:r>
      <w:r w:rsidRPr="002755B8">
        <w:rPr>
          <w:rFonts w:hAnsi="標楷體"/>
          <w:bCs/>
          <w:color w:val="000000"/>
          <w:sz w:val="28"/>
          <w:szCs w:val="28"/>
        </w:rPr>
        <w:t>）－其內涵應包含德國近年開始討論，也見於本院</w:t>
      </w:r>
      <w:r w:rsidR="006F0D14">
        <w:rPr>
          <w:rFonts w:hAnsi="標楷體" w:hint="eastAsia"/>
          <w:bCs/>
          <w:color w:val="000000"/>
          <w:sz w:val="28"/>
          <w:szCs w:val="28"/>
        </w:rPr>
        <w:t>釋字</w:t>
      </w:r>
      <w:r w:rsidRPr="002755B8">
        <w:rPr>
          <w:rFonts w:hAnsi="標楷體"/>
          <w:bCs/>
          <w:color w:val="000000"/>
          <w:sz w:val="28"/>
          <w:szCs w:val="28"/>
        </w:rPr>
        <w:t>第四六一號解釋的「相互尊重」（</w:t>
      </w:r>
      <w:r w:rsidRPr="002755B8">
        <w:rPr>
          <w:bCs/>
          <w:color w:val="000000"/>
          <w:sz w:val="28"/>
          <w:szCs w:val="28"/>
        </w:rPr>
        <w:t>Interorganrespekt</w:t>
      </w:r>
      <w:r w:rsidRPr="002755B8">
        <w:rPr>
          <w:rFonts w:hAnsi="標楷體"/>
          <w:bCs/>
          <w:color w:val="000000"/>
          <w:sz w:val="28"/>
          <w:szCs w:val="28"/>
        </w:rPr>
        <w:t>）原則－，實際上已可說明現代民主政治在分權上都不可少的元素，只是民主體制各有其歷史、社經脈絡，從傳統著眼於行政立法關係的三分法：內閣制、總統制和半總統制（雙首長制），到制度政治學涵納更多民主元素的二分法：共識民主（</w:t>
      </w:r>
      <w:r w:rsidRPr="002755B8">
        <w:rPr>
          <w:bCs/>
          <w:color w:val="000000"/>
          <w:sz w:val="28"/>
          <w:szCs w:val="28"/>
        </w:rPr>
        <w:t>consensus democracy</w:t>
      </w:r>
      <w:r w:rsidRPr="002755B8">
        <w:rPr>
          <w:rFonts w:hAnsi="標楷體"/>
          <w:bCs/>
          <w:color w:val="000000"/>
          <w:sz w:val="28"/>
          <w:szCs w:val="28"/>
        </w:rPr>
        <w:t>）與多數民主（</w:t>
      </w:r>
      <w:r w:rsidRPr="002755B8">
        <w:rPr>
          <w:bCs/>
          <w:color w:val="000000"/>
          <w:sz w:val="28"/>
          <w:szCs w:val="28"/>
        </w:rPr>
        <w:t>majoritarian democracy</w:t>
      </w:r>
      <w:r w:rsidRPr="002755B8">
        <w:rPr>
          <w:rFonts w:hAnsi="標楷體"/>
          <w:bCs/>
          <w:color w:val="000000"/>
          <w:sz w:val="28"/>
          <w:szCs w:val="28"/>
        </w:rPr>
        <w:t>），各國發展出的民主體制必然會走向最能回應其條件的混合，彼此間不可能雷同。有分權（</w:t>
      </w:r>
      <w:r w:rsidRPr="002755B8">
        <w:rPr>
          <w:bCs/>
          <w:color w:val="000000"/>
          <w:sz w:val="28"/>
          <w:szCs w:val="28"/>
        </w:rPr>
        <w:t>separation of powers</w:t>
      </w:r>
      <w:r w:rsidRPr="002755B8">
        <w:rPr>
          <w:rFonts w:hAnsi="標楷體"/>
          <w:bCs/>
          <w:color w:val="000000"/>
          <w:sz w:val="28"/>
          <w:szCs w:val="28"/>
        </w:rPr>
        <w:t>）明顯重於分工（</w:t>
      </w:r>
      <w:r w:rsidRPr="002755B8">
        <w:rPr>
          <w:bCs/>
          <w:color w:val="000000"/>
          <w:sz w:val="28"/>
          <w:szCs w:val="28"/>
        </w:rPr>
        <w:t>division of functions</w:t>
      </w:r>
      <w:r w:rsidRPr="002755B8">
        <w:rPr>
          <w:rFonts w:hAnsi="標楷體"/>
          <w:bCs/>
          <w:color w:val="000000"/>
          <w:sz w:val="28"/>
          <w:szCs w:val="28"/>
        </w:rPr>
        <w:t>）者，如總統制，也有分工明顯重於分權者，如內閣制，大體上只能說，其越分權者越強調</w:t>
      </w:r>
      <w:r w:rsidRPr="002755B8">
        <w:rPr>
          <w:bCs/>
          <w:color w:val="000000"/>
          <w:sz w:val="28"/>
          <w:szCs w:val="28"/>
        </w:rPr>
        <w:t>B</w:t>
      </w:r>
      <w:r w:rsidRPr="002755B8">
        <w:rPr>
          <w:rFonts w:hAnsi="標楷體"/>
          <w:bCs/>
          <w:color w:val="000000"/>
          <w:sz w:val="28"/>
          <w:szCs w:val="28"/>
        </w:rPr>
        <w:t>、</w:t>
      </w:r>
      <w:r w:rsidRPr="002755B8">
        <w:rPr>
          <w:bCs/>
          <w:color w:val="000000"/>
          <w:sz w:val="28"/>
          <w:szCs w:val="28"/>
        </w:rPr>
        <w:t>C</w:t>
      </w:r>
      <w:r w:rsidRPr="002755B8">
        <w:rPr>
          <w:rFonts w:hAnsi="標楷體"/>
          <w:bCs/>
          <w:color w:val="000000"/>
          <w:sz w:val="28"/>
          <w:szCs w:val="28"/>
        </w:rPr>
        <w:t>，越分工者則越</w:t>
      </w:r>
      <w:r w:rsidRPr="002755B8">
        <w:rPr>
          <w:rFonts w:hAnsi="標楷體"/>
          <w:bCs/>
          <w:color w:val="000000"/>
          <w:sz w:val="28"/>
          <w:szCs w:val="28"/>
        </w:rPr>
        <w:lastRenderedPageBreak/>
        <w:t>強調</w:t>
      </w:r>
      <w:r w:rsidRPr="002755B8">
        <w:rPr>
          <w:bCs/>
          <w:color w:val="000000"/>
          <w:sz w:val="28"/>
          <w:szCs w:val="28"/>
        </w:rPr>
        <w:t>A</w:t>
      </w:r>
      <w:r w:rsidRPr="002755B8">
        <w:rPr>
          <w:rFonts w:hAnsi="標楷體"/>
          <w:bCs/>
          <w:color w:val="000000"/>
          <w:sz w:val="28"/>
          <w:szCs w:val="28"/>
        </w:rPr>
        <w:t>、</w:t>
      </w:r>
      <w:r w:rsidRPr="002755B8">
        <w:rPr>
          <w:bCs/>
          <w:color w:val="000000"/>
          <w:sz w:val="28"/>
          <w:szCs w:val="28"/>
        </w:rPr>
        <w:t>D</w:t>
      </w:r>
      <w:r w:rsidRPr="002755B8">
        <w:rPr>
          <w:rFonts w:hAnsi="標楷體"/>
          <w:bCs/>
          <w:color w:val="000000"/>
          <w:sz w:val="28"/>
          <w:szCs w:val="28"/>
        </w:rPr>
        <w:t>，我國憲法一方面屬於分權程度較高者，另一方面又強調行政立法的緊密互動與負責，反映了五權憲法的原始構想（按能分權），與在台灣民主化過程的經驗（行政對立法負責），使得四項分權原則沒有明顯的優先次序，其權衡變得更為複雜，當然在作任何續造時也更須審慎。由於這些原則表面上或偏向分，或偏向合，實際上體制在權力分合之間如果操作得當，往往更可相互正當化，比如核心領域原則如能配合落實功能最適原則，會更有說服力；相互制衡原則如能同時彰顯相互尊重原則，也可舒緩政府內部的緊張關係。本院在早期的分權解釋較少注意分權的面向而多彰顯分工，反映了威權體制的現實。隨著民主化的展開，又開始強調分權。從這個角度來讀前面提到的</w:t>
      </w:r>
      <w:r w:rsidR="00251C64">
        <w:rPr>
          <w:rFonts w:hAnsi="標楷體" w:hint="eastAsia"/>
          <w:bCs/>
          <w:color w:val="000000"/>
          <w:sz w:val="28"/>
          <w:szCs w:val="28"/>
        </w:rPr>
        <w:t>釋字</w:t>
      </w:r>
      <w:r w:rsidRPr="002755B8">
        <w:rPr>
          <w:rFonts w:hAnsi="標楷體"/>
          <w:bCs/>
          <w:color w:val="000000"/>
          <w:sz w:val="28"/>
          <w:szCs w:val="28"/>
        </w:rPr>
        <w:t>第六一三號解釋所做的前提性論述，特別能理解其開始走向綜合的深刻用心，本件解釋其實也已對這幾個原則作了反覆的權衡。</w:t>
      </w:r>
    </w:p>
    <w:p w:rsidR="005A170B" w:rsidRPr="002755B8" w:rsidRDefault="001C4568" w:rsidP="001C4568">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二、</w:t>
      </w:r>
      <w:r w:rsidR="005A170B" w:rsidRPr="002755B8">
        <w:rPr>
          <w:rFonts w:ascii="Times New Roman" w:eastAsia="標楷體" w:hAnsi="標楷體"/>
          <w:b/>
          <w:sz w:val="28"/>
          <w:szCs w:val="28"/>
        </w:rPr>
        <w:t>無關立法調查而屬補立委質詢不足的文件調閱</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本件審查的文件調閱權，依解釋理由書的認定，為本院釋字第三二五號解釋及立法院依該號解釋在立法院職權行使法所設專章（第八章，共九條）創設的權力（民國八十八年一月二十五日公布第四十五條立法理由可參）。其性質與憲法第九十五條賦予監察院的文件調閱權，及嗣後依本院釋字第五八五號解釋，立法院得制定有關調查委員會的法律（迄未制定），並據以設置的調查委員會所得行使的文件調閱權，無論就權力來源與性質功能而言，都全然不同，因此在就相關爭議為憲法的論斷前，有先加釐清的必要。</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監察院的文件調閱權為其調查權的一環，其調查權則為行使監察權（彈劾、糾舉和糾正）的必要工具。西方國家也多存在對政府部門的調查權，由國會獨占，其性質有依附於國會的核心權力、輔助其行使者，如立法調查權、糾彈調查權，也有獨立於這些權力，本身即為國會的核心權力者，可以不必以特定法案的審查或官員違失的糾彈為目的，單純了解國政的調查權。在國會有優越地位的古典內閣制國家，如英國、日本，都有這樣理論上不需要目的的國政調查權（惟多數日本學者仍主張國政調查權只能基於明確的目的而發動，如宮澤俊義、蘆部信喜等）。多數國家的調查權則屬前者，且多明文規定於憲法，如德國（僅少數德國學者主張其性質已非立法、糾彈的輔助權，如研究國會法的著名學者</w:t>
      </w:r>
      <w:r w:rsidRPr="002755B8">
        <w:rPr>
          <w:bCs/>
          <w:color w:val="000000"/>
          <w:sz w:val="28"/>
          <w:szCs w:val="28"/>
        </w:rPr>
        <w:t>Norbert Achterberg</w:t>
      </w:r>
      <w:r w:rsidRPr="002755B8">
        <w:rPr>
          <w:rFonts w:hAnsi="標楷體"/>
          <w:bCs/>
          <w:color w:val="000000"/>
          <w:sz w:val="28"/>
          <w:szCs w:val="28"/>
        </w:rPr>
        <w:t>）。美國未見於憲法明文，但在一九二七年的</w:t>
      </w:r>
      <w:r w:rsidRPr="002755B8">
        <w:rPr>
          <w:bCs/>
          <w:color w:val="000000"/>
          <w:sz w:val="28"/>
          <w:szCs w:val="28"/>
        </w:rPr>
        <w:t>McGrain v. Daugherty</w:t>
      </w:r>
      <w:r w:rsidRPr="002755B8">
        <w:rPr>
          <w:rFonts w:hAnsi="標楷體"/>
          <w:bCs/>
          <w:color w:val="000000"/>
          <w:sz w:val="28"/>
          <w:szCs w:val="28"/>
        </w:rPr>
        <w:t>案確立其為國會固有、潛在的權力，並附屬於（</w:t>
      </w:r>
      <w:r w:rsidRPr="002755B8">
        <w:rPr>
          <w:bCs/>
          <w:color w:val="000000"/>
          <w:sz w:val="28"/>
          <w:szCs w:val="28"/>
        </w:rPr>
        <w:t>auxiliary</w:t>
      </w:r>
      <w:r w:rsidRPr="002755B8">
        <w:rPr>
          <w:rFonts w:hAnsi="標楷體"/>
          <w:bCs/>
          <w:color w:val="000000"/>
          <w:sz w:val="28"/>
          <w:szCs w:val="28"/>
        </w:rPr>
        <w:t>）立法權，在範圍上不得超越立法權及預算權（一九五九年的</w:t>
      </w:r>
      <w:r w:rsidRPr="002755B8">
        <w:rPr>
          <w:bCs/>
          <w:color w:val="000000"/>
          <w:sz w:val="28"/>
          <w:szCs w:val="28"/>
        </w:rPr>
        <w:t>Barenblatt v. United States</w:t>
      </w:r>
      <w:r w:rsidRPr="002755B8">
        <w:rPr>
          <w:rFonts w:hAnsi="標楷體"/>
          <w:bCs/>
          <w:color w:val="000000"/>
          <w:sz w:val="28"/>
          <w:szCs w:val="28"/>
        </w:rPr>
        <w:t>）。我國憲法下的監察權，刻意從立法院抽出另設監察院來專一行使（核心領域觀點），是出於孫中山先生的構想，希望可以避免由政黨政治中心的立法院行使，重蹈許多</w:t>
      </w:r>
      <w:r w:rsidRPr="002755B8">
        <w:rPr>
          <w:rFonts w:hAnsi="標楷體"/>
          <w:bCs/>
          <w:color w:val="000000"/>
          <w:sz w:val="28"/>
          <w:szCs w:val="28"/>
        </w:rPr>
        <w:lastRenderedPageBreak/>
        <w:t>民主國家國會調查委員會的覆轍，即因黨同伐異而難以實現其公正揭弊、懲前</w:t>
      </w:r>
      <w:r w:rsidR="00C23C32">
        <w:rPr>
          <w:rFonts w:hAnsi="標楷體" w:hint="eastAsia"/>
          <w:bCs/>
          <w:color w:val="000000"/>
          <w:sz w:val="28"/>
          <w:szCs w:val="28"/>
        </w:rPr>
        <w:t>毖</w:t>
      </w:r>
      <w:r w:rsidR="006F0D14">
        <w:rPr>
          <w:rFonts w:hAnsi="標楷體" w:hint="eastAsia"/>
          <w:bCs/>
          <w:color w:val="000000"/>
          <w:sz w:val="28"/>
          <w:szCs w:val="28"/>
        </w:rPr>
        <w:t>後</w:t>
      </w:r>
      <w:r w:rsidRPr="002755B8">
        <w:rPr>
          <w:rFonts w:hAnsi="標楷體"/>
          <w:bCs/>
          <w:color w:val="000000"/>
          <w:sz w:val="28"/>
          <w:szCs w:val="28"/>
        </w:rPr>
        <w:t>的憲政功能（功能妥適觀點）。在憲法本文還配合聯邦色彩的省自治結構，使監察院兼有聯邦制國家上院某些職能的時期，它曾被認定與立法院、國民大會共同相當於西方國家的國會（釋字第七六號解釋），民主化改革後已廢除其同意權，成為更純粹的監察機關，連帶的卻也使得更接近西方國家國會的立法院，是否也該「回復」其調查權的爭議，隨之而生。釋字第三二五號解釋即為處理民主化後立法院重新定位產生的有無固有（不待憲法明文規定）調查權的爭議，當時聲請解釋的立法院不僅肯認，而且主張立法院應有國會固有的糾彈權及國政調查權才夠完整，不因監察院已有糾彈調查權而受影響。另有陳水扁等立委提出的聲請案，則僅主張立法院應有輔助立法權行使的立法調查權，為輔助立法權而存在的固有職權。結果本院從核心領域的觀點，斬釘截鐵的指出：「</w:t>
      </w:r>
      <w:r>
        <w:rPr>
          <w:rFonts w:hint="eastAsia"/>
          <w:bCs/>
          <w:color w:val="000000"/>
          <w:sz w:val="28"/>
          <w:szCs w:val="28"/>
        </w:rPr>
        <w:t>……</w:t>
      </w:r>
      <w:r w:rsidRPr="002755B8">
        <w:rPr>
          <w:rFonts w:hAnsi="標楷體"/>
          <w:bCs/>
          <w:color w:val="000000"/>
          <w:sz w:val="28"/>
          <w:szCs w:val="28"/>
        </w:rPr>
        <w:t>憲法增修條文第十五條規定施行後，監察院已非中央民意機構，其地位及職權亦有所變更，上開解釋（按指釋字第七六號解釋）自不再適用於監察院。惟憲法之五院體制並未改變，原屬於監察院職權中之彈劾、糾舉、糾正權及為行使此等職權，依憲法第九十五條、第九十六條具有之調查權，憲法增修條文亦未修改，此項調查權仍應專由監察院行使。」不僅否認立法院有與監察院監察權明顯重疊的糾彈權與調查權，明確認定憲法第九十五條、第九十六條的調查權應專由監察院行使，間接也否認了立法院另有所謂的立法調查權。但該解釋仍然創設了立法院的文件調閱權，只是其權力基礎為憲法賦予立法委員的質詢權，為達到質詢目的，在一定條件下肯認立法院有補強個別委員質詢權的文件調閱權，其性質實不啻輔助權的輔助權（此一權力定性在後來的釋字第四六一號解釋又明確的重申一次）。足見從其權力基礎與所受限制而言，釋字第三二五號解釋創設的文件調閱權既不能與國政調查權相提並論，就是和聲請解釋的立法委員所主張的立法調查權內含的文件調閱權比較，雖然都受到輔助立法權目的的拘束，但後者與立委質詢權的行使完全脫鉤，而又須與立法院審議的法案緊密相關，其內涵與所受的限制還是十分不同。</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惟釋字第三二五號解釋對於立法調查權的間接否定，到了釋字第五八五號解釋已經改變，該號解釋開宗明義即強調：「立法院為有效行使憲法所賦予之立法職權，本其固有之權能自得享有一定之調查權，主動獲取行使職權所需之相關資訊，俾能充分思辯，審慎決定，以善盡民意機關之職責，發揮權力分立與制衡之機能。」至於此一調查權行使的方式，理由書又特別強調：「並不以要求有關機關就立法院行使職權所涉及事項提供參考資料或向有關機關調閱文件原本之文件調閱權為限，必要時並得經院會決議，要求與調查事項相關之人民或政府人員，陳述證言或表示意見，並得對違</w:t>
      </w:r>
      <w:r w:rsidRPr="002755B8">
        <w:rPr>
          <w:rFonts w:hAnsi="標楷體"/>
          <w:bCs/>
          <w:color w:val="000000"/>
          <w:sz w:val="28"/>
          <w:szCs w:val="28"/>
        </w:rPr>
        <w:lastRenderedPageBreak/>
        <w:t>反協助調查義務者，於科處罰鍰之範圍內，施以合理之強制手段」，就此範圍，顯已超出釋字第三二五號解釋的文件調閱權甚多。而且正因為這樣以解釋擴張的立法調查權，對於被調查的機關人員影響甚大，凡有一張必有一緊，理由書即接著特別強調：「惟其程序，如調查權之發動及行使調查權之組織、個案調查事項之範圍、各項調查方法所應遵守之程序與司法救濟程序等，應以法律為適當之規範。」並諄諄叮囑：「各該法律規定之組織及議事程序，必須符合民主原則；其個案調查事項之範圍，不能違反權力分立與制衡原則，亦不得侵害其他憲法機關之權力核心範圍，或對其他憲法機關權力之行使造成實質妨礙；如就各項調查方法所規定之程序，有涉及限制人民權利者，必須符合憲法上比例原則、法律明確性原則及正當法律程序之要求。」從制衡原則出發來合理化立法權的擴張，接下來就提到核心原則與相互尊重原則作合理調和。由於立法院迄未制定關於調查權行使組織和程序的專法，或在立法院職權行使法增修相關規定，除了該號解釋原因案件涉及到的個案立法（三一九槍擊事件真相調查特別委員會條例）外，立法院還無從合憲的行使任何調查權，引發本件解釋的原因事件，也只是「立法院司法及法制委員會（下稱司法及法制委員會）為審查通訊保障及監察法部分條文修正草案等法律案，依立法院職權行使法第四十五條規定，向聲請人最高法院檢察署調閱該署一</w:t>
      </w:r>
      <w:r w:rsidR="001466FF" w:rsidRPr="00C208C4">
        <w:rPr>
          <w:rFonts w:ascii="標楷體" w:hAnsi="標楷體" w:hint="eastAsia"/>
          <w:bCs/>
          <w:color w:val="000000"/>
          <w:sz w:val="28"/>
          <w:szCs w:val="28"/>
        </w:rPr>
        <w:t>○○</w:t>
      </w:r>
      <w:r w:rsidRPr="002755B8">
        <w:rPr>
          <w:rFonts w:hAnsi="標楷體"/>
          <w:bCs/>
          <w:color w:val="000000"/>
          <w:sz w:val="28"/>
          <w:szCs w:val="28"/>
        </w:rPr>
        <w:t>年度特他字第六一號偵查卷證之通訊監察聲請書、筆錄、監聽譯文、公文等卷證文書影本及監聽光碟片。」查相關函文也完全未表達行使調查權的意思，其性質為依釋字第三二五號解釋，以委員質詢權為基礎的一般文件調閱權，應無疑義。本件解釋即在此一定性上，就其爭議問題作成憲法的判斷。</w:t>
      </w:r>
    </w:p>
    <w:p w:rsidR="005A170B" w:rsidRPr="002755B8" w:rsidRDefault="001C4568" w:rsidP="001C4568">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三、</w:t>
      </w:r>
      <w:r w:rsidR="005A170B" w:rsidRPr="002755B8">
        <w:rPr>
          <w:rFonts w:ascii="Times New Roman" w:eastAsia="標楷體" w:hAnsi="標楷體"/>
          <w:b/>
          <w:sz w:val="28"/>
          <w:szCs w:val="28"/>
        </w:rPr>
        <w:t>調閱特定文件都應通過院會始符相互尊重原則</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立法院依本院釋字第三二五號解釋及立法院職權行使法行使文件調閱權，應符合一定的程序，如不符合，被調閱機關拒絕調閱，即不能說無正當理由。由於該號解釋明確的說：立法院「得經院會或委員會之決議，要求有關機關就議案涉及事項提供參考資料，必要時並得經院會決議調閱文件原本，受要求之機關非依法律規定或其他正當理由不得拒絕。」立法院職權行使法第四十五條也據此規定：「立法院經院會決議，得設調閱委員會，或經委員會之決議，得設調閱專案小組，要求有關機關就特定議案涉及事項提供參考資料。調閱委員會或調閱專案小組於必要時，得經院會之決議，向有關機關調閱前項議案涉及事項之文件原本。」但本案司法及法制委員會並沒有經立法院院會的決議，就以台立司字第一</w:t>
      </w:r>
      <w:r w:rsidR="001466FF" w:rsidRPr="00C208C4">
        <w:rPr>
          <w:rFonts w:ascii="標楷體" w:hAnsi="標楷體" w:hint="eastAsia"/>
          <w:bCs/>
          <w:color w:val="000000"/>
          <w:sz w:val="28"/>
          <w:szCs w:val="28"/>
        </w:rPr>
        <w:t>○</w:t>
      </w:r>
      <w:r w:rsidRPr="002755B8">
        <w:rPr>
          <w:rFonts w:hAnsi="標楷體"/>
          <w:bCs/>
          <w:color w:val="000000"/>
          <w:sz w:val="28"/>
          <w:szCs w:val="28"/>
        </w:rPr>
        <w:t>二四三</w:t>
      </w:r>
      <w:r w:rsidR="001466FF" w:rsidRPr="00C208C4">
        <w:rPr>
          <w:rFonts w:ascii="標楷體" w:hAnsi="標楷體" w:hint="eastAsia"/>
          <w:bCs/>
          <w:color w:val="000000"/>
          <w:sz w:val="28"/>
          <w:szCs w:val="28"/>
        </w:rPr>
        <w:t>○○</w:t>
      </w:r>
      <w:r w:rsidRPr="002755B8">
        <w:rPr>
          <w:rFonts w:hAnsi="標楷體"/>
          <w:bCs/>
          <w:color w:val="000000"/>
          <w:sz w:val="28"/>
          <w:szCs w:val="28"/>
        </w:rPr>
        <w:t>七七八號函給最高法院檢察署，請其於所定期日前「提供與正本相符之影本資料（含光碟）各一份」，影本可否為原本涵攝，從而需經院會決議才可調閱，或者既非原本，應該就只是參考資料，只需通過委員會決議，即成為</w:t>
      </w:r>
      <w:r w:rsidRPr="002755B8">
        <w:rPr>
          <w:rFonts w:hAnsi="標楷體"/>
          <w:bCs/>
          <w:color w:val="000000"/>
          <w:sz w:val="28"/>
          <w:szCs w:val="28"/>
        </w:rPr>
        <w:lastRenderedPageBreak/>
        <w:t>程序合法性的主要爭點。可惜解釋文雖明確認定「其調閱偵查卷證之文件原本或與原本內容相同之影本者，應經立法院院會決議」，並就此明示釋字第三二五號解釋應予補充，卻未在理由中作進一步的闡述。實則如本席早年評論本件解釋時即已說明，解釋區分寬嚴不一的程序要件，關鍵本來就不在「參考資料」還是「文件」（二者在概念上必然大幅重疊），也不在「原本」還是「影本」（內容完全一樣時，就資訊取得而言即無不同，僅在檔案保存上意義有別），而在「要求提供」還是「調閱」，正是因為考量二者對其他機關「制衡」的程度，才會決定相對給予「尊重」的程度，程序門檻高低有別，其故實在於此。</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不妨先拉高到基本權力分配的體制類型，從行政立法分權的結構來說，分權多於分工的總統制，立法權完全掌握於國會，連提案權都沒有的總統，實際上只能通過同黨議員提出法案，國會對於不對其負責的總統當然也沒有質詢權，只好通過聽證會來從行政部門取得所需資訊。反之，在分工大於分權的內閣制國家，政府和議員都享有法案提案權，政府的法案（</w:t>
      </w:r>
      <w:r w:rsidRPr="002755B8">
        <w:rPr>
          <w:bCs/>
          <w:color w:val="000000"/>
          <w:sz w:val="28"/>
          <w:szCs w:val="28"/>
        </w:rPr>
        <w:t>government bill</w:t>
      </w:r>
      <w:r w:rsidRPr="002755B8">
        <w:rPr>
          <w:rFonts w:hAnsi="標楷體"/>
          <w:bCs/>
          <w:color w:val="000000"/>
          <w:sz w:val="28"/>
          <w:szCs w:val="28"/>
        </w:rPr>
        <w:t>）實際上還多處於主導的地位，立法部門則可通過各種質詢制度來監督政府，此時議員－特別是反對黨的議員－的質詢就有從行政部門取得法案相關資訊的重要功能，對於議員不兼官吏（憲法第七十一條），且因採雙元民主體制，有時會出現分裂政府或左右共治局面的我國體制而言，這樣的資訊需求更不以立法院的少數黨議員為限。不過理論上基於推動法案自身的利益，行政部門應該會盡最大可能去滿足立法部門的需要，立法部門則恆可藉法案的杯葛來迫使政府提供資訊。因此在立委的質詢以外（包括憲法第五十七條或增修條文第三條第二項第一款院會定期的總質詢和第六十七條各委員會機動的質詢），有無另外建制其他資訊工具的必要，仍非理所當然。釋字第三二五號解釋所以續造了補強質詢權的兩種資訊權，合理的考量應該即在我國的不純粹內閣制，換言之，除了前述可能造成行政立法部門間緊張關係的兩項因素外，內閣制為立法與行政設計的迫使對方負責的終極手段－倒閣與解散國會－，在我國憲法上也都十分孱弱，以致實務上確已使得政府對於立法委員的質詢有時流於實問虛答，因此在通過口頭或書面質詢仍不能取得足夠資訊時，解釋即明認立法院得另要求提供參考資料，或直接調閱文件。但這兩項資訊工具都不是由質詢權的主體－個別立法委員－來行使，而是由委員會或院會來行使，這樣的程序門檻有功能最適的考量，如前所述，更多的恐怕還有機關相互尊重的考量。就此有必要再分別從這兩種資訊取得方式的差異，和兩種對應的程序來作說明。</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在政府所持資訊對全體國民原則上有公開義務的今天（包括主動公開和被動公開，政府資訊公開法第二、三章可參），此處所談立法院的資訊工</w:t>
      </w:r>
      <w:r w:rsidRPr="002755B8">
        <w:rPr>
          <w:rFonts w:hAnsi="標楷體"/>
          <w:bCs/>
          <w:color w:val="000000"/>
          <w:sz w:val="28"/>
          <w:szCs w:val="28"/>
        </w:rPr>
        <w:lastRenderedPageBreak/>
        <w:t>具必然是針對行政部門依法尚無公開義務的資訊，固無須贅論。作為取得資訊的工具，個別立法委員的質詢即可生一般的答詢義務，所謂要求提供參考資料，即在口頭或書面答覆問題以外，要求提出進一步有助於立法院審議法案的參考資料，可以是更詳盡的綜合說明，或文件、圖片、語音檔案等，全文或節本，不一而足。參考資料一定包括了文件，就資料價值而言，也絕對不能說文件高於其他資料，同樣的，從檔案法的觀點來看，文件持有者對原本固然有較高的保存義務，但絕對不能說只有文件原本才需要在請求程序上作特別要求，其他資料，如語音檔的原件就不需要；而且在國家最高機關之間互動的層次，檔案法所考量的檔案保存的完整性，大概只在特殊情形可達到必須認真對待的程度，尚不需要一般性的影響到程序門檻的高低。作為取得資訊的方法，這裡真正會影響到機關間制衡而需要有相互尊重考量的，反而是兩造接近使用資訊的程度。簡單的說，從質詢到要求提供參考資料，只有或簡或繁的一步之遙，即從對問題的答覆義務（</w:t>
      </w:r>
      <w:r w:rsidRPr="002755B8">
        <w:rPr>
          <w:bCs/>
          <w:color w:val="000000"/>
          <w:sz w:val="28"/>
          <w:szCs w:val="28"/>
        </w:rPr>
        <w:t>Beantwortungspflicht</w:t>
      </w:r>
      <w:r w:rsidRPr="002755B8">
        <w:rPr>
          <w:rFonts w:hAnsi="標楷體"/>
          <w:bCs/>
          <w:color w:val="000000"/>
          <w:sz w:val="28"/>
          <w:szCs w:val="28"/>
        </w:rPr>
        <w:t>），延伸或提升到相關資料的提供義務（</w:t>
      </w:r>
      <w:r w:rsidRPr="002755B8">
        <w:rPr>
          <w:bCs/>
          <w:color w:val="000000"/>
          <w:sz w:val="28"/>
          <w:szCs w:val="28"/>
        </w:rPr>
        <w:t>Vorlagenpflicht</w:t>
      </w:r>
      <w:r w:rsidRPr="002755B8">
        <w:rPr>
          <w:rFonts w:hAnsi="標楷體"/>
          <w:bCs/>
          <w:color w:val="000000"/>
          <w:sz w:val="28"/>
          <w:szCs w:val="28"/>
        </w:rPr>
        <w:t>），二者的關係比較像是簡答和申論，行政部門在不知質詢者「已知」深淺的情形，試探性的簡答應該即已符合此制的期待。只有當立法者審議法案進入到更深階段而需要更多更具體資訊時，行政部門才有配合提出參考資料的必要性。但二者都可由提供資訊方針對要求的目的，就提供何種內容有所選擇，乃至對提供的方式和範圍作充分的裁量取捨，使其對於向立法院公開無公開義務的資訊，得就其合法性、必要性、安全性，乃至對第三人的保護，都處於可預為評估，並負起責任的狀態。相對於此，另一種資訊取得的方式－調閱文件，則是由要求方直接指定特定無公開義務的文件，由行政部門提供閱覽，不像前者仍得針對其目的而就相關資訊中有所取捨，而只能就該特定文件在給與不給之間去作抉擇。被調閱的一方，當然仍可基於憲法的理由，或依據法律規定得不提供的理由，而拒絕立法院的要求，本件解釋也特別就此有所闡明，但此時被迫拒絕的一方反有說明義務，面對的壓力顯然已經大了很多。德國學者就行政立法之間資訊接近使用的程度（</w:t>
      </w:r>
      <w:r w:rsidRPr="002755B8">
        <w:rPr>
          <w:bCs/>
          <w:color w:val="000000"/>
          <w:sz w:val="28"/>
          <w:szCs w:val="28"/>
        </w:rPr>
        <w:t>Zugänglichkeit</w:t>
      </w:r>
      <w:r w:rsidRPr="002755B8">
        <w:rPr>
          <w:rFonts w:hAnsi="標楷體"/>
          <w:bCs/>
          <w:color w:val="000000"/>
          <w:sz w:val="28"/>
          <w:szCs w:val="28"/>
        </w:rPr>
        <w:t>，本院</w:t>
      </w:r>
      <w:r w:rsidR="00C23C32">
        <w:rPr>
          <w:rFonts w:hAnsi="標楷體" w:hint="eastAsia"/>
          <w:bCs/>
          <w:color w:val="000000"/>
          <w:sz w:val="28"/>
          <w:szCs w:val="28"/>
        </w:rPr>
        <w:t>釋字</w:t>
      </w:r>
      <w:r w:rsidRPr="002755B8">
        <w:rPr>
          <w:rFonts w:hAnsi="標楷體"/>
          <w:bCs/>
          <w:color w:val="000000"/>
          <w:sz w:val="28"/>
          <w:szCs w:val="28"/>
        </w:rPr>
        <w:t>第三六四號解釋曾使用此一概念），習慣上會從行政部門「自主性」的高低，區分他送資訊（</w:t>
      </w:r>
      <w:r w:rsidRPr="002755B8">
        <w:rPr>
          <w:bCs/>
          <w:color w:val="000000"/>
          <w:sz w:val="28"/>
          <w:szCs w:val="28"/>
        </w:rPr>
        <w:t>Fremdinformation</w:t>
      </w:r>
      <w:r w:rsidRPr="002755B8">
        <w:rPr>
          <w:rFonts w:hAnsi="標楷體"/>
          <w:bCs/>
          <w:color w:val="000000"/>
          <w:sz w:val="28"/>
          <w:szCs w:val="28"/>
        </w:rPr>
        <w:t>）與自取資訊（</w:t>
      </w:r>
      <w:r w:rsidRPr="002755B8">
        <w:rPr>
          <w:bCs/>
          <w:color w:val="000000"/>
          <w:sz w:val="28"/>
          <w:szCs w:val="28"/>
        </w:rPr>
        <w:t>Selbstinformation</w:t>
      </w:r>
      <w:r w:rsidRPr="002755B8">
        <w:rPr>
          <w:rFonts w:hAnsi="標楷體"/>
          <w:bCs/>
          <w:color w:val="000000"/>
          <w:sz w:val="28"/>
          <w:szCs w:val="28"/>
        </w:rPr>
        <w:t>），如果把立委的質詢放在他送資訊的一端，監察院的調閱文件（憲法第九十五條、監察法第二十六條）放在自取資訊的另一端，則請求提供資料還在他送資訊範疇，立法調查權的調閱文件，因為其權力基礎為立法院「固有」（</w:t>
      </w:r>
      <w:r w:rsidRPr="002755B8">
        <w:rPr>
          <w:bCs/>
          <w:color w:val="000000"/>
          <w:sz w:val="28"/>
          <w:szCs w:val="28"/>
        </w:rPr>
        <w:t>inherent</w:t>
      </w:r>
      <w:r w:rsidR="006D78AE">
        <w:rPr>
          <w:rFonts w:hAnsi="標楷體"/>
          <w:bCs/>
          <w:color w:val="000000"/>
          <w:sz w:val="28"/>
          <w:szCs w:val="28"/>
        </w:rPr>
        <w:t>）的資訊取得權而非由質詢權衍</w:t>
      </w:r>
      <w:r w:rsidR="006D78AE">
        <w:rPr>
          <w:rFonts w:hAnsi="標楷體" w:hint="eastAsia"/>
          <w:bCs/>
          <w:color w:val="000000"/>
          <w:sz w:val="28"/>
          <w:szCs w:val="28"/>
        </w:rPr>
        <w:t>生</w:t>
      </w:r>
      <w:r w:rsidRPr="002755B8">
        <w:rPr>
          <w:rFonts w:hAnsi="標楷體"/>
          <w:bCs/>
          <w:color w:val="000000"/>
          <w:sz w:val="28"/>
          <w:szCs w:val="28"/>
        </w:rPr>
        <w:t>（</w:t>
      </w:r>
      <w:r w:rsidRPr="002755B8">
        <w:rPr>
          <w:bCs/>
          <w:color w:val="000000"/>
          <w:sz w:val="28"/>
          <w:szCs w:val="28"/>
        </w:rPr>
        <w:t>derived</w:t>
      </w:r>
      <w:r w:rsidRPr="002755B8">
        <w:rPr>
          <w:rFonts w:hAnsi="標楷體"/>
          <w:bCs/>
          <w:color w:val="000000"/>
          <w:sz w:val="28"/>
          <w:szCs w:val="28"/>
        </w:rPr>
        <w:t>）而得，本院未作此一續造則已，既已以解釋肯認其存在，其文件調閱的性質應該又比基於質詢權的文件調閱更偏向自取資訊。相對於兩者，基於質詢權的文件調閱權在這五者之中，應</w:t>
      </w:r>
      <w:r w:rsidRPr="002755B8">
        <w:rPr>
          <w:rFonts w:hAnsi="標楷體"/>
          <w:bCs/>
          <w:color w:val="000000"/>
          <w:sz w:val="28"/>
          <w:szCs w:val="28"/>
        </w:rPr>
        <w:lastRenderedPageBreak/>
        <w:t>該處於他送和自取之間，和基於調查權的文件調閱，及基於質詢權的要求答覆與提供資料，應該都有層次的不同。</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回到釋字第三二五號</w:t>
      </w:r>
      <w:r w:rsidR="00C23C32">
        <w:rPr>
          <w:rFonts w:hAnsi="標楷體" w:hint="eastAsia"/>
          <w:bCs/>
          <w:color w:val="000000"/>
          <w:sz w:val="28"/>
          <w:szCs w:val="28"/>
        </w:rPr>
        <w:t>解釋</w:t>
      </w:r>
      <w:r w:rsidRPr="002755B8">
        <w:rPr>
          <w:rFonts w:hAnsi="標楷體"/>
          <w:bCs/>
          <w:color w:val="000000"/>
          <w:sz w:val="28"/>
          <w:szCs w:val="28"/>
        </w:rPr>
        <w:t>建立的程序門檻，應該可以清楚的看到該解釋針對立法－行政之間「一般性」的資訊取得，建構了三個不同的對應層級：委員質詢－政府人員答詢，委員會決議要求提供參考資料－政府人員所屬機關提供參考資料，立法院院會決議調閱文件－政府人員所屬機關提供該文件閱覽。要求方可以提高組織決策層級，比如質詢者可以是立法院黨團，當然也可以經由院會決議，要求提供參考資料，但不能降低層級。這裡也許有必要再對要求方的層級再作簡單說明。對反映全體國民意志而必須高度合議的立法院而言，真正能作決策的只有院會，個別委員不行，院長不行，黨團也不行。憲法建制立法院時，只是沿襲西方國會傳統設置常設委員會（第六十七條），其功能在協助龐大的院會於作成決策前，通過其專業化的組織把議案作得更為完善，並通過相互妥協把爭議減到易於集中辯論表決的程度，故其儘管不可或缺，性質上仍只是院會的輔助機關，無任何議案決定權，最多如德國賦予其在憲法訴訟有關機關爭議程序中以「其他參加人」（</w:t>
      </w:r>
      <w:r w:rsidRPr="002755B8">
        <w:rPr>
          <w:bCs/>
          <w:color w:val="000000"/>
          <w:sz w:val="28"/>
          <w:szCs w:val="28"/>
        </w:rPr>
        <w:t xml:space="preserve">anderer Beteiligter, </w:t>
      </w:r>
      <w:r w:rsidRPr="002755B8">
        <w:rPr>
          <w:rFonts w:hAnsi="標楷體"/>
          <w:bCs/>
          <w:color w:val="000000"/>
          <w:sz w:val="28"/>
          <w:szCs w:val="28"/>
        </w:rPr>
        <w:t>基本法第九十三條第一項第一款的用語）或「機關成分」（</w:t>
      </w:r>
      <w:r w:rsidRPr="002755B8">
        <w:rPr>
          <w:bCs/>
          <w:color w:val="000000"/>
          <w:sz w:val="28"/>
          <w:szCs w:val="28"/>
        </w:rPr>
        <w:t xml:space="preserve">Organteile, </w:t>
      </w:r>
      <w:r w:rsidRPr="002755B8">
        <w:rPr>
          <w:rFonts w:hAnsi="標楷體"/>
          <w:bCs/>
          <w:color w:val="000000"/>
          <w:sz w:val="28"/>
          <w:szCs w:val="28"/>
        </w:rPr>
        <w:t>聯邦憲法法院法第六十三條的用語）的地位而有一定的發動權。釋字第三二五號解釋在課與行政部門於答覆委員質詢以外有提供參考資料義務時，要求須經委員會決議，背後應有相互尊重與功能最適的考量，避免上百位委員各有所求，導致資訊互動的分散重複、行政部門疲於奔命，而可由委員會通過其累積的專業整理評估選擇性的提出合理要求。另一方面，因為只是基於審案的需要而就有待瞭解的問題要求提供資料，而可由行政部門保留篩選合宜資訊的空間，也無需拉高到院會的層級。惟一旦調閱特定無公開義務的文件，不論從其接近使用他機關持有的資訊已到達更高的層級，如前所述，或從委員會的多數結構未必與院會多數結構相近，為避免不必要的機關間衝突，能經由院會決議確認調閱對於審理議案的重要性，自然更符合相互尊重的原則。</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綜上說明，即知本件解釋認定；立法院調閱「與原本內容相同之影本」應和調閱原本一樣經過院會的決議，已有相當深入的考量。原因事件中司法及法制委員會調閱最高法院檢察署特定案號偵查卷證的通訊監察聲請書、筆錄、監聽譯文、公文等卷證文書影本及監聽光碟片，已非單純請求提供參考資料，所調閱的文件雖僅要求影本，因屬與原本內容相同的影本，既未經過院會決議，最高檢察署拒絕其調閱，只需提出此一程序不合的理由，即屬正當。</w:t>
      </w:r>
    </w:p>
    <w:p w:rsidR="005A170B" w:rsidRPr="002755B8" w:rsidRDefault="001C4568" w:rsidP="001C4568">
      <w:pPr>
        <w:pStyle w:val="ListParagraph"/>
        <w:spacing w:line="391" w:lineRule="exact"/>
        <w:ind w:leftChars="0" w:left="0"/>
        <w:rPr>
          <w:rFonts w:ascii="Times New Roman" w:eastAsia="標楷體" w:hAnsi="Times New Roman"/>
          <w:sz w:val="28"/>
          <w:szCs w:val="28"/>
        </w:rPr>
      </w:pPr>
      <w:r>
        <w:rPr>
          <w:rFonts w:ascii="Times New Roman" w:eastAsia="標楷體" w:hAnsi="標楷體" w:hint="eastAsia"/>
          <w:b/>
          <w:sz w:val="28"/>
          <w:szCs w:val="28"/>
        </w:rPr>
        <w:t>四、</w:t>
      </w:r>
      <w:r w:rsidR="005A170B" w:rsidRPr="002755B8">
        <w:rPr>
          <w:rFonts w:ascii="Times New Roman" w:eastAsia="標楷體" w:hAnsi="標楷體"/>
          <w:b/>
          <w:sz w:val="28"/>
          <w:szCs w:val="28"/>
        </w:rPr>
        <w:t>司法獨立和立法院資訊取得權之間作合理權衡</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本件解釋對於可否調閱偵查卷證這個核心問題，則有相當清楚的答案</w:t>
      </w:r>
      <w:r w:rsidRPr="002755B8">
        <w:rPr>
          <w:rFonts w:hAnsi="標楷體"/>
          <w:bCs/>
          <w:color w:val="000000"/>
          <w:sz w:val="28"/>
          <w:szCs w:val="28"/>
        </w:rPr>
        <w:lastRenderedPageBreak/>
        <w:t>和理由：「檢察機關代表國家進行犯罪之偵查與追訴，基於權力分立與制衡原則，且為保障檢察機關獨立行使職權，對於偵查中之案件，立法院自不得向其調閱相關卷證。立法院向檢察機關調閱已偵查終結而不起訴處分確定或未經起訴而以其他方式結案之案件卷證，須基於目的與範圍均屬明確之特定議案，並與其行使憲法上職權有重大關聯，且非屬法律所禁止者為限。如因調閱而有妨害另案偵查之虞，檢察機關得延至該另案偵查終結後，再行提供調閱之卷證資料。」簡言之，在結案前絕對不可以，在結案後，則須符合四個條件才可以，理由則為保障檢察機關獨立，其背後實現的是公權力各有其核心領域（以偵查為檢察權核心內容），並防止其他權力的不當干預（相互制衡）。把立法院為落實其核心的立法權，而對相關機關行使的資訊權，因觸及檢察權的核心而作這樣的特別限制，一直到脫離其核心地帶為止。</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由於憲法就司法案件只提到審判獨立的保障，無一字及於檢察獨立，行政機關有基於公共政策考量，以法律使其職權行使保有一定程度不受其他機關干預的空間的，如各種獨立管制委員會，未必可在憲法上主張獨立的保障。對於憲法未置一詞的檢察權，此一獨立保障處於何種位階，確有釐清的必要。就此釋字第三二五號解釋其實已經有所闡明，理由書在歷數憲法列舉受獨立保障的法官、考試委員和監察委員之後，特別針對檢察官的獨立有以下的論證：「檢察官之偵查與法官之刑事審判，同為國家刑罰權正確行使之重要程序，兩者具有密切關係，除受檢察一體之拘束外，其對外獨立行使職權，亦應同受保障。本院釋字第</w:t>
      </w:r>
      <w:r w:rsidR="00C23C32">
        <w:rPr>
          <w:rFonts w:hAnsi="標楷體" w:hint="eastAsia"/>
          <w:bCs/>
          <w:color w:val="000000"/>
          <w:sz w:val="28"/>
          <w:szCs w:val="28"/>
        </w:rPr>
        <w:t>一</w:t>
      </w:r>
      <w:r w:rsidRPr="002755B8">
        <w:rPr>
          <w:rFonts w:hAnsi="標楷體"/>
          <w:bCs/>
          <w:color w:val="000000"/>
          <w:sz w:val="28"/>
          <w:szCs w:val="28"/>
        </w:rPr>
        <w:t>三號解釋並認實任檢察官之保障，除轉調外，與實任推事（法官）同，可供參證。」顯然即以檢察官享有憲法保障的「外部」獨立。後來的</w:t>
      </w:r>
      <w:r w:rsidR="00C23C32">
        <w:rPr>
          <w:rFonts w:hAnsi="標楷體" w:hint="eastAsia"/>
          <w:bCs/>
          <w:color w:val="000000"/>
          <w:sz w:val="28"/>
          <w:szCs w:val="28"/>
        </w:rPr>
        <w:t>釋字</w:t>
      </w:r>
      <w:r w:rsidRPr="002755B8">
        <w:rPr>
          <w:rFonts w:hAnsi="標楷體"/>
          <w:bCs/>
          <w:color w:val="000000"/>
          <w:sz w:val="28"/>
          <w:szCs w:val="28"/>
        </w:rPr>
        <w:t>第三九二號解釋更直接把檢察權定性為廣義的司法，為其應受獨立保障提供明確的法理基礎：「司法權之一之刑事訴訟、即刑事司法之裁判，係以實現國家刑罰權為目的之司法程序，其審判乃以追訴而開始，追訴必須實施偵查，迨判決確定，尚須執行始能實現裁判之內容。是以此等程序悉與審判、處罰具有不可分離之關係，亦即偵查、訴追、審判、刑之執行均屬刑事司法之過程，其間代表國家從事『偵查』『訴追』『執行』之檢察機關，其所行使之職權，目的既亦在達成刑事司法之任務，則在此一範圍內之國家作用，當應屬廣義司法之一。憲法第八條第一項所規定之『司法機關』，自非僅指同法第七十七條規定之司法機關而言，而係包括檢察機關在內之廣義司法機關。」本件解釋排除立法院調閱偵查卷證，不再重複此部分意旨，而另外加上了某些公共利益的權重，可使社會各界更理解排除調閱的必要性：「檢察機關之偵查卷證與偵查追訴犯罪有重要關係，有其特殊性與重要性。正在進行犯罪偵查中之案件，其偵查內容倘若外洩，將使嫌疑犯串證或逃匿，而妨礙偵查之</w:t>
      </w:r>
      <w:r w:rsidRPr="002755B8">
        <w:rPr>
          <w:rFonts w:hAnsi="標楷體"/>
          <w:bCs/>
          <w:color w:val="000000"/>
          <w:sz w:val="28"/>
          <w:szCs w:val="28"/>
        </w:rPr>
        <w:lastRenderedPageBreak/>
        <w:t>成效，影響社會治安。」以案件終結為調閱司法卷證的底線，使立法院對於繫屬中的案件完全無介入司法的空間，考量其為偵審的核心領域，非如此實連獨立的外形都難以維繫，應無庸懷疑。監察院依憲法規定得行使的糾彈調查權，早在民國四十五年即與司法院就其調查權與審判獨立的界限產生爭議，而在兩院反覆協調下達成以案件終結為底線的共識（「儘量避免對於承辦人員在承辦期間實施調查」），此所以釋字第三二五號解釋還特就此加以闡明：「訴訟案件在裁判確定前就偵查、審判所為之處置及其卷證等，監察院對之行使調查權，本受有限制，基於同一理由，立法院之調閱文件，亦同受限制。」結案後調閱卷證，原則上已脫離司法權的核心領域，似乎沒有繼續排除立法院調閱的理由。但若考量立法權介入個案的後續效應，對於司法人員心理上形成的陰霾，仍很難確保其獨立性不受影響。此所以參考外國在這個問題上設定的界線，會發現多數國家都寧可給予司法獨立更大的權重。向國會負責的行政權，雖然在不少國家也被肯認有可以主張自我負責的行政核心領域，但相對而言都比不對國會負責的司法權要窄得很多。德國容許國會對司法機關進行調查，但不能以個別司法案件為對象，即使已經終結。多數國家縱使不會那麼絕對，考量到以實現立法或預算等目的而要對司法個案進行調查，其關聯性通常不高，實際認定還是會趨於嚴格。日本就是如此，一九四八年曾經發生震驚社會的浦和事件，參議院法務委員會認為判決過輕而展開「有關檢察及裁判營運之調查」，作成事實認定不當、量刑過輕的結論，但學者和最高裁判所都強力批判調查已逸出立法權範圍，最後還是不了了之。只有美國的情形比較不同，在前述</w:t>
      </w:r>
      <w:r w:rsidRPr="002755B8">
        <w:rPr>
          <w:bCs/>
          <w:color w:val="000000"/>
          <w:sz w:val="28"/>
          <w:szCs w:val="28"/>
        </w:rPr>
        <w:t>McGrain v. Daugherty</w:t>
      </w:r>
      <w:r w:rsidRPr="002755B8">
        <w:rPr>
          <w:rFonts w:hAnsi="標楷體"/>
          <w:bCs/>
          <w:color w:val="000000"/>
          <w:sz w:val="28"/>
          <w:szCs w:val="28"/>
        </w:rPr>
        <w:t>案中，下級法院原來還認定參院調查司法部長不起訴的疏失與立法無合理關聯，所謂立法考量不過是「事後飾詞」（</w:t>
      </w:r>
      <w:r w:rsidRPr="002755B8">
        <w:rPr>
          <w:bCs/>
          <w:color w:val="000000"/>
          <w:sz w:val="28"/>
          <w:szCs w:val="28"/>
        </w:rPr>
        <w:t>afterthought</w:t>
      </w:r>
      <w:r w:rsidRPr="002755B8">
        <w:rPr>
          <w:rFonts w:hAnsi="標楷體"/>
          <w:bCs/>
          <w:color w:val="000000"/>
          <w:sz w:val="28"/>
          <w:szCs w:val="28"/>
        </w:rPr>
        <w:t>），卻為最高法院撤銷判決，認為國會所為調查是否輔助立法，應為有利的推定。會做出這樣的權衡，實因總統制下行政立法部門間的抗拮寧為常態，只能依賴調查以獲取資訊的國會確有給予寬貸的必要。反之，對於行政部門本即享有提案權，並就其政策需對國會負責，經常接受其質詢的多數國家而言，傾向限制對司法個案調查，即不難理解。</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從這個角度來觀察，則本件解釋對於結案後的偵查卷證的調閱，雖仍要求符合四個條件，也就是一、「須基於目的與範圍均屬明確之特定議案」，二、「與其行使憲法上職權有重大關聯」，三、「非屬法律所禁止」，及四、「無妨害另案偵查之虞」。但細思即知，一、二只是行使一般文件調閱權都必須滿足的要件，只是考量其為司法個案而在審查標準上提高－須達到明確與重大。三為立法院自己議決禁止調閱的情形，四則是已經結案要件的必要延伸，仍然在保障偵查獨立的核心領域內。因此對於立法院尚不能認為過苛。就實際發生院際爭議的情形，被要求調閱偵審文件的法官或檢察官，</w:t>
      </w:r>
      <w:r w:rsidRPr="002755B8">
        <w:rPr>
          <w:rFonts w:hAnsi="標楷體"/>
          <w:bCs/>
          <w:color w:val="000000"/>
          <w:sz w:val="28"/>
          <w:szCs w:val="28"/>
        </w:rPr>
        <w:lastRenderedPageBreak/>
        <w:t>若能指出並無在目的與範圍上都足夠明確的法案待審，或立法院未說明該法案與調閱文件之間有何關連，或僅有空泛的說明，或者縱已符合前二條件，但對於調閱法有明文禁止，或該文件與偵查中的另案有關，調閱可能構成妨害，其拒絕調閱當然都屬於有正當理由。另外在探討調閱文件的憲法界限時，就機關間所生爭議還有需要再做區隔始能分別作成適當評價者，本件解釋並未著墨，簡單的說，所爭執者可能只是單純基於輔助立法目的對司法個案文件的調閱，也可能已內含對於文件持有者的糾彈調查，後者在我國已屬越俎代庖，不當的侵入監察權的核心領域。若監察院同時已經展開調查，乃至也已調閱文件，或甚至如原因事件，偵查卷證的持有者也已成為檢察機關的偵查對象，則又有立法與監察、司法機關平行調閱乃至平行調查的問題（</w:t>
      </w:r>
      <w:r w:rsidRPr="002755B8">
        <w:rPr>
          <w:bCs/>
          <w:color w:val="000000"/>
          <w:sz w:val="28"/>
          <w:szCs w:val="28"/>
        </w:rPr>
        <w:t>parallele Doppeluntersuchung</w:t>
      </w:r>
      <w:r w:rsidRPr="002755B8">
        <w:rPr>
          <w:rFonts w:hAnsi="標楷體"/>
          <w:bCs/>
          <w:color w:val="000000"/>
          <w:sz w:val="28"/>
          <w:szCs w:val="28"/>
        </w:rPr>
        <w:t>），不少國家在這種情形基於證據保護、減少證人受到的干擾等顧慮，更多則是避免司法受到污染的考量，會對立法的調查給予較大的限制，英國對於已經成為司法案件者，到判決確定前，國會都不得作平行調查，德國則有嚴格的限制（</w:t>
      </w:r>
      <w:r w:rsidRPr="002755B8">
        <w:rPr>
          <w:bCs/>
          <w:color w:val="000000"/>
          <w:sz w:val="28"/>
          <w:szCs w:val="28"/>
        </w:rPr>
        <w:t>Flick</w:t>
      </w:r>
      <w:r w:rsidRPr="002755B8">
        <w:rPr>
          <w:rFonts w:hAnsi="標楷體"/>
          <w:bCs/>
          <w:color w:val="000000"/>
          <w:sz w:val="28"/>
          <w:szCs w:val="28"/>
        </w:rPr>
        <w:t>案調查委員會案</w:t>
      </w:r>
      <w:r w:rsidRPr="002755B8">
        <w:rPr>
          <w:bCs/>
          <w:color w:val="000000"/>
          <w:sz w:val="28"/>
          <w:szCs w:val="28"/>
        </w:rPr>
        <w:t>BVerfGE 67, 100</w:t>
      </w:r>
      <w:r w:rsidRPr="002755B8">
        <w:rPr>
          <w:rFonts w:hAnsi="標楷體"/>
          <w:bCs/>
          <w:color w:val="000000"/>
          <w:sz w:val="28"/>
          <w:szCs w:val="28"/>
        </w:rPr>
        <w:t>及</w:t>
      </w:r>
      <w:r w:rsidRPr="002755B8">
        <w:rPr>
          <w:bCs/>
          <w:color w:val="000000"/>
          <w:sz w:val="28"/>
          <w:szCs w:val="28"/>
        </w:rPr>
        <w:t>Neue Heimat</w:t>
      </w:r>
      <w:r w:rsidRPr="002755B8">
        <w:rPr>
          <w:rFonts w:hAnsi="標楷體"/>
          <w:bCs/>
          <w:color w:val="000000"/>
          <w:sz w:val="28"/>
          <w:szCs w:val="28"/>
        </w:rPr>
        <w:t>案</w:t>
      </w:r>
      <w:r w:rsidRPr="002755B8">
        <w:rPr>
          <w:bCs/>
          <w:color w:val="000000"/>
          <w:sz w:val="28"/>
          <w:szCs w:val="28"/>
        </w:rPr>
        <w:t>BVerfGE 77, 1</w:t>
      </w:r>
      <w:r w:rsidRPr="002755B8">
        <w:rPr>
          <w:rFonts w:hAnsi="標楷體"/>
          <w:bCs/>
          <w:color w:val="000000"/>
          <w:sz w:val="28"/>
          <w:szCs w:val="28"/>
        </w:rPr>
        <w:t>可參）。本件解釋因原因事件此部分事實不在聲請解釋範圍而未作任何判斷，僅就單純調閱偵查卷證問題作成抽象的憲法解釋。未來如再有立法院調閱文件的爭議，仍有依其情形作不同判斷的必要。</w:t>
      </w:r>
    </w:p>
    <w:p w:rsidR="005A170B" w:rsidRPr="002755B8" w:rsidRDefault="001C4568" w:rsidP="001C4568">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五、</w:t>
      </w:r>
      <w:r w:rsidR="005A170B" w:rsidRPr="002755B8">
        <w:rPr>
          <w:rFonts w:ascii="Times New Roman" w:eastAsia="標楷體" w:hAnsi="標楷體"/>
          <w:b/>
          <w:sz w:val="28"/>
          <w:szCs w:val="28"/>
        </w:rPr>
        <w:t>調閱爭議的解決可循既有機制無必要諭知立法</w:t>
      </w:r>
    </w:p>
    <w:p w:rsidR="005A170B" w:rsidRPr="002755B8" w:rsidRDefault="005A170B" w:rsidP="005E362F">
      <w:pPr>
        <w:snapToGrid w:val="0"/>
        <w:spacing w:line="391" w:lineRule="exact"/>
        <w:ind w:left="595" w:firstLineChars="200" w:firstLine="560"/>
        <w:jc w:val="both"/>
        <w:rPr>
          <w:bCs/>
          <w:color w:val="000000"/>
          <w:sz w:val="28"/>
          <w:szCs w:val="28"/>
        </w:rPr>
      </w:pPr>
      <w:r w:rsidRPr="002755B8">
        <w:rPr>
          <w:rFonts w:hAnsi="標楷體"/>
          <w:bCs/>
          <w:color w:val="000000"/>
          <w:sz w:val="28"/>
          <w:szCs w:val="28"/>
        </w:rPr>
        <w:t>最後，解釋理由書就立法院調閱文件與受調閱機關之間可能發生爭議，特別諭知宜循協商途徑合理解決，或以法律明定相關要件與程序，由司法機關審理解決。此一就機關間爭議解決之道所為諭知，在釋字第五八五號解釋已有先例，當時是針對立法院行使調查權的範圍，因於涉及獨立機關及行政特權時非毫無限制，為恐常啟爭執才作了如何排解爭議的諭知，但解釋至今十年有餘，立法院既未審議通過任何與調查權有關的法律案，當然也沒有發生過其他立法調查的爭議，顯見此一立法呼籲的多餘。以我國國情而言，機關間果有職權爭議，若連上級機關介入也無法和息，大概只有聲請本院解釋一途。德國針對聯邦議會調查委員會權限確曾於行憲半世紀之後制定單行法加以規範（德國聯邦議會調查委員會職權行使法，二</w:t>
      </w:r>
      <w:r w:rsidR="001466FF" w:rsidRPr="00C208C4">
        <w:rPr>
          <w:rFonts w:ascii="標楷體" w:hAnsi="標楷體" w:hint="eastAsia"/>
          <w:bCs/>
          <w:color w:val="000000"/>
          <w:sz w:val="28"/>
          <w:szCs w:val="28"/>
        </w:rPr>
        <w:t>○○</w:t>
      </w:r>
      <w:r w:rsidRPr="002755B8">
        <w:rPr>
          <w:rFonts w:hAnsi="標楷體"/>
          <w:bCs/>
          <w:color w:val="000000"/>
          <w:sz w:val="28"/>
          <w:szCs w:val="28"/>
        </w:rPr>
        <w:t>一年），並於該法第三十六條明定法院管轄（於不牴觸聯邦憲法法院管轄的情形由聯邦最高法院管轄），此一立法例在其他國家尚不多見，恐怕有其特別的考量，但德國歷年來為數恐怕多達三四十個的調查委員會幾乎全部都是為輔助糾彈權而設，其經驗未必可供我國參考，我國與此相當者實為監察院的調查權，其運作實務迄未顯示有增設爭端解決機制的必要，現行監察法也未見任何法院管轄的規定。在客觀上未顯示有迫切需要的情形下，應否立法允宜尊重立法機關，本院實不宜任意為立法的諭知，</w:t>
      </w:r>
      <w:r w:rsidRPr="002755B8">
        <w:rPr>
          <w:rFonts w:hAnsi="標楷體"/>
          <w:bCs/>
          <w:color w:val="000000"/>
          <w:sz w:val="28"/>
          <w:szCs w:val="28"/>
        </w:rPr>
        <w:lastRenderedPageBreak/>
        <w:t>釋字第五八五號解釋所為欠缺憲政洞視的諭知，迄今徒留尷尬而已，可一而不可再。本席在此只能負責的說，此段文字對於本院所承擔的裁決機關爭議的憲法職能，絕無任何削減，本院也絕無規避之意。</w:t>
      </w:r>
    </w:p>
    <w:p w:rsidR="005A170B" w:rsidRDefault="005A170B" w:rsidP="000163D5">
      <w:pPr>
        <w:autoSpaceDE w:val="0"/>
        <w:autoSpaceDN w:val="0"/>
        <w:adjustRightInd w:val="0"/>
        <w:snapToGrid w:val="0"/>
        <w:spacing w:line="391" w:lineRule="exact"/>
        <w:jc w:val="both"/>
        <w:rPr>
          <w:rFonts w:hAnsi="標楷體" w:hint="eastAsia"/>
          <w:kern w:val="0"/>
          <w:sz w:val="28"/>
          <w:szCs w:val="28"/>
        </w:rPr>
      </w:pPr>
    </w:p>
    <w:p w:rsidR="00A55C56" w:rsidRPr="006B5BD4" w:rsidRDefault="00A55C56" w:rsidP="00BC288B">
      <w:pPr>
        <w:overflowPunct w:val="0"/>
        <w:spacing w:line="391" w:lineRule="exact"/>
        <w:ind w:left="964" w:right="567"/>
        <w:jc w:val="distribute"/>
        <w:rPr>
          <w:sz w:val="28"/>
          <w:szCs w:val="28"/>
        </w:rPr>
      </w:pPr>
      <w:r w:rsidRPr="00A55C56">
        <w:rPr>
          <w:rFonts w:eastAsia="華康粗黑體" w:hint="eastAsia"/>
          <w:color w:val="000000"/>
          <w:sz w:val="28"/>
          <w:szCs w:val="28"/>
        </w:rPr>
        <w:t>協</w:t>
      </w:r>
      <w:r w:rsidRPr="00A55C56">
        <w:rPr>
          <w:rFonts w:eastAsia="華康粗黑體"/>
          <w:color w:val="000000"/>
          <w:sz w:val="28"/>
          <w:szCs w:val="28"/>
        </w:rPr>
        <w:t>同</w:t>
      </w:r>
      <w:r w:rsidRPr="001F6ABB">
        <w:rPr>
          <w:rFonts w:eastAsia="華康粗黑體"/>
          <w:color w:val="000000"/>
          <w:sz w:val="28"/>
          <w:szCs w:val="28"/>
        </w:rPr>
        <w:t>意見書</w:t>
      </w:r>
      <w:r w:rsidR="00C23C32">
        <w:rPr>
          <w:rFonts w:hAnsi="標楷體" w:hint="eastAsia"/>
          <w:b/>
          <w:sz w:val="28"/>
          <w:szCs w:val="28"/>
        </w:rPr>
        <w:t xml:space="preserve">　　　　　　　　　　　</w:t>
      </w:r>
      <w:r>
        <w:rPr>
          <w:rFonts w:hAnsi="標楷體" w:hint="eastAsia"/>
          <w:b/>
          <w:sz w:val="28"/>
          <w:szCs w:val="28"/>
        </w:rPr>
        <w:t xml:space="preserve">　　　</w:t>
      </w:r>
      <w:r w:rsidRPr="006B5BD4">
        <w:rPr>
          <w:rFonts w:hAnsi="標楷體"/>
          <w:sz w:val="28"/>
          <w:szCs w:val="28"/>
        </w:rPr>
        <w:t>李震山大法官</w:t>
      </w:r>
      <w:r>
        <w:rPr>
          <w:rFonts w:hint="eastAsia"/>
          <w:sz w:val="28"/>
          <w:szCs w:val="28"/>
        </w:rPr>
        <w:t xml:space="preserve">　</w:t>
      </w:r>
      <w:r w:rsidRPr="006B5BD4">
        <w:rPr>
          <w:rFonts w:hAnsi="標楷體"/>
          <w:sz w:val="28"/>
          <w:szCs w:val="28"/>
        </w:rPr>
        <w:t>提出</w:t>
      </w:r>
    </w:p>
    <w:p w:rsidR="00925AB8" w:rsidRPr="00172506" w:rsidRDefault="00925AB8" w:rsidP="00925AB8">
      <w:pPr>
        <w:spacing w:line="391" w:lineRule="exact"/>
        <w:ind w:firstLineChars="200" w:firstLine="560"/>
        <w:jc w:val="both"/>
        <w:rPr>
          <w:sz w:val="28"/>
          <w:szCs w:val="28"/>
        </w:rPr>
      </w:pPr>
      <w:r w:rsidRPr="00172506">
        <w:rPr>
          <w:rFonts w:hAnsi="標楷體"/>
          <w:sz w:val="28"/>
          <w:szCs w:val="28"/>
        </w:rPr>
        <w:t>立法院為有效行使憲法所賦予的職權，需取得相關必要的資訊，乃事理之當然。其除依憲法規定（憲法第六十七條第二項、憲法增修條文第三條第二項第一款等規定）有聽取報告與質詢權外，尚得輔以非由憲法明定而經本院釋字第三二五號、第五八五號及第六三三號解釋所確立之文件調閱權與調查權。前揭解釋皆屬立法院於「資訊不對稱」的結構因素下，要求其他憲政機關提供資訊所引起的「機關爭議」案件，而本件解釋所指涉爭議的本質亦同，是立法院欲調閱檢察機關偵查與追訴犯罪相關卷證所生之憲法爭執。司法院大法官於審理立法院資訊權（</w:t>
      </w:r>
      <w:r w:rsidRPr="00172506">
        <w:rPr>
          <w:sz w:val="28"/>
          <w:szCs w:val="28"/>
        </w:rPr>
        <w:t>Informationsrecht</w:t>
      </w:r>
      <w:r w:rsidRPr="00172506">
        <w:rPr>
          <w:rFonts w:hAnsi="標楷體"/>
          <w:sz w:val="28"/>
          <w:szCs w:val="28"/>
        </w:rPr>
        <w:t>）</w:t>
      </w:r>
      <w:r w:rsidRPr="00172506">
        <w:rPr>
          <w:rFonts w:hAnsi="標楷體" w:hint="eastAsia"/>
          <w:sz w:val="22"/>
          <w:szCs w:val="22"/>
        </w:rPr>
        <w:t>（註一）</w:t>
      </w:r>
      <w:r w:rsidRPr="00172506">
        <w:rPr>
          <w:rFonts w:hAnsi="標楷體"/>
          <w:sz w:val="28"/>
          <w:szCs w:val="28"/>
        </w:rPr>
        <w:t>所引起的機關爭議案件（與純粹抽象規範審查案件性質有異）時，應如何兼顧權力分立與制衡原則、國家利益（公益）及人民基本權利，並逐案從定分止爭中發揮與時俱進守護憲法之功效，進而累積健全法制的經驗與要素，誠屬重要之憲法課題。基此，本意見書願提出淺見補充，敬供參考。</w:t>
      </w:r>
    </w:p>
    <w:p w:rsidR="00925AB8" w:rsidRPr="00172506" w:rsidRDefault="00925AB8" w:rsidP="00925AB8">
      <w:pPr>
        <w:spacing w:line="391" w:lineRule="exact"/>
        <w:ind w:left="561" w:hangingChars="200" w:hanging="561"/>
        <w:jc w:val="both"/>
        <w:rPr>
          <w:b/>
          <w:sz w:val="28"/>
          <w:szCs w:val="28"/>
        </w:rPr>
      </w:pPr>
      <w:r w:rsidRPr="00172506">
        <w:rPr>
          <w:rFonts w:hAnsi="標楷體"/>
          <w:b/>
          <w:sz w:val="28"/>
          <w:szCs w:val="28"/>
        </w:rPr>
        <w:t>壹、「立法院調查權乃立法院行使其憲法職權所必要之輔助性權力」，而文件調閱權與調查權相需相成，彼此難以完全切割。另從該憲法層次權力之輔助工具性質言，應非屬監察院（修憲前、後）的禁臠</w:t>
      </w:r>
    </w:p>
    <w:p w:rsidR="00925AB8" w:rsidRPr="00172506" w:rsidRDefault="00925AB8" w:rsidP="00FA07E6">
      <w:pPr>
        <w:snapToGrid w:val="0"/>
        <w:spacing w:line="391" w:lineRule="exact"/>
        <w:ind w:left="595" w:firstLineChars="200" w:firstLine="560"/>
        <w:jc w:val="both"/>
        <w:rPr>
          <w:sz w:val="28"/>
          <w:szCs w:val="28"/>
        </w:rPr>
      </w:pPr>
      <w:r w:rsidRPr="00172506">
        <w:rPr>
          <w:rFonts w:hAnsi="標楷體"/>
          <w:sz w:val="28"/>
          <w:szCs w:val="28"/>
        </w:rPr>
        <w:t>憲法固僅於第九十五條及第九十六條規定：「監察院為行使監察權，得向行政院及其各部會調閱其所發布之命令及各種有關文件。」；「監察院得按行政院及其各部會之工作，分設若干委員會，調查一切設施，注意其是否違法或失職。」但得否以「明示</w:t>
      </w:r>
      <w:r w:rsidRPr="005E362F">
        <w:rPr>
          <w:rFonts w:hAnsi="標楷體"/>
          <w:bCs/>
          <w:color w:val="000000"/>
          <w:sz w:val="28"/>
          <w:szCs w:val="28"/>
        </w:rPr>
        <w:t>其一</w:t>
      </w:r>
      <w:r w:rsidRPr="00172506">
        <w:rPr>
          <w:rFonts w:hAnsi="標楷體"/>
          <w:sz w:val="28"/>
          <w:szCs w:val="28"/>
        </w:rPr>
        <w:t>，排除其他」，作為排斥監察院以外之憲政機關行使該等權限的理由，不無疑問。本院釋字第五八五</w:t>
      </w:r>
      <w:r w:rsidR="006F0D14">
        <w:rPr>
          <w:rFonts w:hAnsi="標楷體" w:hint="eastAsia"/>
          <w:sz w:val="28"/>
          <w:szCs w:val="28"/>
        </w:rPr>
        <w:t>號</w:t>
      </w:r>
      <w:r w:rsidRPr="00172506">
        <w:rPr>
          <w:rFonts w:hAnsi="標楷體"/>
          <w:sz w:val="28"/>
          <w:szCs w:val="28"/>
        </w:rPr>
        <w:t>解釋明確指出：「</w:t>
      </w:r>
      <w:r w:rsidRPr="00172506">
        <w:rPr>
          <w:rFonts w:hAnsi="標楷體"/>
          <w:kern w:val="0"/>
          <w:sz w:val="28"/>
          <w:szCs w:val="28"/>
        </w:rPr>
        <w:t>監察院為國家最高監察機關，其為行使憲法所賦予之彈劾、糾舉、糾正、審計權，依憲法第九十五條、第九十六條具有之調查權，仍應專由監察院行使。其與立法院於憲法之職能各有所司，各自所行使之調查權在權力性質、功能與目的上並不相同，亦無重疊扞格之處。</w:t>
      </w:r>
      <w:r w:rsidRPr="00172506">
        <w:rPr>
          <w:rFonts w:hAnsi="標楷體"/>
          <w:sz w:val="28"/>
          <w:szCs w:val="28"/>
        </w:rPr>
        <w:t>」另又稱：「立法院為有效行使憲法所賦予之立法職權，本其固有之權能自得享有一定之調查權，主動獲取行使職權所需之相關資訊，俾能充分思辯，審慎決定，以善盡民意機關之職責，發揮權力分立與制衡之機能。」從而獲得「立法院調查權乃立法院行使其憲法職權所必要之輔助性權力」之結論，堪稱允當。</w:t>
      </w:r>
    </w:p>
    <w:p w:rsidR="00925AB8" w:rsidRPr="00172506" w:rsidRDefault="00925AB8" w:rsidP="00FA07E6">
      <w:pPr>
        <w:snapToGrid w:val="0"/>
        <w:spacing w:line="391" w:lineRule="exact"/>
        <w:ind w:left="595" w:firstLineChars="200" w:firstLine="560"/>
        <w:jc w:val="both"/>
        <w:rPr>
          <w:sz w:val="28"/>
          <w:szCs w:val="28"/>
        </w:rPr>
      </w:pPr>
      <w:r w:rsidRPr="00172506">
        <w:rPr>
          <w:rFonts w:hAnsi="標楷體"/>
          <w:sz w:val="28"/>
          <w:szCs w:val="28"/>
        </w:rPr>
        <w:t>前揭解釋固僅提及「調查權」，但文件調閱權是調查權重要方法之一，兩者間是大圓內之小圓關係，殊難想像能河水不犯井水地將其逕行分割。換言之，若上述解釋「必要輔助性權力」之結論，不適用於文件調閱權，</w:t>
      </w:r>
      <w:r w:rsidRPr="00172506">
        <w:rPr>
          <w:rFonts w:hAnsi="標楷體"/>
          <w:sz w:val="28"/>
          <w:szCs w:val="28"/>
        </w:rPr>
        <w:lastRenderedPageBreak/>
        <w:t>既掏空調查權，等同破壞資訊權的完整性。若因而產生見樹不見林，明察秋毫卻未見輿薪的不妥現象，就不難理解。至於本件解釋雖刻意聚焦於釋字第三二五號解釋的「文件調閱權」，避免提及釋字第五八五號解釋之「調查權」，是強烈希望達成分割的目的。但真相只有一個，本件解釋終究還是將兩者併論而指稱：「是立法院行使文件調閱權，自無侵犯監察院調查權之問題，檢察機關自不得執此拒絕調閱。」（理由書第五段）為描敘上述糾纒的情境，引用南宋詩人楊萬里的詩作「桂源鋪」</w:t>
      </w:r>
      <w:r w:rsidRPr="00172506">
        <w:rPr>
          <w:sz w:val="28"/>
          <w:szCs w:val="28"/>
        </w:rPr>
        <w:t>:</w:t>
      </w:r>
      <w:r w:rsidRPr="00172506">
        <w:rPr>
          <w:rFonts w:hAnsi="標楷體"/>
          <w:sz w:val="28"/>
          <w:szCs w:val="28"/>
        </w:rPr>
        <w:t>「萬山不許一溪奔，攔得溪聲日夜喧。到得前頭山腳盡，堂堂溪水出前村。」毋寧是相當地貼切。</w:t>
      </w:r>
    </w:p>
    <w:p w:rsidR="00925AB8" w:rsidRPr="00172506" w:rsidRDefault="00925AB8" w:rsidP="00925AB8">
      <w:pPr>
        <w:spacing w:line="391" w:lineRule="exact"/>
        <w:ind w:left="504" w:hangingChars="180" w:hanging="504"/>
        <w:jc w:val="both"/>
        <w:rPr>
          <w:b/>
          <w:sz w:val="28"/>
          <w:szCs w:val="28"/>
        </w:rPr>
      </w:pPr>
      <w:r w:rsidRPr="00172506">
        <w:rPr>
          <w:rFonts w:hAnsi="標楷體"/>
          <w:b/>
          <w:sz w:val="28"/>
          <w:szCs w:val="28"/>
        </w:rPr>
        <w:t>貳、憲法保障檢察機關偵查與追訴犯罪之相關卷證不得任意公開，究係基於「行政特權」或「司法特權」，相關的定位影響釋憲者的立場與態度甚鉅</w:t>
      </w:r>
    </w:p>
    <w:p w:rsidR="00925AB8" w:rsidRPr="00172506" w:rsidRDefault="00925AB8" w:rsidP="00282628">
      <w:pPr>
        <w:snapToGrid w:val="0"/>
        <w:spacing w:line="391" w:lineRule="exact"/>
        <w:ind w:left="539" w:firstLineChars="200" w:firstLine="560"/>
        <w:jc w:val="both"/>
        <w:rPr>
          <w:sz w:val="28"/>
          <w:szCs w:val="28"/>
        </w:rPr>
      </w:pPr>
      <w:r w:rsidRPr="00172506">
        <w:rPr>
          <w:rFonts w:hAnsi="標楷體"/>
          <w:sz w:val="28"/>
          <w:szCs w:val="28"/>
        </w:rPr>
        <w:t>就立法院欲調閱檢察機關偵查與追訴犯罪相關卷證所生之憲法爭議問題，本院釋字第三</w:t>
      </w:r>
      <w:r w:rsidRPr="005E362F">
        <w:rPr>
          <w:rFonts w:hAnsi="標楷體"/>
          <w:bCs/>
          <w:color w:val="000000"/>
          <w:sz w:val="28"/>
          <w:szCs w:val="28"/>
        </w:rPr>
        <w:t>二五號</w:t>
      </w:r>
      <w:r w:rsidRPr="00172506">
        <w:rPr>
          <w:rFonts w:hAnsi="標楷體"/>
          <w:sz w:val="28"/>
          <w:szCs w:val="28"/>
        </w:rPr>
        <w:t>解釋僅指出：「訴訟案件在裁判確定前就偵查、審判所為之處置及其卷證</w:t>
      </w:r>
      <w:r>
        <w:rPr>
          <w:rFonts w:hint="eastAsia"/>
          <w:sz w:val="28"/>
          <w:szCs w:val="28"/>
        </w:rPr>
        <w:t>……</w:t>
      </w:r>
      <w:r w:rsidRPr="00172506">
        <w:rPr>
          <w:rFonts w:hAnsi="標楷體"/>
          <w:sz w:val="28"/>
          <w:szCs w:val="28"/>
        </w:rPr>
        <w:t>立法院之調閱文件，應受限制。」其保障檢察機關獨立行使職權之用意甚明，而從整體刑事偵審程序言，在「決定起訴否」的重要階段，為「偵查不公開」打造純淨不受干涉的空間，確有其必要。惟該解釋並未交代「應受限制」之法理原因，究係基於檢察機關行使上述職權屬行政權本質之「行政特權」；或屬司法權中審判獨立之「司法特權」。對此，本院釋字第五八五號解釋明確表示：「行政首長依其行政權固有之權能，對於可能影響或干預行政部門有效運作之資訊，例如涉及國家安全、國防或外交之國家機密事項，有關政策形成過程之內部討論資訊，以及有關正在進行中之犯罪偵查之相關資訊等，均有決定不予公開之權力，乃屬行政權本質所具有之行政特權（</w:t>
      </w:r>
      <w:r w:rsidRPr="00172506">
        <w:rPr>
          <w:sz w:val="28"/>
          <w:szCs w:val="28"/>
        </w:rPr>
        <w:t>executive privilege</w:t>
      </w:r>
      <w:r w:rsidRPr="00172506">
        <w:rPr>
          <w:rFonts w:hAnsi="標楷體"/>
          <w:sz w:val="28"/>
          <w:szCs w:val="28"/>
        </w:rPr>
        <w:t>）。立法院行使調查權如涉及此類事項，即應予以適當之尊重，而不宜逕自強制行政部門必須公開此類資訊或提供相關文書。」很顯然的，該「行政特權」是透過憲法權力分立與制衡原則詮釋而得，並非由憲法明文所保障；而「司法特權」則是由憲法第八十條與第八十一條直接明文保障，屬憲法保留事項；兩者之區分，顯有其實益。</w:t>
      </w:r>
    </w:p>
    <w:p w:rsidR="00925AB8" w:rsidRPr="00172506" w:rsidRDefault="00925AB8" w:rsidP="00282628">
      <w:pPr>
        <w:snapToGrid w:val="0"/>
        <w:spacing w:line="391" w:lineRule="exact"/>
        <w:ind w:left="539" w:firstLineChars="200" w:firstLine="560"/>
        <w:jc w:val="both"/>
        <w:rPr>
          <w:sz w:val="28"/>
          <w:szCs w:val="28"/>
        </w:rPr>
      </w:pPr>
      <w:r w:rsidRPr="00172506">
        <w:rPr>
          <w:rFonts w:hAnsi="標楷體"/>
          <w:sz w:val="28"/>
          <w:szCs w:val="28"/>
        </w:rPr>
        <w:t>就本件解釋而言，釋憲者若就立法院行使資訊權所欲監督的是「行政權」或「司法權」有不同的認知，自會於審理案件時影響判準，並形成寬嚴不一的立場。其次，「行政特權」與「司法特權」對檢察獨立保障的效果固然接近，但若因此就認為，檢察機關的偵查與追訴犯罪行為應受到憲法對「審判獨立」同樣規格的保障，在該種倒果為因的推論下，常會以「司法獨立」替代「檢察獨立」為擋箭牌，除提高民意監督的困難度，當「檢察獨立」遭受指責時，必殃及「審判獨立」，有損人民對司法的信賴。更重要的是，「行政特權」與「司法特權」的辨明，應有助於解開由來已久所形成的「剪不斷理還亂」又常生指鹿為馬的「廣義司法機關」糾結。該認知</w:t>
      </w:r>
      <w:r w:rsidRPr="00172506">
        <w:rPr>
          <w:rFonts w:hAnsi="標楷體"/>
          <w:sz w:val="28"/>
          <w:szCs w:val="28"/>
        </w:rPr>
        <w:lastRenderedPageBreak/>
        <w:t>形成於本院釋字第一三號有關「檢察官與法官受相同保障」之解釋，以及釋字第三九二號有關「憲法第八條第一項所規定之司法機關，</w:t>
      </w:r>
      <w:r>
        <w:rPr>
          <w:rFonts w:hint="eastAsia"/>
          <w:sz w:val="28"/>
          <w:szCs w:val="28"/>
        </w:rPr>
        <w:t>……</w:t>
      </w:r>
      <w:r w:rsidRPr="00172506">
        <w:rPr>
          <w:rFonts w:hAnsi="標楷體"/>
          <w:sz w:val="28"/>
          <w:szCs w:val="28"/>
        </w:rPr>
        <w:t>係包括檢察機關在內之廣義司法機關」之解釋，致今法院組織法設有「檢察機關」一章（第五章）、各檢察署冠上法院名稱、法官法納入檢察官一章（第十章），以及司法院下有「法官學院」、法務部下設「司法官學院」等，一連串既難分又難捨的現象。因此，釋字第五八五號解釋以上有關「行政特權」的定調，就極具憲法的啟發意義。</w:t>
      </w:r>
    </w:p>
    <w:p w:rsidR="00925AB8" w:rsidRPr="00172506" w:rsidRDefault="00925AB8" w:rsidP="00282628">
      <w:pPr>
        <w:snapToGrid w:val="0"/>
        <w:spacing w:line="391" w:lineRule="exact"/>
        <w:ind w:left="539" w:firstLineChars="200" w:firstLine="560"/>
        <w:jc w:val="both"/>
        <w:rPr>
          <w:sz w:val="28"/>
          <w:szCs w:val="28"/>
        </w:rPr>
      </w:pPr>
      <w:r w:rsidRPr="00172506">
        <w:rPr>
          <w:rFonts w:hAnsi="標楷體"/>
          <w:sz w:val="28"/>
          <w:szCs w:val="28"/>
        </w:rPr>
        <w:t>在前述渾沌的狀況下，就涉及權力分立與制衡之機關爭議案件，作為純司法權的釋憲者，更須保持客觀超然的立場與態度。本件解釋並未重申釋字第五八五號解釋前揭「行政特權」的立場，已隱約含有將「檢察獨立」等同「司法獨立」保障而優於「國會資訊權」之意，且略有「檢察獨立」若不受充分保障，將危及「審判獨立」的憂慮感，而此種從本是同根生而來之愛屋及烏的心理投射，若予人有釋憲立場偏向檢察權的不中立印象，解釋的信度與效度將大打折扣。更現實的問題是，將檢察機關一概披上司法獨立的外衣，對本就權大勢大的檢察權如虎添翼，若有恣意之虞，立法與司法權要對之有效制衡，恐難上加難，若失卻均衡並非憲政與人民之福。以上的懷疑，皆肇因於本件解釋刻意與本院釋字第五八五號解釋劃清界限，得不償失。</w:t>
      </w:r>
    </w:p>
    <w:p w:rsidR="00925AB8" w:rsidRPr="00172506" w:rsidRDefault="00925AB8" w:rsidP="00925AB8">
      <w:pPr>
        <w:spacing w:line="391" w:lineRule="exact"/>
        <w:ind w:left="504" w:hangingChars="180" w:hanging="504"/>
        <w:jc w:val="both"/>
        <w:rPr>
          <w:b/>
          <w:sz w:val="28"/>
          <w:szCs w:val="28"/>
        </w:rPr>
      </w:pPr>
      <w:r>
        <w:rPr>
          <w:rFonts w:hAnsi="標楷體" w:hint="eastAsia"/>
          <w:b/>
          <w:sz w:val="28"/>
          <w:szCs w:val="28"/>
        </w:rPr>
        <w:t>叁</w:t>
      </w:r>
      <w:r w:rsidRPr="00172506">
        <w:rPr>
          <w:rFonts w:hAnsi="標楷體"/>
          <w:b/>
          <w:sz w:val="28"/>
          <w:szCs w:val="28"/>
        </w:rPr>
        <w:t>、本件解釋就立法院文件調閱權雖增設不少憲法層次的要件，在揭弊求真相，要求政府公開、透明、乾淨的時代民氣下，恐難令立法權甘心雌伏於現行法制之下</w:t>
      </w:r>
    </w:p>
    <w:p w:rsidR="00925AB8" w:rsidRPr="00172506" w:rsidRDefault="00925AB8" w:rsidP="00282628">
      <w:pPr>
        <w:snapToGrid w:val="0"/>
        <w:spacing w:line="391" w:lineRule="exact"/>
        <w:ind w:left="539" w:firstLineChars="200" w:firstLine="560"/>
        <w:jc w:val="both"/>
        <w:rPr>
          <w:sz w:val="28"/>
          <w:szCs w:val="28"/>
        </w:rPr>
      </w:pPr>
      <w:r w:rsidRPr="00172506">
        <w:rPr>
          <w:rFonts w:hAnsi="標楷體"/>
          <w:sz w:val="28"/>
          <w:szCs w:val="28"/>
        </w:rPr>
        <w:t>本件解釋重申權力分立與制衡以及保障檢察機關獨立行使職權後，先將立法院對於偵查中案件相關卷證之調閱，從本院釋字第三二五號解釋所稱「應受限制」改稱為「不得調閱」，再就已偵查終結而不起訴處分確定或未經起訴而以其他方式結案之案件卷證部分，除援用本院釋字第五八五號解釋中「重大關聯」、「行政上本質核心功能」外，增設諸多限制調閱文件的要件。其包括「須基於目的與範圍均屬明確之特定議案」、「非屬法律所禁止」、「因調閱而有妨害另案偵查之虞，檢察機關得延至該另案偵查終結後，再行提供調閱之卷證資料」、「文件內容含有國家機密、機關內部討論形成政策過程、不宜公開之犯罪事證」、「因調閱以致可能影響或干預有關機關之公務運作，或對其權力之行使造成實質妨害」、「至調閱與偵查卷宗文件原本內容相符之影本，因影本所表彰文書之內容與原本相同，亦應經立法院院會決議」與「依法定組織及程序調閱」等。至就資訊利用部分，則另有限制：「因調閱卷證而知悉之資訊，其使用應限於行使憲法上職權所必要，並注意維護關係人之權益（如名譽、隱私、營業秘密等）」。若再加上立法院職權行使法第四十七條第一項前段規定：「</w:t>
      </w:r>
      <w:r w:rsidRPr="00172506">
        <w:rPr>
          <w:rFonts w:hAnsi="標楷體"/>
          <w:kern w:val="0"/>
          <w:sz w:val="28"/>
          <w:szCs w:val="28"/>
        </w:rPr>
        <w:t>受要求調閱文件之機</w:t>
      </w:r>
      <w:r w:rsidRPr="00172506">
        <w:rPr>
          <w:rFonts w:hAnsi="標楷體"/>
          <w:kern w:val="0"/>
          <w:sz w:val="28"/>
          <w:szCs w:val="28"/>
        </w:rPr>
        <w:lastRenderedPageBreak/>
        <w:t>關，</w:t>
      </w:r>
      <w:r>
        <w:rPr>
          <w:rFonts w:hint="eastAsia"/>
          <w:sz w:val="28"/>
          <w:szCs w:val="28"/>
        </w:rPr>
        <w:t>……</w:t>
      </w:r>
      <w:r w:rsidRPr="00172506">
        <w:rPr>
          <w:rFonts w:hAnsi="標楷體"/>
          <w:kern w:val="0"/>
          <w:sz w:val="28"/>
          <w:szCs w:val="28"/>
        </w:rPr>
        <w:t>依法律或其他正當理由得拒絕</w:t>
      </w:r>
      <w:r w:rsidRPr="00172506">
        <w:rPr>
          <w:rFonts w:hAnsi="標楷體"/>
          <w:sz w:val="28"/>
          <w:szCs w:val="28"/>
        </w:rPr>
        <w:t>」，所佈下的天羅地網，究會使立法院行使文件調閱權插翅難飛，或更激化對立形成政治僵局，有待觀察。</w:t>
      </w:r>
    </w:p>
    <w:p w:rsidR="00925AB8" w:rsidRPr="00172506" w:rsidRDefault="00925AB8" w:rsidP="00282628">
      <w:pPr>
        <w:snapToGrid w:val="0"/>
        <w:spacing w:line="391" w:lineRule="exact"/>
        <w:ind w:left="539" w:firstLineChars="200" w:firstLine="560"/>
        <w:jc w:val="both"/>
        <w:rPr>
          <w:sz w:val="28"/>
          <w:szCs w:val="28"/>
        </w:rPr>
      </w:pPr>
      <w:r w:rsidRPr="00172506">
        <w:rPr>
          <w:rFonts w:hAnsi="標楷體"/>
          <w:sz w:val="28"/>
          <w:szCs w:val="28"/>
        </w:rPr>
        <w:t>縱然增加立法院文件調閱的限制要件，但當爭議機關就各該限制要件仍堅持自我的詮釋時，仍需由釋憲機關出面解決。</w:t>
      </w:r>
      <w:r w:rsidRPr="00172506">
        <w:rPr>
          <w:rFonts w:hAnsi="標楷體" w:hint="eastAsia"/>
          <w:sz w:val="22"/>
          <w:szCs w:val="22"/>
        </w:rPr>
        <w:t>（註</w:t>
      </w:r>
      <w:r>
        <w:rPr>
          <w:rFonts w:hAnsi="標楷體" w:hint="eastAsia"/>
          <w:sz w:val="22"/>
        </w:rPr>
        <w:t>二</w:t>
      </w:r>
      <w:r w:rsidRPr="00172506">
        <w:rPr>
          <w:rFonts w:hAnsi="標楷體" w:hint="eastAsia"/>
          <w:sz w:val="22"/>
          <w:szCs w:val="22"/>
        </w:rPr>
        <w:t>）</w:t>
      </w:r>
      <w:r w:rsidRPr="00172506">
        <w:rPr>
          <w:rFonts w:hAnsi="標楷體"/>
          <w:sz w:val="28"/>
          <w:szCs w:val="28"/>
        </w:rPr>
        <w:t>若釋憲機關無法即時而有效解決該等紛爭，向來以標榜代表民意積極參與國家政策形成及監督，而必須快速回應人民意向之立法權，在當今揭弊求真相、要求公開透明的民氣加持，以及透過網路社群文化所形成的壓力氛圍下，未必就甘心雌伏於檢察權可輕易援引的前揭抽象概括限制要件；彼此僵持不下，只好如本件解釋原因案件，適用立法院職權行使法第四十八條規定：「</w:t>
      </w:r>
      <w:r w:rsidRPr="00172506">
        <w:rPr>
          <w:rFonts w:hAnsi="標楷體"/>
          <w:kern w:val="0"/>
          <w:sz w:val="28"/>
          <w:szCs w:val="28"/>
        </w:rPr>
        <w:t>政府機關或公務人員違反本法規定，於立法院調閱文件時拒絕、拖延或隱匿不提供者，得經立法院院會之決議，將其移送監察院依法提出糾正、糾舉或彈劾。</w:t>
      </w:r>
      <w:r w:rsidRPr="00172506">
        <w:rPr>
          <w:rFonts w:hAnsi="標楷體"/>
          <w:sz w:val="28"/>
          <w:szCs w:val="28"/>
        </w:rPr>
        <w:t>」拋出燙手山芋。</w:t>
      </w:r>
    </w:p>
    <w:p w:rsidR="00925AB8" w:rsidRPr="00172506" w:rsidRDefault="00925AB8" w:rsidP="00FA07E6">
      <w:pPr>
        <w:snapToGrid w:val="0"/>
        <w:spacing w:line="391" w:lineRule="exact"/>
        <w:ind w:left="539" w:firstLineChars="200" w:firstLine="560"/>
        <w:jc w:val="both"/>
        <w:rPr>
          <w:sz w:val="28"/>
          <w:szCs w:val="28"/>
        </w:rPr>
      </w:pPr>
      <w:r w:rsidRPr="00172506">
        <w:rPr>
          <w:rFonts w:hAnsi="標楷體"/>
          <w:sz w:val="28"/>
          <w:szCs w:val="28"/>
        </w:rPr>
        <w:t>惟監察權之性質，應屬對公務人員或其工作之違法失職的事後控制，僅為開啟公務員懲戒程序之要件，並非嚴謹的司法決定，自不得將其行使糾正、糾舉或彈劾等案成立與否之理由，當成「機關爭議」是非對錯的答案。若因本件解釋大肆提高限制門檻，又未促成建立解決紛爭的司法機制，以致造成由監察權瓜代司法院大法官，而成為類似案件實質「釋憲機關」的不符憲政體制結果，恐會是無心插柳柳成蔭的結局。</w:t>
      </w:r>
    </w:p>
    <w:p w:rsidR="00925AB8" w:rsidRPr="00172506" w:rsidRDefault="00925AB8" w:rsidP="00925AB8">
      <w:pPr>
        <w:spacing w:line="391" w:lineRule="exact"/>
        <w:ind w:left="561" w:hangingChars="200" w:hanging="561"/>
        <w:jc w:val="both"/>
        <w:rPr>
          <w:b/>
          <w:sz w:val="28"/>
          <w:szCs w:val="28"/>
        </w:rPr>
      </w:pPr>
      <w:r w:rsidRPr="00172506">
        <w:rPr>
          <w:rFonts w:hAnsi="標楷體"/>
          <w:b/>
          <w:sz w:val="28"/>
          <w:szCs w:val="28"/>
        </w:rPr>
        <w:t>肆、相關爭議問題，有賴以法律明定相關要件與程序，由司法機關審理解決之－他山之石可以攻錯</w:t>
      </w:r>
    </w:p>
    <w:p w:rsidR="00925AB8" w:rsidRPr="00172506" w:rsidRDefault="00925AB8" w:rsidP="00282628">
      <w:pPr>
        <w:snapToGrid w:val="0"/>
        <w:spacing w:line="391" w:lineRule="exact"/>
        <w:ind w:left="595" w:firstLineChars="200" w:firstLine="560"/>
        <w:jc w:val="both"/>
        <w:rPr>
          <w:sz w:val="28"/>
          <w:szCs w:val="28"/>
        </w:rPr>
      </w:pPr>
      <w:r w:rsidRPr="00172506">
        <w:rPr>
          <w:rFonts w:hAnsi="標楷體"/>
          <w:sz w:val="28"/>
          <w:szCs w:val="28"/>
        </w:rPr>
        <w:t>本院釋字第五八五號解釋曾指出：「如於具體案件，就所調查事項是否屬於國家機關獨立行使職權或行政特權之範疇，或就屬於行政特權之資訊應否接受調查或公開而有爭執時，立法院與其他國家機關宜循合理之途徑協商解決，或以法律明定相關要件與程序，由司法機關審理解決之。」但如何將憲法未明定且具高度政治爭議之國會資訊權爭執的司法解決機制，建構出合於本土且有助長治久安的法規範，仍是一大挑戰。以下僅就司法院大法官審理案件法及立法院職權行使法規範所未及之處，且惜未成為本件解釋討論對象者，並將焦點集中於「國會政黨爭執」及「聯邦憲法法院與其他專業終審法院分工」兩部分，徵引德國法制以供參酌。</w:t>
      </w:r>
    </w:p>
    <w:p w:rsidR="00925AB8" w:rsidRPr="00172506" w:rsidRDefault="00925AB8" w:rsidP="00A55C56">
      <w:pPr>
        <w:kinsoku w:val="0"/>
        <w:overflowPunct w:val="0"/>
        <w:spacing w:line="391" w:lineRule="exact"/>
        <w:ind w:leftChars="100" w:left="881" w:hangingChars="200" w:hanging="561"/>
        <w:jc w:val="both"/>
        <w:rPr>
          <w:b/>
          <w:sz w:val="28"/>
          <w:szCs w:val="28"/>
        </w:rPr>
      </w:pPr>
      <w:r w:rsidRPr="00172506">
        <w:rPr>
          <w:rFonts w:hAnsi="標楷體"/>
          <w:b/>
          <w:sz w:val="28"/>
          <w:szCs w:val="28"/>
        </w:rPr>
        <w:t>一、就國會內政黨間之相關爭議，依尊重多數保護少數、爭議之解決優先尊重國會自律、自律不成方由司法介入等前提，增修相關法律</w:t>
      </w:r>
    </w:p>
    <w:p w:rsidR="00925AB8" w:rsidRPr="00172506" w:rsidRDefault="00925AB8" w:rsidP="00925AB8">
      <w:pPr>
        <w:kinsoku w:val="0"/>
        <w:overflowPunct w:val="0"/>
        <w:spacing w:line="391" w:lineRule="exact"/>
        <w:ind w:left="879" w:firstLine="595"/>
        <w:jc w:val="both"/>
        <w:rPr>
          <w:sz w:val="28"/>
          <w:szCs w:val="28"/>
        </w:rPr>
      </w:pPr>
      <w:r w:rsidRPr="00172506">
        <w:rPr>
          <w:rFonts w:hAnsi="標楷體"/>
          <w:sz w:val="28"/>
          <w:szCs w:val="28"/>
        </w:rPr>
        <w:t>我國因總統直接民選，已傾向總統制的行政雙首長制；德國採議會內閣制，其國會議員得兼任內閣成員，立法與行政高度重疊；兩國的相關法制，似無可比較基礎。但當兩國的國會多數與政府結合，監督政府的重任大多落在非執政的少數黨身上，</w:t>
      </w:r>
      <w:r w:rsidRPr="00172506">
        <w:rPr>
          <w:rFonts w:hAnsi="標楷體" w:hint="eastAsia"/>
          <w:sz w:val="22"/>
          <w:szCs w:val="22"/>
        </w:rPr>
        <w:t>（註</w:t>
      </w:r>
      <w:r>
        <w:rPr>
          <w:rFonts w:hAnsi="標楷體" w:hint="eastAsia"/>
          <w:sz w:val="22"/>
        </w:rPr>
        <w:t>三</w:t>
      </w:r>
      <w:r w:rsidRPr="00172506">
        <w:rPr>
          <w:rFonts w:hAnsi="標楷體" w:hint="eastAsia"/>
          <w:sz w:val="22"/>
          <w:szCs w:val="22"/>
        </w:rPr>
        <w:t>）</w:t>
      </w:r>
      <w:r w:rsidRPr="00172506">
        <w:rPr>
          <w:rFonts w:hAnsi="標楷體"/>
          <w:sz w:val="28"/>
          <w:szCs w:val="28"/>
        </w:rPr>
        <w:t>此時，調查權或文件調閱權就成為國會少數監督政府的有力武器。我國司法院大法官審理案件法第</w:t>
      </w:r>
      <w:r w:rsidRPr="00172506">
        <w:rPr>
          <w:rFonts w:hAnsi="標楷體"/>
          <w:sz w:val="28"/>
          <w:szCs w:val="28"/>
        </w:rPr>
        <w:lastRenderedPageBreak/>
        <w:t>五條第一項第三款，就機關爭議有保障國會少數（三分之一）之規定；</w:t>
      </w:r>
      <w:r w:rsidRPr="00172506">
        <w:rPr>
          <w:rFonts w:hAnsi="標楷體" w:hint="eastAsia"/>
          <w:sz w:val="22"/>
          <w:szCs w:val="22"/>
        </w:rPr>
        <w:t>（註</w:t>
      </w:r>
      <w:r>
        <w:rPr>
          <w:rFonts w:hAnsi="標楷體" w:hint="eastAsia"/>
          <w:sz w:val="22"/>
        </w:rPr>
        <w:t>四</w:t>
      </w:r>
      <w:r w:rsidRPr="00172506">
        <w:rPr>
          <w:rFonts w:hAnsi="標楷體" w:hint="eastAsia"/>
          <w:sz w:val="22"/>
          <w:szCs w:val="22"/>
        </w:rPr>
        <w:t>）</w:t>
      </w:r>
      <w:r w:rsidRPr="00172506">
        <w:rPr>
          <w:rFonts w:hAnsi="標楷體"/>
          <w:sz w:val="28"/>
          <w:szCs w:val="28"/>
        </w:rPr>
        <w:t>立法院職權行使法第四十五條第一項規定，</w:t>
      </w:r>
      <w:r w:rsidRPr="00172506">
        <w:rPr>
          <w:rFonts w:hAnsi="標楷體" w:hint="eastAsia"/>
          <w:sz w:val="22"/>
          <w:szCs w:val="22"/>
        </w:rPr>
        <w:t>（註</w:t>
      </w:r>
      <w:r>
        <w:rPr>
          <w:rFonts w:hAnsi="標楷體" w:hint="eastAsia"/>
          <w:sz w:val="22"/>
        </w:rPr>
        <w:t>五</w:t>
      </w:r>
      <w:r w:rsidRPr="00172506">
        <w:rPr>
          <w:rFonts w:hAnsi="標楷體" w:hint="eastAsia"/>
          <w:sz w:val="22"/>
          <w:szCs w:val="22"/>
        </w:rPr>
        <w:t>）</w:t>
      </w:r>
      <w:r w:rsidRPr="00172506">
        <w:rPr>
          <w:rFonts w:hAnsi="標楷體"/>
          <w:sz w:val="28"/>
          <w:szCs w:val="28"/>
        </w:rPr>
        <w:t>亦寓有保障少數的意涵。但規範層次不如德國般高，且規範脈絡亦欠分明。德國法制係以基本法第四十四條之規定，保障國會少數（四分之一）組成調查委員會、課予法院及行政機關對之有協助義務，並將憲法法院及聯邦專業法院共同納入定分止爭的行列。</w:t>
      </w:r>
      <w:r w:rsidRPr="00172506">
        <w:rPr>
          <w:rFonts w:hAnsi="標楷體" w:hint="eastAsia"/>
          <w:sz w:val="22"/>
          <w:szCs w:val="22"/>
        </w:rPr>
        <w:t>（註</w:t>
      </w:r>
      <w:r>
        <w:rPr>
          <w:rFonts w:hAnsi="標楷體" w:hint="eastAsia"/>
          <w:sz w:val="22"/>
        </w:rPr>
        <w:t>六</w:t>
      </w:r>
      <w:r w:rsidRPr="00172506">
        <w:rPr>
          <w:rFonts w:hAnsi="標楷體" w:hint="eastAsia"/>
          <w:sz w:val="22"/>
          <w:szCs w:val="22"/>
        </w:rPr>
        <w:t>）</w:t>
      </w:r>
      <w:r w:rsidRPr="00172506">
        <w:rPr>
          <w:rFonts w:hAnsi="標楷體"/>
          <w:sz w:val="28"/>
          <w:szCs w:val="28"/>
        </w:rPr>
        <w:t>再以前揭規定為基礎，制定國會調查委員會職權行使法（下稱調查委員會法），</w:t>
      </w:r>
      <w:r w:rsidRPr="00172506">
        <w:rPr>
          <w:rFonts w:hAnsi="標楷體" w:hint="eastAsia"/>
          <w:sz w:val="22"/>
          <w:szCs w:val="22"/>
        </w:rPr>
        <w:t>（註</w:t>
      </w:r>
      <w:r>
        <w:rPr>
          <w:rFonts w:hAnsi="標楷體" w:hint="eastAsia"/>
          <w:sz w:val="22"/>
        </w:rPr>
        <w:t>七</w:t>
      </w:r>
      <w:r w:rsidRPr="00172506">
        <w:rPr>
          <w:rFonts w:hAnsi="標楷體" w:hint="eastAsia"/>
          <w:sz w:val="22"/>
          <w:szCs w:val="22"/>
        </w:rPr>
        <w:t>）</w:t>
      </w:r>
      <w:r w:rsidRPr="00172506">
        <w:rPr>
          <w:rFonts w:hAnsi="標楷體"/>
          <w:sz w:val="28"/>
          <w:szCs w:val="28"/>
        </w:rPr>
        <w:t>以落實憲法的精神。</w:t>
      </w:r>
      <w:r w:rsidRPr="00172506">
        <w:rPr>
          <w:rFonts w:hAnsi="標楷體" w:hint="eastAsia"/>
          <w:sz w:val="22"/>
          <w:szCs w:val="22"/>
        </w:rPr>
        <w:t>（註</w:t>
      </w:r>
      <w:r>
        <w:rPr>
          <w:rFonts w:hAnsi="標楷體" w:hint="eastAsia"/>
          <w:sz w:val="22"/>
        </w:rPr>
        <w:t>八</w:t>
      </w:r>
      <w:r w:rsidRPr="00172506">
        <w:rPr>
          <w:rFonts w:hAnsi="標楷體" w:hint="eastAsia"/>
          <w:sz w:val="22"/>
          <w:szCs w:val="22"/>
        </w:rPr>
        <w:t>）</w:t>
      </w:r>
      <w:r w:rsidRPr="00172506">
        <w:rPr>
          <w:rFonts w:hAnsi="標楷體"/>
          <w:sz w:val="28"/>
          <w:szCs w:val="28"/>
        </w:rPr>
        <w:t>（本意見書所述及之德國法規範原文，可連結至</w:t>
      </w:r>
      <w:hyperlink r:id="rId12" w:history="1">
        <w:r w:rsidRPr="00172506">
          <w:rPr>
            <w:rStyle w:val="a8"/>
            <w:sz w:val="28"/>
            <w:szCs w:val="28"/>
          </w:rPr>
          <w:t>www.rechtliches.de</w:t>
        </w:r>
      </w:hyperlink>
      <w:r w:rsidRPr="00172506">
        <w:rPr>
          <w:rFonts w:hAnsi="標楷體"/>
          <w:sz w:val="28"/>
          <w:szCs w:val="28"/>
        </w:rPr>
        <w:t>搜尋）</w:t>
      </w:r>
    </w:p>
    <w:p w:rsidR="00925AB8" w:rsidRPr="00172506" w:rsidRDefault="00925AB8" w:rsidP="00925AB8">
      <w:pPr>
        <w:kinsoku w:val="0"/>
        <w:overflowPunct w:val="0"/>
        <w:spacing w:line="391" w:lineRule="exact"/>
        <w:ind w:left="879" w:firstLine="595"/>
        <w:jc w:val="both"/>
        <w:rPr>
          <w:sz w:val="28"/>
          <w:szCs w:val="28"/>
        </w:rPr>
      </w:pPr>
      <w:r w:rsidRPr="00172506">
        <w:rPr>
          <w:rFonts w:hAnsi="標楷體"/>
          <w:kern w:val="0"/>
          <w:sz w:val="28"/>
          <w:szCs w:val="28"/>
        </w:rPr>
        <w:t>在內閣制國家之憲法中，對於少數席次政黨之國會議員的地位，均有較為詳細之規範，大多會賦予其特定權限，使其有能力與政府行政部門及國會多數政黨相互競爭並制衡。</w:t>
      </w:r>
      <w:r w:rsidRPr="00172506">
        <w:rPr>
          <w:rFonts w:hAnsi="標楷體"/>
          <w:sz w:val="28"/>
          <w:szCs w:val="28"/>
        </w:rPr>
        <w:t>我國憲法並無明文，且因長期一黨獨大的政治現實，立法院職權行使法以及關乎政黨興替的選舉、結社等法律，皆未以此為重點。當少數立法委員欲組成調查或文件調閱委員會，若調查事項與對象涉及執政黨成員或執政之行政團隊，而受到國會多數的抵制與杯葛，似乎習以為常。而該等爭議事項未必合乎現行司法院大法官審理案件法機關爭議的聲請要件，立法院的少數恐救濟或解決無門，而形成規範漏洞。該漏洞若不填補，將成為很多與國會資訊權有關案件的葬身之地，永不得見天日，大大增加政黨惡鬥的可能性。</w:t>
      </w:r>
    </w:p>
    <w:p w:rsidR="00925AB8" w:rsidRPr="00172506" w:rsidRDefault="00925AB8" w:rsidP="00925AB8">
      <w:pPr>
        <w:kinsoku w:val="0"/>
        <w:overflowPunct w:val="0"/>
        <w:spacing w:line="391" w:lineRule="exact"/>
        <w:ind w:left="879" w:firstLine="595"/>
        <w:jc w:val="both"/>
        <w:rPr>
          <w:sz w:val="28"/>
          <w:szCs w:val="28"/>
        </w:rPr>
      </w:pPr>
      <w:r w:rsidRPr="00172506">
        <w:rPr>
          <w:rFonts w:hAnsi="標楷體"/>
          <w:sz w:val="28"/>
          <w:szCs w:val="28"/>
        </w:rPr>
        <w:t>依德國調查委員會法第二條第三項之規定，國會認少數國會議員申請設立調查委員會有違憲之虞者，得針對委員會設定條件或限制其調查標的（</w:t>
      </w:r>
      <w:r w:rsidRPr="00172506">
        <w:rPr>
          <w:sz w:val="28"/>
          <w:szCs w:val="28"/>
        </w:rPr>
        <w:t>Untersuchungsgegenstand</w:t>
      </w:r>
      <w:r w:rsidRPr="00172506">
        <w:rPr>
          <w:rFonts w:hAnsi="標楷體"/>
          <w:sz w:val="28"/>
          <w:szCs w:val="28"/>
        </w:rPr>
        <w:t>），少數國會議員若對之有所不服，得向聯邦憲法法院起訴。依同法第十八條第三項前段規定，調查委員會或其四分之一的成員申請調取證物而被拒絕時，就該拒絕之合法性，得聲請聯邦憲法法院裁定之。這些規定皆符合少數服從多數與多數尊重少數之民主原理，可避免強凌弱、眾暴寡的現象，對維繫自由民主憲政的品質，深具價值。復於國會自律不成，方由司法介入，尊重國會自律之制度設計，值得我國立法參考。</w:t>
      </w:r>
      <w:r w:rsidRPr="00172506">
        <w:rPr>
          <w:rFonts w:hAnsi="標楷體" w:hint="eastAsia"/>
          <w:sz w:val="22"/>
          <w:szCs w:val="22"/>
        </w:rPr>
        <w:t>（註</w:t>
      </w:r>
      <w:r>
        <w:rPr>
          <w:rFonts w:hAnsi="標楷體" w:hint="eastAsia"/>
          <w:sz w:val="22"/>
        </w:rPr>
        <w:t>九</w:t>
      </w:r>
      <w:r w:rsidRPr="00172506">
        <w:rPr>
          <w:rFonts w:hAnsi="標楷體" w:hint="eastAsia"/>
          <w:sz w:val="22"/>
          <w:szCs w:val="22"/>
        </w:rPr>
        <w:t>）</w:t>
      </w:r>
    </w:p>
    <w:p w:rsidR="00925AB8" w:rsidRPr="00172506" w:rsidRDefault="00925AB8" w:rsidP="00A55C56">
      <w:pPr>
        <w:kinsoku w:val="0"/>
        <w:overflowPunct w:val="0"/>
        <w:spacing w:line="391" w:lineRule="exact"/>
        <w:ind w:leftChars="100" w:left="881" w:hangingChars="200" w:hanging="561"/>
        <w:jc w:val="both"/>
        <w:rPr>
          <w:b/>
          <w:sz w:val="28"/>
          <w:szCs w:val="28"/>
        </w:rPr>
      </w:pPr>
      <w:r w:rsidRPr="00172506">
        <w:rPr>
          <w:rFonts w:hAnsi="標楷體"/>
          <w:b/>
          <w:sz w:val="28"/>
          <w:szCs w:val="28"/>
        </w:rPr>
        <w:t>二、德國聯邦憲法法院與其他專業終審法院的分工</w:t>
      </w:r>
    </w:p>
    <w:p w:rsidR="00925AB8" w:rsidRPr="00172506" w:rsidRDefault="00925AB8" w:rsidP="00925AB8">
      <w:pPr>
        <w:kinsoku w:val="0"/>
        <w:overflowPunct w:val="0"/>
        <w:spacing w:line="391" w:lineRule="exact"/>
        <w:ind w:left="879" w:firstLine="595"/>
        <w:jc w:val="both"/>
        <w:rPr>
          <w:sz w:val="28"/>
          <w:szCs w:val="28"/>
        </w:rPr>
      </w:pPr>
      <w:r w:rsidRPr="00172506">
        <w:rPr>
          <w:rFonts w:hAnsi="標楷體"/>
          <w:sz w:val="28"/>
          <w:szCs w:val="28"/>
        </w:rPr>
        <w:t>前述爭議若非屬憲法爭議，而仍需由司法解決者，德國法制皆以法律明定交由聯邦專業法院審理，亦可供我國參考。依德國調查委員會法第十七條第四項規定，調查委員會拒絕特定證據之調查或拒絕使用經依法聲請的強制方法（</w:t>
      </w:r>
      <w:r w:rsidRPr="00172506">
        <w:rPr>
          <w:sz w:val="28"/>
          <w:szCs w:val="28"/>
        </w:rPr>
        <w:t>Zwangsmittel</w:t>
      </w:r>
      <w:r w:rsidRPr="00172506">
        <w:rPr>
          <w:rFonts w:hAnsi="標楷體"/>
          <w:sz w:val="28"/>
          <w:szCs w:val="28"/>
        </w:rPr>
        <w:t>）時，其成員四分之一得聲請聯邦普通法院為裁判。</w:t>
      </w:r>
      <w:r w:rsidRPr="00172506">
        <w:rPr>
          <w:rFonts w:hAnsi="標楷體" w:hint="eastAsia"/>
          <w:sz w:val="22"/>
          <w:szCs w:val="22"/>
        </w:rPr>
        <w:t>（註</w:t>
      </w:r>
      <w:r>
        <w:rPr>
          <w:rFonts w:hAnsi="標楷體" w:hint="eastAsia"/>
          <w:sz w:val="22"/>
        </w:rPr>
        <w:t>十</w:t>
      </w:r>
      <w:r w:rsidRPr="00172506">
        <w:rPr>
          <w:rFonts w:hAnsi="標楷體" w:hint="eastAsia"/>
          <w:sz w:val="22"/>
          <w:szCs w:val="22"/>
        </w:rPr>
        <w:t>）</w:t>
      </w:r>
      <w:r w:rsidRPr="00172506">
        <w:rPr>
          <w:rFonts w:hAnsi="標楷體"/>
          <w:sz w:val="28"/>
          <w:szCs w:val="28"/>
        </w:rPr>
        <w:t>又依德國調查委員會法第十八條第三項後段規定，若所提供之物證被列為密件而遭拒絕提供時，就該密件之列等是否合法，得聲請聯邦普通法院裁判之。另依同條第四項規定，若法院及行政機關</w:t>
      </w:r>
      <w:r w:rsidRPr="00172506">
        <w:rPr>
          <w:rFonts w:hAnsi="標楷體"/>
          <w:sz w:val="28"/>
          <w:szCs w:val="28"/>
        </w:rPr>
        <w:lastRenderedPageBreak/>
        <w:t>依基本法規定，未履行對國會調查委員會之法律上及職務上協助義務而生爭議，調查委員會或其四分之一之成員得聲請聯邦普通法院裁判之。聯邦普通法院於審理前述案件，若認為成立調查委員會的決議違憲，且其裁判取決於該決議之有效性時（即所謂的先決問題），依德國調查委員會法第三十六條第二項應停止審判程序，將案件提請聯邦憲法法院裁判之。</w:t>
      </w:r>
    </w:p>
    <w:p w:rsidR="00925AB8" w:rsidRPr="00172506" w:rsidRDefault="00925AB8" w:rsidP="00925AB8">
      <w:pPr>
        <w:kinsoku w:val="0"/>
        <w:overflowPunct w:val="0"/>
        <w:spacing w:line="391" w:lineRule="exact"/>
        <w:ind w:left="879" w:firstLine="595"/>
        <w:jc w:val="both"/>
        <w:rPr>
          <w:sz w:val="28"/>
          <w:szCs w:val="28"/>
        </w:rPr>
      </w:pPr>
      <w:r w:rsidRPr="00172506">
        <w:rPr>
          <w:rFonts w:hAnsi="標楷體"/>
          <w:sz w:val="28"/>
          <w:szCs w:val="28"/>
        </w:rPr>
        <w:t>涉及私人應提供證物之情形，德國調查委員會法亦有相關之規定可供參酌。依該法第二十九條規定，私人所持有或管領之重要物證，經調查委員會之要求，除該證物所含資訊具強烈個人特質（</w:t>
      </w:r>
      <w:r w:rsidRPr="00172506">
        <w:rPr>
          <w:sz w:val="28"/>
          <w:szCs w:val="28"/>
        </w:rPr>
        <w:t>wegen streng persönlichen Charakters</w:t>
      </w:r>
      <w:r w:rsidRPr="00172506">
        <w:rPr>
          <w:rFonts w:hAnsi="標楷體"/>
          <w:sz w:val="28"/>
          <w:szCs w:val="28"/>
        </w:rPr>
        <w:t>）而難以期待當事人提交者外，皆有交付之義務。依法應提出而不為者，調查委員會得科處證物管領人一萬歐元以下的罰鍰。為強制取得證物，經調查委員會或其成員四分之一之聲請，聯邦普通法院得為裁定管收當事人，或扣押證物後交付調查委員會。若事實證明所需證物確在某一處所時，為達扣押目的，亦得下</w:t>
      </w:r>
      <w:r w:rsidR="00C23C32">
        <w:rPr>
          <w:rFonts w:hAnsi="標楷體" w:hint="eastAsia"/>
          <w:sz w:val="28"/>
          <w:szCs w:val="28"/>
        </w:rPr>
        <w:t>令</w:t>
      </w:r>
      <w:r w:rsidRPr="00172506">
        <w:rPr>
          <w:rFonts w:hAnsi="標楷體"/>
          <w:sz w:val="28"/>
          <w:szCs w:val="28"/>
        </w:rPr>
        <w:t>搜索該處所。當事人若認該等調查措施違法侵害其權益時，得依同法第三十六條第三項規定，向聯邦普通法院提起訴訟。</w:t>
      </w:r>
    </w:p>
    <w:p w:rsidR="00925AB8" w:rsidRPr="00172506" w:rsidRDefault="00925AB8" w:rsidP="00925AB8">
      <w:pPr>
        <w:spacing w:line="391" w:lineRule="exact"/>
        <w:ind w:left="561" w:hangingChars="200" w:hanging="561"/>
        <w:jc w:val="both"/>
        <w:rPr>
          <w:b/>
          <w:sz w:val="28"/>
          <w:szCs w:val="28"/>
        </w:rPr>
      </w:pPr>
      <w:r w:rsidRPr="00172506">
        <w:rPr>
          <w:rFonts w:hAnsi="標楷體"/>
          <w:b/>
          <w:sz w:val="28"/>
          <w:szCs w:val="28"/>
        </w:rPr>
        <w:t>伍、附論：不受理決定中不應內含實體審查見解；添加「機關相互尊重」作為憲政理念的再斟酌</w:t>
      </w:r>
    </w:p>
    <w:p w:rsidR="00925AB8" w:rsidRPr="00172506" w:rsidRDefault="00925AB8" w:rsidP="00282628">
      <w:pPr>
        <w:snapToGrid w:val="0"/>
        <w:spacing w:line="391" w:lineRule="exact"/>
        <w:ind w:left="595" w:firstLineChars="200" w:firstLine="560"/>
        <w:jc w:val="both"/>
        <w:rPr>
          <w:sz w:val="28"/>
          <w:szCs w:val="28"/>
        </w:rPr>
      </w:pPr>
      <w:r w:rsidRPr="00172506">
        <w:rPr>
          <w:rFonts w:hAnsi="標楷體"/>
          <w:sz w:val="28"/>
          <w:szCs w:val="28"/>
        </w:rPr>
        <w:t>本件解釋末段中，以「是該運作要點性質上乃該委員會之內規，用以協助所設調閱專案小組運作而訂定，要屬該委員會內部議事運作之事項，尚不生法律或命令牴觸憲法之問題。」為由，而議決不受理部分，係於程序不受理的理由中，夾帶實體見解，本席有所保留，未繼續申論的原因，係為免逾越「協同意見書」之分寸。</w:t>
      </w:r>
    </w:p>
    <w:p w:rsidR="00925AB8" w:rsidRPr="00172506" w:rsidRDefault="00925AB8" w:rsidP="00282628">
      <w:pPr>
        <w:snapToGrid w:val="0"/>
        <w:spacing w:line="391" w:lineRule="exact"/>
        <w:ind w:left="595" w:firstLineChars="200" w:firstLine="560"/>
        <w:jc w:val="both"/>
        <w:rPr>
          <w:sz w:val="28"/>
          <w:szCs w:val="28"/>
        </w:rPr>
      </w:pPr>
      <w:r w:rsidRPr="00172506">
        <w:rPr>
          <w:rFonts w:hAnsi="標楷體"/>
          <w:sz w:val="28"/>
          <w:szCs w:val="28"/>
        </w:rPr>
        <w:t>另，本件解釋在憲法權力分立相互制衡原則外，添附所謂「機關相互尊重的憲政理念」（理由書第四段），是否有其必要，容有討論空間。本院釋字第四九九號解釋已將「權力分立與制衡原則」，列屬「具有本質重要性，亦為憲法整體基本秩序之所在」的憲法核心原則，但長期實踐的結果，其並未與「國家是為人民存在」、「權力分立相互制衡是手段，保障人民基本權利方為目的」、「憲法忠誠」、「機關間在法律上與職務上有相互協助的義務」等憲法理念融會貫通，是需要加把勁的地方，徒增「機關間相互尊重」，恐係畫蛇添足之作。復查「相互尊重」之用語，曾出現在本院釋字第四六一號解釋，係針對國防部參謀總長應否到立法院委員會備詢事件，相關內容略謂：「至司法、考試、監察三院院長，本於五院間相互尊重之立場，並依循憲政慣例，得不受邀請備詢。」若將此「立場或慣例」搖身一變為「憲政理念」，甚至成為「憲法原則」，果真有機關爭議之雙方互以「他機關未遵守相互尊重原則」而生憲法機關爭議，本院大法官應否受理？若受理應</w:t>
      </w:r>
      <w:r w:rsidRPr="00172506">
        <w:rPr>
          <w:rFonts w:hAnsi="標楷體"/>
          <w:sz w:val="28"/>
          <w:szCs w:val="28"/>
        </w:rPr>
        <w:lastRenderedPageBreak/>
        <w:t>如何將類似「追求和諧」的道德性用語，妥適地和權力分立與制衡原則區隔，以防免「機關相互尊重」在權力自我規制難以期待的現實下，不會淪為政治烏托邦的虛構假象，須待日後始能分曉。</w:t>
      </w:r>
    </w:p>
    <w:p w:rsidR="00925AB8" w:rsidRPr="00172506" w:rsidRDefault="00925AB8" w:rsidP="00925AB8">
      <w:pPr>
        <w:spacing w:line="391" w:lineRule="exact"/>
        <w:ind w:left="561" w:hangingChars="200" w:hanging="561"/>
        <w:jc w:val="both"/>
        <w:rPr>
          <w:b/>
          <w:sz w:val="28"/>
          <w:szCs w:val="28"/>
        </w:rPr>
      </w:pPr>
      <w:r w:rsidRPr="00172506">
        <w:rPr>
          <w:rFonts w:hAnsi="標楷體"/>
          <w:b/>
          <w:sz w:val="28"/>
          <w:szCs w:val="28"/>
        </w:rPr>
        <w:t>陸、結語－時間並不必然站在司法這邊</w:t>
      </w:r>
    </w:p>
    <w:p w:rsidR="00925AB8" w:rsidRPr="00172506" w:rsidRDefault="00925AB8" w:rsidP="00282628">
      <w:pPr>
        <w:snapToGrid w:val="0"/>
        <w:spacing w:line="391" w:lineRule="exact"/>
        <w:ind w:left="595" w:firstLineChars="200" w:firstLine="560"/>
        <w:jc w:val="both"/>
        <w:rPr>
          <w:sz w:val="28"/>
          <w:szCs w:val="28"/>
        </w:rPr>
      </w:pPr>
      <w:r w:rsidRPr="00172506">
        <w:rPr>
          <w:rFonts w:hAnsi="標楷體"/>
          <w:sz w:val="28"/>
          <w:szCs w:val="28"/>
        </w:rPr>
        <w:t>增設國會文件調閱權的憲法要件，固有助於釐清相關權力行使的界限，但就各該涉及抽象概念之界限詮釋與遵守的爭議機關，仍難免各堅持己見，形成互不相讓的僵局，若本院大法官不能有效逐案定分止爭，又未前瞻地指出規範漏洞，提供相關解決問題配套規範所依恃的憲法理念，自不能期待獲得田園牧歌式的憲政運作榮景。其實，本院大法官有憲法再造與填補憲法漏洞之權限，而本件解釋卻自限於補充本院釋字第三二五號解釋，僅跨出一小步，只仿效十年前本院釋字第五八五號解釋於解釋之末指出：「主管機關應儘速建立解決機關爭議之法律機制，併此指明。」錯過站在該號解釋的肩上，前瞻地認識司法改革的正確方向，為促成更完備的法制而作出貢獻，仍將問題留後待決，殊為可惜。</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註一：</w:t>
      </w:r>
      <w:r w:rsidRPr="000E48D2">
        <w:rPr>
          <w:rFonts w:ascii="標楷體" w:hAnsi="標楷體" w:hint="eastAsia"/>
          <w:sz w:val="22"/>
          <w:szCs w:val="22"/>
        </w:rPr>
        <w:t>該用語係參考</w:t>
      </w:r>
      <w:r w:rsidRPr="000E48D2">
        <w:rPr>
          <w:sz w:val="22"/>
          <w:szCs w:val="22"/>
        </w:rPr>
        <w:t>德國聯邦憲法法院第二庭於</w:t>
      </w:r>
      <w:smartTag w:uri="urn:schemas-microsoft-com:office:smarttags" w:element="chsdate">
        <w:smartTagPr>
          <w:attr w:name="Year" w:val="2014"/>
          <w:attr w:name="Month" w:val="10"/>
          <w:attr w:name="Day" w:val="21"/>
          <w:attr w:name="IsLunarDate" w:val="False"/>
          <w:attr w:name="IsROCDate" w:val="False"/>
        </w:smartTagPr>
        <w:r w:rsidRPr="000E48D2">
          <w:rPr>
            <w:sz w:val="22"/>
            <w:szCs w:val="22"/>
          </w:rPr>
          <w:t>2014</w:t>
        </w:r>
        <w:r w:rsidRPr="000E48D2">
          <w:rPr>
            <w:sz w:val="22"/>
            <w:szCs w:val="22"/>
          </w:rPr>
          <w:t>年</w:t>
        </w:r>
        <w:r w:rsidRPr="000E48D2">
          <w:rPr>
            <w:sz w:val="22"/>
            <w:szCs w:val="22"/>
          </w:rPr>
          <w:t>10</w:t>
        </w:r>
        <w:r w:rsidRPr="000E48D2">
          <w:rPr>
            <w:sz w:val="22"/>
            <w:szCs w:val="22"/>
          </w:rPr>
          <w:t>月</w:t>
        </w:r>
        <w:r w:rsidRPr="000E48D2">
          <w:rPr>
            <w:sz w:val="22"/>
            <w:szCs w:val="22"/>
          </w:rPr>
          <w:t>21</w:t>
        </w:r>
        <w:r w:rsidRPr="000E48D2">
          <w:rPr>
            <w:sz w:val="22"/>
            <w:szCs w:val="22"/>
          </w:rPr>
          <w:t>日</w:t>
        </w:r>
      </w:smartTag>
      <w:r w:rsidRPr="000E48D2">
        <w:rPr>
          <w:sz w:val="22"/>
          <w:szCs w:val="22"/>
        </w:rPr>
        <w:t>，針對德國軍備輸出監督（</w:t>
      </w:r>
      <w:r w:rsidRPr="000E48D2">
        <w:rPr>
          <w:sz w:val="22"/>
          <w:szCs w:val="22"/>
        </w:rPr>
        <w:t>Rüstungsexportkontrolle</w:t>
      </w:r>
      <w:r w:rsidRPr="000E48D2">
        <w:rPr>
          <w:sz w:val="22"/>
          <w:szCs w:val="22"/>
        </w:rPr>
        <w:t>）案</w:t>
      </w:r>
      <w:r w:rsidRPr="000E48D2">
        <w:rPr>
          <w:rFonts w:hint="eastAsia"/>
          <w:sz w:val="22"/>
          <w:szCs w:val="22"/>
        </w:rPr>
        <w:t>之</w:t>
      </w:r>
      <w:r w:rsidRPr="000E48D2">
        <w:rPr>
          <w:sz w:val="22"/>
          <w:szCs w:val="22"/>
        </w:rPr>
        <w:t>判決</w:t>
      </w:r>
      <w:r w:rsidRPr="000E48D2">
        <w:rPr>
          <w:rFonts w:hint="eastAsia"/>
          <w:sz w:val="22"/>
          <w:szCs w:val="22"/>
        </w:rPr>
        <w:t>主文，略謂</w:t>
      </w:r>
      <w:r w:rsidR="00C23C32">
        <w:rPr>
          <w:rFonts w:hint="eastAsia"/>
          <w:sz w:val="22"/>
          <w:szCs w:val="22"/>
        </w:rPr>
        <w:t>：</w:t>
      </w:r>
      <w:r w:rsidRPr="000E48D2">
        <w:rPr>
          <w:rFonts w:hint="eastAsia"/>
          <w:sz w:val="22"/>
          <w:szCs w:val="22"/>
        </w:rPr>
        <w:t>德國聯邦眾議院</w:t>
      </w:r>
      <w:r w:rsidRPr="000E48D2">
        <w:rPr>
          <w:sz w:val="22"/>
          <w:szCs w:val="22"/>
        </w:rPr>
        <w:t>代表民意並向人民負責</w:t>
      </w:r>
      <w:r w:rsidRPr="000E48D2">
        <w:rPr>
          <w:rFonts w:hint="eastAsia"/>
          <w:sz w:val="22"/>
          <w:szCs w:val="22"/>
        </w:rPr>
        <w:t>，必須監督聯邦政府，因而</w:t>
      </w:r>
      <w:r w:rsidRPr="000E48D2">
        <w:rPr>
          <w:sz w:val="22"/>
          <w:szCs w:val="22"/>
        </w:rPr>
        <w:t>對</w:t>
      </w:r>
      <w:r w:rsidRPr="000E48D2">
        <w:rPr>
          <w:rFonts w:hint="eastAsia"/>
          <w:sz w:val="22"/>
          <w:szCs w:val="22"/>
        </w:rPr>
        <w:t>之</w:t>
      </w:r>
      <w:r w:rsidRPr="000E48D2">
        <w:rPr>
          <w:sz w:val="22"/>
          <w:szCs w:val="22"/>
        </w:rPr>
        <w:t>有詢問及資訊權（</w:t>
      </w:r>
      <w:r w:rsidRPr="000E48D2">
        <w:rPr>
          <w:sz w:val="22"/>
          <w:szCs w:val="22"/>
        </w:rPr>
        <w:t>Frage- und Informationsrecht</w:t>
      </w:r>
      <w:r w:rsidRPr="000E48D2">
        <w:rPr>
          <w:sz w:val="22"/>
          <w:szCs w:val="22"/>
        </w:rPr>
        <w:t>）</w:t>
      </w:r>
      <w:r w:rsidRPr="000E48D2">
        <w:rPr>
          <w:rFonts w:hint="eastAsia"/>
          <w:sz w:val="22"/>
          <w:szCs w:val="22"/>
        </w:rPr>
        <w:t>。</w:t>
      </w:r>
      <w:r w:rsidRPr="000E48D2">
        <w:rPr>
          <w:sz w:val="22"/>
          <w:szCs w:val="22"/>
        </w:rPr>
        <w:t>聯邦政府</w:t>
      </w:r>
      <w:r w:rsidRPr="000E48D2">
        <w:rPr>
          <w:rFonts w:hint="eastAsia"/>
          <w:sz w:val="22"/>
          <w:szCs w:val="22"/>
        </w:rPr>
        <w:t>就國會的資訊要求</w:t>
      </w:r>
      <w:r w:rsidR="00173265">
        <w:rPr>
          <w:rFonts w:hint="eastAsia"/>
          <w:sz w:val="22"/>
          <w:szCs w:val="22"/>
        </w:rPr>
        <w:t>（</w:t>
      </w:r>
      <w:r w:rsidRPr="000E48D2">
        <w:rPr>
          <w:rFonts w:hint="eastAsia"/>
          <w:sz w:val="22"/>
          <w:szCs w:val="22"/>
        </w:rPr>
        <w:t>Informationsanspruch</w:t>
      </w:r>
      <w:r w:rsidR="00173265">
        <w:rPr>
          <w:rFonts w:hint="eastAsia"/>
          <w:sz w:val="22"/>
          <w:szCs w:val="22"/>
        </w:rPr>
        <w:t>）</w:t>
      </w:r>
      <w:r w:rsidRPr="000E48D2">
        <w:rPr>
          <w:sz w:val="22"/>
          <w:szCs w:val="22"/>
        </w:rPr>
        <w:t>有</w:t>
      </w:r>
      <w:r w:rsidRPr="000E48D2">
        <w:rPr>
          <w:rFonts w:hint="eastAsia"/>
          <w:sz w:val="22"/>
          <w:szCs w:val="22"/>
        </w:rPr>
        <w:t>答覆</w:t>
      </w:r>
      <w:r w:rsidRPr="000E48D2">
        <w:rPr>
          <w:sz w:val="22"/>
          <w:szCs w:val="22"/>
        </w:rPr>
        <w:t>的義務（</w:t>
      </w:r>
      <w:r w:rsidRPr="000E48D2">
        <w:rPr>
          <w:sz w:val="22"/>
          <w:szCs w:val="22"/>
        </w:rPr>
        <w:t>Antwortpflicht</w:t>
      </w:r>
      <w:r w:rsidRPr="000E48D2">
        <w:rPr>
          <w:rFonts w:hint="eastAsia"/>
          <w:sz w:val="22"/>
          <w:szCs w:val="22"/>
        </w:rPr>
        <w:t xml:space="preserve"> bzw. Auskunfts</w:t>
      </w:r>
      <w:r w:rsidRPr="000E48D2">
        <w:rPr>
          <w:sz w:val="22"/>
          <w:szCs w:val="22"/>
        </w:rPr>
        <w:t>pflicht</w:t>
      </w:r>
      <w:r w:rsidRPr="000E48D2">
        <w:rPr>
          <w:sz w:val="22"/>
          <w:szCs w:val="22"/>
        </w:rPr>
        <w:t>）</w:t>
      </w:r>
      <w:r w:rsidRPr="000E48D2">
        <w:rPr>
          <w:rFonts w:hint="eastAsia"/>
          <w:sz w:val="22"/>
          <w:szCs w:val="22"/>
        </w:rPr>
        <w:t>，權利與義務相需相成</w:t>
      </w:r>
      <w:r w:rsidRPr="000E48D2">
        <w:rPr>
          <w:sz w:val="22"/>
          <w:szCs w:val="22"/>
        </w:rPr>
        <w:t>。</w:t>
      </w:r>
      <w:r w:rsidRPr="000E48D2">
        <w:rPr>
          <w:sz w:val="22"/>
          <w:szCs w:val="22"/>
        </w:rPr>
        <w:t>Vgl. BVerfG, Urt. v. 21.10.2014 – 2 BvE 5/11.</w:t>
      </w:r>
      <w:r w:rsidRPr="000E48D2">
        <w:rPr>
          <w:rFonts w:hint="eastAsia"/>
          <w:sz w:val="22"/>
          <w:szCs w:val="22"/>
        </w:rPr>
        <w:t xml:space="preserve"> NVwZ 24/2014, S.1652ff.</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註二：</w:t>
      </w:r>
      <w:r w:rsidRPr="000E48D2">
        <w:rPr>
          <w:rFonts w:hint="eastAsia"/>
          <w:sz w:val="22"/>
          <w:szCs w:val="22"/>
        </w:rPr>
        <w:t>例如</w:t>
      </w:r>
      <w:r w:rsidRPr="000E48D2">
        <w:rPr>
          <w:sz w:val="22"/>
          <w:szCs w:val="22"/>
        </w:rPr>
        <w:t>：爭議機關皆指涉</w:t>
      </w:r>
      <w:r w:rsidRPr="000E48D2">
        <w:rPr>
          <w:rFonts w:hint="eastAsia"/>
          <w:sz w:val="22"/>
          <w:szCs w:val="22"/>
        </w:rPr>
        <w:t>對方違反</w:t>
      </w:r>
      <w:r w:rsidRPr="000E48D2">
        <w:rPr>
          <w:sz w:val="22"/>
          <w:szCs w:val="22"/>
        </w:rPr>
        <w:t>「權力分立」</w:t>
      </w:r>
      <w:r w:rsidRPr="000E48D2">
        <w:rPr>
          <w:rFonts w:hint="eastAsia"/>
          <w:sz w:val="22"/>
          <w:szCs w:val="22"/>
        </w:rPr>
        <w:t>原則</w:t>
      </w:r>
      <w:r w:rsidRPr="000E48D2">
        <w:rPr>
          <w:sz w:val="22"/>
          <w:szCs w:val="22"/>
        </w:rPr>
        <w:t>，</w:t>
      </w:r>
      <w:r w:rsidRPr="000E48D2">
        <w:rPr>
          <w:rFonts w:hint="eastAsia"/>
          <w:sz w:val="22"/>
          <w:szCs w:val="22"/>
        </w:rPr>
        <w:t>且</w:t>
      </w:r>
      <w:r w:rsidRPr="000E48D2">
        <w:rPr>
          <w:sz w:val="22"/>
          <w:szCs w:val="22"/>
        </w:rPr>
        <w:t>均依釋字第</w:t>
      </w:r>
      <w:r w:rsidRPr="000E48D2">
        <w:rPr>
          <w:sz w:val="22"/>
          <w:szCs w:val="22"/>
        </w:rPr>
        <w:t>613</w:t>
      </w:r>
      <w:r w:rsidRPr="000E48D2">
        <w:rPr>
          <w:sz w:val="22"/>
          <w:szCs w:val="22"/>
        </w:rPr>
        <w:t>號解釋：「</w:t>
      </w:r>
      <w:r w:rsidRPr="000E48D2">
        <w:rPr>
          <w:kern w:val="0"/>
          <w:sz w:val="22"/>
          <w:szCs w:val="22"/>
        </w:rPr>
        <w:t>作為憲法</w:t>
      </w:r>
      <w:r w:rsidRPr="00DF4DD3">
        <w:rPr>
          <w:rFonts w:hAnsi="標楷體"/>
          <w:sz w:val="22"/>
          <w:szCs w:val="22"/>
        </w:rPr>
        <w:t>基本</w:t>
      </w:r>
      <w:r w:rsidRPr="000E48D2">
        <w:rPr>
          <w:kern w:val="0"/>
          <w:sz w:val="22"/>
          <w:szCs w:val="22"/>
        </w:rPr>
        <w:t>原則之一之權力分立原則，其意義不僅在於權力之區分，將所有國家事務分配由組織、制度與功能等各方面均較適當之國家機關擔當履行，以使國家決定更能有效達到正確之境地，要亦在於權力之制衡，即權力之相互牽制與抑制，以避免權力因無限制之濫用，而致侵害人民自由權利。」</w:t>
      </w:r>
      <w:r w:rsidRPr="000E48D2">
        <w:rPr>
          <w:sz w:val="22"/>
          <w:szCs w:val="22"/>
        </w:rPr>
        <w:t>自認是功能最適的機關，且其所行使的皆屬「不容侵犯的核心權力」，</w:t>
      </w:r>
      <w:r w:rsidRPr="000E48D2">
        <w:rPr>
          <w:rFonts w:hint="eastAsia"/>
          <w:sz w:val="22"/>
          <w:szCs w:val="22"/>
        </w:rPr>
        <w:t>自</w:t>
      </w:r>
      <w:r w:rsidRPr="000E48D2">
        <w:rPr>
          <w:sz w:val="22"/>
          <w:szCs w:val="22"/>
        </w:rPr>
        <w:t>仍需由釋憲機關審理之</w:t>
      </w:r>
      <w:r w:rsidRPr="000E48D2">
        <w:rPr>
          <w:rFonts w:hint="eastAsia"/>
          <w:sz w:val="22"/>
          <w:szCs w:val="22"/>
        </w:rPr>
        <w:t>。其他如「重要關聯」、「正當理由」等不確定法律概念亦同。抽象的</w:t>
      </w:r>
      <w:r w:rsidRPr="000E48D2">
        <w:rPr>
          <w:sz w:val="22"/>
          <w:szCs w:val="22"/>
        </w:rPr>
        <w:t>限制要件</w:t>
      </w:r>
      <w:r w:rsidRPr="000E48D2">
        <w:rPr>
          <w:rFonts w:hint="eastAsia"/>
          <w:sz w:val="22"/>
          <w:szCs w:val="22"/>
        </w:rPr>
        <w:t>愈</w:t>
      </w:r>
      <w:r w:rsidRPr="000E48D2">
        <w:rPr>
          <w:sz w:val="22"/>
          <w:szCs w:val="22"/>
        </w:rPr>
        <w:t>多，解決的難度就更加提升。</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註三：</w:t>
      </w:r>
      <w:r w:rsidRPr="000E48D2">
        <w:rPr>
          <w:sz w:val="22"/>
          <w:szCs w:val="22"/>
        </w:rPr>
        <w:t>例如：為因應歐元區的國債危機、歐元區會員國提供希臘財務援助</w:t>
      </w:r>
      <w:r w:rsidRPr="000E48D2">
        <w:rPr>
          <w:rFonts w:hint="eastAsia"/>
          <w:sz w:val="22"/>
          <w:szCs w:val="22"/>
        </w:rPr>
        <w:t>並</w:t>
      </w:r>
      <w:r w:rsidRPr="000E48D2">
        <w:rPr>
          <w:sz w:val="22"/>
          <w:szCs w:val="22"/>
        </w:rPr>
        <w:t>創建所謂的「救援保護傘」（</w:t>
      </w:r>
      <w:r w:rsidRPr="000E48D2">
        <w:rPr>
          <w:sz w:val="22"/>
          <w:szCs w:val="22"/>
        </w:rPr>
        <w:t>Rettungsschirm</w:t>
      </w:r>
      <w:r w:rsidRPr="000E48D2">
        <w:rPr>
          <w:sz w:val="22"/>
          <w:szCs w:val="22"/>
        </w:rPr>
        <w:t>），德國政府參與</w:t>
      </w:r>
      <w:r w:rsidRPr="000E48D2">
        <w:rPr>
          <w:rFonts w:hint="eastAsia"/>
          <w:sz w:val="22"/>
          <w:szCs w:val="22"/>
        </w:rPr>
        <w:t>並</w:t>
      </w:r>
      <w:r w:rsidRPr="000E48D2">
        <w:rPr>
          <w:sz w:val="22"/>
          <w:szCs w:val="22"/>
        </w:rPr>
        <w:t>承</w:t>
      </w:r>
      <w:r w:rsidRPr="000E48D2">
        <w:rPr>
          <w:rFonts w:hint="eastAsia"/>
          <w:sz w:val="22"/>
          <w:szCs w:val="22"/>
        </w:rPr>
        <w:t>受一定</w:t>
      </w:r>
      <w:r w:rsidRPr="000E48D2">
        <w:rPr>
          <w:sz w:val="22"/>
          <w:szCs w:val="22"/>
        </w:rPr>
        <w:t>財政上的負擔，但國會少數黨</w:t>
      </w:r>
      <w:r w:rsidRPr="000E48D2">
        <w:rPr>
          <w:rFonts w:hint="eastAsia"/>
          <w:sz w:val="22"/>
          <w:szCs w:val="22"/>
        </w:rPr>
        <w:t>要為納稅人看緊荷包卻</w:t>
      </w:r>
      <w:r w:rsidRPr="000E48D2">
        <w:rPr>
          <w:sz w:val="22"/>
          <w:szCs w:val="22"/>
        </w:rPr>
        <w:t>不易從政府取得必要資訊，自難以</w:t>
      </w:r>
      <w:r w:rsidRPr="000E48D2">
        <w:rPr>
          <w:rFonts w:hint="eastAsia"/>
          <w:sz w:val="22"/>
          <w:szCs w:val="22"/>
        </w:rPr>
        <w:t>盡到</w:t>
      </w:r>
      <w:r w:rsidRPr="000E48D2">
        <w:rPr>
          <w:sz w:val="22"/>
          <w:szCs w:val="22"/>
        </w:rPr>
        <w:t>代表民意監督政府</w:t>
      </w:r>
      <w:r w:rsidRPr="000E48D2">
        <w:rPr>
          <w:rFonts w:hint="eastAsia"/>
          <w:sz w:val="22"/>
          <w:szCs w:val="22"/>
        </w:rPr>
        <w:t>應</w:t>
      </w:r>
      <w:r w:rsidRPr="000E48D2">
        <w:rPr>
          <w:sz w:val="22"/>
          <w:szCs w:val="22"/>
        </w:rPr>
        <w:t>公開、透明施政</w:t>
      </w:r>
      <w:r w:rsidRPr="000E48D2">
        <w:rPr>
          <w:rFonts w:hint="eastAsia"/>
          <w:sz w:val="22"/>
          <w:szCs w:val="22"/>
        </w:rPr>
        <w:t>的責任</w:t>
      </w:r>
      <w:r w:rsidRPr="000E48D2">
        <w:rPr>
          <w:sz w:val="22"/>
          <w:szCs w:val="22"/>
        </w:rPr>
        <w:t>。德國非執政的綠黨，乃向聯邦憲法法院提</w:t>
      </w:r>
      <w:r w:rsidRPr="000E48D2">
        <w:rPr>
          <w:rFonts w:hint="eastAsia"/>
          <w:sz w:val="22"/>
          <w:szCs w:val="22"/>
        </w:rPr>
        <w:t>起</w:t>
      </w:r>
      <w:r w:rsidRPr="000E48D2">
        <w:rPr>
          <w:sz w:val="22"/>
          <w:szCs w:val="22"/>
        </w:rPr>
        <w:t>「歐洲穩定機制」（</w:t>
      </w:r>
      <w:r w:rsidRPr="000E48D2">
        <w:rPr>
          <w:sz w:val="22"/>
          <w:szCs w:val="22"/>
        </w:rPr>
        <w:t>Europäische</w:t>
      </w:r>
      <w:r w:rsidRPr="000E48D2">
        <w:rPr>
          <w:rFonts w:hint="eastAsia"/>
          <w:sz w:val="22"/>
          <w:szCs w:val="22"/>
        </w:rPr>
        <w:t>r</w:t>
      </w:r>
      <w:r w:rsidRPr="000E48D2">
        <w:rPr>
          <w:sz w:val="22"/>
          <w:szCs w:val="22"/>
        </w:rPr>
        <w:t xml:space="preserve"> Stabilitätsmechanismus, ESM</w:t>
      </w:r>
      <w:r w:rsidRPr="000E48D2">
        <w:rPr>
          <w:sz w:val="22"/>
          <w:szCs w:val="22"/>
        </w:rPr>
        <w:t>）之機關爭議</w:t>
      </w:r>
      <w:r w:rsidRPr="000E48D2">
        <w:rPr>
          <w:rFonts w:hint="eastAsia"/>
          <w:sz w:val="22"/>
          <w:szCs w:val="22"/>
        </w:rPr>
        <w:t>訴訟</w:t>
      </w:r>
      <w:r w:rsidRPr="000E48D2">
        <w:rPr>
          <w:sz w:val="22"/>
          <w:szCs w:val="22"/>
        </w:rPr>
        <w:t>案</w:t>
      </w:r>
      <w:r w:rsidRPr="000E48D2">
        <w:rPr>
          <w:rFonts w:hint="eastAsia"/>
          <w:sz w:val="22"/>
          <w:szCs w:val="22"/>
        </w:rPr>
        <w:t>，即是國會議員行使資訊權的一種手法。該判決內容</w:t>
      </w:r>
      <w:r w:rsidRPr="000E48D2">
        <w:rPr>
          <w:sz w:val="22"/>
          <w:szCs w:val="22"/>
        </w:rPr>
        <w:t>詳參黃相博譯，〈「歐洲穩定機制」判決，</w:t>
      </w:r>
      <w:r w:rsidRPr="000E48D2">
        <w:rPr>
          <w:sz w:val="22"/>
          <w:szCs w:val="22"/>
        </w:rPr>
        <w:t xml:space="preserve">BVerfGE 131, 152 </w:t>
      </w:r>
      <w:r w:rsidRPr="000E48D2">
        <w:rPr>
          <w:sz w:val="22"/>
          <w:szCs w:val="22"/>
        </w:rPr>
        <w:t>德國聯邦憲法法院第二庭</w:t>
      </w:r>
      <w:smartTag w:uri="urn:schemas-microsoft-com:office:smarttags" w:element="chsdate">
        <w:smartTagPr>
          <w:attr w:name="IsROCDate" w:val="False"/>
          <w:attr w:name="IsLunarDate" w:val="False"/>
          <w:attr w:name="Day" w:val="19"/>
          <w:attr w:name="Month" w:val="6"/>
          <w:attr w:name="Year" w:val="2012"/>
        </w:smartTagPr>
        <w:r w:rsidRPr="000E48D2">
          <w:rPr>
            <w:sz w:val="22"/>
            <w:szCs w:val="22"/>
          </w:rPr>
          <w:t>2012</w:t>
        </w:r>
        <w:r w:rsidRPr="000E48D2">
          <w:rPr>
            <w:sz w:val="22"/>
            <w:szCs w:val="22"/>
          </w:rPr>
          <w:t>年</w:t>
        </w:r>
        <w:r w:rsidRPr="000E48D2">
          <w:rPr>
            <w:sz w:val="22"/>
            <w:szCs w:val="22"/>
          </w:rPr>
          <w:t>6</w:t>
        </w:r>
        <w:r w:rsidRPr="000E48D2">
          <w:rPr>
            <w:sz w:val="22"/>
            <w:szCs w:val="22"/>
          </w:rPr>
          <w:t>月</w:t>
        </w:r>
        <w:r w:rsidRPr="000E48D2">
          <w:rPr>
            <w:sz w:val="22"/>
            <w:szCs w:val="22"/>
          </w:rPr>
          <w:t>19</w:t>
        </w:r>
        <w:r w:rsidRPr="000E48D2">
          <w:rPr>
            <w:sz w:val="22"/>
            <w:szCs w:val="22"/>
          </w:rPr>
          <w:t>日</w:t>
        </w:r>
      </w:smartTag>
      <w:r w:rsidRPr="000E48D2">
        <w:rPr>
          <w:sz w:val="22"/>
          <w:szCs w:val="22"/>
        </w:rPr>
        <w:t>判決</w:t>
      </w:r>
      <w:r w:rsidRPr="000E48D2">
        <w:rPr>
          <w:sz w:val="22"/>
          <w:szCs w:val="22"/>
        </w:rPr>
        <w:t>-2 BvE 4/11-</w:t>
      </w:r>
      <w:r w:rsidRPr="000E48D2">
        <w:rPr>
          <w:color w:val="000000"/>
          <w:sz w:val="22"/>
          <w:szCs w:val="22"/>
        </w:rPr>
        <w:t>〉</w:t>
      </w:r>
      <w:r w:rsidRPr="000E48D2">
        <w:rPr>
          <w:sz w:val="22"/>
          <w:szCs w:val="22"/>
        </w:rPr>
        <w:t>，收於，</w:t>
      </w:r>
      <w:r w:rsidRPr="000E48D2">
        <w:rPr>
          <w:color w:val="000000"/>
          <w:sz w:val="22"/>
          <w:szCs w:val="22"/>
        </w:rPr>
        <w:t>《</w:t>
      </w:r>
      <w:r w:rsidRPr="000E48D2">
        <w:rPr>
          <w:sz w:val="22"/>
          <w:szCs w:val="22"/>
        </w:rPr>
        <w:t>司法院德國聯邦憲法法院裁</w:t>
      </w:r>
      <w:r w:rsidR="00496F66">
        <w:rPr>
          <w:rFonts w:hint="eastAsia"/>
          <w:sz w:val="22"/>
          <w:szCs w:val="22"/>
        </w:rPr>
        <w:t>判</w:t>
      </w:r>
      <w:r w:rsidRPr="000E48D2">
        <w:rPr>
          <w:sz w:val="22"/>
          <w:szCs w:val="22"/>
        </w:rPr>
        <w:t>選輯（十五）</w:t>
      </w:r>
      <w:r w:rsidRPr="000E48D2">
        <w:rPr>
          <w:color w:val="000000"/>
          <w:sz w:val="22"/>
          <w:szCs w:val="22"/>
        </w:rPr>
        <w:t>》</w:t>
      </w:r>
      <w:r w:rsidRPr="000E48D2">
        <w:rPr>
          <w:sz w:val="22"/>
          <w:szCs w:val="22"/>
        </w:rPr>
        <w:t>，</w:t>
      </w:r>
      <w:r w:rsidRPr="000E48D2">
        <w:rPr>
          <w:sz w:val="22"/>
          <w:szCs w:val="22"/>
        </w:rPr>
        <w:t>103</w:t>
      </w:r>
      <w:r w:rsidRPr="000E48D2">
        <w:rPr>
          <w:sz w:val="22"/>
          <w:szCs w:val="22"/>
        </w:rPr>
        <w:t>年，第</w:t>
      </w:r>
      <w:r w:rsidRPr="000E48D2">
        <w:rPr>
          <w:sz w:val="22"/>
          <w:szCs w:val="22"/>
        </w:rPr>
        <w:t>291</w:t>
      </w:r>
      <w:r w:rsidRPr="000E48D2">
        <w:rPr>
          <w:sz w:val="22"/>
          <w:szCs w:val="22"/>
        </w:rPr>
        <w:t>頁以下。</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註四：</w:t>
      </w:r>
      <w:r w:rsidRPr="000E48D2">
        <w:rPr>
          <w:kern w:val="0"/>
          <w:sz w:val="22"/>
          <w:szCs w:val="22"/>
        </w:rPr>
        <w:t>司法院大法官審理案件法第</w:t>
      </w:r>
      <w:r w:rsidRPr="000E48D2">
        <w:rPr>
          <w:kern w:val="0"/>
          <w:sz w:val="22"/>
          <w:szCs w:val="22"/>
        </w:rPr>
        <w:t>5</w:t>
      </w:r>
      <w:r w:rsidRPr="000E48D2">
        <w:rPr>
          <w:kern w:val="0"/>
          <w:sz w:val="22"/>
          <w:szCs w:val="22"/>
        </w:rPr>
        <w:t>條第</w:t>
      </w:r>
      <w:r w:rsidRPr="000E48D2">
        <w:rPr>
          <w:kern w:val="0"/>
          <w:sz w:val="22"/>
          <w:szCs w:val="22"/>
        </w:rPr>
        <w:t>1</w:t>
      </w:r>
      <w:r w:rsidRPr="000E48D2">
        <w:rPr>
          <w:kern w:val="0"/>
          <w:sz w:val="22"/>
          <w:szCs w:val="22"/>
        </w:rPr>
        <w:t>項第</w:t>
      </w:r>
      <w:r w:rsidRPr="000E48D2">
        <w:rPr>
          <w:kern w:val="0"/>
          <w:sz w:val="22"/>
          <w:szCs w:val="22"/>
        </w:rPr>
        <w:t>3</w:t>
      </w:r>
      <w:r w:rsidRPr="000E48D2">
        <w:rPr>
          <w:kern w:val="0"/>
          <w:sz w:val="22"/>
          <w:szCs w:val="22"/>
        </w:rPr>
        <w:t>款規定：「依立法委員現有總額三分之一以上之聲請，就其行使職權，適用憲法發生疑義，或適用法律發生有牴觸憲法之疑義者」，得向大法官聲請解釋憲法。</w:t>
      </w:r>
      <w:r w:rsidRPr="000E48D2">
        <w:rPr>
          <w:rFonts w:hint="eastAsia"/>
          <w:kern w:val="0"/>
          <w:sz w:val="22"/>
          <w:szCs w:val="22"/>
        </w:rPr>
        <w:t>該</w:t>
      </w:r>
      <w:r w:rsidRPr="000E48D2">
        <w:rPr>
          <w:kern w:val="0"/>
          <w:sz w:val="22"/>
          <w:szCs w:val="22"/>
        </w:rPr>
        <w:t>解釋</w:t>
      </w:r>
      <w:r w:rsidRPr="000E48D2">
        <w:rPr>
          <w:rFonts w:hint="eastAsia"/>
          <w:kern w:val="0"/>
          <w:sz w:val="22"/>
          <w:szCs w:val="22"/>
        </w:rPr>
        <w:t>類型中與</w:t>
      </w:r>
      <w:r w:rsidRPr="000E48D2">
        <w:rPr>
          <w:kern w:val="0"/>
          <w:sz w:val="22"/>
          <w:szCs w:val="22"/>
        </w:rPr>
        <w:t>「機關爭議」</w:t>
      </w:r>
      <w:r w:rsidRPr="000E48D2">
        <w:rPr>
          <w:rFonts w:hint="eastAsia"/>
          <w:kern w:val="0"/>
          <w:sz w:val="22"/>
          <w:szCs w:val="22"/>
        </w:rPr>
        <w:t>有關</w:t>
      </w:r>
      <w:r w:rsidRPr="000E48D2">
        <w:rPr>
          <w:kern w:val="0"/>
          <w:sz w:val="22"/>
          <w:szCs w:val="22"/>
        </w:rPr>
        <w:t>者，</w:t>
      </w:r>
      <w:r w:rsidR="00496F66">
        <w:rPr>
          <w:rFonts w:hint="eastAsia"/>
          <w:kern w:val="0"/>
          <w:sz w:val="22"/>
          <w:szCs w:val="22"/>
        </w:rPr>
        <w:t>不外：</w:t>
      </w:r>
      <w:r w:rsidR="00173265">
        <w:rPr>
          <w:rFonts w:hint="eastAsia"/>
          <w:kern w:val="0"/>
          <w:sz w:val="22"/>
          <w:szCs w:val="22"/>
        </w:rPr>
        <w:t>（</w:t>
      </w:r>
      <w:r w:rsidRPr="000E48D2">
        <w:rPr>
          <w:rFonts w:hint="eastAsia"/>
          <w:kern w:val="0"/>
          <w:sz w:val="22"/>
          <w:szCs w:val="22"/>
        </w:rPr>
        <w:t>1</w:t>
      </w:r>
      <w:r w:rsidR="00173265">
        <w:rPr>
          <w:rFonts w:hint="eastAsia"/>
          <w:kern w:val="0"/>
          <w:sz w:val="22"/>
          <w:szCs w:val="22"/>
        </w:rPr>
        <w:t>）</w:t>
      </w:r>
      <w:r w:rsidRPr="000E48D2">
        <w:rPr>
          <w:kern w:val="0"/>
          <w:sz w:val="22"/>
          <w:szCs w:val="22"/>
        </w:rPr>
        <w:t>行使個別立法委員職權（例</w:t>
      </w:r>
      <w:r w:rsidRPr="000E48D2">
        <w:rPr>
          <w:kern w:val="0"/>
          <w:sz w:val="22"/>
          <w:szCs w:val="22"/>
        </w:rPr>
        <w:lastRenderedPageBreak/>
        <w:t>如：質詢權、參與法案審議權），適用憲法發生疑義者而由三分之一以上之立委集體聲請（</w:t>
      </w:r>
      <w:r w:rsidRPr="000E48D2">
        <w:rPr>
          <w:rFonts w:hint="eastAsia"/>
          <w:kern w:val="0"/>
          <w:sz w:val="22"/>
          <w:szCs w:val="22"/>
        </w:rPr>
        <w:t>本院</w:t>
      </w:r>
      <w:r w:rsidRPr="000E48D2">
        <w:rPr>
          <w:kern w:val="0"/>
          <w:sz w:val="22"/>
          <w:szCs w:val="22"/>
        </w:rPr>
        <w:t>釋字第</w:t>
      </w:r>
      <w:r w:rsidRPr="000E48D2">
        <w:rPr>
          <w:kern w:val="0"/>
          <w:sz w:val="22"/>
          <w:szCs w:val="22"/>
        </w:rPr>
        <w:t>342</w:t>
      </w:r>
      <w:r w:rsidRPr="000E48D2">
        <w:rPr>
          <w:kern w:val="0"/>
          <w:sz w:val="22"/>
          <w:szCs w:val="22"/>
        </w:rPr>
        <w:t>號、第</w:t>
      </w:r>
      <w:r w:rsidRPr="000E48D2">
        <w:rPr>
          <w:kern w:val="0"/>
          <w:sz w:val="22"/>
          <w:szCs w:val="22"/>
        </w:rPr>
        <w:t>435</w:t>
      </w:r>
      <w:r w:rsidRPr="000E48D2">
        <w:rPr>
          <w:kern w:val="0"/>
          <w:sz w:val="22"/>
          <w:szCs w:val="22"/>
        </w:rPr>
        <w:t>號、第</w:t>
      </w:r>
      <w:r w:rsidRPr="000E48D2">
        <w:rPr>
          <w:kern w:val="0"/>
          <w:sz w:val="22"/>
          <w:szCs w:val="22"/>
        </w:rPr>
        <w:t>461</w:t>
      </w:r>
      <w:r w:rsidRPr="000E48D2">
        <w:rPr>
          <w:kern w:val="0"/>
          <w:sz w:val="22"/>
          <w:szCs w:val="22"/>
        </w:rPr>
        <w:t>號與第</w:t>
      </w:r>
      <w:r w:rsidRPr="000E48D2">
        <w:rPr>
          <w:kern w:val="0"/>
          <w:sz w:val="22"/>
          <w:szCs w:val="22"/>
        </w:rPr>
        <w:t>632</w:t>
      </w:r>
      <w:r w:rsidRPr="000E48D2">
        <w:rPr>
          <w:kern w:val="0"/>
          <w:sz w:val="22"/>
          <w:szCs w:val="22"/>
        </w:rPr>
        <w:t>號解釋參照）</w:t>
      </w:r>
      <w:r w:rsidRPr="000E48D2">
        <w:rPr>
          <w:rFonts w:hint="eastAsia"/>
          <w:kern w:val="0"/>
          <w:sz w:val="22"/>
          <w:szCs w:val="22"/>
        </w:rPr>
        <w:t>。</w:t>
      </w:r>
      <w:r w:rsidR="00173265">
        <w:rPr>
          <w:rFonts w:hint="eastAsia"/>
          <w:kern w:val="0"/>
          <w:sz w:val="22"/>
          <w:szCs w:val="22"/>
        </w:rPr>
        <w:t>（</w:t>
      </w:r>
      <w:r w:rsidRPr="000E48D2">
        <w:rPr>
          <w:rFonts w:hint="eastAsia"/>
          <w:kern w:val="0"/>
          <w:sz w:val="22"/>
          <w:szCs w:val="22"/>
        </w:rPr>
        <w:t>2</w:t>
      </w:r>
      <w:r w:rsidR="00173265">
        <w:rPr>
          <w:rFonts w:hint="eastAsia"/>
          <w:kern w:val="0"/>
          <w:sz w:val="22"/>
          <w:szCs w:val="22"/>
        </w:rPr>
        <w:t>）</w:t>
      </w:r>
      <w:r w:rsidRPr="000E48D2">
        <w:rPr>
          <w:kern w:val="0"/>
          <w:sz w:val="22"/>
          <w:szCs w:val="22"/>
        </w:rPr>
        <w:t>現有總額三分之一以上立委</w:t>
      </w:r>
      <w:r w:rsidRPr="000E48D2">
        <w:rPr>
          <w:rFonts w:hint="eastAsia"/>
          <w:kern w:val="0"/>
          <w:sz w:val="22"/>
          <w:szCs w:val="22"/>
        </w:rPr>
        <w:t>欲</w:t>
      </w:r>
      <w:r w:rsidRPr="000E48D2">
        <w:rPr>
          <w:kern w:val="0"/>
          <w:sz w:val="22"/>
          <w:szCs w:val="22"/>
        </w:rPr>
        <w:t>行使立法院職權，適用憲法發生疑義者（包括立法院因行使職權與其他機關之職權，發生適用憲法之爭議）（</w:t>
      </w:r>
      <w:r w:rsidRPr="000E48D2">
        <w:rPr>
          <w:rFonts w:hint="eastAsia"/>
          <w:kern w:val="0"/>
          <w:sz w:val="22"/>
          <w:szCs w:val="22"/>
        </w:rPr>
        <w:t>本院</w:t>
      </w:r>
      <w:r w:rsidRPr="000E48D2">
        <w:rPr>
          <w:kern w:val="0"/>
          <w:sz w:val="22"/>
          <w:szCs w:val="22"/>
        </w:rPr>
        <w:t>釋字第</w:t>
      </w:r>
      <w:r w:rsidRPr="000E48D2">
        <w:rPr>
          <w:kern w:val="0"/>
          <w:sz w:val="22"/>
          <w:szCs w:val="22"/>
        </w:rPr>
        <w:t>261</w:t>
      </w:r>
      <w:r w:rsidRPr="000E48D2">
        <w:rPr>
          <w:kern w:val="0"/>
          <w:sz w:val="22"/>
          <w:szCs w:val="22"/>
        </w:rPr>
        <w:t>號、第</w:t>
      </w:r>
      <w:r w:rsidRPr="000E48D2">
        <w:rPr>
          <w:kern w:val="0"/>
          <w:sz w:val="22"/>
          <w:szCs w:val="22"/>
        </w:rPr>
        <w:t>325</w:t>
      </w:r>
      <w:r w:rsidRPr="000E48D2">
        <w:rPr>
          <w:kern w:val="0"/>
          <w:sz w:val="22"/>
          <w:szCs w:val="22"/>
        </w:rPr>
        <w:t>號、第</w:t>
      </w:r>
      <w:r w:rsidRPr="000E48D2">
        <w:rPr>
          <w:kern w:val="0"/>
          <w:sz w:val="22"/>
          <w:szCs w:val="22"/>
        </w:rPr>
        <w:t>329</w:t>
      </w:r>
      <w:r w:rsidRPr="000E48D2">
        <w:rPr>
          <w:kern w:val="0"/>
          <w:sz w:val="22"/>
          <w:szCs w:val="22"/>
        </w:rPr>
        <w:t>號、第</w:t>
      </w:r>
      <w:r w:rsidRPr="000E48D2">
        <w:rPr>
          <w:kern w:val="0"/>
          <w:sz w:val="22"/>
          <w:szCs w:val="22"/>
        </w:rPr>
        <w:t>387</w:t>
      </w:r>
      <w:r w:rsidRPr="000E48D2">
        <w:rPr>
          <w:kern w:val="0"/>
          <w:sz w:val="22"/>
          <w:szCs w:val="22"/>
        </w:rPr>
        <w:t>號、第</w:t>
      </w:r>
      <w:r w:rsidRPr="000E48D2">
        <w:rPr>
          <w:kern w:val="0"/>
          <w:sz w:val="22"/>
          <w:szCs w:val="22"/>
        </w:rPr>
        <w:t>388</w:t>
      </w:r>
      <w:r w:rsidRPr="000E48D2">
        <w:rPr>
          <w:kern w:val="0"/>
          <w:sz w:val="22"/>
          <w:szCs w:val="22"/>
        </w:rPr>
        <w:t>號、第</w:t>
      </w:r>
      <w:r w:rsidRPr="000E48D2">
        <w:rPr>
          <w:kern w:val="0"/>
          <w:sz w:val="22"/>
          <w:szCs w:val="22"/>
        </w:rPr>
        <w:t>391</w:t>
      </w:r>
      <w:r w:rsidRPr="000E48D2">
        <w:rPr>
          <w:kern w:val="0"/>
          <w:sz w:val="22"/>
          <w:szCs w:val="22"/>
        </w:rPr>
        <w:t>號、第</w:t>
      </w:r>
      <w:r w:rsidRPr="000E48D2">
        <w:rPr>
          <w:kern w:val="0"/>
          <w:sz w:val="22"/>
          <w:szCs w:val="22"/>
        </w:rPr>
        <w:t>401</w:t>
      </w:r>
      <w:r w:rsidRPr="000E48D2">
        <w:rPr>
          <w:kern w:val="0"/>
          <w:sz w:val="22"/>
          <w:szCs w:val="22"/>
        </w:rPr>
        <w:t>號、第</w:t>
      </w:r>
      <w:r w:rsidRPr="000E48D2">
        <w:rPr>
          <w:kern w:val="0"/>
          <w:sz w:val="22"/>
          <w:szCs w:val="22"/>
        </w:rPr>
        <w:t>419</w:t>
      </w:r>
      <w:r w:rsidRPr="000E48D2">
        <w:rPr>
          <w:kern w:val="0"/>
          <w:sz w:val="22"/>
          <w:szCs w:val="22"/>
        </w:rPr>
        <w:t>號、第</w:t>
      </w:r>
      <w:r w:rsidRPr="000E48D2">
        <w:rPr>
          <w:kern w:val="0"/>
          <w:sz w:val="22"/>
          <w:szCs w:val="22"/>
        </w:rPr>
        <w:t>461</w:t>
      </w:r>
      <w:r w:rsidRPr="000E48D2">
        <w:rPr>
          <w:kern w:val="0"/>
          <w:sz w:val="22"/>
          <w:szCs w:val="22"/>
        </w:rPr>
        <w:t>號、第</w:t>
      </w:r>
      <w:r w:rsidRPr="000E48D2">
        <w:rPr>
          <w:kern w:val="0"/>
          <w:sz w:val="22"/>
          <w:szCs w:val="22"/>
        </w:rPr>
        <w:t>499</w:t>
      </w:r>
      <w:r w:rsidRPr="000E48D2">
        <w:rPr>
          <w:kern w:val="0"/>
          <w:sz w:val="22"/>
          <w:szCs w:val="22"/>
        </w:rPr>
        <w:t>號、第</w:t>
      </w:r>
      <w:r w:rsidRPr="000E48D2">
        <w:rPr>
          <w:kern w:val="0"/>
          <w:sz w:val="22"/>
          <w:szCs w:val="22"/>
        </w:rPr>
        <w:t>543</w:t>
      </w:r>
      <w:r w:rsidRPr="000E48D2">
        <w:rPr>
          <w:kern w:val="0"/>
          <w:sz w:val="22"/>
          <w:szCs w:val="22"/>
        </w:rPr>
        <w:t>號</w:t>
      </w:r>
      <w:r w:rsidRPr="000E48D2">
        <w:rPr>
          <w:rFonts w:hint="eastAsia"/>
          <w:kern w:val="0"/>
          <w:sz w:val="22"/>
          <w:szCs w:val="22"/>
        </w:rPr>
        <w:t>、</w:t>
      </w:r>
      <w:r w:rsidRPr="000E48D2">
        <w:rPr>
          <w:kern w:val="0"/>
          <w:sz w:val="22"/>
          <w:szCs w:val="22"/>
        </w:rPr>
        <w:t>第</w:t>
      </w:r>
      <w:r w:rsidRPr="000E48D2">
        <w:rPr>
          <w:kern w:val="0"/>
          <w:sz w:val="22"/>
          <w:szCs w:val="22"/>
        </w:rPr>
        <w:t>585</w:t>
      </w:r>
      <w:r w:rsidRPr="000E48D2">
        <w:rPr>
          <w:kern w:val="0"/>
          <w:sz w:val="22"/>
          <w:szCs w:val="22"/>
        </w:rPr>
        <w:t>號</w:t>
      </w:r>
      <w:r w:rsidRPr="000E48D2">
        <w:rPr>
          <w:rFonts w:hint="eastAsia"/>
          <w:kern w:val="0"/>
          <w:sz w:val="22"/>
          <w:szCs w:val="22"/>
        </w:rPr>
        <w:t>與第</w:t>
      </w:r>
      <w:r w:rsidRPr="000E48D2">
        <w:rPr>
          <w:rFonts w:hint="eastAsia"/>
          <w:kern w:val="0"/>
          <w:sz w:val="22"/>
          <w:szCs w:val="22"/>
        </w:rPr>
        <w:t>633</w:t>
      </w:r>
      <w:r w:rsidRPr="000E48D2">
        <w:rPr>
          <w:rFonts w:hint="eastAsia"/>
          <w:kern w:val="0"/>
          <w:sz w:val="22"/>
          <w:szCs w:val="22"/>
        </w:rPr>
        <w:t>號</w:t>
      </w:r>
      <w:r w:rsidRPr="000E48D2">
        <w:rPr>
          <w:kern w:val="0"/>
          <w:sz w:val="22"/>
          <w:szCs w:val="22"/>
        </w:rPr>
        <w:t>解釋參照）。</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註五：</w:t>
      </w:r>
      <w:r w:rsidRPr="000E48D2">
        <w:rPr>
          <w:sz w:val="22"/>
          <w:szCs w:val="22"/>
        </w:rPr>
        <w:t>立法院職權行使法第</w:t>
      </w:r>
      <w:r w:rsidRPr="000E48D2">
        <w:rPr>
          <w:sz w:val="22"/>
          <w:szCs w:val="22"/>
        </w:rPr>
        <w:t>45</w:t>
      </w:r>
      <w:r w:rsidRPr="000E48D2">
        <w:rPr>
          <w:sz w:val="22"/>
          <w:szCs w:val="22"/>
        </w:rPr>
        <w:t>條第</w:t>
      </w:r>
      <w:r w:rsidRPr="000E48D2">
        <w:rPr>
          <w:sz w:val="22"/>
          <w:szCs w:val="22"/>
        </w:rPr>
        <w:t>1</w:t>
      </w:r>
      <w:r w:rsidRPr="000E48D2">
        <w:rPr>
          <w:sz w:val="22"/>
          <w:szCs w:val="22"/>
        </w:rPr>
        <w:t>項規定：「立法院經院會決議，得設調閱委員會，或經委員會之決議，得設調閱專案小組，要求有關機關就特定議案涉及事項提供參考資料。」</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註六：</w:t>
      </w:r>
      <w:r w:rsidRPr="000E48D2">
        <w:rPr>
          <w:sz w:val="22"/>
          <w:szCs w:val="22"/>
        </w:rPr>
        <w:t>德國基本法第</w:t>
      </w:r>
      <w:r w:rsidRPr="000E48D2">
        <w:rPr>
          <w:sz w:val="22"/>
          <w:szCs w:val="22"/>
        </w:rPr>
        <w:t>44</w:t>
      </w:r>
      <w:r w:rsidRPr="000E48D2">
        <w:rPr>
          <w:sz w:val="22"/>
          <w:szCs w:val="22"/>
        </w:rPr>
        <w:t>條規定：「一、聯邦議會有設置調查委員會之權利，經議員四分之一建議，並有設置之義務，調查委員會應舉行公開會議聆取必要證據。會議得不公開。二、證據調查準用刑事訴訟程序之規定。書信、郵政及電訊秘密不受影響。三、法院及行政機關有給予法律及職務協助之義務。四、調查委員會之決議不受司法審查。但法院對調查所根據之事實得自由評價及定斷。」</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註七：</w:t>
      </w:r>
      <w:r w:rsidRPr="000E48D2">
        <w:rPr>
          <w:sz w:val="22"/>
          <w:szCs w:val="22"/>
        </w:rPr>
        <w:t>有關德國相關法制，參考陳淑芳，〈德國之國會調查權</w:t>
      </w:r>
      <w:r w:rsidRPr="000E48D2">
        <w:rPr>
          <w:color w:val="000000"/>
          <w:sz w:val="22"/>
          <w:szCs w:val="22"/>
        </w:rPr>
        <w:t>〉</w:t>
      </w:r>
      <w:r w:rsidRPr="000E48D2">
        <w:rPr>
          <w:sz w:val="22"/>
          <w:szCs w:val="22"/>
        </w:rPr>
        <w:t>，收於氏著，</w:t>
      </w:r>
      <w:r w:rsidRPr="000E48D2">
        <w:rPr>
          <w:color w:val="000000"/>
          <w:sz w:val="22"/>
          <w:szCs w:val="22"/>
        </w:rPr>
        <w:t>《</w:t>
      </w:r>
      <w:r w:rsidRPr="000E48D2">
        <w:rPr>
          <w:sz w:val="22"/>
          <w:szCs w:val="22"/>
        </w:rPr>
        <w:t>權力劃分與權限歸屬</w:t>
      </w:r>
      <w:r w:rsidRPr="000E48D2">
        <w:rPr>
          <w:color w:val="000000"/>
          <w:sz w:val="22"/>
          <w:szCs w:val="22"/>
        </w:rPr>
        <w:t>》</w:t>
      </w:r>
      <w:r w:rsidRPr="000E48D2">
        <w:rPr>
          <w:sz w:val="22"/>
          <w:szCs w:val="22"/>
        </w:rPr>
        <w:t>，元照出版</w:t>
      </w:r>
      <w:r w:rsidRPr="00DF4DD3">
        <w:rPr>
          <w:rFonts w:hAnsi="標楷體"/>
          <w:sz w:val="22"/>
          <w:szCs w:val="22"/>
        </w:rPr>
        <w:t>公司</w:t>
      </w:r>
      <w:r w:rsidRPr="000E48D2">
        <w:rPr>
          <w:sz w:val="22"/>
          <w:szCs w:val="22"/>
        </w:rPr>
        <w:t>，</w:t>
      </w:r>
      <w:r w:rsidRPr="000E48D2">
        <w:rPr>
          <w:sz w:val="22"/>
          <w:szCs w:val="22"/>
        </w:rPr>
        <w:t>100</w:t>
      </w:r>
      <w:r w:rsidRPr="000E48D2">
        <w:rPr>
          <w:sz w:val="22"/>
          <w:szCs w:val="22"/>
        </w:rPr>
        <w:t>年，第</w:t>
      </w:r>
      <w:r w:rsidRPr="000E48D2">
        <w:rPr>
          <w:sz w:val="22"/>
          <w:szCs w:val="22"/>
        </w:rPr>
        <w:t>74-79</w:t>
      </w:r>
      <w:r w:rsidRPr="000E48D2">
        <w:rPr>
          <w:sz w:val="22"/>
          <w:szCs w:val="22"/>
        </w:rPr>
        <w:t>頁。該文原刊於</w:t>
      </w:r>
      <w:r w:rsidRPr="000E48D2">
        <w:rPr>
          <w:color w:val="000000"/>
          <w:sz w:val="22"/>
          <w:szCs w:val="22"/>
        </w:rPr>
        <w:t>《</w:t>
      </w:r>
      <w:r w:rsidRPr="000E48D2">
        <w:rPr>
          <w:sz w:val="22"/>
          <w:szCs w:val="22"/>
        </w:rPr>
        <w:t>台灣本土法學雜誌</w:t>
      </w:r>
      <w:r w:rsidRPr="000E48D2">
        <w:rPr>
          <w:color w:val="000000"/>
          <w:sz w:val="22"/>
          <w:szCs w:val="22"/>
        </w:rPr>
        <w:t>》，</w:t>
      </w:r>
      <w:r w:rsidRPr="000E48D2">
        <w:rPr>
          <w:sz w:val="22"/>
          <w:szCs w:val="22"/>
        </w:rPr>
        <w:t>第</w:t>
      </w:r>
      <w:r w:rsidRPr="000E48D2">
        <w:rPr>
          <w:sz w:val="22"/>
          <w:szCs w:val="22"/>
        </w:rPr>
        <w:t>78</w:t>
      </w:r>
      <w:r w:rsidRPr="000E48D2">
        <w:rPr>
          <w:sz w:val="22"/>
          <w:szCs w:val="22"/>
        </w:rPr>
        <w:t>期，</w:t>
      </w:r>
      <w:r w:rsidRPr="000E48D2">
        <w:rPr>
          <w:sz w:val="22"/>
          <w:szCs w:val="22"/>
        </w:rPr>
        <w:t>90</w:t>
      </w:r>
      <w:r w:rsidRPr="000E48D2">
        <w:rPr>
          <w:sz w:val="22"/>
          <w:szCs w:val="22"/>
        </w:rPr>
        <w:t>年</w:t>
      </w:r>
      <w:r w:rsidRPr="000E48D2">
        <w:rPr>
          <w:sz w:val="22"/>
          <w:szCs w:val="22"/>
        </w:rPr>
        <w:t>1</w:t>
      </w:r>
      <w:r w:rsidRPr="000E48D2">
        <w:rPr>
          <w:sz w:val="22"/>
          <w:szCs w:val="22"/>
        </w:rPr>
        <w:t>月，第</w:t>
      </w:r>
      <w:r w:rsidRPr="000E48D2">
        <w:rPr>
          <w:sz w:val="22"/>
          <w:szCs w:val="22"/>
        </w:rPr>
        <w:t>53-66</w:t>
      </w:r>
      <w:r w:rsidRPr="000E48D2">
        <w:rPr>
          <w:sz w:val="22"/>
          <w:szCs w:val="22"/>
        </w:rPr>
        <w:t>頁。</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註八：</w:t>
      </w:r>
      <w:smartTag w:uri="urn:schemas-microsoft-com:office:smarttags" w:element="chsdate">
        <w:smartTagPr>
          <w:attr w:name="IsROCDate" w:val="False"/>
          <w:attr w:name="IsLunarDate" w:val="False"/>
          <w:attr w:name="Day" w:val="19"/>
          <w:attr w:name="Month" w:val="6"/>
          <w:attr w:name="Year" w:val="2001"/>
        </w:smartTagPr>
        <w:r w:rsidRPr="000E48D2">
          <w:rPr>
            <w:sz w:val="22"/>
            <w:szCs w:val="22"/>
          </w:rPr>
          <w:t>2001</w:t>
        </w:r>
        <w:r w:rsidRPr="000E48D2">
          <w:rPr>
            <w:sz w:val="22"/>
            <w:szCs w:val="22"/>
          </w:rPr>
          <w:t>年</w:t>
        </w:r>
        <w:r w:rsidRPr="000E48D2">
          <w:rPr>
            <w:sz w:val="22"/>
            <w:szCs w:val="22"/>
          </w:rPr>
          <w:t>6</w:t>
        </w:r>
        <w:r w:rsidRPr="000E48D2">
          <w:rPr>
            <w:sz w:val="22"/>
            <w:szCs w:val="22"/>
          </w:rPr>
          <w:t>月</w:t>
        </w:r>
        <w:r w:rsidRPr="000E48D2">
          <w:rPr>
            <w:sz w:val="22"/>
            <w:szCs w:val="22"/>
          </w:rPr>
          <w:t>19</w:t>
        </w:r>
        <w:r w:rsidRPr="000E48D2">
          <w:rPr>
            <w:sz w:val="22"/>
            <w:szCs w:val="22"/>
          </w:rPr>
          <w:t>日</w:t>
        </w:r>
      </w:smartTag>
      <w:r w:rsidRPr="000E48D2">
        <w:rPr>
          <w:sz w:val="22"/>
          <w:szCs w:val="22"/>
        </w:rPr>
        <w:t>制定德國國會調查委員會職權行使法</w:t>
      </w:r>
      <w:r w:rsidRPr="000E48D2">
        <w:rPr>
          <w:rStyle w:val="jnkurzueamtabk"/>
          <w:bCs/>
          <w:kern w:val="36"/>
          <w:sz w:val="22"/>
          <w:szCs w:val="22"/>
        </w:rPr>
        <w:t>（</w:t>
      </w:r>
      <w:r w:rsidRPr="000E48D2">
        <w:rPr>
          <w:rStyle w:val="jnlangue"/>
          <w:bCs/>
          <w:kern w:val="36"/>
          <w:sz w:val="22"/>
          <w:szCs w:val="22"/>
        </w:rPr>
        <w:t xml:space="preserve">Gesetz zur Regelung des Rechts der </w:t>
      </w:r>
      <w:r w:rsidRPr="003A1D03">
        <w:rPr>
          <w:rFonts w:hAnsi="標楷體"/>
          <w:sz w:val="22"/>
          <w:szCs w:val="22"/>
        </w:rPr>
        <w:t>Untersuchungsaussch</w:t>
      </w:r>
      <w:r w:rsidRPr="003A1D03">
        <w:rPr>
          <w:rFonts w:hAnsi="標楷體"/>
          <w:sz w:val="22"/>
          <w:szCs w:val="22"/>
        </w:rPr>
        <w:t>ü</w:t>
      </w:r>
      <w:r w:rsidRPr="003A1D03">
        <w:rPr>
          <w:rFonts w:hAnsi="標楷體"/>
          <w:sz w:val="22"/>
          <w:szCs w:val="22"/>
        </w:rPr>
        <w:t>sse</w:t>
      </w:r>
      <w:r w:rsidRPr="000E48D2">
        <w:rPr>
          <w:rStyle w:val="jnlangue"/>
          <w:bCs/>
          <w:kern w:val="36"/>
          <w:sz w:val="22"/>
          <w:szCs w:val="22"/>
        </w:rPr>
        <w:t xml:space="preserve"> des Deutschen Bundestages</w:t>
      </w:r>
      <w:r w:rsidRPr="000E48D2">
        <w:rPr>
          <w:bCs/>
          <w:kern w:val="36"/>
          <w:sz w:val="22"/>
          <w:szCs w:val="22"/>
        </w:rPr>
        <w:t xml:space="preserve"> </w:t>
      </w:r>
      <w:r w:rsidRPr="000E48D2">
        <w:rPr>
          <w:bCs/>
          <w:kern w:val="36"/>
          <w:sz w:val="22"/>
          <w:szCs w:val="22"/>
        </w:rPr>
        <w:t>簡稱</w:t>
      </w:r>
      <w:r w:rsidRPr="000E48D2">
        <w:rPr>
          <w:rStyle w:val="jnkurzueamtabk"/>
          <w:bCs/>
          <w:kern w:val="36"/>
          <w:sz w:val="22"/>
          <w:szCs w:val="22"/>
        </w:rPr>
        <w:t>Untersuchungsausschussgesetz – PUAG</w:t>
      </w:r>
      <w:r w:rsidRPr="000E48D2">
        <w:rPr>
          <w:rStyle w:val="jnkurzueamtabk"/>
          <w:bCs/>
          <w:kern w:val="36"/>
          <w:sz w:val="22"/>
          <w:szCs w:val="22"/>
        </w:rPr>
        <w:t>，國會調查法，最後修正為</w:t>
      </w:r>
      <w:smartTag w:uri="urn:schemas-microsoft-com:office:smarttags" w:element="chsdate">
        <w:smartTagPr>
          <w:attr w:name="IsROCDate" w:val="False"/>
          <w:attr w:name="IsLunarDate" w:val="False"/>
          <w:attr w:name="Day" w:val="5"/>
          <w:attr w:name="Month" w:val="5"/>
          <w:attr w:name="Year" w:val="2004"/>
        </w:smartTagPr>
        <w:r w:rsidRPr="000E48D2">
          <w:rPr>
            <w:rStyle w:val="jnkurzueamtabk"/>
            <w:bCs/>
            <w:kern w:val="36"/>
            <w:sz w:val="22"/>
            <w:szCs w:val="22"/>
          </w:rPr>
          <w:t>2004</w:t>
        </w:r>
        <w:r w:rsidRPr="000E48D2">
          <w:rPr>
            <w:rStyle w:val="jnkurzueamtabk"/>
            <w:bCs/>
            <w:kern w:val="36"/>
            <w:sz w:val="22"/>
            <w:szCs w:val="22"/>
          </w:rPr>
          <w:t>年</w:t>
        </w:r>
        <w:r w:rsidRPr="000E48D2">
          <w:rPr>
            <w:rStyle w:val="jnkurzueamtabk"/>
            <w:bCs/>
            <w:kern w:val="36"/>
            <w:sz w:val="22"/>
            <w:szCs w:val="22"/>
          </w:rPr>
          <w:t>5</w:t>
        </w:r>
        <w:r w:rsidRPr="000E48D2">
          <w:rPr>
            <w:rStyle w:val="jnkurzueamtabk"/>
            <w:bCs/>
            <w:kern w:val="36"/>
            <w:sz w:val="22"/>
            <w:szCs w:val="22"/>
          </w:rPr>
          <w:t>月</w:t>
        </w:r>
        <w:r w:rsidRPr="000E48D2">
          <w:rPr>
            <w:rStyle w:val="jnkurzueamtabk"/>
            <w:bCs/>
            <w:kern w:val="36"/>
            <w:sz w:val="22"/>
            <w:szCs w:val="22"/>
          </w:rPr>
          <w:t>5</w:t>
        </w:r>
        <w:r w:rsidRPr="000E48D2">
          <w:rPr>
            <w:rStyle w:val="jnkurzueamtabk"/>
            <w:bCs/>
            <w:kern w:val="36"/>
            <w:sz w:val="22"/>
            <w:szCs w:val="22"/>
          </w:rPr>
          <w:t>日</w:t>
        </w:r>
      </w:smartTag>
      <w:r w:rsidRPr="000E48D2">
        <w:rPr>
          <w:rStyle w:val="jnkurzueamtabk"/>
          <w:bCs/>
          <w:kern w:val="36"/>
          <w:sz w:val="22"/>
          <w:szCs w:val="22"/>
        </w:rPr>
        <w:t>）。</w:t>
      </w:r>
    </w:p>
    <w:p w:rsidR="00A3139A" w:rsidRPr="000E48D2" w:rsidRDefault="00A3139A" w:rsidP="00DF4DD3">
      <w:pPr>
        <w:overflowPunct w:val="0"/>
        <w:spacing w:line="391" w:lineRule="exact"/>
        <w:ind w:left="682" w:hangingChars="310" w:hanging="682"/>
        <w:jc w:val="both"/>
        <w:rPr>
          <w:rFonts w:ascii="標楷體" w:hAnsi="標楷體"/>
          <w:color w:val="000000"/>
          <w:sz w:val="22"/>
          <w:szCs w:val="22"/>
        </w:rPr>
      </w:pPr>
      <w:r w:rsidRPr="000E48D2">
        <w:rPr>
          <w:rFonts w:ascii="標楷體" w:hAnsi="標楷體" w:hint="eastAsia"/>
          <w:color w:val="000000"/>
          <w:sz w:val="22"/>
          <w:szCs w:val="22"/>
        </w:rPr>
        <w:t>註九：</w:t>
      </w:r>
      <w:r w:rsidRPr="000E48D2">
        <w:rPr>
          <w:rFonts w:hint="eastAsia"/>
          <w:sz w:val="22"/>
          <w:szCs w:val="22"/>
        </w:rPr>
        <w:t>有關英、法、美、日、德等民主國家國會調查權之歷史發展與現況、我國立法院職權行使法的</w:t>
      </w:r>
      <w:r w:rsidRPr="00DF4DD3">
        <w:rPr>
          <w:rFonts w:hAnsi="標楷體" w:hint="eastAsia"/>
          <w:sz w:val="22"/>
          <w:szCs w:val="22"/>
        </w:rPr>
        <w:t>修改</w:t>
      </w:r>
      <w:r w:rsidRPr="000E48D2">
        <w:rPr>
          <w:rFonts w:hint="eastAsia"/>
          <w:sz w:val="22"/>
          <w:szCs w:val="22"/>
        </w:rPr>
        <w:t>建議，以及立法院調查法之芻議，請參閱陳清雲，</w:t>
      </w:r>
      <w:r w:rsidRPr="000E48D2">
        <w:rPr>
          <w:color w:val="000000"/>
          <w:sz w:val="22"/>
          <w:szCs w:val="22"/>
        </w:rPr>
        <w:t>《</w:t>
      </w:r>
      <w:r w:rsidRPr="000E48D2">
        <w:rPr>
          <w:rFonts w:hint="eastAsia"/>
          <w:sz w:val="22"/>
          <w:szCs w:val="22"/>
        </w:rPr>
        <w:t>立法院調查權法制化之研究</w:t>
      </w:r>
      <w:r w:rsidRPr="000E48D2">
        <w:rPr>
          <w:color w:val="000000"/>
          <w:sz w:val="22"/>
          <w:szCs w:val="22"/>
        </w:rPr>
        <w:t>》</w:t>
      </w:r>
      <w:r w:rsidRPr="000E48D2">
        <w:rPr>
          <w:rFonts w:hint="eastAsia"/>
          <w:color w:val="000000"/>
          <w:sz w:val="22"/>
          <w:szCs w:val="22"/>
        </w:rPr>
        <w:t>，國立中正大學法律系研究所博士論文，</w:t>
      </w:r>
      <w:r w:rsidRPr="000E48D2">
        <w:rPr>
          <w:rFonts w:hint="eastAsia"/>
          <w:color w:val="000000"/>
          <w:sz w:val="22"/>
          <w:szCs w:val="22"/>
        </w:rPr>
        <w:t>103</w:t>
      </w:r>
      <w:r w:rsidRPr="000E48D2">
        <w:rPr>
          <w:rFonts w:hint="eastAsia"/>
          <w:color w:val="000000"/>
          <w:sz w:val="22"/>
          <w:szCs w:val="22"/>
        </w:rPr>
        <w:t>年</w:t>
      </w:r>
      <w:r w:rsidRPr="000E48D2">
        <w:rPr>
          <w:rFonts w:hint="eastAsia"/>
          <w:color w:val="000000"/>
          <w:sz w:val="22"/>
          <w:szCs w:val="22"/>
        </w:rPr>
        <w:t>1</w:t>
      </w:r>
      <w:r w:rsidRPr="000E48D2">
        <w:rPr>
          <w:rFonts w:hint="eastAsia"/>
          <w:color w:val="000000"/>
          <w:sz w:val="22"/>
          <w:szCs w:val="22"/>
        </w:rPr>
        <w:t>月，第</w:t>
      </w:r>
      <w:r w:rsidRPr="000E48D2">
        <w:rPr>
          <w:rFonts w:hint="eastAsia"/>
          <w:color w:val="000000"/>
          <w:sz w:val="22"/>
          <w:szCs w:val="22"/>
        </w:rPr>
        <w:t>117-216</w:t>
      </w:r>
      <w:r w:rsidRPr="000E48D2">
        <w:rPr>
          <w:rFonts w:hint="eastAsia"/>
          <w:color w:val="000000"/>
          <w:sz w:val="22"/>
          <w:szCs w:val="22"/>
        </w:rPr>
        <w:t>，</w:t>
      </w:r>
      <w:r w:rsidRPr="000E48D2">
        <w:rPr>
          <w:rFonts w:hint="eastAsia"/>
          <w:color w:val="000000"/>
          <w:sz w:val="22"/>
          <w:szCs w:val="22"/>
        </w:rPr>
        <w:t>403-429</w:t>
      </w:r>
      <w:r w:rsidRPr="000E48D2">
        <w:rPr>
          <w:rFonts w:hint="eastAsia"/>
          <w:color w:val="000000"/>
          <w:sz w:val="22"/>
          <w:szCs w:val="22"/>
        </w:rPr>
        <w:t>頁。</w:t>
      </w:r>
    </w:p>
    <w:p w:rsidR="00A3139A" w:rsidRDefault="00A3139A" w:rsidP="00DF4DD3">
      <w:pPr>
        <w:overflowPunct w:val="0"/>
        <w:spacing w:line="391" w:lineRule="exact"/>
        <w:ind w:left="682" w:hangingChars="310" w:hanging="682"/>
        <w:jc w:val="both"/>
        <w:rPr>
          <w:rFonts w:hAnsi="標楷體" w:hint="eastAsia"/>
          <w:sz w:val="22"/>
          <w:szCs w:val="22"/>
        </w:rPr>
      </w:pPr>
      <w:r w:rsidRPr="000E48D2">
        <w:rPr>
          <w:rFonts w:ascii="標楷體" w:hAnsi="標楷體" w:hint="eastAsia"/>
          <w:color w:val="000000"/>
          <w:sz w:val="22"/>
          <w:szCs w:val="22"/>
        </w:rPr>
        <w:t>註十：</w:t>
      </w:r>
      <w:r w:rsidRPr="000E48D2">
        <w:rPr>
          <w:rFonts w:hAnsi="標楷體" w:hint="eastAsia"/>
          <w:sz w:val="22"/>
          <w:szCs w:val="22"/>
        </w:rPr>
        <w:t>該等事件</w:t>
      </w:r>
      <w:r w:rsidRPr="000E48D2">
        <w:rPr>
          <w:rFonts w:hAnsi="標楷體"/>
          <w:sz w:val="22"/>
          <w:szCs w:val="22"/>
        </w:rPr>
        <w:t>之所以由聯邦普通法院管轄，</w:t>
      </w:r>
      <w:r w:rsidRPr="000E48D2">
        <w:rPr>
          <w:rFonts w:hAnsi="標楷體" w:hint="eastAsia"/>
          <w:sz w:val="22"/>
          <w:szCs w:val="22"/>
        </w:rPr>
        <w:t>諒</w:t>
      </w:r>
      <w:r w:rsidRPr="000E48D2">
        <w:rPr>
          <w:rFonts w:hAnsi="標楷體"/>
          <w:sz w:val="22"/>
          <w:szCs w:val="22"/>
        </w:rPr>
        <w:t>係因基本法第</w:t>
      </w:r>
      <w:r w:rsidRPr="000E48D2">
        <w:rPr>
          <w:rFonts w:hAnsi="標楷體" w:hint="eastAsia"/>
          <w:sz w:val="22"/>
          <w:szCs w:val="22"/>
        </w:rPr>
        <w:t>44</w:t>
      </w:r>
      <w:r w:rsidRPr="000E48D2">
        <w:rPr>
          <w:rFonts w:hAnsi="標楷體"/>
          <w:sz w:val="22"/>
          <w:szCs w:val="22"/>
        </w:rPr>
        <w:t>條第</w:t>
      </w:r>
      <w:r w:rsidRPr="000E48D2">
        <w:rPr>
          <w:rFonts w:hAnsi="標楷體" w:hint="eastAsia"/>
          <w:sz w:val="22"/>
          <w:szCs w:val="22"/>
        </w:rPr>
        <w:t>2</w:t>
      </w:r>
      <w:r w:rsidRPr="000E48D2">
        <w:rPr>
          <w:rFonts w:hAnsi="標楷體"/>
          <w:sz w:val="22"/>
          <w:szCs w:val="22"/>
        </w:rPr>
        <w:t>項第</w:t>
      </w:r>
      <w:r w:rsidRPr="000E48D2">
        <w:rPr>
          <w:rFonts w:hAnsi="標楷體" w:hint="eastAsia"/>
          <w:sz w:val="22"/>
          <w:szCs w:val="22"/>
        </w:rPr>
        <w:t>1</w:t>
      </w:r>
      <w:r w:rsidRPr="000E48D2">
        <w:rPr>
          <w:rFonts w:hAnsi="標楷體"/>
          <w:sz w:val="22"/>
          <w:szCs w:val="22"/>
        </w:rPr>
        <w:t>句規定</w:t>
      </w:r>
      <w:r w:rsidRPr="000E48D2">
        <w:rPr>
          <w:rFonts w:hAnsi="標楷體" w:hint="eastAsia"/>
          <w:sz w:val="22"/>
          <w:szCs w:val="22"/>
        </w:rPr>
        <w:t>:</w:t>
      </w:r>
      <w:r w:rsidRPr="000E48D2">
        <w:rPr>
          <w:rFonts w:hAnsi="標楷體" w:hint="eastAsia"/>
          <w:sz w:val="22"/>
          <w:szCs w:val="22"/>
        </w:rPr>
        <w:t>「</w:t>
      </w:r>
      <w:r w:rsidRPr="000E48D2">
        <w:rPr>
          <w:rFonts w:hAnsi="標楷體"/>
          <w:sz w:val="22"/>
          <w:szCs w:val="22"/>
        </w:rPr>
        <w:t>證據調查準用刑事訴訟法規定</w:t>
      </w:r>
      <w:r w:rsidRPr="000E48D2">
        <w:rPr>
          <w:rFonts w:hAnsi="標楷體" w:hint="eastAsia"/>
          <w:sz w:val="22"/>
          <w:szCs w:val="22"/>
        </w:rPr>
        <w:t>」</w:t>
      </w:r>
      <w:r w:rsidRPr="000E48D2">
        <w:rPr>
          <w:rFonts w:hAnsi="標楷體"/>
          <w:sz w:val="22"/>
          <w:szCs w:val="22"/>
        </w:rPr>
        <w:t>。</w:t>
      </w:r>
    </w:p>
    <w:p w:rsidR="00B755CC" w:rsidRDefault="00B755CC" w:rsidP="00B755CC">
      <w:pPr>
        <w:kinsoku w:val="0"/>
        <w:overflowPunct w:val="0"/>
        <w:spacing w:line="402" w:lineRule="exact"/>
        <w:ind w:left="958" w:right="641"/>
        <w:jc w:val="distribute"/>
        <w:rPr>
          <w:rFonts w:eastAsia="華康粗黑體" w:hint="eastAsia"/>
          <w:color w:val="000000"/>
          <w:sz w:val="28"/>
          <w:szCs w:val="28"/>
        </w:rPr>
      </w:pPr>
    </w:p>
    <w:p w:rsidR="00B755CC" w:rsidRPr="00AC4ECF" w:rsidRDefault="00B755CC" w:rsidP="00496F66">
      <w:pPr>
        <w:kinsoku w:val="0"/>
        <w:overflowPunct w:val="0"/>
        <w:spacing w:line="402" w:lineRule="exact"/>
        <w:ind w:left="958" w:right="510"/>
        <w:jc w:val="distribute"/>
        <w:rPr>
          <w:sz w:val="28"/>
          <w:szCs w:val="28"/>
        </w:rPr>
      </w:pPr>
      <w:r w:rsidRPr="001F6ABB">
        <w:rPr>
          <w:rFonts w:eastAsia="華康粗黑體"/>
          <w:color w:val="000000"/>
          <w:sz w:val="28"/>
          <w:szCs w:val="28"/>
        </w:rPr>
        <w:t>協同意見書</w:t>
      </w:r>
      <w:r w:rsidRPr="00AC4ECF">
        <w:rPr>
          <w:rFonts w:hAnsi="標楷體"/>
          <w:sz w:val="28"/>
          <w:szCs w:val="28"/>
        </w:rPr>
        <w:t xml:space="preserve">　　　　　　</w:t>
      </w:r>
      <w:r>
        <w:rPr>
          <w:rFonts w:hAnsi="標楷體" w:hint="eastAsia"/>
          <w:sz w:val="28"/>
          <w:szCs w:val="28"/>
        </w:rPr>
        <w:t xml:space="preserve">　　　　　　</w:t>
      </w:r>
      <w:r>
        <w:rPr>
          <w:rFonts w:hAnsi="標楷體"/>
          <w:sz w:val="28"/>
          <w:szCs w:val="28"/>
        </w:rPr>
        <w:t xml:space="preserve">　　</w:t>
      </w:r>
      <w:r>
        <w:rPr>
          <w:rFonts w:hAnsi="標楷體" w:hint="eastAsia"/>
          <w:sz w:val="28"/>
          <w:szCs w:val="28"/>
        </w:rPr>
        <w:t>陳春生</w:t>
      </w:r>
      <w:r w:rsidRPr="00AC4ECF">
        <w:rPr>
          <w:rFonts w:hAnsi="標楷體"/>
          <w:sz w:val="28"/>
          <w:szCs w:val="28"/>
        </w:rPr>
        <w:t>大法官　提出</w:t>
      </w:r>
    </w:p>
    <w:p w:rsidR="00A10C0F" w:rsidRPr="00CF71FD" w:rsidRDefault="00A10C0F" w:rsidP="00496F66">
      <w:pPr>
        <w:spacing w:line="391" w:lineRule="exact"/>
        <w:ind w:firstLineChars="200" w:firstLine="560"/>
        <w:jc w:val="both"/>
        <w:rPr>
          <w:sz w:val="28"/>
          <w:szCs w:val="28"/>
        </w:rPr>
      </w:pPr>
      <w:r w:rsidRPr="00CF71FD">
        <w:rPr>
          <w:rFonts w:hAnsi="標楷體"/>
          <w:sz w:val="28"/>
          <w:szCs w:val="28"/>
        </w:rPr>
        <w:t>本號解釋主要補充釋字第三二五號解釋，對此本席敬表同意。其重點有四，首先，立法院對於檢察機關偵查中之案件，不得向其調閱卷證。其次，對於檢察機關已偵查終結而不起訴處分確定或未經起訴而以其他方式結案之案件卷證，在一定條件下，立法院仍得調閱，亦即，其須基於目的與範圍均屬明確之特定議案</w:t>
      </w:r>
      <w:r w:rsidR="00496F66">
        <w:rPr>
          <w:rFonts w:hAnsi="標楷體" w:hint="eastAsia"/>
          <w:sz w:val="28"/>
          <w:szCs w:val="28"/>
        </w:rPr>
        <w:t>，</w:t>
      </w:r>
      <w:r w:rsidRPr="00CF71FD">
        <w:rPr>
          <w:rFonts w:hAnsi="標楷體"/>
          <w:sz w:val="28"/>
          <w:szCs w:val="28"/>
        </w:rPr>
        <w:t>並與其行使憲法上職權有重大關聯，且非屬法律所禁止或妨害另案偵查者。再者，除調閱偵查卷證之文件原本應經立法院院會決議外，調閱與原本內容相同之影本者，同樣須經立法院院會決議。最後，因調閱卷證而知悉之資訊，其使用應限於行使憲法上職權所必要，並應注意維護關係人諸如名譽、隱私、營業秘密等權益。</w:t>
      </w:r>
    </w:p>
    <w:p w:rsidR="00A10C0F" w:rsidRPr="00CF71FD" w:rsidRDefault="00A10C0F" w:rsidP="00A10C0F">
      <w:pPr>
        <w:spacing w:line="391" w:lineRule="exact"/>
        <w:ind w:firstLineChars="200" w:firstLine="560"/>
        <w:jc w:val="both"/>
        <w:rPr>
          <w:sz w:val="28"/>
          <w:szCs w:val="28"/>
        </w:rPr>
      </w:pPr>
      <w:r w:rsidRPr="00CF71FD">
        <w:rPr>
          <w:rFonts w:hAnsi="標楷體"/>
          <w:sz w:val="28"/>
          <w:szCs w:val="28"/>
        </w:rPr>
        <w:t>以下謹就與本解釋意旨相關者，提出協同意見。</w:t>
      </w:r>
    </w:p>
    <w:p w:rsidR="00A10C0F" w:rsidRPr="00CF71FD" w:rsidRDefault="00A10C0F" w:rsidP="00A10C0F">
      <w:pPr>
        <w:spacing w:line="391" w:lineRule="exact"/>
        <w:rPr>
          <w:b/>
          <w:sz w:val="28"/>
          <w:szCs w:val="28"/>
        </w:rPr>
      </w:pPr>
      <w:r w:rsidRPr="00CF71FD">
        <w:rPr>
          <w:rFonts w:hAnsi="標楷體"/>
          <w:b/>
          <w:sz w:val="28"/>
          <w:szCs w:val="28"/>
        </w:rPr>
        <w:lastRenderedPageBreak/>
        <w:t>壹、本號解釋與釋字第五八五號解釋之關聯</w:t>
      </w:r>
    </w:p>
    <w:p w:rsidR="00A10C0F" w:rsidRPr="00CF71FD" w:rsidRDefault="00A10C0F" w:rsidP="00B755CC">
      <w:pPr>
        <w:kinsoku w:val="0"/>
        <w:overflowPunct w:val="0"/>
        <w:spacing w:line="391" w:lineRule="exact"/>
        <w:ind w:leftChars="100" w:left="880" w:hangingChars="200" w:hanging="560"/>
        <w:jc w:val="both"/>
        <w:rPr>
          <w:sz w:val="28"/>
          <w:szCs w:val="28"/>
        </w:rPr>
      </w:pPr>
      <w:r w:rsidRPr="00CF71FD">
        <w:rPr>
          <w:rFonts w:hAnsi="標楷體"/>
          <w:sz w:val="28"/>
          <w:szCs w:val="28"/>
        </w:rPr>
        <w:t>一、立法院調查權行使應由立法院依法設立調查委員會為之</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sz w:val="28"/>
          <w:szCs w:val="28"/>
        </w:rPr>
        <w:t>本號解釋乃就釋字第三二五號解釋意旨加以補充，而未特就釋字第五八五號解釋關於立法院調查權為論述。本院釋字第三二五號及第五八五號解釋（包含釋字第六三三號解釋），就立法院之文件調閱權與調查權，分別說明與界定。本號解釋則專就釋字第三二五號解釋所宣示之立法院文件調閱權為解釋。雖然釋字第五八五號解釋指出</w:t>
      </w:r>
      <w:r w:rsidR="00855D3C">
        <w:rPr>
          <w:rFonts w:hAnsi="標楷體" w:hint="eastAsia"/>
          <w:sz w:val="28"/>
          <w:szCs w:val="28"/>
        </w:rPr>
        <w:t>：</w:t>
      </w:r>
      <w:r w:rsidRPr="00CF71FD">
        <w:rPr>
          <w:rFonts w:hAnsi="標楷體"/>
          <w:sz w:val="28"/>
          <w:szCs w:val="28"/>
        </w:rPr>
        <w:t>「立法院為有效行使憲法所賦予之立法職權，本其固有之權能自得享有一定之調查權，主動獲取行使職權所需之相關資訊，俾能充分思辯，審慎決定，以善盡民意機關之職責，發揮權力分立與制衡之機能。立法院調查權乃立法院行使其憲法職權所必要之輔助性權力」，惟於該號解釋理由書亦指出：「立法院調查權係協助立法院行使憲法職權所需之輔助性權力，其權力之行使應由立法院依法設立調查委員會為之。」換言之，須為依法設立之調查委員會（如三一九真相調查委員會）方得行使調查權，與釋字第三二五號解釋之經院會決議調閱文件原本不同。</w:t>
      </w:r>
    </w:p>
    <w:p w:rsidR="00A10C0F" w:rsidRPr="00CF71FD" w:rsidRDefault="00A10C0F" w:rsidP="00A10C0F">
      <w:pPr>
        <w:kinsoku w:val="0"/>
        <w:overflowPunct w:val="0"/>
        <w:spacing w:line="391" w:lineRule="exact"/>
        <w:ind w:leftChars="100" w:left="880" w:hangingChars="200" w:hanging="560"/>
        <w:jc w:val="both"/>
        <w:rPr>
          <w:color w:val="000000"/>
          <w:kern w:val="0"/>
          <w:sz w:val="28"/>
          <w:szCs w:val="28"/>
        </w:rPr>
      </w:pPr>
      <w:r w:rsidRPr="00CF71FD">
        <w:rPr>
          <w:rFonts w:hAnsi="標楷體"/>
          <w:sz w:val="28"/>
          <w:szCs w:val="28"/>
        </w:rPr>
        <w:t>二、釋字第五八五號解釋宣示的解決機制，是針對該號解釋就具體個案調查的特殊</w:t>
      </w:r>
      <w:r w:rsidRPr="00A10C0F">
        <w:rPr>
          <w:rFonts w:hAnsi="標楷體"/>
          <w:color w:val="000000"/>
          <w:sz w:val="28"/>
          <w:szCs w:val="28"/>
          <w:lang w:val="de-DE"/>
        </w:rPr>
        <w:t>情況</w:t>
      </w:r>
      <w:r w:rsidRPr="00CF71FD">
        <w:rPr>
          <w:rFonts w:hAnsi="標楷體"/>
          <w:sz w:val="28"/>
          <w:szCs w:val="28"/>
        </w:rPr>
        <w:t>，也許牽涉機關的行政特權等等，此與立法院固有的文件調閱權不同</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sz w:val="28"/>
          <w:szCs w:val="28"/>
        </w:rPr>
        <w:t>而本號解釋雖未進一步闡述立法院之文件調閱權與調查權之關係，只就立法院對於檢察</w:t>
      </w:r>
      <w:r w:rsidRPr="00A10C0F">
        <w:rPr>
          <w:rFonts w:hAnsi="標楷體"/>
          <w:color w:val="000000"/>
          <w:sz w:val="28"/>
          <w:szCs w:val="28"/>
        </w:rPr>
        <w:t>機關</w:t>
      </w:r>
      <w:r w:rsidRPr="00CF71FD">
        <w:rPr>
          <w:rFonts w:hAnsi="標楷體"/>
          <w:sz w:val="28"/>
          <w:szCs w:val="28"/>
        </w:rPr>
        <w:t>行使調閱相關卷證之文件調閱權，乃謹守釋字第三二五號解釋所宣示之權限，亦未牴觸釋字第五八五號解釋所揭示之在一定條件下立法院得行使調查權之意旨。</w:t>
      </w:r>
    </w:p>
    <w:p w:rsidR="00A10C0F" w:rsidRPr="00CF71FD" w:rsidRDefault="00A10C0F" w:rsidP="00A10C0F">
      <w:pPr>
        <w:kinsoku w:val="0"/>
        <w:overflowPunct w:val="0"/>
        <w:spacing w:line="391" w:lineRule="exact"/>
        <w:ind w:leftChars="100" w:left="880" w:hangingChars="200" w:hanging="560"/>
        <w:jc w:val="both"/>
        <w:rPr>
          <w:sz w:val="28"/>
          <w:szCs w:val="28"/>
        </w:rPr>
      </w:pPr>
      <w:r w:rsidRPr="00CF71FD">
        <w:rPr>
          <w:rFonts w:hAnsi="標楷體"/>
          <w:sz w:val="28"/>
          <w:szCs w:val="28"/>
        </w:rPr>
        <w:t>三、立法院對偵查終結而不起訴處分確定案卷之調閱，須與行使憲法所賦予之職權有重大關聯</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sz w:val="28"/>
          <w:szCs w:val="28"/>
        </w:rPr>
        <w:t>本號解釋採釋字第五八五號解釋之意旨，即立法院所得調查之對象或事項，並非毫無限制。同樣地，本號解釋揭櫫立法院所欲調閱之文件，必須與其行使憲法所賦予之職權有重大關聯。本席敬表贊同。</w:t>
      </w:r>
    </w:p>
    <w:p w:rsidR="00A10C0F" w:rsidRPr="00CF71FD" w:rsidRDefault="00A10C0F" w:rsidP="00A10C0F">
      <w:pPr>
        <w:spacing w:line="391" w:lineRule="exact"/>
        <w:rPr>
          <w:b/>
          <w:color w:val="000000"/>
          <w:sz w:val="28"/>
          <w:szCs w:val="28"/>
        </w:rPr>
      </w:pPr>
      <w:r w:rsidRPr="00CF71FD">
        <w:rPr>
          <w:rFonts w:hAnsi="標楷體"/>
          <w:b/>
          <w:color w:val="000000"/>
          <w:sz w:val="28"/>
          <w:szCs w:val="28"/>
        </w:rPr>
        <w:t>貳、本號解釋所補充釋字第三二五號解釋之意旨</w:t>
      </w:r>
    </w:p>
    <w:p w:rsidR="00A10C0F" w:rsidRPr="00CF71FD" w:rsidRDefault="00A10C0F" w:rsidP="00A10C0F">
      <w:pPr>
        <w:kinsoku w:val="0"/>
        <w:overflowPunct w:val="0"/>
        <w:spacing w:line="391" w:lineRule="exact"/>
        <w:ind w:leftChars="100" w:left="880" w:hangingChars="200" w:hanging="560"/>
        <w:jc w:val="both"/>
        <w:rPr>
          <w:color w:val="000000"/>
          <w:sz w:val="28"/>
          <w:szCs w:val="28"/>
        </w:rPr>
      </w:pPr>
      <w:r w:rsidRPr="00CF71FD">
        <w:rPr>
          <w:rFonts w:hAnsi="標楷體"/>
          <w:color w:val="000000"/>
          <w:sz w:val="28"/>
          <w:szCs w:val="28"/>
        </w:rPr>
        <w:t>一、本號</w:t>
      </w:r>
      <w:r w:rsidRPr="00A10C0F">
        <w:rPr>
          <w:rFonts w:hAnsi="標楷體"/>
          <w:color w:val="000000"/>
          <w:sz w:val="28"/>
          <w:szCs w:val="28"/>
          <w:lang w:val="de-DE"/>
        </w:rPr>
        <w:t>解釋</w:t>
      </w:r>
      <w:r w:rsidRPr="00CF71FD">
        <w:rPr>
          <w:rFonts w:hAnsi="標楷體"/>
          <w:color w:val="000000"/>
          <w:sz w:val="28"/>
          <w:szCs w:val="28"/>
        </w:rPr>
        <w:t>補充釋字第三二五號解釋之處</w:t>
      </w:r>
    </w:p>
    <w:p w:rsidR="00A10C0F" w:rsidRPr="00CF71FD" w:rsidRDefault="00A10C0F" w:rsidP="00A10C0F">
      <w:pPr>
        <w:kinsoku w:val="0"/>
        <w:overflowPunct w:val="0"/>
        <w:spacing w:line="391" w:lineRule="exact"/>
        <w:ind w:left="879" w:firstLine="595"/>
        <w:jc w:val="both"/>
        <w:rPr>
          <w:color w:val="000000"/>
          <w:sz w:val="28"/>
          <w:szCs w:val="28"/>
        </w:rPr>
      </w:pPr>
      <w:r w:rsidRPr="00CF71FD">
        <w:rPr>
          <w:rFonts w:hAnsi="標楷體"/>
          <w:color w:val="000000"/>
          <w:sz w:val="28"/>
          <w:szCs w:val="28"/>
        </w:rPr>
        <w:t>釋字第三二五號解釋指出：</w:t>
      </w:r>
      <w:r w:rsidRPr="00CF71FD">
        <w:rPr>
          <w:rFonts w:hAnsi="標楷體"/>
          <w:color w:val="000000"/>
          <w:sz w:val="28"/>
          <w:szCs w:val="28"/>
          <w:lang w:val="de-DE"/>
        </w:rPr>
        <w:t>「</w:t>
      </w:r>
      <w:r w:rsidRPr="00CF71FD">
        <w:rPr>
          <w:rFonts w:hAnsi="標楷體"/>
          <w:color w:val="000000"/>
          <w:sz w:val="28"/>
          <w:szCs w:val="28"/>
        </w:rPr>
        <w:t>但國家機關獨立行使職權受憲法之保障者，如司法機關</w:t>
      </w:r>
      <w:r w:rsidRPr="00A10C0F">
        <w:rPr>
          <w:rFonts w:hAnsi="標楷體"/>
          <w:sz w:val="28"/>
          <w:szCs w:val="28"/>
        </w:rPr>
        <w:t>審理</w:t>
      </w:r>
      <w:r w:rsidRPr="00CF71FD">
        <w:rPr>
          <w:rFonts w:hAnsi="標楷體"/>
          <w:color w:val="000000"/>
          <w:sz w:val="28"/>
          <w:szCs w:val="28"/>
        </w:rPr>
        <w:t>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w:t>
      </w:r>
      <w:r w:rsidRPr="00CF71FD">
        <w:rPr>
          <w:rFonts w:hAnsi="標楷體"/>
          <w:color w:val="000000"/>
          <w:sz w:val="28"/>
          <w:szCs w:val="28"/>
          <w:lang w:val="de-DE"/>
        </w:rPr>
        <w:t>」</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color w:val="000000"/>
          <w:sz w:val="28"/>
          <w:szCs w:val="28"/>
        </w:rPr>
        <w:t>本號解釋</w:t>
      </w:r>
      <w:r w:rsidRPr="00CF71FD">
        <w:rPr>
          <w:rFonts w:hAnsi="標楷體"/>
          <w:sz w:val="28"/>
          <w:szCs w:val="28"/>
        </w:rPr>
        <w:t>對於檢察機關已偵查終結而</w:t>
      </w:r>
      <w:r w:rsidRPr="00CF71FD">
        <w:rPr>
          <w:rFonts w:hAnsi="標楷體"/>
          <w:sz w:val="28"/>
          <w:szCs w:val="28"/>
          <w:u w:val="single"/>
        </w:rPr>
        <w:t>不起訴處分確定</w:t>
      </w:r>
      <w:r w:rsidRPr="00CF71FD">
        <w:rPr>
          <w:rFonts w:hAnsi="標楷體"/>
          <w:sz w:val="28"/>
          <w:szCs w:val="28"/>
        </w:rPr>
        <w:t>之案件卷證，在一定條件下，</w:t>
      </w:r>
      <w:r w:rsidRPr="00A10C0F">
        <w:rPr>
          <w:rFonts w:hAnsi="標楷體"/>
          <w:color w:val="000000"/>
          <w:sz w:val="28"/>
          <w:szCs w:val="28"/>
        </w:rPr>
        <w:t>立法院</w:t>
      </w:r>
      <w:r w:rsidRPr="00CF71FD">
        <w:rPr>
          <w:rFonts w:hAnsi="標楷體"/>
          <w:sz w:val="28"/>
          <w:szCs w:val="28"/>
        </w:rPr>
        <w:t>仍得調閱，這是釋字第三二五號解釋所未宣示者</w:t>
      </w:r>
      <w:r w:rsidRPr="00CF71FD">
        <w:rPr>
          <w:rFonts w:hAnsi="標楷體"/>
          <w:sz w:val="28"/>
          <w:szCs w:val="28"/>
        </w:rPr>
        <w:lastRenderedPageBreak/>
        <w:t>。所謂一定條件，包含：</w:t>
      </w:r>
      <w:r w:rsidRPr="00CF71FD">
        <w:rPr>
          <w:sz w:val="28"/>
          <w:szCs w:val="28"/>
        </w:rPr>
        <w:t>1.</w:t>
      </w:r>
      <w:r w:rsidRPr="00CF71FD">
        <w:rPr>
          <w:rFonts w:hAnsi="標楷體"/>
          <w:sz w:val="28"/>
          <w:szCs w:val="28"/>
        </w:rPr>
        <w:t>其須基於目的與範圍均屬明確之特定議案、</w:t>
      </w:r>
      <w:r w:rsidRPr="00CF71FD">
        <w:rPr>
          <w:sz w:val="28"/>
          <w:szCs w:val="28"/>
        </w:rPr>
        <w:t>2.</w:t>
      </w:r>
      <w:r w:rsidRPr="00CF71FD">
        <w:rPr>
          <w:rFonts w:hAnsi="標楷體"/>
          <w:sz w:val="28"/>
          <w:szCs w:val="28"/>
        </w:rPr>
        <w:t>與其行使憲法上職權有重大關聯</w:t>
      </w:r>
      <w:r w:rsidR="00C151EC">
        <w:rPr>
          <w:rFonts w:hAnsi="標楷體" w:hint="eastAsia"/>
          <w:sz w:val="28"/>
          <w:szCs w:val="28"/>
        </w:rPr>
        <w:t>、</w:t>
      </w:r>
      <w:r w:rsidRPr="00CF71FD">
        <w:rPr>
          <w:sz w:val="28"/>
          <w:szCs w:val="28"/>
        </w:rPr>
        <w:t>3.</w:t>
      </w:r>
      <w:r w:rsidRPr="00CF71FD">
        <w:rPr>
          <w:rFonts w:hAnsi="標楷體"/>
          <w:sz w:val="28"/>
          <w:szCs w:val="28"/>
        </w:rPr>
        <w:t>且非屬法律所禁止或妨害另案偵查者。設定此條件其理由在於立法院要求提供參考資料權及文件調閱權，係輔助立法院行使憲法職權之權力</w:t>
      </w:r>
      <w:r w:rsidRPr="00CF71FD">
        <w:rPr>
          <w:rFonts w:hAnsi="標楷體" w:hint="eastAsia"/>
          <w:sz w:val="22"/>
          <w:szCs w:val="22"/>
        </w:rPr>
        <w:t>（註一）</w:t>
      </w:r>
      <w:r w:rsidRPr="00CF71FD">
        <w:rPr>
          <w:rFonts w:hAnsi="標楷體"/>
          <w:sz w:val="28"/>
          <w:szCs w:val="28"/>
        </w:rPr>
        <w:t>。</w:t>
      </w:r>
    </w:p>
    <w:p w:rsidR="00A10C0F" w:rsidRPr="00CF71FD" w:rsidRDefault="00A10C0F" w:rsidP="00A10C0F">
      <w:pPr>
        <w:kinsoku w:val="0"/>
        <w:overflowPunct w:val="0"/>
        <w:spacing w:line="391" w:lineRule="exact"/>
        <w:ind w:left="879" w:firstLine="595"/>
        <w:jc w:val="both"/>
        <w:rPr>
          <w:color w:val="000000"/>
          <w:sz w:val="28"/>
          <w:szCs w:val="28"/>
        </w:rPr>
      </w:pPr>
      <w:r w:rsidRPr="00CF71FD">
        <w:rPr>
          <w:rFonts w:hAnsi="標楷體"/>
          <w:sz w:val="28"/>
          <w:szCs w:val="28"/>
        </w:rPr>
        <w:t>其中</w:t>
      </w:r>
      <w:r w:rsidRPr="00CF71FD">
        <w:rPr>
          <w:sz w:val="28"/>
          <w:szCs w:val="28"/>
        </w:rPr>
        <w:t>2.</w:t>
      </w:r>
      <w:r w:rsidRPr="00CF71FD">
        <w:rPr>
          <w:rFonts w:hAnsi="標楷體"/>
          <w:sz w:val="28"/>
          <w:szCs w:val="28"/>
        </w:rPr>
        <w:t>乃重複釋字第五八五號解釋精神；</w:t>
      </w:r>
      <w:r w:rsidRPr="00CF71FD">
        <w:rPr>
          <w:sz w:val="28"/>
          <w:szCs w:val="28"/>
        </w:rPr>
        <w:t>3.</w:t>
      </w:r>
      <w:r w:rsidRPr="00CF71FD">
        <w:rPr>
          <w:rFonts w:hAnsi="標楷體"/>
          <w:sz w:val="28"/>
          <w:szCs w:val="28"/>
        </w:rPr>
        <w:t>乃釋字第三二五號解釋之意旨；至於</w:t>
      </w:r>
      <w:r w:rsidRPr="00CF71FD">
        <w:rPr>
          <w:sz w:val="28"/>
          <w:szCs w:val="28"/>
        </w:rPr>
        <w:t>1.</w:t>
      </w:r>
      <w:r w:rsidRPr="00CF71FD">
        <w:rPr>
          <w:rFonts w:hAnsi="標楷體"/>
          <w:sz w:val="28"/>
          <w:szCs w:val="28"/>
        </w:rPr>
        <w:t>則係本號解釋具體指出，依釋字第三二五號解釋意旨所制定之立法院職權行使法第四十五條第一項</w:t>
      </w:r>
      <w:r w:rsidRPr="00CF71FD">
        <w:rPr>
          <w:rFonts w:hAnsi="標楷體"/>
          <w:color w:val="000000"/>
          <w:sz w:val="28"/>
          <w:szCs w:val="28"/>
        </w:rPr>
        <w:t>所稱</w:t>
      </w:r>
      <w:r w:rsidRPr="00CF71FD">
        <w:rPr>
          <w:rFonts w:hAnsi="標楷體"/>
          <w:color w:val="000000"/>
          <w:sz w:val="28"/>
          <w:szCs w:val="28"/>
          <w:lang w:val="fr-FR"/>
        </w:rPr>
        <w:t>「</w:t>
      </w:r>
      <w:r w:rsidRPr="00CF71FD">
        <w:rPr>
          <w:rFonts w:hAnsi="標楷體"/>
          <w:color w:val="000000"/>
          <w:sz w:val="28"/>
          <w:szCs w:val="28"/>
        </w:rPr>
        <w:t>特定議案」，其目的及範圍均應明確，此亦為補充釋字第三二五號解釋之意旨。</w:t>
      </w:r>
    </w:p>
    <w:p w:rsidR="00A10C0F" w:rsidRPr="00CF71FD" w:rsidRDefault="00A10C0F" w:rsidP="00345FFC">
      <w:pPr>
        <w:kinsoku w:val="0"/>
        <w:overflowPunct w:val="0"/>
        <w:spacing w:line="402" w:lineRule="exact"/>
        <w:ind w:leftChars="100" w:left="880" w:hangingChars="200" w:hanging="560"/>
        <w:jc w:val="both"/>
        <w:rPr>
          <w:color w:val="000000"/>
          <w:sz w:val="28"/>
          <w:szCs w:val="28"/>
          <w:lang w:val="de-DE"/>
        </w:rPr>
      </w:pPr>
      <w:r w:rsidRPr="00CF71FD">
        <w:rPr>
          <w:rFonts w:hAnsi="標楷體"/>
          <w:color w:val="000000"/>
          <w:sz w:val="28"/>
          <w:szCs w:val="28"/>
          <w:lang w:val="de-DE"/>
        </w:rPr>
        <w:t>二、對於聲請解釋爭議案件，應解決至如何程度？</w:t>
      </w:r>
    </w:p>
    <w:p w:rsidR="00A10C0F" w:rsidRPr="00CF71FD" w:rsidRDefault="00A10C0F" w:rsidP="00345FFC">
      <w:pPr>
        <w:kinsoku w:val="0"/>
        <w:overflowPunct w:val="0"/>
        <w:spacing w:line="402" w:lineRule="exact"/>
        <w:ind w:left="879" w:firstLine="595"/>
        <w:jc w:val="both"/>
        <w:rPr>
          <w:color w:val="000000"/>
          <w:sz w:val="28"/>
          <w:szCs w:val="28"/>
          <w:lang w:val="de-DE"/>
        </w:rPr>
      </w:pPr>
      <w:r w:rsidRPr="00CF71FD">
        <w:rPr>
          <w:rFonts w:hAnsi="標楷體"/>
          <w:color w:val="000000"/>
          <w:sz w:val="28"/>
          <w:szCs w:val="28"/>
          <w:lang w:val="de-DE"/>
        </w:rPr>
        <w:t>本號解釋於理由書第六段指出，關於立法院行使文件調閱權，如與受調閱機關間發生</w:t>
      </w:r>
      <w:r w:rsidRPr="00A10C0F">
        <w:rPr>
          <w:rFonts w:hAnsi="標楷體"/>
          <w:sz w:val="28"/>
          <w:szCs w:val="28"/>
        </w:rPr>
        <w:t>行使</w:t>
      </w:r>
      <w:r w:rsidRPr="00CF71FD">
        <w:rPr>
          <w:rFonts w:hAnsi="標楷體"/>
          <w:color w:val="000000"/>
          <w:sz w:val="28"/>
          <w:szCs w:val="28"/>
          <w:lang w:val="de-DE"/>
        </w:rPr>
        <w:t>上爭議時，立法院與受調閱機關，</w:t>
      </w:r>
      <w:r w:rsidRPr="00CF71FD">
        <w:rPr>
          <w:rFonts w:hAnsi="標楷體"/>
          <w:color w:val="000000"/>
          <w:sz w:val="28"/>
          <w:szCs w:val="28"/>
          <w:u w:val="single"/>
          <w:lang w:val="de-DE"/>
        </w:rPr>
        <w:t>宜尋協商機制解決</w:t>
      </w:r>
      <w:r w:rsidR="00881381">
        <w:rPr>
          <w:rFonts w:hAnsi="標楷體"/>
          <w:color w:val="000000"/>
          <w:sz w:val="28"/>
          <w:szCs w:val="28"/>
          <w:lang w:val="de-DE"/>
        </w:rPr>
        <w:t>，或以法律明定相關</w:t>
      </w:r>
      <w:r w:rsidRPr="00CF71FD">
        <w:rPr>
          <w:rFonts w:hAnsi="標楷體"/>
          <w:color w:val="000000"/>
          <w:sz w:val="28"/>
          <w:szCs w:val="28"/>
          <w:lang w:val="de-DE"/>
        </w:rPr>
        <w:t>要件與程序，</w:t>
      </w:r>
      <w:r w:rsidRPr="00CF71FD">
        <w:rPr>
          <w:rFonts w:hAnsi="標楷體"/>
          <w:color w:val="000000"/>
          <w:sz w:val="28"/>
          <w:szCs w:val="28"/>
          <w:u w:val="single"/>
          <w:lang w:val="de-DE"/>
        </w:rPr>
        <w:t>由司法機關審理解決</w:t>
      </w:r>
      <w:r w:rsidRPr="00CF71FD">
        <w:rPr>
          <w:rFonts w:hAnsi="標楷體"/>
          <w:color w:val="000000"/>
          <w:sz w:val="28"/>
          <w:szCs w:val="28"/>
          <w:lang w:val="de-DE"/>
        </w:rPr>
        <w:t>之。則對於如本案之聲請解釋爭議案件，應解決至如何程度？</w:t>
      </w:r>
      <w:r w:rsidRPr="00CF71FD">
        <w:rPr>
          <w:color w:val="000000"/>
          <w:sz w:val="28"/>
          <w:szCs w:val="28"/>
          <w:lang w:val="de-DE"/>
        </w:rPr>
        <w:t xml:space="preserve"> </w:t>
      </w:r>
    </w:p>
    <w:p w:rsidR="00A10C0F" w:rsidRPr="00CF71FD" w:rsidRDefault="00A10C0F" w:rsidP="00345FFC">
      <w:pPr>
        <w:kinsoku w:val="0"/>
        <w:overflowPunct w:val="0"/>
        <w:spacing w:line="402" w:lineRule="exact"/>
        <w:ind w:left="1474" w:hanging="879"/>
        <w:jc w:val="both"/>
        <w:rPr>
          <w:sz w:val="28"/>
          <w:szCs w:val="28"/>
        </w:rPr>
      </w:pPr>
      <w:r w:rsidRPr="00CF71FD">
        <w:rPr>
          <w:rFonts w:hAnsi="標楷體"/>
          <w:color w:val="000000"/>
          <w:sz w:val="28"/>
          <w:szCs w:val="28"/>
          <w:lang w:val="de-DE"/>
        </w:rPr>
        <w:t>（一）就本案之聲請憲法爭議之解決，如前述，本號解釋既已明確指出，</w:t>
      </w:r>
      <w:r w:rsidR="00881381">
        <w:rPr>
          <w:rFonts w:hAnsi="標楷體"/>
          <w:sz w:val="28"/>
          <w:szCs w:val="28"/>
        </w:rPr>
        <w:t>對於檢察機關已偵查終結而不起訴處分確定或未經起訴而</w:t>
      </w:r>
      <w:r w:rsidR="00881381">
        <w:rPr>
          <w:rFonts w:hAnsi="標楷體" w:hint="eastAsia"/>
          <w:sz w:val="28"/>
          <w:szCs w:val="28"/>
        </w:rPr>
        <w:t>以</w:t>
      </w:r>
      <w:r w:rsidRPr="00CF71FD">
        <w:rPr>
          <w:rFonts w:hAnsi="標楷體"/>
          <w:sz w:val="28"/>
          <w:szCs w:val="28"/>
        </w:rPr>
        <w:t>其他方式結案之案件卷證，在一定條件下，立法院仍得調閱。姑不論進一步探討其具體的條件內容與要求為何？或</w:t>
      </w:r>
      <w:r w:rsidRPr="00CF71FD">
        <w:rPr>
          <w:rFonts w:hAnsi="標楷體"/>
          <w:color w:val="000000"/>
          <w:sz w:val="28"/>
          <w:szCs w:val="28"/>
          <w:lang w:val="de-DE"/>
        </w:rPr>
        <w:t>立法院行使文件調閱權，與受調閱機關間若發生爭議時，該如何解決問題，</w:t>
      </w:r>
      <w:r w:rsidRPr="00CF71FD">
        <w:rPr>
          <w:rFonts w:hAnsi="標楷體"/>
          <w:sz w:val="28"/>
          <w:szCs w:val="28"/>
        </w:rPr>
        <w:t>本號解釋已對於系爭爭議作一</w:t>
      </w:r>
      <w:r w:rsidR="00881381">
        <w:rPr>
          <w:rFonts w:hAnsi="標楷體"/>
          <w:sz w:val="28"/>
          <w:szCs w:val="28"/>
        </w:rPr>
        <w:t>明確決斷，即對於檢察機關已偵查終結而不起訴處分確定或未經起訴而</w:t>
      </w:r>
      <w:r w:rsidR="00881381">
        <w:rPr>
          <w:rFonts w:hAnsi="標楷體" w:hint="eastAsia"/>
          <w:sz w:val="28"/>
          <w:szCs w:val="28"/>
        </w:rPr>
        <w:t>以</w:t>
      </w:r>
      <w:r w:rsidRPr="00CF71FD">
        <w:rPr>
          <w:rFonts w:hAnsi="標楷體"/>
          <w:sz w:val="28"/>
          <w:szCs w:val="28"/>
        </w:rPr>
        <w:t>其他方式結案之案件卷證，在一定條件下，立法院仍得調閱。</w:t>
      </w:r>
    </w:p>
    <w:p w:rsidR="00A10C0F" w:rsidRPr="00CF71FD" w:rsidRDefault="00A10C0F" w:rsidP="00345FFC">
      <w:pPr>
        <w:tabs>
          <w:tab w:val="left" w:pos="2127"/>
        </w:tabs>
        <w:kinsoku w:val="0"/>
        <w:overflowPunct w:val="0"/>
        <w:spacing w:line="402" w:lineRule="exact"/>
        <w:ind w:left="1474" w:hanging="879"/>
        <w:jc w:val="both"/>
        <w:rPr>
          <w:sz w:val="28"/>
          <w:szCs w:val="28"/>
          <w:lang w:val="fr-FR"/>
        </w:rPr>
      </w:pPr>
      <w:r w:rsidRPr="00CF71FD">
        <w:rPr>
          <w:rFonts w:hAnsi="標楷體"/>
          <w:sz w:val="28"/>
          <w:szCs w:val="28"/>
        </w:rPr>
        <w:t>（二）</w:t>
      </w:r>
      <w:r w:rsidRPr="00CF71FD">
        <w:rPr>
          <w:rFonts w:hAnsi="標楷體"/>
          <w:color w:val="000000"/>
          <w:sz w:val="28"/>
          <w:szCs w:val="28"/>
          <w:lang w:val="de-DE"/>
        </w:rPr>
        <w:t>本號解釋關於立法院行使文件調閱權，如與受調閱機關間發生爭議時，指出宜由立法院與受調閱機關，</w:t>
      </w:r>
      <w:r w:rsidRPr="00CF71FD">
        <w:rPr>
          <w:rFonts w:hAnsi="標楷體"/>
          <w:color w:val="000000"/>
          <w:sz w:val="28"/>
          <w:szCs w:val="28"/>
          <w:u w:val="single"/>
          <w:lang w:val="de-DE"/>
        </w:rPr>
        <w:t>尋協商機制解決</w:t>
      </w:r>
      <w:r w:rsidRPr="00CF71FD">
        <w:rPr>
          <w:rFonts w:hAnsi="標楷體"/>
          <w:color w:val="000000"/>
          <w:sz w:val="28"/>
          <w:szCs w:val="28"/>
          <w:lang w:val="de-DE"/>
        </w:rPr>
        <w:t>，或以法律明定相關要件與程序，</w:t>
      </w:r>
      <w:r w:rsidRPr="00CF71FD">
        <w:rPr>
          <w:rFonts w:hAnsi="標楷體"/>
          <w:color w:val="000000"/>
          <w:sz w:val="28"/>
          <w:szCs w:val="28"/>
          <w:u w:val="single"/>
          <w:lang w:val="de-DE"/>
        </w:rPr>
        <w:t>由司法機關審理解決</w:t>
      </w:r>
      <w:r w:rsidRPr="00CF71FD">
        <w:rPr>
          <w:rFonts w:hAnsi="標楷體"/>
          <w:color w:val="000000"/>
          <w:sz w:val="28"/>
          <w:szCs w:val="28"/>
          <w:lang w:val="de-DE"/>
        </w:rPr>
        <w:t>之。如此之諭知解決方式，過去已有先例，如釋字第五二</w:t>
      </w:r>
      <w:r w:rsidR="001466FF" w:rsidRPr="008959FF">
        <w:rPr>
          <w:rFonts w:ascii="標楷體" w:hAnsi="標楷體" w:hint="eastAsia"/>
          <w:color w:val="000000"/>
          <w:sz w:val="28"/>
          <w:szCs w:val="28"/>
          <w:lang w:val="de-DE"/>
        </w:rPr>
        <w:t>○</w:t>
      </w:r>
      <w:r w:rsidRPr="00CF71FD">
        <w:rPr>
          <w:rFonts w:hAnsi="標楷體"/>
          <w:color w:val="000000"/>
          <w:sz w:val="28"/>
          <w:szCs w:val="28"/>
          <w:lang w:val="de-DE"/>
        </w:rPr>
        <w:t>號解釋關於行政院會議決</w:t>
      </w:r>
      <w:r w:rsidR="00881381">
        <w:rPr>
          <w:rFonts w:hAnsi="標楷體" w:hint="eastAsia"/>
          <w:color w:val="000000"/>
          <w:sz w:val="28"/>
          <w:szCs w:val="28"/>
          <w:lang w:val="de-DE"/>
        </w:rPr>
        <w:t>議</w:t>
      </w:r>
      <w:r w:rsidRPr="00CF71FD">
        <w:rPr>
          <w:rFonts w:hAnsi="標楷體"/>
          <w:color w:val="000000"/>
          <w:sz w:val="28"/>
          <w:szCs w:val="28"/>
          <w:lang w:val="de-DE"/>
        </w:rPr>
        <w:t>停止執行法定之預算項目，立法院與行政院間該如何解決其爭議時，對各種情況諭知其解決方式，而</w:t>
      </w:r>
      <w:r w:rsidRPr="00CF71FD">
        <w:rPr>
          <w:rFonts w:hAnsi="標楷體"/>
          <w:color w:val="000000"/>
          <w:sz w:val="28"/>
          <w:szCs w:val="28"/>
          <w:lang w:val="fr-FR"/>
        </w:rPr>
        <w:t>「倘立法院作成反對或其他決議，則應</w:t>
      </w:r>
      <w:r w:rsidR="00881381">
        <w:rPr>
          <w:rFonts w:hAnsi="標楷體"/>
          <w:color w:val="000000"/>
          <w:sz w:val="28"/>
          <w:szCs w:val="28"/>
          <w:lang w:val="fr-FR"/>
        </w:rPr>
        <w:t>視決議之內容，由各有關機關依本解釋意旨，協商解決方案或根據憲法</w:t>
      </w:r>
      <w:r w:rsidR="00881381">
        <w:rPr>
          <w:rFonts w:hAnsi="標楷體" w:hint="eastAsia"/>
          <w:color w:val="000000"/>
          <w:sz w:val="28"/>
          <w:szCs w:val="28"/>
          <w:lang w:val="fr-FR"/>
        </w:rPr>
        <w:t>現</w:t>
      </w:r>
      <w:r w:rsidRPr="00CF71FD">
        <w:rPr>
          <w:rFonts w:hAnsi="標楷體"/>
          <w:color w:val="000000"/>
          <w:sz w:val="28"/>
          <w:szCs w:val="28"/>
          <w:lang w:val="fr-FR"/>
        </w:rPr>
        <w:t>有機制選擇適當途徑解決僵局」。其他如釋字第五八五號解釋亦同。</w:t>
      </w:r>
    </w:p>
    <w:p w:rsidR="00A10C0F" w:rsidRPr="00CF71FD" w:rsidRDefault="00A10C0F" w:rsidP="00345FFC">
      <w:pPr>
        <w:kinsoku w:val="0"/>
        <w:overflowPunct w:val="0"/>
        <w:spacing w:line="402" w:lineRule="exact"/>
        <w:ind w:left="1474" w:hanging="879"/>
        <w:jc w:val="both"/>
        <w:rPr>
          <w:color w:val="000000"/>
          <w:sz w:val="28"/>
          <w:szCs w:val="28"/>
          <w:lang w:val="de-DE"/>
        </w:rPr>
      </w:pPr>
      <w:r w:rsidRPr="00CF71FD">
        <w:rPr>
          <w:rFonts w:hAnsi="標楷體"/>
          <w:color w:val="000000"/>
          <w:sz w:val="28"/>
          <w:szCs w:val="28"/>
          <w:lang w:val="de-DE"/>
        </w:rPr>
        <w:t>（三）但本號解釋，即使未有上述於理由書第六段關於有爭議時，宜尋協商機制解決或由司法機關審理解決之諭知，亦能經由憲法規定</w:t>
      </w:r>
      <w:r w:rsidR="00173265">
        <w:rPr>
          <w:color w:val="000000"/>
          <w:sz w:val="28"/>
          <w:szCs w:val="28"/>
          <w:lang w:val="de-DE"/>
        </w:rPr>
        <w:t>（</w:t>
      </w:r>
      <w:r w:rsidRPr="00CF71FD">
        <w:rPr>
          <w:rFonts w:hAnsi="標楷體"/>
          <w:color w:val="000000"/>
          <w:sz w:val="28"/>
          <w:szCs w:val="28"/>
          <w:lang w:val="de-DE"/>
        </w:rPr>
        <w:t>如行政院與立法院間之相互制衡機制</w:t>
      </w:r>
      <w:r w:rsidR="00173265">
        <w:rPr>
          <w:color w:val="000000"/>
          <w:sz w:val="28"/>
          <w:szCs w:val="28"/>
          <w:lang w:val="de-DE"/>
        </w:rPr>
        <w:t>）</w:t>
      </w:r>
      <w:r w:rsidRPr="00CF71FD">
        <w:rPr>
          <w:rFonts w:hAnsi="標楷體"/>
          <w:color w:val="000000"/>
          <w:sz w:val="28"/>
          <w:szCs w:val="28"/>
          <w:lang w:val="de-DE"/>
        </w:rPr>
        <w:t>，或如立法院職權行使法第四十八條經立法院院會決議，將政府機關或公務人員以其違反本法規定</w:t>
      </w:r>
      <w:r w:rsidRPr="00345FFC">
        <w:rPr>
          <w:rFonts w:hAnsi="標楷體"/>
          <w:color w:val="000000"/>
          <w:spacing w:val="-4"/>
          <w:sz w:val="28"/>
          <w:szCs w:val="28"/>
          <w:lang w:val="de-DE"/>
        </w:rPr>
        <w:t>，將其移送監察院調查，必要時提出糾正、糾舉或彈劾等方式</w:t>
      </w:r>
      <w:r w:rsidRPr="00CF71FD">
        <w:rPr>
          <w:rFonts w:hAnsi="標楷體"/>
          <w:color w:val="000000"/>
          <w:sz w:val="28"/>
          <w:szCs w:val="28"/>
          <w:lang w:val="de-DE"/>
        </w:rPr>
        <w:t>解決。</w:t>
      </w:r>
    </w:p>
    <w:p w:rsidR="00A10C0F" w:rsidRPr="00CF71FD" w:rsidRDefault="00A10C0F" w:rsidP="00A10C0F">
      <w:pPr>
        <w:spacing w:line="391" w:lineRule="exact"/>
        <w:rPr>
          <w:b/>
          <w:color w:val="000000"/>
          <w:sz w:val="28"/>
          <w:szCs w:val="28"/>
          <w:lang w:val="de-DE"/>
        </w:rPr>
      </w:pPr>
      <w:r>
        <w:rPr>
          <w:rFonts w:hAnsi="標楷體" w:hint="eastAsia"/>
          <w:b/>
          <w:color w:val="000000"/>
          <w:sz w:val="28"/>
          <w:szCs w:val="28"/>
          <w:lang w:val="de-DE"/>
        </w:rPr>
        <w:lastRenderedPageBreak/>
        <w:t>叁</w:t>
      </w:r>
      <w:r w:rsidRPr="00CF71FD">
        <w:rPr>
          <w:rFonts w:hAnsi="標楷體"/>
          <w:b/>
          <w:color w:val="000000"/>
          <w:sz w:val="28"/>
          <w:szCs w:val="28"/>
          <w:lang w:val="de-DE"/>
        </w:rPr>
        <w:t>、</w:t>
      </w:r>
      <w:r w:rsidRPr="00CF71FD">
        <w:rPr>
          <w:rFonts w:hAnsi="標楷體"/>
          <w:b/>
          <w:color w:val="000000"/>
          <w:sz w:val="28"/>
          <w:szCs w:val="28"/>
        </w:rPr>
        <w:t>從權力分立角度論立法院之文件調閱權與調查權</w:t>
      </w:r>
    </w:p>
    <w:p w:rsidR="00A10C0F" w:rsidRPr="00CF71FD" w:rsidRDefault="00A10C0F" w:rsidP="00A10C0F">
      <w:pPr>
        <w:kinsoku w:val="0"/>
        <w:overflowPunct w:val="0"/>
        <w:spacing w:line="391" w:lineRule="exact"/>
        <w:ind w:leftChars="100" w:left="880" w:hangingChars="200" w:hanging="560"/>
        <w:jc w:val="both"/>
        <w:rPr>
          <w:sz w:val="28"/>
          <w:szCs w:val="28"/>
        </w:rPr>
      </w:pPr>
      <w:r w:rsidRPr="00CF71FD">
        <w:rPr>
          <w:rFonts w:hAnsi="標楷體"/>
          <w:color w:val="000000"/>
          <w:sz w:val="28"/>
          <w:szCs w:val="28"/>
        </w:rPr>
        <w:t>一、</w:t>
      </w:r>
      <w:r w:rsidRPr="00CF71FD">
        <w:rPr>
          <w:rFonts w:hAnsi="標楷體"/>
          <w:color w:val="000000"/>
          <w:sz w:val="28"/>
          <w:szCs w:val="28"/>
          <w:lang w:val="de-DE"/>
        </w:rPr>
        <w:t>西方三權分立原則下之權力分立與制衡</w:t>
      </w:r>
    </w:p>
    <w:p w:rsidR="00A10C0F" w:rsidRPr="00CF71FD" w:rsidRDefault="00A10C0F" w:rsidP="00A10C0F">
      <w:pPr>
        <w:kinsoku w:val="0"/>
        <w:overflowPunct w:val="0"/>
        <w:spacing w:line="391" w:lineRule="exact"/>
        <w:ind w:left="879" w:firstLine="595"/>
        <w:jc w:val="both"/>
        <w:rPr>
          <w:sz w:val="28"/>
          <w:szCs w:val="28"/>
          <w:lang w:val="de-DE"/>
        </w:rPr>
      </w:pPr>
      <w:r w:rsidRPr="00CF71FD">
        <w:rPr>
          <w:rFonts w:hAnsi="標楷體"/>
          <w:sz w:val="28"/>
          <w:szCs w:val="28"/>
          <w:lang w:val="de-DE"/>
        </w:rPr>
        <w:t>現代國家往往於憲法中首先創設國家之各種權力</w:t>
      </w:r>
      <w:r w:rsidR="00173265">
        <w:rPr>
          <w:sz w:val="28"/>
          <w:szCs w:val="28"/>
        </w:rPr>
        <w:t>（</w:t>
      </w:r>
      <w:r w:rsidRPr="00CF71FD">
        <w:rPr>
          <w:sz w:val="28"/>
          <w:szCs w:val="28"/>
        </w:rPr>
        <w:t>Konstitutierung der Gewalten</w:t>
      </w:r>
      <w:r w:rsidR="00173265">
        <w:rPr>
          <w:sz w:val="28"/>
          <w:szCs w:val="28"/>
        </w:rPr>
        <w:t>）</w:t>
      </w:r>
      <w:r w:rsidRPr="00CF71FD">
        <w:rPr>
          <w:rFonts w:hAnsi="標楷體"/>
          <w:sz w:val="28"/>
          <w:szCs w:val="28"/>
        </w:rPr>
        <w:t>，</w:t>
      </w:r>
      <w:r w:rsidRPr="00CF71FD">
        <w:rPr>
          <w:rFonts w:hAnsi="標楷體"/>
          <w:sz w:val="28"/>
          <w:szCs w:val="28"/>
          <w:lang w:val="de-DE"/>
        </w:rPr>
        <w:t>一般三權分立國家為行政、立法與司法三權</w:t>
      </w:r>
      <w:r w:rsidRPr="00CF71FD">
        <w:rPr>
          <w:rFonts w:hAnsi="標楷體" w:hint="eastAsia"/>
          <w:sz w:val="22"/>
          <w:szCs w:val="22"/>
        </w:rPr>
        <w:t>（註</w:t>
      </w:r>
      <w:r>
        <w:rPr>
          <w:rFonts w:hAnsi="標楷體" w:hint="eastAsia"/>
          <w:sz w:val="22"/>
          <w:szCs w:val="22"/>
        </w:rPr>
        <w:t>二</w:t>
      </w:r>
      <w:r w:rsidRPr="00CF71FD">
        <w:rPr>
          <w:rFonts w:hAnsi="標楷體" w:hint="eastAsia"/>
          <w:sz w:val="22"/>
          <w:szCs w:val="22"/>
        </w:rPr>
        <w:t>）</w:t>
      </w:r>
      <w:r w:rsidRPr="00CF71FD">
        <w:rPr>
          <w:rFonts w:hAnsi="標楷體"/>
          <w:sz w:val="28"/>
          <w:szCs w:val="28"/>
          <w:lang w:val="de-DE"/>
        </w:rPr>
        <w:t>。其次於憲法中為各種權力之配置</w:t>
      </w:r>
      <w:r w:rsidR="00173265">
        <w:rPr>
          <w:sz w:val="28"/>
          <w:szCs w:val="28"/>
          <w:lang w:val="de-DE"/>
        </w:rPr>
        <w:t>（</w:t>
      </w:r>
      <w:r w:rsidRPr="00CF71FD">
        <w:rPr>
          <w:sz w:val="28"/>
          <w:szCs w:val="28"/>
          <w:lang w:val="de-DE"/>
        </w:rPr>
        <w:t>Zuordnung der Gewalten</w:t>
      </w:r>
      <w:r w:rsidR="00173265">
        <w:rPr>
          <w:sz w:val="28"/>
          <w:szCs w:val="28"/>
          <w:lang w:val="de-DE"/>
        </w:rPr>
        <w:t>）</w:t>
      </w:r>
      <w:r w:rsidRPr="00CF71FD">
        <w:rPr>
          <w:rFonts w:hAnsi="標楷體"/>
          <w:sz w:val="28"/>
          <w:szCs w:val="28"/>
          <w:lang w:val="de-DE"/>
        </w:rPr>
        <w:t>，換言之，將這些國家所擔負之任務與功能配置於適當之國家機關加以實現。最後，經由權力之配置過程，以獲得權力之均衡</w:t>
      </w:r>
      <w:r w:rsidR="00173265">
        <w:rPr>
          <w:sz w:val="28"/>
          <w:szCs w:val="28"/>
          <w:lang w:val="de-DE"/>
        </w:rPr>
        <w:t>（</w:t>
      </w:r>
      <w:r w:rsidRPr="00CF71FD">
        <w:rPr>
          <w:sz w:val="28"/>
          <w:szCs w:val="28"/>
          <w:lang w:val="de-DE"/>
        </w:rPr>
        <w:t>Balancierung der Gewalten</w:t>
      </w:r>
      <w:r w:rsidR="00173265">
        <w:rPr>
          <w:sz w:val="28"/>
          <w:szCs w:val="28"/>
          <w:lang w:val="de-DE"/>
        </w:rPr>
        <w:t>）</w:t>
      </w:r>
      <w:r w:rsidR="00881381">
        <w:rPr>
          <w:rFonts w:hint="eastAsia"/>
          <w:sz w:val="28"/>
          <w:szCs w:val="28"/>
          <w:lang w:val="de-DE"/>
        </w:rPr>
        <w:t>，</w:t>
      </w:r>
      <w:r w:rsidRPr="00CF71FD">
        <w:rPr>
          <w:rFonts w:hAnsi="標楷體"/>
          <w:sz w:val="28"/>
          <w:szCs w:val="28"/>
          <w:lang w:val="de-DE"/>
        </w:rPr>
        <w:t>亦即，透過各權力間彼此之抑制與控制，以求得國家權力之均衡，進而人民能獲得政治上之自由。權力之均衡可說是憲法秩序</w:t>
      </w:r>
      <w:r w:rsidR="00881381">
        <w:rPr>
          <w:rFonts w:hAnsi="標楷體"/>
          <w:sz w:val="28"/>
          <w:szCs w:val="28"/>
          <w:lang w:val="de-DE"/>
        </w:rPr>
        <w:t>之本質重要構成部分。而權力之均衡，有待於憲法精神中之自由、民主</w:t>
      </w:r>
      <w:r w:rsidR="00881381">
        <w:rPr>
          <w:rFonts w:hAnsi="標楷體" w:hint="eastAsia"/>
          <w:sz w:val="28"/>
          <w:szCs w:val="28"/>
          <w:lang w:val="de-DE"/>
        </w:rPr>
        <w:t>、</w:t>
      </w:r>
      <w:r w:rsidR="006D78AE">
        <w:rPr>
          <w:rFonts w:hAnsi="標楷體"/>
          <w:sz w:val="28"/>
          <w:szCs w:val="28"/>
          <w:lang w:val="de-DE"/>
        </w:rPr>
        <w:t>法治價值與秩序之實現</w:t>
      </w:r>
      <w:r w:rsidRPr="00CF71FD">
        <w:rPr>
          <w:rFonts w:hAnsi="標楷體"/>
          <w:sz w:val="28"/>
          <w:szCs w:val="28"/>
          <w:lang w:val="de-DE"/>
        </w:rPr>
        <w:t>才能獲得</w:t>
      </w:r>
      <w:r w:rsidRPr="00CF71FD">
        <w:rPr>
          <w:rFonts w:hAnsi="標楷體" w:hint="eastAsia"/>
          <w:sz w:val="22"/>
          <w:szCs w:val="22"/>
        </w:rPr>
        <w:t>（註</w:t>
      </w:r>
      <w:r>
        <w:rPr>
          <w:rFonts w:hAnsi="標楷體" w:hint="eastAsia"/>
          <w:sz w:val="22"/>
          <w:szCs w:val="22"/>
        </w:rPr>
        <w:t>三</w:t>
      </w:r>
      <w:r w:rsidRPr="00CF71FD">
        <w:rPr>
          <w:rFonts w:hAnsi="標楷體" w:hint="eastAsia"/>
          <w:sz w:val="22"/>
          <w:szCs w:val="22"/>
        </w:rPr>
        <w:t>）</w:t>
      </w:r>
      <w:r w:rsidRPr="00CF71FD">
        <w:rPr>
          <w:rFonts w:hAnsi="標楷體"/>
          <w:sz w:val="28"/>
          <w:szCs w:val="28"/>
          <w:lang w:val="de-DE"/>
        </w:rPr>
        <w:t>。</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sz w:val="28"/>
          <w:szCs w:val="28"/>
        </w:rPr>
        <w:t>二十世紀以來由於國家職能之改變，權力分立已改變成國家事務之功能分配，三權之間變成功能分配，且有分工合作</w:t>
      </w:r>
      <w:r w:rsidR="00173265">
        <w:rPr>
          <w:sz w:val="28"/>
          <w:szCs w:val="28"/>
        </w:rPr>
        <w:t>（</w:t>
      </w:r>
      <w:r w:rsidRPr="00CF71FD">
        <w:rPr>
          <w:sz w:val="28"/>
          <w:szCs w:val="28"/>
        </w:rPr>
        <w:t>Kooperation</w:t>
      </w:r>
      <w:r w:rsidR="00173265">
        <w:rPr>
          <w:sz w:val="28"/>
          <w:szCs w:val="28"/>
        </w:rPr>
        <w:t>）</w:t>
      </w:r>
      <w:r w:rsidRPr="00CF71FD">
        <w:rPr>
          <w:rFonts w:hAnsi="標楷體"/>
          <w:sz w:val="28"/>
          <w:szCs w:val="28"/>
        </w:rPr>
        <w:t>之現象</w:t>
      </w:r>
      <w:r w:rsidRPr="00CF71FD">
        <w:rPr>
          <w:rFonts w:hAnsi="標楷體" w:hint="eastAsia"/>
          <w:sz w:val="22"/>
          <w:szCs w:val="22"/>
        </w:rPr>
        <w:t>（註</w:t>
      </w:r>
      <w:r>
        <w:rPr>
          <w:rFonts w:hAnsi="標楷體" w:hint="eastAsia"/>
          <w:sz w:val="22"/>
          <w:szCs w:val="22"/>
        </w:rPr>
        <w:t>四</w:t>
      </w:r>
      <w:r w:rsidRPr="00CF71FD">
        <w:rPr>
          <w:rFonts w:hAnsi="標楷體" w:hint="eastAsia"/>
          <w:sz w:val="22"/>
          <w:szCs w:val="22"/>
        </w:rPr>
        <w:t>）</w:t>
      </w:r>
      <w:r w:rsidRPr="00CF71FD">
        <w:rPr>
          <w:rFonts w:hAnsi="標楷體"/>
          <w:sz w:val="28"/>
          <w:szCs w:val="28"/>
        </w:rPr>
        <w:t>。美國之公法學者</w:t>
      </w:r>
      <w:r w:rsidRPr="00CF71FD">
        <w:rPr>
          <w:sz w:val="28"/>
          <w:szCs w:val="28"/>
        </w:rPr>
        <w:t xml:space="preserve"> Davis </w:t>
      </w:r>
      <w:r w:rsidRPr="00CF71FD">
        <w:rPr>
          <w:rFonts w:hAnsi="標楷體"/>
          <w:sz w:val="28"/>
          <w:szCs w:val="28"/>
        </w:rPr>
        <w:t>更進一步指出，除非吾人能接受</w:t>
      </w:r>
      <w:r w:rsidRPr="00CF71FD">
        <w:rPr>
          <w:rFonts w:hAnsi="標楷體"/>
          <w:sz w:val="28"/>
          <w:szCs w:val="28"/>
          <w:lang w:val="fr-FR"/>
        </w:rPr>
        <w:t>「</w:t>
      </w:r>
      <w:r w:rsidRPr="00CF71FD">
        <w:rPr>
          <w:rFonts w:hAnsi="標楷體"/>
          <w:sz w:val="28"/>
          <w:szCs w:val="28"/>
        </w:rPr>
        <w:t>主要」之立法權屬於國會，</w:t>
      </w:r>
      <w:r w:rsidRPr="00CF71FD">
        <w:rPr>
          <w:rFonts w:hAnsi="標楷體"/>
          <w:sz w:val="28"/>
          <w:szCs w:val="28"/>
          <w:lang w:val="fr-FR"/>
        </w:rPr>
        <w:t>「</w:t>
      </w:r>
      <w:r w:rsidRPr="00CF71FD">
        <w:rPr>
          <w:rFonts w:hAnsi="標楷體"/>
          <w:sz w:val="28"/>
          <w:szCs w:val="28"/>
        </w:rPr>
        <w:t>主要」行政權屬於總統，以及「主要」司法權屬於法院之事實，否則美國政府之重要特徵便是非屬於三權分立之政府，因為美國憲法明文規定使三種權力混合</w:t>
      </w:r>
      <w:r w:rsidR="00173265">
        <w:rPr>
          <w:sz w:val="28"/>
          <w:szCs w:val="28"/>
        </w:rPr>
        <w:t>（</w:t>
      </w:r>
      <w:r w:rsidRPr="00CF71FD">
        <w:rPr>
          <w:sz w:val="28"/>
          <w:szCs w:val="28"/>
        </w:rPr>
        <w:t>blending</w:t>
      </w:r>
      <w:r w:rsidR="00173265">
        <w:rPr>
          <w:sz w:val="28"/>
          <w:szCs w:val="28"/>
        </w:rPr>
        <w:t>）</w:t>
      </w:r>
      <w:r w:rsidRPr="00CF71FD">
        <w:rPr>
          <w:rFonts w:hAnsi="標楷體"/>
          <w:sz w:val="28"/>
          <w:szCs w:val="28"/>
        </w:rPr>
        <w:t>。它規定總統透過對法案之同意或拒絕而參與立法過程，而眾議院掌有彈劾公務員之權限，參議院則具有審判所有彈劾案件之權限。</w:t>
      </w:r>
      <w:r w:rsidRPr="00CF71FD">
        <w:rPr>
          <w:sz w:val="28"/>
          <w:szCs w:val="28"/>
        </w:rPr>
        <w:t xml:space="preserve">Davis </w:t>
      </w:r>
      <w:r w:rsidRPr="00CF71FD">
        <w:rPr>
          <w:rFonts w:hAnsi="標楷體"/>
          <w:sz w:val="28"/>
          <w:szCs w:val="28"/>
        </w:rPr>
        <w:t>因此認為，也許在世界史上從未有任何政府「曾經」維持完全之權力分立，也許沒有任何政府能夠使其完全分立</w:t>
      </w:r>
      <w:r w:rsidRPr="00CF71FD">
        <w:rPr>
          <w:rFonts w:hAnsi="標楷體" w:hint="eastAsia"/>
          <w:sz w:val="22"/>
          <w:szCs w:val="22"/>
        </w:rPr>
        <w:t>（註</w:t>
      </w:r>
      <w:r>
        <w:rPr>
          <w:rFonts w:hAnsi="標楷體" w:hint="eastAsia"/>
          <w:sz w:val="22"/>
          <w:szCs w:val="22"/>
        </w:rPr>
        <w:t>五</w:t>
      </w:r>
      <w:r w:rsidRPr="00CF71FD">
        <w:rPr>
          <w:rFonts w:hAnsi="標楷體" w:hint="eastAsia"/>
          <w:sz w:val="22"/>
          <w:szCs w:val="22"/>
        </w:rPr>
        <w:t>）</w:t>
      </w:r>
      <w:r w:rsidRPr="00CF71FD">
        <w:rPr>
          <w:rFonts w:hAnsi="標楷體"/>
          <w:sz w:val="28"/>
          <w:szCs w:val="28"/>
        </w:rPr>
        <w:t>。因為國家權力係整體的，吾人很難將其分割行使。</w:t>
      </w:r>
    </w:p>
    <w:p w:rsidR="00A10C0F" w:rsidRPr="00CF71FD" w:rsidRDefault="005907BC" w:rsidP="00A10C0F">
      <w:pPr>
        <w:kinsoku w:val="0"/>
        <w:overflowPunct w:val="0"/>
        <w:spacing w:line="391" w:lineRule="exact"/>
        <w:ind w:left="879" w:firstLine="595"/>
        <w:jc w:val="both"/>
        <w:rPr>
          <w:sz w:val="28"/>
          <w:szCs w:val="28"/>
        </w:rPr>
      </w:pPr>
      <w:r>
        <w:rPr>
          <w:rFonts w:hAnsi="標楷體"/>
          <w:sz w:val="28"/>
          <w:szCs w:val="28"/>
          <w:lang w:val="fr-FR"/>
        </w:rPr>
        <w:t>然雖現今世界上並無真正</w:t>
      </w:r>
      <w:r>
        <w:rPr>
          <w:rFonts w:hAnsi="標楷體" w:hint="eastAsia"/>
          <w:sz w:val="28"/>
          <w:szCs w:val="28"/>
          <w:lang w:val="fr-FR"/>
        </w:rPr>
        <w:t>澈</w:t>
      </w:r>
      <w:r w:rsidR="00A10C0F" w:rsidRPr="00CF71FD">
        <w:rPr>
          <w:rFonts w:hAnsi="標楷體"/>
          <w:sz w:val="28"/>
          <w:szCs w:val="28"/>
          <w:lang w:val="fr-FR"/>
        </w:rPr>
        <w:t>底</w:t>
      </w:r>
      <w:r w:rsidR="00A10C0F" w:rsidRPr="00CF71FD">
        <w:rPr>
          <w:rFonts w:hAnsi="標楷體"/>
          <w:sz w:val="28"/>
          <w:szCs w:val="28"/>
          <w:lang w:val="de-DE"/>
        </w:rPr>
        <w:t>權力分立之實踐，但是權力之間似仍存有不可逾越之核心領域</w:t>
      </w:r>
      <w:r w:rsidR="00A10C0F" w:rsidRPr="00CF71FD">
        <w:rPr>
          <w:rFonts w:hAnsi="標楷體" w:hint="eastAsia"/>
          <w:sz w:val="22"/>
          <w:szCs w:val="22"/>
        </w:rPr>
        <w:t>（註</w:t>
      </w:r>
      <w:r w:rsidR="00A10C0F">
        <w:rPr>
          <w:rFonts w:hAnsi="標楷體" w:hint="eastAsia"/>
          <w:sz w:val="22"/>
          <w:szCs w:val="22"/>
        </w:rPr>
        <w:t>六</w:t>
      </w:r>
      <w:r w:rsidR="00A10C0F" w:rsidRPr="00CF71FD">
        <w:rPr>
          <w:rFonts w:hAnsi="標楷體" w:hint="eastAsia"/>
          <w:sz w:val="22"/>
          <w:szCs w:val="22"/>
        </w:rPr>
        <w:t>）</w:t>
      </w:r>
      <w:r w:rsidR="00A10C0F" w:rsidRPr="00CF71FD">
        <w:rPr>
          <w:rFonts w:hAnsi="標楷體"/>
          <w:sz w:val="28"/>
          <w:szCs w:val="28"/>
          <w:lang w:val="de-DE"/>
        </w:rPr>
        <w:t>，當然此一核心領域之範圍為何，仍未有定論</w:t>
      </w:r>
      <w:r w:rsidR="00A10C0F" w:rsidRPr="00CF71FD">
        <w:rPr>
          <w:rFonts w:hAnsi="標楷體" w:hint="eastAsia"/>
          <w:sz w:val="22"/>
          <w:szCs w:val="22"/>
        </w:rPr>
        <w:t>（註</w:t>
      </w:r>
      <w:r w:rsidR="00A10C0F">
        <w:rPr>
          <w:rFonts w:hAnsi="標楷體" w:hint="eastAsia"/>
          <w:sz w:val="22"/>
          <w:szCs w:val="22"/>
        </w:rPr>
        <w:t>七</w:t>
      </w:r>
      <w:r w:rsidR="00A10C0F" w:rsidRPr="00CF71FD">
        <w:rPr>
          <w:rFonts w:hAnsi="標楷體" w:hint="eastAsia"/>
          <w:sz w:val="22"/>
          <w:szCs w:val="22"/>
        </w:rPr>
        <w:t>）</w:t>
      </w:r>
      <w:r w:rsidR="00A10C0F" w:rsidRPr="00CF71FD">
        <w:rPr>
          <w:rFonts w:hAnsi="標楷體"/>
          <w:sz w:val="28"/>
          <w:szCs w:val="28"/>
          <w:lang w:val="de-DE"/>
        </w:rPr>
        <w:t>，仍須於具體案件判斷之。</w:t>
      </w:r>
      <w:r w:rsidR="00A10C0F" w:rsidRPr="00CF71FD">
        <w:rPr>
          <w:rFonts w:hAnsi="標楷體"/>
          <w:sz w:val="28"/>
          <w:szCs w:val="28"/>
        </w:rPr>
        <w:t>因為當初洛克、孟德斯鳩等所主張之權力分立，並非如後世般將其作為釋義學化之理論，亦即將其從立法制定規範、行政執行規範、司法為機械地、論理地執行角度加以理解，而企求獲得一個超越時空、普遍妥當性之原則；而只是歷史上的理論，換言之，係在一定歷史狀況下，對於現實之政治勢力及其活動，為確保政治上自由所提出之理論</w:t>
      </w:r>
      <w:r w:rsidR="00A10C0F" w:rsidRPr="00CF71FD">
        <w:rPr>
          <w:rFonts w:hAnsi="標楷體" w:hint="eastAsia"/>
          <w:sz w:val="22"/>
          <w:szCs w:val="22"/>
        </w:rPr>
        <w:t>（註</w:t>
      </w:r>
      <w:r w:rsidR="00A10C0F">
        <w:rPr>
          <w:rFonts w:hAnsi="標楷體" w:hint="eastAsia"/>
          <w:sz w:val="22"/>
          <w:szCs w:val="22"/>
        </w:rPr>
        <w:t>八</w:t>
      </w:r>
      <w:r w:rsidR="00A10C0F" w:rsidRPr="00CF71FD">
        <w:rPr>
          <w:rFonts w:hAnsi="標楷體" w:hint="eastAsia"/>
          <w:sz w:val="22"/>
          <w:szCs w:val="22"/>
        </w:rPr>
        <w:t>）</w:t>
      </w:r>
      <w:r w:rsidR="00A10C0F" w:rsidRPr="00CF71FD">
        <w:rPr>
          <w:rFonts w:hAnsi="標楷體"/>
          <w:sz w:val="28"/>
          <w:szCs w:val="28"/>
        </w:rPr>
        <w:t>。</w:t>
      </w:r>
    </w:p>
    <w:p w:rsidR="00A10C0F" w:rsidRPr="00CF71FD" w:rsidRDefault="00A10C0F" w:rsidP="00A10C0F">
      <w:pPr>
        <w:kinsoku w:val="0"/>
        <w:overflowPunct w:val="0"/>
        <w:spacing w:line="391" w:lineRule="exact"/>
        <w:ind w:leftChars="100" w:left="880" w:hangingChars="200" w:hanging="560"/>
        <w:jc w:val="both"/>
        <w:rPr>
          <w:color w:val="000000"/>
          <w:sz w:val="28"/>
          <w:szCs w:val="28"/>
          <w:lang w:val="de-DE"/>
        </w:rPr>
      </w:pPr>
      <w:r w:rsidRPr="00CF71FD">
        <w:rPr>
          <w:rFonts w:hAnsi="標楷體"/>
          <w:color w:val="000000"/>
          <w:sz w:val="28"/>
          <w:szCs w:val="28"/>
          <w:lang w:val="de-DE"/>
        </w:rPr>
        <w:t>二、我國五權憲法下之權力分立與制衡</w:t>
      </w:r>
    </w:p>
    <w:p w:rsidR="00A10C0F" w:rsidRPr="00CF71FD" w:rsidRDefault="00A10C0F" w:rsidP="00A10C0F">
      <w:pPr>
        <w:kinsoku w:val="0"/>
        <w:overflowPunct w:val="0"/>
        <w:spacing w:line="391" w:lineRule="exact"/>
        <w:ind w:left="879" w:firstLine="595"/>
        <w:jc w:val="both"/>
        <w:rPr>
          <w:sz w:val="28"/>
          <w:szCs w:val="28"/>
        </w:rPr>
      </w:pPr>
      <w:r w:rsidRPr="00CF71FD">
        <w:rPr>
          <w:rFonts w:hAnsi="標楷體"/>
          <w:sz w:val="28"/>
          <w:szCs w:val="28"/>
        </w:rPr>
        <w:t>我國依孫中山創立之五權憲法，將國家權力分立分設五種機構掌理，「分立之中仍相聯屬，不致孤立，無傷於統一」</w:t>
      </w:r>
      <w:r w:rsidR="00B755CC">
        <w:rPr>
          <w:rFonts w:hint="eastAsia"/>
          <w:sz w:val="28"/>
          <w:szCs w:val="28"/>
        </w:rPr>
        <w:t>（</w:t>
      </w:r>
      <w:r w:rsidRPr="00CF71FD">
        <w:rPr>
          <w:rFonts w:hAnsi="標楷體"/>
          <w:sz w:val="28"/>
          <w:szCs w:val="28"/>
        </w:rPr>
        <w:t>見孫文，中華民國建立之基礎</w:t>
      </w:r>
      <w:r w:rsidR="00B755CC">
        <w:rPr>
          <w:rFonts w:hAnsi="標楷體" w:hint="eastAsia"/>
          <w:sz w:val="28"/>
          <w:szCs w:val="28"/>
        </w:rPr>
        <w:t>）</w:t>
      </w:r>
      <w:r w:rsidR="006D78AE">
        <w:rPr>
          <w:rFonts w:hAnsi="標楷體" w:hint="eastAsia"/>
          <w:sz w:val="28"/>
          <w:szCs w:val="28"/>
        </w:rPr>
        <w:t>。</w:t>
      </w:r>
      <w:r w:rsidRPr="00CF71FD">
        <w:rPr>
          <w:rFonts w:hAnsi="標楷體"/>
          <w:sz w:val="28"/>
          <w:szCs w:val="28"/>
        </w:rPr>
        <w:t>其所謂五權分立，分工合作，造成萬能政府之主張，如前述，亦有其論據，仍合乎目前世界之潮流</w:t>
      </w:r>
      <w:r w:rsidRPr="00CF71FD">
        <w:rPr>
          <w:rFonts w:hAnsi="標楷體" w:hint="eastAsia"/>
          <w:sz w:val="22"/>
          <w:szCs w:val="22"/>
        </w:rPr>
        <w:t>（註</w:t>
      </w:r>
      <w:r>
        <w:rPr>
          <w:rFonts w:hAnsi="標楷體" w:hint="eastAsia"/>
          <w:sz w:val="22"/>
          <w:szCs w:val="22"/>
        </w:rPr>
        <w:t>九</w:t>
      </w:r>
      <w:r w:rsidRPr="00CF71FD">
        <w:rPr>
          <w:rFonts w:hAnsi="標楷體" w:hint="eastAsia"/>
          <w:sz w:val="22"/>
          <w:szCs w:val="22"/>
        </w:rPr>
        <w:t>）</w:t>
      </w:r>
      <w:r w:rsidRPr="00CF71FD">
        <w:rPr>
          <w:rFonts w:hAnsi="標楷體"/>
          <w:sz w:val="28"/>
          <w:szCs w:val="28"/>
        </w:rPr>
        <w:t>。因此，權力分立原則，在今天也不能脫離本國之歷史發展、具體的國家秩序及其前提條件而適用</w:t>
      </w:r>
      <w:r w:rsidRPr="00CF71FD">
        <w:rPr>
          <w:rFonts w:hAnsi="標楷體"/>
          <w:sz w:val="28"/>
          <w:szCs w:val="28"/>
        </w:rPr>
        <w:lastRenderedPageBreak/>
        <w:t>，換言之，以行政與立法之關係，即須考慮我國憲法第五十七條與增修條文第三條第二項規定之內涵之行政院對立法院負責之規定</w:t>
      </w:r>
      <w:r w:rsidRPr="00CF71FD">
        <w:rPr>
          <w:rFonts w:hAnsi="標楷體" w:hint="eastAsia"/>
          <w:sz w:val="22"/>
          <w:szCs w:val="22"/>
        </w:rPr>
        <w:t>（註</w:t>
      </w:r>
      <w:r>
        <w:rPr>
          <w:rFonts w:hAnsi="標楷體" w:hint="eastAsia"/>
          <w:sz w:val="22"/>
          <w:szCs w:val="22"/>
        </w:rPr>
        <w:t>十</w:t>
      </w:r>
      <w:r w:rsidRPr="00CF71FD">
        <w:rPr>
          <w:rFonts w:hAnsi="標楷體" w:hint="eastAsia"/>
          <w:sz w:val="22"/>
          <w:szCs w:val="22"/>
        </w:rPr>
        <w:t>）</w:t>
      </w:r>
      <w:r w:rsidRPr="00CF71FD">
        <w:rPr>
          <w:rFonts w:hAnsi="標楷體"/>
          <w:sz w:val="28"/>
          <w:szCs w:val="28"/>
        </w:rPr>
        <w:t>。就本號解釋與權力分立關係：</w:t>
      </w:r>
    </w:p>
    <w:p w:rsidR="00A10C0F" w:rsidRPr="00CF71FD" w:rsidRDefault="00A10C0F" w:rsidP="00B755CC">
      <w:pPr>
        <w:kinsoku w:val="0"/>
        <w:overflowPunct w:val="0"/>
        <w:spacing w:line="391" w:lineRule="exact"/>
        <w:ind w:left="1474" w:hanging="879"/>
        <w:jc w:val="both"/>
        <w:rPr>
          <w:color w:val="000000"/>
          <w:sz w:val="28"/>
          <w:szCs w:val="28"/>
        </w:rPr>
      </w:pPr>
      <w:r w:rsidRPr="00CF71FD">
        <w:rPr>
          <w:rFonts w:hAnsi="標楷體"/>
          <w:color w:val="000000"/>
          <w:sz w:val="28"/>
          <w:szCs w:val="28"/>
        </w:rPr>
        <w:t>（一）釋字第三二五號解釋宣示，憲法增修條文施行後，監察院已非中央民意機構，其地位及職權固亦有所變更，惟憲法之五院體制並未改變，原屬於監察院職權中之彈劾、糾舉、糾正權及為行使此等職權，依憲法第九十五條、第九十六條</w:t>
      </w:r>
      <w:r w:rsidRPr="00B755CC">
        <w:rPr>
          <w:sz w:val="28"/>
          <w:szCs w:val="28"/>
        </w:rPr>
        <w:t>具有</w:t>
      </w:r>
      <w:r w:rsidRPr="00CF71FD">
        <w:rPr>
          <w:rFonts w:hAnsi="標楷體"/>
          <w:color w:val="000000"/>
          <w:sz w:val="28"/>
          <w:szCs w:val="28"/>
        </w:rPr>
        <w:t>之調查權，憲法增修條文亦未修改，此項調查權仍應專由監察院行使。</w:t>
      </w:r>
    </w:p>
    <w:p w:rsidR="00A10C0F" w:rsidRPr="00CF71FD" w:rsidRDefault="00A10C0F" w:rsidP="00B755CC">
      <w:pPr>
        <w:kinsoku w:val="0"/>
        <w:overflowPunct w:val="0"/>
        <w:spacing w:line="391" w:lineRule="exact"/>
        <w:ind w:left="1474" w:hanging="879"/>
        <w:jc w:val="both"/>
        <w:rPr>
          <w:color w:val="000000"/>
          <w:sz w:val="28"/>
          <w:szCs w:val="28"/>
        </w:rPr>
      </w:pPr>
      <w:r w:rsidRPr="00CF71FD">
        <w:rPr>
          <w:rFonts w:hAnsi="標楷體"/>
          <w:sz w:val="28"/>
          <w:szCs w:val="28"/>
          <w:lang w:val="de-DE"/>
        </w:rPr>
        <w:t>（二）</w:t>
      </w:r>
      <w:r w:rsidRPr="00CF71FD">
        <w:rPr>
          <w:rFonts w:hAnsi="標楷體"/>
          <w:color w:val="000000"/>
          <w:sz w:val="28"/>
          <w:szCs w:val="28"/>
        </w:rPr>
        <w:t>釋字第</w:t>
      </w:r>
      <w:r w:rsidRPr="00CF71FD">
        <w:rPr>
          <w:rFonts w:hAnsi="標楷體"/>
          <w:sz w:val="28"/>
          <w:szCs w:val="28"/>
          <w:lang w:val="de-DE"/>
        </w:rPr>
        <w:t>三二五號解釋肯定立法院具有文件調閱請求權，本號解釋如同釋字</w:t>
      </w:r>
      <w:r w:rsidR="005907BC">
        <w:rPr>
          <w:rFonts w:hAnsi="標楷體" w:hint="eastAsia"/>
          <w:sz w:val="28"/>
          <w:szCs w:val="28"/>
          <w:lang w:val="de-DE"/>
        </w:rPr>
        <w:t>第</w:t>
      </w:r>
      <w:r w:rsidRPr="00CF71FD">
        <w:rPr>
          <w:rFonts w:hAnsi="標楷體"/>
          <w:sz w:val="28"/>
          <w:szCs w:val="28"/>
          <w:lang w:val="de-DE"/>
        </w:rPr>
        <w:t>五八五號解釋般，將立法院之文件調閱權定性為</w:t>
      </w:r>
      <w:r w:rsidRPr="00CF71FD">
        <w:rPr>
          <w:rFonts w:hAnsi="標楷體"/>
          <w:sz w:val="28"/>
          <w:szCs w:val="28"/>
          <w:lang w:val="fr-FR"/>
        </w:rPr>
        <w:t>「</w:t>
      </w:r>
      <w:r w:rsidRPr="00CF71FD">
        <w:rPr>
          <w:rFonts w:hAnsi="標楷體"/>
          <w:sz w:val="28"/>
          <w:szCs w:val="28"/>
          <w:lang w:val="de-DE"/>
        </w:rPr>
        <w:t>輔助立法院行使憲法職權之權力」。</w:t>
      </w:r>
    </w:p>
    <w:p w:rsidR="00A10C0F" w:rsidRPr="00CF71FD" w:rsidRDefault="00A10C0F" w:rsidP="00B755CC">
      <w:pPr>
        <w:kinsoku w:val="0"/>
        <w:overflowPunct w:val="0"/>
        <w:spacing w:line="391" w:lineRule="exact"/>
        <w:ind w:left="1474" w:hanging="879"/>
        <w:jc w:val="both"/>
        <w:rPr>
          <w:color w:val="000000"/>
          <w:sz w:val="28"/>
          <w:szCs w:val="28"/>
        </w:rPr>
      </w:pPr>
      <w:r w:rsidRPr="00CF71FD">
        <w:rPr>
          <w:rFonts w:hAnsi="標楷體"/>
          <w:color w:val="000000"/>
          <w:sz w:val="28"/>
          <w:szCs w:val="28"/>
        </w:rPr>
        <w:t>（三）</w:t>
      </w:r>
      <w:r w:rsidRPr="00CF71FD">
        <w:rPr>
          <w:rFonts w:hAnsi="標楷體"/>
          <w:sz w:val="28"/>
          <w:szCs w:val="28"/>
        </w:rPr>
        <w:t>釋字第五八五號解釋指出</w:t>
      </w:r>
      <w:r w:rsidR="006D78AE">
        <w:rPr>
          <w:rFonts w:hAnsi="標楷體" w:hint="eastAsia"/>
          <w:sz w:val="28"/>
          <w:szCs w:val="28"/>
        </w:rPr>
        <w:t>：「</w:t>
      </w:r>
      <w:r w:rsidRPr="00CF71FD">
        <w:rPr>
          <w:rFonts w:hAnsi="標楷體"/>
          <w:color w:val="000000"/>
          <w:sz w:val="28"/>
          <w:szCs w:val="28"/>
        </w:rPr>
        <w:t>立法院調查權乃立法院行使其憲法職權所必要之輔助性權力</w:t>
      </w:r>
      <w:r w:rsidRPr="00CF71FD">
        <w:rPr>
          <w:rFonts w:hAnsi="標楷體"/>
          <w:sz w:val="28"/>
          <w:szCs w:val="28"/>
          <w:lang w:val="fr-FR"/>
        </w:rPr>
        <w:t>」，</w:t>
      </w:r>
      <w:r w:rsidRPr="00CF71FD">
        <w:rPr>
          <w:rFonts w:hAnsi="標楷體"/>
          <w:color w:val="000000"/>
          <w:sz w:val="28"/>
          <w:szCs w:val="28"/>
        </w:rPr>
        <w:t>其權力之行使並應由立法院依法設立調查委員會為之。</w:t>
      </w:r>
      <w:r w:rsidRPr="00CF71FD">
        <w:rPr>
          <w:rFonts w:hAnsi="標楷體"/>
          <w:sz w:val="28"/>
          <w:szCs w:val="28"/>
          <w:lang w:val="fr-FR"/>
        </w:rPr>
        <w:t>換言之，須為依法設立之調查委員會（如三一九真相調查委員會）方得行使調查權，</w:t>
      </w:r>
      <w:r w:rsidR="006D78AE">
        <w:rPr>
          <w:rFonts w:hAnsi="標楷體" w:hint="eastAsia"/>
          <w:sz w:val="28"/>
          <w:szCs w:val="28"/>
          <w:lang w:val="fr-FR"/>
        </w:rPr>
        <w:t>與</w:t>
      </w:r>
      <w:r w:rsidRPr="00CF71FD">
        <w:rPr>
          <w:rFonts w:hAnsi="標楷體"/>
          <w:sz w:val="28"/>
          <w:szCs w:val="28"/>
          <w:lang w:val="fr-FR"/>
        </w:rPr>
        <w:t>釋字第三二五號解釋之</w:t>
      </w:r>
      <w:r w:rsidR="006D78AE">
        <w:rPr>
          <w:rFonts w:hAnsi="標楷體"/>
          <w:sz w:val="28"/>
          <w:szCs w:val="28"/>
        </w:rPr>
        <w:t>經院會決議調閱文件原本</w:t>
      </w:r>
      <w:r w:rsidRPr="00CF71FD">
        <w:rPr>
          <w:rFonts w:hAnsi="標楷體"/>
          <w:sz w:val="28"/>
          <w:szCs w:val="28"/>
        </w:rPr>
        <w:t>不同。</w:t>
      </w:r>
    </w:p>
    <w:p w:rsidR="00A10C0F" w:rsidRPr="00CF71FD" w:rsidRDefault="00A10C0F" w:rsidP="00B755CC">
      <w:pPr>
        <w:kinsoku w:val="0"/>
        <w:overflowPunct w:val="0"/>
        <w:spacing w:line="391" w:lineRule="exact"/>
        <w:ind w:left="1474" w:hanging="879"/>
        <w:jc w:val="both"/>
        <w:rPr>
          <w:color w:val="000000"/>
          <w:sz w:val="28"/>
          <w:szCs w:val="28"/>
        </w:rPr>
      </w:pPr>
      <w:r w:rsidRPr="00CF71FD">
        <w:rPr>
          <w:rFonts w:hAnsi="標楷體"/>
          <w:color w:val="000000"/>
          <w:sz w:val="28"/>
          <w:szCs w:val="28"/>
        </w:rPr>
        <w:t>（四）本號解釋雖補充釋字第三二五號解釋，但仍謹守釋字第三二五號解釋以來五權分立下之權力相互制衡且相互尊重</w:t>
      </w:r>
      <w:r w:rsidRPr="00CF71FD">
        <w:rPr>
          <w:rFonts w:hAnsi="標楷體" w:hint="eastAsia"/>
          <w:sz w:val="22"/>
          <w:szCs w:val="22"/>
        </w:rPr>
        <w:t>（註</w:t>
      </w:r>
      <w:r>
        <w:rPr>
          <w:rFonts w:hAnsi="標楷體" w:hint="eastAsia"/>
          <w:sz w:val="22"/>
          <w:szCs w:val="22"/>
        </w:rPr>
        <w:t>十一</w:t>
      </w:r>
      <w:r w:rsidRPr="00CF71FD">
        <w:rPr>
          <w:rFonts w:hAnsi="標楷體" w:hint="eastAsia"/>
          <w:sz w:val="22"/>
          <w:szCs w:val="22"/>
        </w:rPr>
        <w:t>）</w:t>
      </w:r>
      <w:r w:rsidRPr="00CF71FD">
        <w:rPr>
          <w:rFonts w:hAnsi="標楷體"/>
          <w:color w:val="000000"/>
          <w:sz w:val="28"/>
          <w:szCs w:val="28"/>
        </w:rPr>
        <w:t>之原則。</w:t>
      </w:r>
    </w:p>
    <w:p w:rsidR="00A10C0F" w:rsidRPr="00CF71FD" w:rsidRDefault="00A10C0F" w:rsidP="00A10C0F">
      <w:pPr>
        <w:spacing w:line="391" w:lineRule="exact"/>
        <w:rPr>
          <w:b/>
          <w:color w:val="000000"/>
          <w:sz w:val="28"/>
          <w:szCs w:val="28"/>
          <w:lang w:val="de-DE"/>
        </w:rPr>
      </w:pPr>
      <w:r w:rsidRPr="00CF71FD">
        <w:rPr>
          <w:rFonts w:hAnsi="標楷體"/>
          <w:b/>
          <w:color w:val="000000"/>
          <w:sz w:val="28"/>
          <w:szCs w:val="28"/>
        </w:rPr>
        <w:t>肆、</w:t>
      </w:r>
      <w:r w:rsidRPr="00CF71FD">
        <w:rPr>
          <w:rFonts w:hAnsi="標楷體"/>
          <w:b/>
          <w:color w:val="000000"/>
          <w:sz w:val="28"/>
          <w:szCs w:val="28"/>
          <w:lang w:val="de-DE"/>
        </w:rPr>
        <w:t>系爭之「監聽調閱專案小組運作要點」之法性質</w:t>
      </w:r>
    </w:p>
    <w:p w:rsidR="00A10C0F" w:rsidRPr="00CF71FD" w:rsidRDefault="00A10C0F" w:rsidP="00A10C0F">
      <w:pPr>
        <w:kinsoku w:val="0"/>
        <w:overflowPunct w:val="0"/>
        <w:spacing w:line="391" w:lineRule="exact"/>
        <w:ind w:leftChars="100" w:left="880" w:hangingChars="200" w:hanging="560"/>
        <w:jc w:val="both"/>
        <w:rPr>
          <w:color w:val="000000"/>
          <w:sz w:val="28"/>
          <w:szCs w:val="28"/>
        </w:rPr>
      </w:pPr>
      <w:r w:rsidRPr="00CF71FD">
        <w:rPr>
          <w:rFonts w:hAnsi="標楷體"/>
          <w:color w:val="000000"/>
          <w:sz w:val="28"/>
          <w:szCs w:val="28"/>
        </w:rPr>
        <w:t>一、立法院基於憲法所賦予之職權，本其固有之權能，自有就其內部營運或議事程序等，訂定自治規則之權限，惟仍應符合</w:t>
      </w:r>
      <w:r w:rsidRPr="00CF71FD">
        <w:rPr>
          <w:rFonts w:hAnsi="標楷體"/>
          <w:color w:val="000000"/>
          <w:sz w:val="28"/>
          <w:szCs w:val="28"/>
          <w:lang w:val="de-DE"/>
        </w:rPr>
        <w:t>法律優位與法律保留要求。同樣地，本院解釋亦曾宣告，最高司法機關本於司法自主性，就審理事項有發布規則之權；於行使司法行政監督之目的範圍內，亦得發布命令，但仍須合乎法律優位與法律保留原則</w:t>
      </w:r>
      <w:r w:rsidRPr="00CF71FD">
        <w:rPr>
          <w:rFonts w:hAnsi="標楷體" w:hint="eastAsia"/>
          <w:sz w:val="22"/>
          <w:szCs w:val="22"/>
        </w:rPr>
        <w:t>（註</w:t>
      </w:r>
      <w:r>
        <w:rPr>
          <w:rFonts w:hAnsi="標楷體" w:hint="eastAsia"/>
          <w:sz w:val="22"/>
          <w:szCs w:val="22"/>
        </w:rPr>
        <w:t>十二</w:t>
      </w:r>
      <w:r w:rsidRPr="00CF71FD">
        <w:rPr>
          <w:rFonts w:hAnsi="標楷體" w:hint="eastAsia"/>
          <w:sz w:val="22"/>
          <w:szCs w:val="22"/>
        </w:rPr>
        <w:t>）</w:t>
      </w:r>
      <w:r w:rsidRPr="00CF71FD">
        <w:rPr>
          <w:rFonts w:hAnsi="標楷體"/>
          <w:color w:val="000000"/>
          <w:sz w:val="28"/>
          <w:szCs w:val="28"/>
          <w:lang w:val="de-DE"/>
        </w:rPr>
        <w:t>。</w:t>
      </w:r>
    </w:p>
    <w:p w:rsidR="00A10C0F" w:rsidRPr="00CF71FD" w:rsidRDefault="00A10C0F" w:rsidP="005E362F">
      <w:pPr>
        <w:tabs>
          <w:tab w:val="left" w:pos="2127"/>
        </w:tabs>
        <w:kinsoku w:val="0"/>
        <w:overflowPunct w:val="0"/>
        <w:spacing w:line="391" w:lineRule="exact"/>
        <w:ind w:leftChars="100" w:left="880" w:hangingChars="200" w:hanging="560"/>
        <w:jc w:val="both"/>
        <w:rPr>
          <w:color w:val="000000"/>
          <w:sz w:val="28"/>
          <w:szCs w:val="28"/>
          <w:lang w:val="fr-FR"/>
        </w:rPr>
      </w:pPr>
      <w:r w:rsidRPr="00CF71FD">
        <w:rPr>
          <w:rFonts w:hAnsi="標楷體"/>
          <w:color w:val="000000"/>
          <w:sz w:val="28"/>
          <w:szCs w:val="28"/>
          <w:lang w:val="de-DE"/>
        </w:rPr>
        <w:t>二、「</w:t>
      </w:r>
      <w:r w:rsidRPr="00A10C0F">
        <w:rPr>
          <w:rFonts w:hAnsi="標楷體"/>
          <w:sz w:val="28"/>
          <w:szCs w:val="28"/>
        </w:rPr>
        <w:t>監聽</w:t>
      </w:r>
      <w:r w:rsidRPr="00CF71FD">
        <w:rPr>
          <w:rFonts w:hAnsi="標楷體"/>
          <w:color w:val="000000"/>
          <w:sz w:val="28"/>
          <w:szCs w:val="28"/>
          <w:lang w:val="de-DE"/>
        </w:rPr>
        <w:t>調閱專案小組運作要點」（下稱運作要點）似非行政程序法義涵下之行政規則，亦非立法院（國會）之自治規則，因其只是立法院之委員會所訂定。因此，本號解釋理由書，對該運作要點之法性質，認係</w:t>
      </w:r>
      <w:r w:rsidRPr="00CF71FD">
        <w:rPr>
          <w:rFonts w:hAnsi="標楷體"/>
          <w:color w:val="000000"/>
          <w:sz w:val="28"/>
          <w:szCs w:val="28"/>
          <w:lang w:val="fr-FR"/>
        </w:rPr>
        <w:t>「僅係司法及法制委員會為行使立法院職權行使法第四十五條之文件調閱權，就如何調閱一</w:t>
      </w:r>
      <w:r w:rsidR="001466FF" w:rsidRPr="00C208C4">
        <w:rPr>
          <w:rFonts w:ascii="標楷體" w:hAnsi="標楷體" w:hint="eastAsia"/>
          <w:color w:val="000000"/>
          <w:sz w:val="28"/>
          <w:szCs w:val="28"/>
          <w:lang w:val="fr-FR"/>
        </w:rPr>
        <w:t>○○</w:t>
      </w:r>
      <w:r w:rsidRPr="00CF71FD">
        <w:rPr>
          <w:rFonts w:hAnsi="標楷體"/>
          <w:color w:val="000000"/>
          <w:sz w:val="28"/>
          <w:szCs w:val="28"/>
          <w:lang w:val="fr-FR"/>
        </w:rPr>
        <w:t>年度特他字第六一號偵查卷證之目的而自行訂定，俾作為該監聽調閱專案小組內部運作之作業準則</w:t>
      </w:r>
      <w:r>
        <w:rPr>
          <w:rFonts w:hint="eastAsia"/>
          <w:color w:val="000000"/>
          <w:sz w:val="28"/>
          <w:szCs w:val="28"/>
          <w:lang w:val="fr-FR"/>
        </w:rPr>
        <w:t>……</w:t>
      </w:r>
      <w:r w:rsidRPr="00CF71FD">
        <w:rPr>
          <w:rFonts w:hAnsi="標楷體"/>
          <w:color w:val="000000"/>
          <w:sz w:val="28"/>
          <w:szCs w:val="28"/>
          <w:lang w:val="fr-FR"/>
        </w:rPr>
        <w:t>」之定性，且對之不予受理之見解，值得贊同。</w:t>
      </w:r>
    </w:p>
    <w:p w:rsidR="00A10C0F" w:rsidRPr="00CF71FD" w:rsidRDefault="00A10C0F" w:rsidP="00A10C0F">
      <w:pPr>
        <w:kinsoku w:val="0"/>
        <w:overflowPunct w:val="0"/>
        <w:spacing w:line="391" w:lineRule="exact"/>
        <w:ind w:leftChars="100" w:left="880" w:hangingChars="200" w:hanging="560"/>
        <w:jc w:val="both"/>
        <w:rPr>
          <w:color w:val="000000"/>
          <w:sz w:val="28"/>
          <w:szCs w:val="28"/>
          <w:lang w:val="de-DE"/>
        </w:rPr>
      </w:pPr>
      <w:r w:rsidRPr="00CF71FD">
        <w:rPr>
          <w:rFonts w:hAnsi="標楷體"/>
          <w:color w:val="000000"/>
          <w:sz w:val="28"/>
          <w:szCs w:val="28"/>
          <w:lang w:val="de-DE"/>
        </w:rPr>
        <w:t>三、而舉重以明輕，運作要點之內容自不得牴觸法律，且非有法律具體明確之授權，亦不得對人民自由權利增加法律所無之限制。惟若有類似本運作要點規定之內容，是否有牴觸法律保留而有違憲疑義時，依本院向來對抽象「法令」，係採較寬廣解釋之實務，依具體案件情況，應不排除有作為解釋客體之可能。</w:t>
      </w:r>
    </w:p>
    <w:p w:rsidR="00A10C0F" w:rsidRPr="00CF71FD" w:rsidRDefault="00A10C0F" w:rsidP="00A10C0F">
      <w:pPr>
        <w:spacing w:line="391" w:lineRule="exact"/>
        <w:rPr>
          <w:b/>
          <w:color w:val="000000"/>
          <w:sz w:val="28"/>
          <w:szCs w:val="28"/>
          <w:lang w:val="de-DE"/>
        </w:rPr>
      </w:pPr>
      <w:r w:rsidRPr="00CF71FD">
        <w:rPr>
          <w:rFonts w:hAnsi="標楷體"/>
          <w:b/>
          <w:color w:val="000000"/>
          <w:sz w:val="28"/>
          <w:szCs w:val="28"/>
          <w:lang w:val="de-DE"/>
        </w:rPr>
        <w:lastRenderedPageBreak/>
        <w:t>伍、結語</w:t>
      </w:r>
    </w:p>
    <w:p w:rsidR="00A10C0F" w:rsidRPr="00CF71FD" w:rsidRDefault="00A10C0F" w:rsidP="00282628">
      <w:pPr>
        <w:spacing w:line="391" w:lineRule="exact"/>
        <w:ind w:left="567" w:firstLineChars="200" w:firstLine="560"/>
        <w:jc w:val="both"/>
        <w:rPr>
          <w:color w:val="000000"/>
          <w:sz w:val="28"/>
          <w:szCs w:val="28"/>
        </w:rPr>
      </w:pPr>
      <w:r w:rsidRPr="00CF71FD">
        <w:rPr>
          <w:rFonts w:hAnsi="標楷體"/>
          <w:color w:val="000000"/>
          <w:sz w:val="28"/>
          <w:szCs w:val="28"/>
          <w:lang w:val="de-DE"/>
        </w:rPr>
        <w:t>本號解釋</w:t>
      </w:r>
      <w:r w:rsidR="005D2159">
        <w:rPr>
          <w:rFonts w:hAnsi="標楷體"/>
          <w:color w:val="000000"/>
          <w:sz w:val="28"/>
          <w:szCs w:val="28"/>
        </w:rPr>
        <w:t>雖補充釋字第三二五號解釋，但仍謹守</w:t>
      </w:r>
      <w:r w:rsidR="005D2159">
        <w:rPr>
          <w:rFonts w:hAnsi="標楷體" w:hint="eastAsia"/>
          <w:color w:val="000000"/>
          <w:sz w:val="28"/>
          <w:szCs w:val="28"/>
        </w:rPr>
        <w:t>釋字</w:t>
      </w:r>
      <w:r w:rsidRPr="00CF71FD">
        <w:rPr>
          <w:rFonts w:hAnsi="標楷體"/>
          <w:color w:val="000000"/>
          <w:sz w:val="28"/>
          <w:szCs w:val="28"/>
        </w:rPr>
        <w:t>第三二五號解釋以來五權分立下之權力相互制衡且相互尊重</w:t>
      </w:r>
      <w:r w:rsidRPr="00CF71FD">
        <w:rPr>
          <w:rFonts w:hAnsi="標楷體" w:hint="eastAsia"/>
          <w:sz w:val="22"/>
          <w:szCs w:val="22"/>
        </w:rPr>
        <w:t>（註</w:t>
      </w:r>
      <w:r>
        <w:rPr>
          <w:rFonts w:hAnsi="標楷體" w:hint="eastAsia"/>
          <w:sz w:val="22"/>
          <w:szCs w:val="22"/>
        </w:rPr>
        <w:t>十三</w:t>
      </w:r>
      <w:r w:rsidRPr="00CF71FD">
        <w:rPr>
          <w:rFonts w:hAnsi="標楷體" w:hint="eastAsia"/>
          <w:sz w:val="22"/>
          <w:szCs w:val="22"/>
        </w:rPr>
        <w:t>）</w:t>
      </w:r>
      <w:r w:rsidRPr="00CF71FD">
        <w:rPr>
          <w:rFonts w:hAnsi="標楷體"/>
          <w:color w:val="000000"/>
          <w:sz w:val="28"/>
          <w:szCs w:val="28"/>
        </w:rPr>
        <w:t>之原則，亦即，憲法增修條文施行後，監察院雖已非中央民意機構，其地位及職權固亦有所變更，惟憲法之五院體制並未改變，原屬於監察院職權中之彈劾、糾舉、糾正權及為行使此等職權，依憲法第九十五條、第九十六條具有之調查權，憲法增修條文亦未修改，此項調查權仍應專由監察院行使之見解，值得肯定。</w:t>
      </w:r>
    </w:p>
    <w:p w:rsidR="00A10C0F" w:rsidRPr="00CF71FD" w:rsidRDefault="00A10C0F" w:rsidP="00282628">
      <w:pPr>
        <w:spacing w:line="391" w:lineRule="exact"/>
        <w:ind w:left="567" w:firstLineChars="200" w:firstLine="560"/>
        <w:jc w:val="both"/>
        <w:rPr>
          <w:kern w:val="0"/>
          <w:sz w:val="28"/>
          <w:szCs w:val="28"/>
        </w:rPr>
      </w:pPr>
      <w:r w:rsidRPr="00CF71FD">
        <w:rPr>
          <w:rFonts w:hAnsi="標楷體"/>
          <w:kern w:val="0"/>
          <w:sz w:val="28"/>
          <w:szCs w:val="28"/>
        </w:rPr>
        <w:t>國內論者，或有依三權分立原則，主張我國即使廢除考試、監察兩院，亦符合權力分立原則精神云云。此見解本席無法贊同，因我國之五權憲法若經由修憲程序，變更為三權憲法，依據憲法前言規定（基於孫中山創立中華民國之遺教</w:t>
      </w:r>
      <w:r w:rsidRPr="00CF71FD">
        <w:rPr>
          <w:kern w:val="0"/>
          <w:sz w:val="28"/>
          <w:szCs w:val="28"/>
        </w:rPr>
        <w:t>—</w:t>
      </w:r>
      <w:r w:rsidRPr="00CF71FD">
        <w:rPr>
          <w:rFonts w:hAnsi="標楷體"/>
          <w:kern w:val="0"/>
          <w:sz w:val="28"/>
          <w:szCs w:val="28"/>
        </w:rPr>
        <w:t>五權憲法），在法理上，基於新舊憲法間已失其同一性，則將逾越修憲之界限</w:t>
      </w:r>
      <w:r w:rsidRPr="00CF71FD">
        <w:rPr>
          <w:rFonts w:hAnsi="標楷體" w:hint="eastAsia"/>
          <w:sz w:val="22"/>
          <w:szCs w:val="22"/>
        </w:rPr>
        <w:t>（註</w:t>
      </w:r>
      <w:r>
        <w:rPr>
          <w:rFonts w:hAnsi="標楷體" w:hint="eastAsia"/>
          <w:sz w:val="22"/>
          <w:szCs w:val="22"/>
        </w:rPr>
        <w:t>十四</w:t>
      </w:r>
      <w:r w:rsidRPr="00CF71FD">
        <w:rPr>
          <w:rFonts w:hAnsi="標楷體" w:hint="eastAsia"/>
          <w:sz w:val="22"/>
          <w:szCs w:val="22"/>
        </w:rPr>
        <w:t>）</w:t>
      </w:r>
      <w:r w:rsidRPr="00CF71FD">
        <w:rPr>
          <w:rFonts w:hAnsi="標楷體"/>
          <w:kern w:val="0"/>
          <w:sz w:val="28"/>
          <w:szCs w:val="28"/>
        </w:rPr>
        <w:t>。再者，國家機關之行為是否違反權力分立之審查基準，如前所述，由西方權力分立原則之歷史發展實務觀察，並無絕對、明確之標準，因此，應回歸中華民國憲法規範之憲政秩序下，經由本院向來關於權力分立解釋所建立之價值與基準判斷之。</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註一：</w:t>
      </w:r>
      <w:r w:rsidRPr="00B559D3">
        <w:rPr>
          <w:rFonts w:hint="eastAsia"/>
          <w:sz w:val="22"/>
          <w:szCs w:val="22"/>
        </w:rPr>
        <w:t>本號</w:t>
      </w:r>
      <w:r w:rsidRPr="00A10C0F">
        <w:rPr>
          <w:rFonts w:hAnsi="標楷體" w:hint="eastAsia"/>
          <w:sz w:val="22"/>
          <w:szCs w:val="22"/>
        </w:rPr>
        <w:t>解釋</w:t>
      </w:r>
      <w:r w:rsidRPr="00B559D3">
        <w:rPr>
          <w:rFonts w:hint="eastAsia"/>
          <w:sz w:val="22"/>
          <w:szCs w:val="22"/>
        </w:rPr>
        <w:t>理由書第二段參照。</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註二：</w:t>
      </w:r>
      <w:r w:rsidRPr="00B559D3">
        <w:rPr>
          <w:rFonts w:ascii="華康中楷體" w:hint="eastAsia"/>
          <w:sz w:val="22"/>
          <w:szCs w:val="22"/>
        </w:rPr>
        <w:t>權力分立原理乃十七、十八世紀自由主義哲學思辯之產物</w:t>
      </w:r>
      <w:r w:rsidRPr="00B559D3">
        <w:rPr>
          <w:rFonts w:hint="eastAsia"/>
          <w:sz w:val="22"/>
          <w:szCs w:val="22"/>
        </w:rPr>
        <w:t>，</w:t>
      </w:r>
      <w:r w:rsidRPr="00B559D3">
        <w:rPr>
          <w:rFonts w:ascii="華康中楷體" w:hint="eastAsia"/>
          <w:sz w:val="22"/>
          <w:szCs w:val="22"/>
        </w:rPr>
        <w:t>而談到權力分立必然聯想到洛克</w:t>
      </w:r>
      <w:r w:rsidRPr="00B559D3">
        <w:rPr>
          <w:rFonts w:hint="eastAsia"/>
          <w:sz w:val="22"/>
          <w:szCs w:val="22"/>
        </w:rPr>
        <w:t>、</w:t>
      </w:r>
      <w:r w:rsidRPr="00B559D3">
        <w:rPr>
          <w:rFonts w:ascii="華康中楷體" w:hint="eastAsia"/>
          <w:sz w:val="22"/>
          <w:szCs w:val="22"/>
        </w:rPr>
        <w:t>孟德斯鳩</w:t>
      </w:r>
      <w:r w:rsidRPr="00B559D3">
        <w:rPr>
          <w:rFonts w:hint="eastAsia"/>
          <w:sz w:val="22"/>
          <w:szCs w:val="22"/>
        </w:rPr>
        <w:t>，</w:t>
      </w:r>
      <w:r w:rsidRPr="00B559D3">
        <w:rPr>
          <w:rFonts w:ascii="華康中楷體" w:hint="eastAsia"/>
          <w:sz w:val="22"/>
          <w:szCs w:val="22"/>
        </w:rPr>
        <w:t>洛克為最初之理論家</w:t>
      </w:r>
      <w:r w:rsidRPr="00B559D3">
        <w:rPr>
          <w:rFonts w:hint="eastAsia"/>
          <w:sz w:val="22"/>
          <w:szCs w:val="22"/>
        </w:rPr>
        <w:t>，</w:t>
      </w:r>
      <w:r w:rsidRPr="00B559D3">
        <w:rPr>
          <w:rFonts w:ascii="華康中楷體" w:hint="eastAsia"/>
          <w:sz w:val="22"/>
          <w:szCs w:val="22"/>
        </w:rPr>
        <w:t>而孟德斯鳩為完成者</w:t>
      </w:r>
      <w:r w:rsidRPr="00B559D3">
        <w:rPr>
          <w:rFonts w:hint="eastAsia"/>
          <w:sz w:val="22"/>
          <w:szCs w:val="22"/>
        </w:rPr>
        <w:t>，</w:t>
      </w:r>
      <w:r w:rsidRPr="00B559D3">
        <w:rPr>
          <w:rFonts w:ascii="華康中楷體" w:hint="eastAsia"/>
          <w:sz w:val="22"/>
          <w:szCs w:val="22"/>
        </w:rPr>
        <w:t>孟德斯鳩幾等於權力分立之象徵</w:t>
      </w:r>
      <w:r w:rsidRPr="00B559D3">
        <w:rPr>
          <w:rFonts w:hint="eastAsia"/>
          <w:sz w:val="22"/>
          <w:szCs w:val="22"/>
        </w:rPr>
        <w:t>。</w:t>
      </w:r>
      <w:r w:rsidRPr="00B559D3">
        <w:rPr>
          <w:rFonts w:ascii="華康中楷體" w:hint="eastAsia"/>
          <w:sz w:val="22"/>
          <w:szCs w:val="22"/>
        </w:rPr>
        <w:t>孟德斯鳩之法意第十一卷第六章</w:t>
      </w:r>
      <w:r w:rsidRPr="00B559D3">
        <w:rPr>
          <w:sz w:val="22"/>
          <w:szCs w:val="22"/>
        </w:rPr>
        <w:t>"</w:t>
      </w:r>
      <w:r w:rsidRPr="00B559D3">
        <w:rPr>
          <w:rFonts w:ascii="華康中楷體" w:hint="eastAsia"/>
          <w:sz w:val="22"/>
          <w:szCs w:val="22"/>
        </w:rPr>
        <w:t>英國之國家構造</w:t>
      </w:r>
      <w:r w:rsidR="005D2159" w:rsidRPr="00B559D3">
        <w:rPr>
          <w:sz w:val="22"/>
          <w:szCs w:val="22"/>
        </w:rPr>
        <w:t>"</w:t>
      </w:r>
      <w:r w:rsidRPr="00B559D3">
        <w:rPr>
          <w:rFonts w:ascii="華康中楷體" w:hint="eastAsia"/>
          <w:sz w:val="22"/>
          <w:szCs w:val="22"/>
        </w:rPr>
        <w:t>中描述了權力分立之原理</w:t>
      </w:r>
      <w:r w:rsidRPr="00B559D3">
        <w:rPr>
          <w:rFonts w:hint="eastAsia"/>
          <w:sz w:val="22"/>
          <w:szCs w:val="22"/>
        </w:rPr>
        <w:t>，</w:t>
      </w:r>
      <w:r w:rsidRPr="00B559D3">
        <w:rPr>
          <w:rFonts w:ascii="華康中楷體" w:hint="eastAsia"/>
          <w:sz w:val="22"/>
          <w:szCs w:val="22"/>
        </w:rPr>
        <w:t>其影響為美國各州憲法及美國憲法將之採為具體之制度</w:t>
      </w:r>
      <w:r w:rsidRPr="00B559D3">
        <w:rPr>
          <w:rFonts w:hint="eastAsia"/>
          <w:sz w:val="22"/>
          <w:szCs w:val="22"/>
        </w:rPr>
        <w:t>，</w:t>
      </w:r>
      <w:r w:rsidRPr="00B559D3">
        <w:rPr>
          <w:rFonts w:ascii="華康中楷體" w:hint="eastAsia"/>
          <w:sz w:val="22"/>
          <w:szCs w:val="22"/>
        </w:rPr>
        <w:t>法國一七八九年人權宣言第十六條揭示</w:t>
      </w:r>
      <w:r w:rsidRPr="00B559D3">
        <w:rPr>
          <w:rFonts w:hint="eastAsia"/>
          <w:sz w:val="22"/>
          <w:szCs w:val="22"/>
        </w:rPr>
        <w:t>：</w:t>
      </w:r>
      <w:r w:rsidRPr="00B559D3">
        <w:rPr>
          <w:sz w:val="22"/>
          <w:szCs w:val="22"/>
        </w:rPr>
        <w:t>"</w:t>
      </w:r>
      <w:r w:rsidRPr="00B559D3">
        <w:rPr>
          <w:rFonts w:ascii="華康中楷體" w:hint="eastAsia"/>
          <w:sz w:val="22"/>
          <w:szCs w:val="22"/>
        </w:rPr>
        <w:t>權利保障未獲擔保</w:t>
      </w:r>
      <w:r w:rsidRPr="00B559D3">
        <w:rPr>
          <w:rFonts w:hint="eastAsia"/>
          <w:sz w:val="22"/>
          <w:szCs w:val="22"/>
        </w:rPr>
        <w:t>，</w:t>
      </w:r>
      <w:r w:rsidRPr="00B559D3">
        <w:rPr>
          <w:rFonts w:ascii="華康中楷體" w:hint="eastAsia"/>
          <w:sz w:val="22"/>
          <w:szCs w:val="22"/>
        </w:rPr>
        <w:t>權力分立未規定之社會</w:t>
      </w:r>
      <w:r w:rsidRPr="00B559D3">
        <w:rPr>
          <w:rFonts w:hint="eastAsia"/>
          <w:sz w:val="22"/>
          <w:szCs w:val="22"/>
        </w:rPr>
        <w:t>，</w:t>
      </w:r>
      <w:r w:rsidRPr="00B559D3">
        <w:rPr>
          <w:rFonts w:ascii="華康中楷體" w:hint="eastAsia"/>
          <w:sz w:val="22"/>
          <w:szCs w:val="22"/>
        </w:rPr>
        <w:t>全部未擁有憲法</w:t>
      </w:r>
      <w:r w:rsidRPr="00B559D3">
        <w:rPr>
          <w:rFonts w:hint="eastAsia"/>
          <w:sz w:val="22"/>
          <w:szCs w:val="22"/>
        </w:rPr>
        <w:t>。</w:t>
      </w:r>
      <w:r w:rsidRPr="00B559D3">
        <w:rPr>
          <w:sz w:val="22"/>
          <w:szCs w:val="22"/>
        </w:rPr>
        <w:t xml:space="preserve">" </w:t>
      </w:r>
      <w:r w:rsidRPr="00B559D3">
        <w:rPr>
          <w:rFonts w:ascii="華康中楷體" w:hint="eastAsia"/>
          <w:sz w:val="22"/>
          <w:szCs w:val="22"/>
        </w:rPr>
        <w:t>亦即權力分立乃憲法不可或缺之構成要素</w:t>
      </w:r>
      <w:r w:rsidRPr="00B559D3">
        <w:rPr>
          <w:rFonts w:hint="eastAsia"/>
          <w:sz w:val="22"/>
          <w:szCs w:val="22"/>
        </w:rPr>
        <w:t>。</w:t>
      </w:r>
      <w:r w:rsidRPr="00B559D3">
        <w:rPr>
          <w:rFonts w:ascii="華康中楷體" w:hint="eastAsia"/>
          <w:sz w:val="22"/>
          <w:szCs w:val="22"/>
        </w:rPr>
        <w:t>孟德斯鳩權力分立理論之特徵</w:t>
      </w:r>
      <w:r w:rsidRPr="00B559D3">
        <w:rPr>
          <w:rFonts w:hint="eastAsia"/>
          <w:sz w:val="22"/>
          <w:szCs w:val="22"/>
        </w:rPr>
        <w:t>，</w:t>
      </w:r>
      <w:r w:rsidRPr="00B559D3">
        <w:rPr>
          <w:rFonts w:ascii="華康中楷體" w:hint="eastAsia"/>
          <w:sz w:val="22"/>
          <w:szCs w:val="22"/>
        </w:rPr>
        <w:t>在於使各權力間之關係對等並列</w:t>
      </w:r>
      <w:r w:rsidRPr="00B559D3">
        <w:rPr>
          <w:rFonts w:hint="eastAsia"/>
          <w:sz w:val="22"/>
          <w:szCs w:val="22"/>
        </w:rPr>
        <w:t>，</w:t>
      </w:r>
      <w:r w:rsidRPr="00B559D3">
        <w:rPr>
          <w:rFonts w:ascii="華康中楷體" w:hint="eastAsia"/>
          <w:sz w:val="22"/>
          <w:szCs w:val="22"/>
        </w:rPr>
        <w:t>使其相互抑制</w:t>
      </w:r>
      <w:r w:rsidRPr="00B559D3">
        <w:rPr>
          <w:sz w:val="22"/>
          <w:szCs w:val="22"/>
        </w:rPr>
        <w:t xml:space="preserve"> </w:t>
      </w:r>
      <w:r w:rsidR="00173265">
        <w:rPr>
          <w:sz w:val="22"/>
          <w:szCs w:val="22"/>
        </w:rPr>
        <w:t>（</w:t>
      </w:r>
      <w:r w:rsidRPr="00B559D3">
        <w:rPr>
          <w:sz w:val="22"/>
          <w:szCs w:val="22"/>
        </w:rPr>
        <w:t xml:space="preserve"> Pouvoir arrete Pouvoir</w:t>
      </w:r>
      <w:r w:rsidR="00173265">
        <w:rPr>
          <w:sz w:val="22"/>
          <w:szCs w:val="22"/>
        </w:rPr>
        <w:t>）</w:t>
      </w:r>
      <w:r w:rsidRPr="00B559D3">
        <w:rPr>
          <w:rFonts w:ascii="華康中楷體" w:hint="eastAsia"/>
          <w:sz w:val="22"/>
          <w:szCs w:val="22"/>
        </w:rPr>
        <w:t>以獲得平衡</w:t>
      </w:r>
      <w:r w:rsidRPr="00B559D3">
        <w:rPr>
          <w:rFonts w:hint="eastAsia"/>
          <w:sz w:val="22"/>
          <w:szCs w:val="22"/>
        </w:rPr>
        <w:t>，</w:t>
      </w:r>
      <w:r w:rsidRPr="00B559D3">
        <w:rPr>
          <w:rFonts w:ascii="華康中楷體" w:hint="eastAsia"/>
          <w:sz w:val="22"/>
          <w:szCs w:val="22"/>
        </w:rPr>
        <w:t>如此才能獲得政治上之自由</w:t>
      </w:r>
      <w:r w:rsidRPr="00B559D3">
        <w:rPr>
          <w:rFonts w:hint="eastAsia"/>
          <w:sz w:val="22"/>
          <w:szCs w:val="22"/>
        </w:rPr>
        <w:t>，</w:t>
      </w:r>
      <w:r w:rsidRPr="00B559D3">
        <w:rPr>
          <w:rFonts w:ascii="華康中楷體" w:hint="eastAsia"/>
          <w:sz w:val="22"/>
          <w:szCs w:val="22"/>
        </w:rPr>
        <w:t>其理論乃將國家之事務分配給不同之國家機關</w:t>
      </w:r>
      <w:r w:rsidRPr="00B559D3">
        <w:rPr>
          <w:rFonts w:hint="eastAsia"/>
          <w:sz w:val="22"/>
          <w:szCs w:val="22"/>
        </w:rPr>
        <w:t>。</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註三：</w:t>
      </w:r>
      <w:r w:rsidRPr="00B559D3">
        <w:rPr>
          <w:sz w:val="22"/>
          <w:szCs w:val="22"/>
          <w:lang w:val="de-DE"/>
        </w:rPr>
        <w:t xml:space="preserve">K. </w:t>
      </w:r>
      <w:r w:rsidRPr="00A10C0F">
        <w:rPr>
          <w:rFonts w:hAnsi="標楷體"/>
          <w:sz w:val="22"/>
          <w:szCs w:val="22"/>
        </w:rPr>
        <w:t>Hesse</w:t>
      </w:r>
      <w:r w:rsidRPr="00B559D3">
        <w:rPr>
          <w:sz w:val="22"/>
          <w:szCs w:val="22"/>
          <w:lang w:val="de-DE"/>
        </w:rPr>
        <w:t>, Grundz</w:t>
      </w:r>
      <w:r w:rsidRPr="00B559D3">
        <w:rPr>
          <w:sz w:val="22"/>
          <w:szCs w:val="22"/>
        </w:rPr>
        <w:sym w:font="Times New Roman" w:char="00FC"/>
      </w:r>
      <w:r w:rsidRPr="00B559D3">
        <w:rPr>
          <w:sz w:val="22"/>
          <w:szCs w:val="22"/>
          <w:lang w:val="de-DE"/>
        </w:rPr>
        <w:t xml:space="preserve">ge des Verfassungsrechts der Bundesrepublik Deutschland, </w:t>
      </w:r>
      <w:r w:rsidRPr="00B559D3">
        <w:rPr>
          <w:rFonts w:eastAsia="MS Mincho"/>
          <w:sz w:val="22"/>
          <w:szCs w:val="22"/>
          <w:lang w:val="de-DE" w:eastAsia="ja-JP"/>
        </w:rPr>
        <w:t>20</w:t>
      </w:r>
      <w:r w:rsidRPr="00B559D3">
        <w:rPr>
          <w:sz w:val="22"/>
          <w:szCs w:val="22"/>
          <w:lang w:val="de-DE"/>
        </w:rPr>
        <w:t xml:space="preserve"> Aufl. Rnr. 495.</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註四：</w:t>
      </w:r>
      <w:r w:rsidRPr="00B559D3">
        <w:rPr>
          <w:sz w:val="22"/>
          <w:szCs w:val="22"/>
          <w:lang w:val="de-DE"/>
        </w:rPr>
        <w:t>Vgl. K. Hesse, Grundz</w:t>
      </w:r>
      <w:r w:rsidRPr="00B559D3">
        <w:rPr>
          <w:sz w:val="22"/>
          <w:szCs w:val="22"/>
        </w:rPr>
        <w:sym w:font="Times New Roman" w:char="00FC"/>
      </w:r>
      <w:r w:rsidRPr="00B559D3">
        <w:rPr>
          <w:sz w:val="22"/>
          <w:szCs w:val="22"/>
          <w:lang w:val="de-DE"/>
        </w:rPr>
        <w:t xml:space="preserve">ge des Verfassungsrechts der Bundesrepublik Deutschland, </w:t>
      </w:r>
      <w:r w:rsidRPr="00B559D3">
        <w:rPr>
          <w:rFonts w:eastAsia="MS Mincho"/>
          <w:sz w:val="22"/>
          <w:szCs w:val="22"/>
          <w:lang w:val="de-DE" w:eastAsia="ja-JP"/>
        </w:rPr>
        <w:t>20</w:t>
      </w:r>
      <w:r w:rsidRPr="00B559D3">
        <w:rPr>
          <w:sz w:val="22"/>
          <w:szCs w:val="22"/>
          <w:lang w:val="de-DE"/>
        </w:rPr>
        <w:t xml:space="preserve"> Aufl. Rnr. 492 ff.</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註五：</w:t>
      </w:r>
      <w:r w:rsidRPr="00B559D3">
        <w:rPr>
          <w:sz w:val="22"/>
          <w:szCs w:val="22"/>
        </w:rPr>
        <w:t xml:space="preserve">K. C. Davis, Administrative Law Treatise, Vol. 1, 1978, </w:t>
      </w:r>
      <w:r w:rsidRPr="00B559D3">
        <w:rPr>
          <w:rFonts w:hint="eastAsia"/>
          <w:sz w:val="22"/>
          <w:szCs w:val="22"/>
        </w:rPr>
        <w:t>§</w:t>
      </w:r>
      <w:r w:rsidRPr="00B559D3">
        <w:rPr>
          <w:sz w:val="22"/>
          <w:szCs w:val="22"/>
        </w:rPr>
        <w:t>2 : 5.</w:t>
      </w:r>
    </w:p>
    <w:p w:rsidR="00A10C0F" w:rsidRPr="00173265" w:rsidRDefault="00A10C0F" w:rsidP="00A10C0F">
      <w:pPr>
        <w:overflowPunct w:val="0"/>
        <w:spacing w:line="391" w:lineRule="exact"/>
        <w:ind w:left="682" w:hangingChars="310" w:hanging="682"/>
        <w:jc w:val="both"/>
        <w:rPr>
          <w:rFonts w:ascii="標楷體" w:hAnsi="標楷體"/>
          <w:color w:val="000000"/>
          <w:sz w:val="22"/>
          <w:szCs w:val="22"/>
          <w:lang w:val="de-DE"/>
        </w:rPr>
      </w:pPr>
      <w:r w:rsidRPr="00B559D3">
        <w:rPr>
          <w:rFonts w:ascii="標楷體" w:hAnsi="標楷體" w:hint="eastAsia"/>
          <w:color w:val="000000"/>
          <w:sz w:val="22"/>
          <w:szCs w:val="22"/>
        </w:rPr>
        <w:t>註六：</w:t>
      </w:r>
      <w:r w:rsidRPr="00B559D3">
        <w:rPr>
          <w:sz w:val="22"/>
          <w:szCs w:val="22"/>
          <w:lang w:val="de-DE"/>
        </w:rPr>
        <w:t>Vgl. BVerfGE 9, 268</w:t>
      </w:r>
      <w:r w:rsidR="00173265">
        <w:rPr>
          <w:sz w:val="22"/>
          <w:szCs w:val="22"/>
          <w:lang w:val="de-DE"/>
        </w:rPr>
        <w:t>（</w:t>
      </w:r>
      <w:r w:rsidRPr="00B559D3">
        <w:rPr>
          <w:sz w:val="22"/>
          <w:szCs w:val="22"/>
          <w:lang w:val="de-DE"/>
        </w:rPr>
        <w:t>280</w:t>
      </w:r>
      <w:r w:rsidR="00173265">
        <w:rPr>
          <w:sz w:val="22"/>
          <w:szCs w:val="22"/>
          <w:lang w:val="de-DE"/>
        </w:rPr>
        <w:t>）</w:t>
      </w:r>
      <w:r w:rsidRPr="00B559D3">
        <w:rPr>
          <w:sz w:val="22"/>
          <w:szCs w:val="22"/>
          <w:lang w:val="de-DE"/>
        </w:rPr>
        <w:t>; 30, 1</w:t>
      </w:r>
      <w:r w:rsidR="00173265">
        <w:rPr>
          <w:sz w:val="22"/>
          <w:szCs w:val="22"/>
          <w:lang w:val="de-DE"/>
        </w:rPr>
        <w:t>（</w:t>
      </w:r>
      <w:r w:rsidRPr="00B559D3">
        <w:rPr>
          <w:sz w:val="22"/>
          <w:szCs w:val="22"/>
          <w:lang w:val="de-DE"/>
        </w:rPr>
        <w:t>27f</w:t>
      </w:r>
      <w:r w:rsidR="00173265">
        <w:rPr>
          <w:sz w:val="22"/>
          <w:szCs w:val="22"/>
          <w:lang w:val="de-DE"/>
        </w:rPr>
        <w:t>）</w:t>
      </w:r>
      <w:r w:rsidRPr="00B559D3">
        <w:rPr>
          <w:sz w:val="22"/>
          <w:szCs w:val="22"/>
          <w:lang w:val="de-DE"/>
        </w:rPr>
        <w:t>.</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註七：</w:t>
      </w:r>
      <w:r w:rsidRPr="00B559D3">
        <w:rPr>
          <w:sz w:val="22"/>
          <w:szCs w:val="22"/>
          <w:lang w:val="de-DE"/>
        </w:rPr>
        <w:t>K. Hesse, Grundz</w:t>
      </w:r>
      <w:r w:rsidRPr="00B559D3">
        <w:rPr>
          <w:sz w:val="22"/>
          <w:szCs w:val="22"/>
        </w:rPr>
        <w:sym w:font="Times New Roman" w:char="00FC"/>
      </w:r>
      <w:r w:rsidRPr="00B559D3">
        <w:rPr>
          <w:sz w:val="22"/>
          <w:szCs w:val="22"/>
          <w:lang w:val="de-DE"/>
        </w:rPr>
        <w:t>ge des Verfassungsrechts der Bundesrepublik Deutschland, 20 Aufl. Rnr. 478.</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註八：</w:t>
      </w:r>
      <w:r w:rsidRPr="00A10C0F">
        <w:rPr>
          <w:rFonts w:hAnsi="標楷體"/>
          <w:sz w:val="22"/>
          <w:szCs w:val="22"/>
        </w:rPr>
        <w:t>Hesse</w:t>
      </w:r>
      <w:r w:rsidRPr="00B559D3">
        <w:rPr>
          <w:sz w:val="22"/>
          <w:szCs w:val="22"/>
          <w:lang w:val="de-DE"/>
        </w:rPr>
        <w:t xml:space="preserve">, </w:t>
      </w:r>
      <w:r w:rsidRPr="00B559D3">
        <w:rPr>
          <w:rFonts w:hint="eastAsia"/>
          <w:sz w:val="22"/>
          <w:szCs w:val="22"/>
          <w:lang w:val="de-DE"/>
        </w:rPr>
        <w:t>a.a.O.,</w:t>
      </w:r>
      <w:r w:rsidRPr="00B559D3">
        <w:rPr>
          <w:sz w:val="22"/>
          <w:szCs w:val="22"/>
          <w:lang w:val="de-DE"/>
        </w:rPr>
        <w:t>492 ff</w:t>
      </w:r>
      <w:r w:rsidR="005D2159">
        <w:rPr>
          <w:rFonts w:hint="eastAsia"/>
          <w:sz w:val="22"/>
          <w:szCs w:val="22"/>
          <w:lang w:val="de-DE"/>
        </w:rPr>
        <w:t>.</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註九：</w:t>
      </w:r>
      <w:r w:rsidRPr="00A10C0F">
        <w:rPr>
          <w:rFonts w:hAnsi="標楷體" w:hint="eastAsia"/>
          <w:sz w:val="22"/>
          <w:szCs w:val="22"/>
        </w:rPr>
        <w:t>參考</w:t>
      </w:r>
      <w:r w:rsidRPr="00B559D3">
        <w:rPr>
          <w:rFonts w:hint="eastAsia"/>
          <w:sz w:val="22"/>
          <w:szCs w:val="22"/>
        </w:rPr>
        <w:t>陳春生，</w:t>
      </w:r>
      <w:r w:rsidRPr="00B559D3">
        <w:rPr>
          <w:rFonts w:eastAsia="MS Mincho" w:hint="eastAsia"/>
          <w:sz w:val="22"/>
          <w:szCs w:val="22"/>
          <w:lang w:val="fr-FR"/>
        </w:rPr>
        <w:t>「</w:t>
      </w:r>
      <w:r w:rsidRPr="00B559D3">
        <w:rPr>
          <w:rFonts w:hint="eastAsia"/>
          <w:sz w:val="22"/>
          <w:szCs w:val="22"/>
        </w:rPr>
        <w:t>副總統兼任行政院長合憲性之研究</w:t>
      </w:r>
      <w:r w:rsidRPr="00B559D3">
        <w:rPr>
          <w:rFonts w:ascii="MS Mincho" w:eastAsia="MS Mincho" w:hAnsi="MS Mincho" w:hint="eastAsia"/>
          <w:sz w:val="22"/>
          <w:szCs w:val="22"/>
        </w:rPr>
        <w:t>」</w:t>
      </w:r>
      <w:r w:rsidRPr="00B559D3">
        <w:rPr>
          <w:rFonts w:hint="eastAsia"/>
          <w:sz w:val="22"/>
          <w:szCs w:val="22"/>
        </w:rPr>
        <w:t>，論法治國之權利保護與違憲審查，新學林，</w:t>
      </w:r>
      <w:r w:rsidRPr="00B559D3">
        <w:rPr>
          <w:rFonts w:hint="eastAsia"/>
          <w:sz w:val="22"/>
          <w:szCs w:val="22"/>
        </w:rPr>
        <w:t>2007</w:t>
      </w:r>
      <w:r w:rsidRPr="00B559D3">
        <w:rPr>
          <w:rFonts w:hint="eastAsia"/>
          <w:sz w:val="22"/>
          <w:szCs w:val="22"/>
        </w:rPr>
        <w:t>年，頁</w:t>
      </w:r>
      <w:r w:rsidRPr="00B559D3">
        <w:rPr>
          <w:rFonts w:hint="eastAsia"/>
          <w:sz w:val="22"/>
          <w:szCs w:val="22"/>
        </w:rPr>
        <w:t>321</w:t>
      </w:r>
      <w:r w:rsidRPr="00B559D3">
        <w:rPr>
          <w:rFonts w:hint="eastAsia"/>
          <w:sz w:val="22"/>
          <w:szCs w:val="22"/>
        </w:rPr>
        <w:t>。</w:t>
      </w:r>
    </w:p>
    <w:p w:rsidR="00A10C0F" w:rsidRPr="00B559D3" w:rsidRDefault="00A10C0F" w:rsidP="00A10C0F">
      <w:pPr>
        <w:overflowPunct w:val="0"/>
        <w:spacing w:line="391" w:lineRule="exact"/>
        <w:ind w:left="682" w:hangingChars="310" w:hanging="682"/>
        <w:jc w:val="both"/>
        <w:rPr>
          <w:rFonts w:ascii="標楷體" w:hAnsi="標楷體"/>
          <w:color w:val="000000"/>
          <w:sz w:val="22"/>
          <w:szCs w:val="22"/>
        </w:rPr>
      </w:pPr>
      <w:r w:rsidRPr="00B559D3">
        <w:rPr>
          <w:rFonts w:ascii="標楷體" w:hAnsi="標楷體" w:hint="eastAsia"/>
          <w:color w:val="000000"/>
          <w:sz w:val="22"/>
          <w:szCs w:val="22"/>
        </w:rPr>
        <w:t>註十：</w:t>
      </w:r>
      <w:r w:rsidRPr="00B559D3">
        <w:rPr>
          <w:rFonts w:hint="eastAsia"/>
          <w:sz w:val="22"/>
          <w:szCs w:val="22"/>
          <w:lang w:val="de-DE"/>
        </w:rPr>
        <w:t>只是，本院於釋字第五八五號解釋，以發揮權力分立與制衡之機能為根據，肯定立法院之調查權，卻又以</w:t>
      </w:r>
      <w:r w:rsidRPr="00B559D3">
        <w:rPr>
          <w:rFonts w:eastAsia="MS Mincho" w:hint="eastAsia"/>
          <w:sz w:val="22"/>
          <w:szCs w:val="22"/>
        </w:rPr>
        <w:t>「</w:t>
      </w:r>
      <w:r w:rsidRPr="00B559D3">
        <w:rPr>
          <w:rFonts w:hint="eastAsia"/>
          <w:sz w:val="22"/>
          <w:szCs w:val="22"/>
          <w:lang w:val="de-DE"/>
        </w:rPr>
        <w:t>不能違反權力分立與制衡</w:t>
      </w:r>
      <w:r w:rsidRPr="00B559D3">
        <w:rPr>
          <w:rFonts w:eastAsia="MS Mincho" w:hint="eastAsia"/>
          <w:sz w:val="22"/>
          <w:szCs w:val="22"/>
        </w:rPr>
        <w:t>」</w:t>
      </w:r>
      <w:r w:rsidRPr="00B559D3">
        <w:rPr>
          <w:rFonts w:ascii="新細明體" w:hAnsi="新細明體" w:hint="eastAsia"/>
          <w:sz w:val="22"/>
          <w:szCs w:val="22"/>
        </w:rPr>
        <w:t>為理由宣告真調會條例第八條及第十三條部分規定違</w:t>
      </w:r>
      <w:r w:rsidRPr="00B559D3">
        <w:rPr>
          <w:rFonts w:ascii="新細明體" w:hAnsi="新細明體" w:hint="eastAsia"/>
          <w:sz w:val="22"/>
          <w:szCs w:val="22"/>
        </w:rPr>
        <w:lastRenderedPageBreak/>
        <w:t>憲，但各該條文違反權力分立與制衡原則之相關論述，卻語焉不詳，殊為可惜。</w:t>
      </w:r>
    </w:p>
    <w:p w:rsidR="00A10C0F" w:rsidRPr="00B559D3" w:rsidRDefault="00A10C0F" w:rsidP="005E362F">
      <w:pPr>
        <w:tabs>
          <w:tab w:val="left" w:pos="2127"/>
        </w:tabs>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B559D3">
        <w:rPr>
          <w:rFonts w:ascii="標楷體" w:hAnsi="標楷體" w:hint="eastAsia"/>
          <w:color w:val="000000"/>
          <w:sz w:val="22"/>
          <w:szCs w:val="22"/>
        </w:rPr>
        <w:t>註十一：</w:t>
      </w:r>
      <w:r w:rsidRPr="00B559D3">
        <w:rPr>
          <w:rFonts w:hint="eastAsia"/>
          <w:sz w:val="22"/>
          <w:szCs w:val="22"/>
        </w:rPr>
        <w:t>例如本號解釋指出，有爭議時</w:t>
      </w:r>
      <w:r w:rsidRPr="00B559D3">
        <w:rPr>
          <w:rFonts w:eastAsia="MS Mincho" w:hint="eastAsia"/>
          <w:sz w:val="22"/>
          <w:szCs w:val="22"/>
          <w:lang w:val="fr-FR"/>
        </w:rPr>
        <w:t>「</w:t>
      </w:r>
      <w:r w:rsidRPr="00B559D3">
        <w:rPr>
          <w:rFonts w:hint="eastAsia"/>
          <w:sz w:val="22"/>
          <w:szCs w:val="22"/>
          <w:lang w:val="fr-FR"/>
        </w:rPr>
        <w:t>循協商途徑合理解決</w:t>
      </w:r>
      <w:r w:rsidRPr="00B559D3">
        <w:rPr>
          <w:rFonts w:eastAsia="MS Mincho" w:hint="eastAsia"/>
          <w:sz w:val="22"/>
          <w:szCs w:val="22"/>
          <w:lang w:val="fr-FR"/>
        </w:rPr>
        <w:t>」</w:t>
      </w:r>
      <w:r w:rsidRPr="00B559D3">
        <w:rPr>
          <w:rFonts w:hint="eastAsia"/>
          <w:sz w:val="22"/>
          <w:szCs w:val="22"/>
          <w:lang w:val="fr-FR"/>
        </w:rPr>
        <w:t>、釋字第五二</w:t>
      </w:r>
      <w:r w:rsidR="001466FF" w:rsidRPr="00376924">
        <w:rPr>
          <w:rFonts w:ascii="標楷體" w:hAnsi="標楷體" w:hint="eastAsia"/>
          <w:sz w:val="22"/>
          <w:szCs w:val="22"/>
          <w:lang w:val="fr-FR"/>
        </w:rPr>
        <w:t>○</w:t>
      </w:r>
      <w:r w:rsidRPr="00B559D3">
        <w:rPr>
          <w:rFonts w:hint="eastAsia"/>
          <w:sz w:val="22"/>
          <w:szCs w:val="22"/>
          <w:lang w:val="fr-FR"/>
        </w:rPr>
        <w:t>號解釋之</w:t>
      </w:r>
      <w:r w:rsidRPr="00B559D3">
        <w:rPr>
          <w:rFonts w:eastAsia="MS Mincho" w:hint="eastAsia"/>
          <w:sz w:val="22"/>
          <w:szCs w:val="22"/>
          <w:lang w:val="fr-FR"/>
        </w:rPr>
        <w:t>「</w:t>
      </w:r>
      <w:r w:rsidR="005D2159">
        <w:rPr>
          <w:rFonts w:ascii="新細明體" w:hAnsi="新細明體" w:hint="eastAsia"/>
          <w:sz w:val="22"/>
          <w:szCs w:val="22"/>
          <w:lang w:val="fr-FR"/>
        </w:rPr>
        <w:t>由各有關機關依</w:t>
      </w:r>
      <w:r w:rsidRPr="00B559D3">
        <w:rPr>
          <w:rFonts w:ascii="新細明體" w:hAnsi="新細明體" w:hint="eastAsia"/>
          <w:sz w:val="22"/>
          <w:szCs w:val="22"/>
          <w:lang w:val="fr-FR"/>
        </w:rPr>
        <w:t>本解釋意旨，協商解決方案或根據憲法現有機制選</w:t>
      </w:r>
      <w:r w:rsidR="005D2159">
        <w:rPr>
          <w:rFonts w:ascii="新細明體" w:hAnsi="新細明體" w:hint="eastAsia"/>
          <w:sz w:val="22"/>
          <w:szCs w:val="22"/>
          <w:lang w:val="fr-FR"/>
        </w:rPr>
        <w:t>擇</w:t>
      </w:r>
      <w:r w:rsidRPr="00B559D3">
        <w:rPr>
          <w:rFonts w:ascii="新細明體" w:hAnsi="新細明體" w:hint="eastAsia"/>
          <w:sz w:val="22"/>
          <w:szCs w:val="22"/>
          <w:lang w:val="fr-FR"/>
        </w:rPr>
        <w:t>適當途徑解決僵局</w:t>
      </w:r>
      <w:r w:rsidRPr="00B559D3">
        <w:rPr>
          <w:rFonts w:eastAsia="MS Mincho" w:hint="eastAsia"/>
          <w:sz w:val="22"/>
          <w:szCs w:val="22"/>
          <w:lang w:val="fr-FR"/>
        </w:rPr>
        <w:t>」</w:t>
      </w:r>
      <w:r w:rsidRPr="00B559D3">
        <w:rPr>
          <w:rFonts w:hint="eastAsia"/>
          <w:sz w:val="22"/>
          <w:szCs w:val="22"/>
          <w:lang w:val="fr-FR"/>
        </w:rPr>
        <w:t>、釋字第五八五號解釋諭知：</w:t>
      </w:r>
      <w:r w:rsidRPr="00B559D3">
        <w:rPr>
          <w:rFonts w:eastAsia="MS Mincho" w:hint="eastAsia"/>
          <w:sz w:val="22"/>
          <w:szCs w:val="22"/>
          <w:lang w:val="fr-FR"/>
        </w:rPr>
        <w:t>「</w:t>
      </w:r>
      <w:r w:rsidRPr="00B559D3">
        <w:rPr>
          <w:rFonts w:ascii="新細明體" w:hAnsi="新細明體" w:hint="eastAsia"/>
          <w:sz w:val="22"/>
          <w:szCs w:val="22"/>
          <w:lang w:val="fr-FR"/>
        </w:rPr>
        <w:t>立法院與其他國家機關宜循合理之途徑協商解決</w:t>
      </w:r>
      <w:r w:rsidRPr="00B559D3">
        <w:rPr>
          <w:rFonts w:eastAsia="MS Mincho" w:hint="eastAsia"/>
          <w:sz w:val="22"/>
          <w:szCs w:val="22"/>
          <w:lang w:val="fr-FR"/>
        </w:rPr>
        <w:t>」</w:t>
      </w:r>
      <w:r w:rsidRPr="00B559D3">
        <w:rPr>
          <w:rFonts w:hint="eastAsia"/>
          <w:sz w:val="22"/>
          <w:szCs w:val="22"/>
          <w:lang w:val="fr-FR"/>
        </w:rPr>
        <w:t>。</w:t>
      </w:r>
    </w:p>
    <w:p w:rsidR="00A10C0F" w:rsidRPr="00B559D3" w:rsidRDefault="00A10C0F" w:rsidP="005E362F">
      <w:pPr>
        <w:tabs>
          <w:tab w:val="left" w:pos="2127"/>
        </w:tabs>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B559D3">
        <w:rPr>
          <w:rFonts w:ascii="標楷體" w:hAnsi="標楷體" w:hint="eastAsia"/>
          <w:color w:val="000000"/>
          <w:sz w:val="22"/>
          <w:szCs w:val="22"/>
        </w:rPr>
        <w:t>註十二：</w:t>
      </w:r>
      <w:r w:rsidRPr="00B559D3">
        <w:rPr>
          <w:rFonts w:hint="eastAsia"/>
          <w:sz w:val="22"/>
          <w:szCs w:val="22"/>
          <w:lang w:val="de-DE"/>
        </w:rPr>
        <w:t>釋字第五三</w:t>
      </w:r>
      <w:r w:rsidR="001466FF" w:rsidRPr="00376924">
        <w:rPr>
          <w:rFonts w:ascii="標楷體" w:hAnsi="標楷體" w:hint="eastAsia"/>
          <w:sz w:val="22"/>
          <w:szCs w:val="22"/>
          <w:lang w:val="de-DE"/>
        </w:rPr>
        <w:t>○</w:t>
      </w:r>
      <w:r w:rsidRPr="00B559D3">
        <w:rPr>
          <w:rFonts w:hint="eastAsia"/>
          <w:sz w:val="22"/>
          <w:szCs w:val="22"/>
          <w:lang w:val="de-DE"/>
        </w:rPr>
        <w:t>號解釋指出：</w:t>
      </w:r>
      <w:r w:rsidRPr="00B559D3">
        <w:rPr>
          <w:rFonts w:eastAsia="MS Mincho" w:hint="eastAsia"/>
          <w:sz w:val="22"/>
          <w:szCs w:val="22"/>
          <w:lang w:val="fr-FR"/>
        </w:rPr>
        <w:t>「</w:t>
      </w:r>
      <w:r w:rsidRPr="00B559D3">
        <w:rPr>
          <w:rFonts w:ascii="新細明體" w:hAnsi="新細明體" w:hint="eastAsia"/>
          <w:sz w:val="22"/>
          <w:szCs w:val="22"/>
          <w:lang w:val="fr-FR"/>
        </w:rPr>
        <w:t>最高司法機關依司法自主性發布之上開規則，得就審理程序有關之細節性、技術性事項為規定；本於司法行政監督權而發布之命令，除司法行政事務外，提供相</w:t>
      </w:r>
      <w:r w:rsidR="005D2159">
        <w:rPr>
          <w:rFonts w:ascii="新細明體" w:hAnsi="新細明體" w:hint="eastAsia"/>
          <w:sz w:val="22"/>
          <w:szCs w:val="22"/>
          <w:lang w:val="fr-FR"/>
        </w:rPr>
        <w:t>關法令、有權解釋之資料或司法實務上之見解，作為所屬司法機關人員執</w:t>
      </w:r>
      <w:r w:rsidRPr="00B559D3">
        <w:rPr>
          <w:rFonts w:ascii="新細明體" w:hAnsi="新細明體" w:hint="eastAsia"/>
          <w:sz w:val="22"/>
          <w:szCs w:val="22"/>
          <w:lang w:val="fr-FR"/>
        </w:rPr>
        <w:t>行職務之依據，亦屬法之所許。惟各該命令之內容不得牴觸法律，非有法律具體明確之授權亦不得對人民自由權利增加法律所無之限制</w:t>
      </w:r>
      <w:r w:rsidRPr="00B559D3">
        <w:rPr>
          <w:rFonts w:eastAsia="MS Mincho" w:hint="eastAsia"/>
          <w:sz w:val="22"/>
          <w:szCs w:val="22"/>
          <w:lang w:val="fr-FR"/>
        </w:rPr>
        <w:t>」</w:t>
      </w:r>
      <w:r w:rsidRPr="00B559D3">
        <w:rPr>
          <w:rFonts w:hint="eastAsia"/>
          <w:sz w:val="22"/>
          <w:szCs w:val="22"/>
          <w:lang w:val="fr-FR"/>
        </w:rPr>
        <w:t>。</w:t>
      </w:r>
    </w:p>
    <w:p w:rsidR="00A10C0F" w:rsidRPr="00B559D3" w:rsidRDefault="00A10C0F" w:rsidP="00A10C0F">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B559D3">
        <w:rPr>
          <w:rFonts w:ascii="標楷體" w:hAnsi="標楷體" w:hint="eastAsia"/>
          <w:color w:val="000000"/>
          <w:sz w:val="22"/>
          <w:szCs w:val="22"/>
        </w:rPr>
        <w:t>註十三：</w:t>
      </w:r>
      <w:r w:rsidRPr="00B559D3">
        <w:rPr>
          <w:rFonts w:hint="eastAsia"/>
          <w:sz w:val="22"/>
          <w:szCs w:val="22"/>
        </w:rPr>
        <w:t>釋字</w:t>
      </w:r>
      <w:r w:rsidR="005D2159">
        <w:rPr>
          <w:rFonts w:hint="eastAsia"/>
          <w:sz w:val="22"/>
          <w:szCs w:val="22"/>
        </w:rPr>
        <w:t>第</w:t>
      </w:r>
      <w:r w:rsidRPr="00B559D3">
        <w:rPr>
          <w:rFonts w:hint="eastAsia"/>
          <w:sz w:val="22"/>
          <w:szCs w:val="22"/>
        </w:rPr>
        <w:t>五八五號解釋參照。</w:t>
      </w:r>
    </w:p>
    <w:p w:rsidR="00A10C0F" w:rsidRPr="00B559D3" w:rsidRDefault="00A10C0F" w:rsidP="00A10C0F">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B559D3">
        <w:rPr>
          <w:rFonts w:ascii="標楷體" w:hAnsi="標楷體" w:hint="eastAsia"/>
          <w:color w:val="000000"/>
          <w:sz w:val="22"/>
          <w:szCs w:val="22"/>
        </w:rPr>
        <w:t>註十四：</w:t>
      </w:r>
      <w:r w:rsidRPr="00B559D3">
        <w:rPr>
          <w:rFonts w:hint="eastAsia"/>
          <w:sz w:val="22"/>
          <w:szCs w:val="22"/>
        </w:rPr>
        <w:t>參考陳春生，釋字第七二一號解釋協同意見書。</w:t>
      </w:r>
    </w:p>
    <w:p w:rsidR="00C23706" w:rsidRDefault="00C23706" w:rsidP="00DF4DD3">
      <w:pPr>
        <w:overflowPunct w:val="0"/>
        <w:spacing w:line="391" w:lineRule="exact"/>
        <w:ind w:left="682" w:hangingChars="310" w:hanging="682"/>
        <w:jc w:val="both"/>
        <w:rPr>
          <w:rFonts w:hAnsi="標楷體" w:hint="eastAsia"/>
          <w:sz w:val="22"/>
          <w:szCs w:val="22"/>
        </w:rPr>
      </w:pPr>
    </w:p>
    <w:p w:rsidR="00ED009B" w:rsidRPr="0042228B" w:rsidRDefault="00ED009B" w:rsidP="00BC288B">
      <w:pPr>
        <w:overflowPunct w:val="0"/>
        <w:spacing w:line="391" w:lineRule="exact"/>
        <w:ind w:left="964" w:right="567"/>
        <w:jc w:val="distribute"/>
        <w:rPr>
          <w:sz w:val="28"/>
          <w:szCs w:val="28"/>
        </w:rPr>
      </w:pPr>
      <w:r w:rsidRPr="003E311C">
        <w:rPr>
          <w:rFonts w:ascii="華康粗黑體" w:eastAsia="華康粗黑體" w:hAnsi="標楷體" w:hint="eastAsia"/>
          <w:sz w:val="28"/>
          <w:szCs w:val="28"/>
        </w:rPr>
        <w:t>部分協同部分不同</w:t>
      </w:r>
      <w:r w:rsidRPr="003E311C">
        <w:rPr>
          <w:rFonts w:eastAsia="華康粗黑體" w:hint="eastAsia"/>
          <w:color w:val="000000"/>
          <w:sz w:val="28"/>
          <w:szCs w:val="28"/>
        </w:rPr>
        <w:t>意見書</w:t>
      </w:r>
      <w:r>
        <w:rPr>
          <w:rFonts w:hAnsi="標楷體" w:hint="eastAsia"/>
          <w:b/>
          <w:sz w:val="28"/>
          <w:szCs w:val="28"/>
        </w:rPr>
        <w:t xml:space="preserve">　　</w:t>
      </w:r>
      <w:r w:rsidR="00367CC8">
        <w:rPr>
          <w:rFonts w:hAnsi="標楷體" w:hint="eastAsia"/>
          <w:b/>
          <w:sz w:val="28"/>
          <w:szCs w:val="28"/>
        </w:rPr>
        <w:t xml:space="preserve">　　　　　</w:t>
      </w:r>
      <w:r>
        <w:rPr>
          <w:rFonts w:hAnsi="標楷體" w:hint="eastAsia"/>
          <w:b/>
          <w:sz w:val="28"/>
          <w:szCs w:val="28"/>
        </w:rPr>
        <w:t xml:space="preserve">　</w:t>
      </w:r>
      <w:r w:rsidRPr="0042228B">
        <w:rPr>
          <w:rFonts w:hAnsi="標楷體"/>
          <w:sz w:val="28"/>
          <w:szCs w:val="28"/>
        </w:rPr>
        <w:t>林錫堯大法官</w:t>
      </w:r>
      <w:r w:rsidRPr="0042228B">
        <w:rPr>
          <w:rFonts w:hint="eastAsia"/>
          <w:sz w:val="28"/>
          <w:szCs w:val="28"/>
        </w:rPr>
        <w:t xml:space="preserve">　</w:t>
      </w:r>
      <w:r w:rsidRPr="00BC288B">
        <w:rPr>
          <w:rFonts w:hAnsi="標楷體"/>
          <w:kern w:val="0"/>
          <w:sz w:val="28"/>
          <w:szCs w:val="28"/>
        </w:rPr>
        <w:t>提出</w:t>
      </w:r>
    </w:p>
    <w:p w:rsidR="00ED009B" w:rsidRPr="00A85FA0" w:rsidRDefault="00ED009B" w:rsidP="00ED009B">
      <w:pPr>
        <w:spacing w:line="391" w:lineRule="exact"/>
        <w:ind w:left="549" w:hangingChars="196" w:hanging="549"/>
        <w:jc w:val="both"/>
        <w:rPr>
          <w:sz w:val="28"/>
          <w:szCs w:val="28"/>
        </w:rPr>
      </w:pPr>
      <w:r w:rsidRPr="00A85FA0">
        <w:rPr>
          <w:rFonts w:hAnsi="標楷體"/>
          <w:b/>
          <w:sz w:val="28"/>
          <w:szCs w:val="28"/>
        </w:rPr>
        <w:t>一、本案問題是：立法院行使文件調閱權可否調閱個案偵查卷證？而究問題之本質，乃立法權與司法權之界限問題。</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sz w:val="28"/>
          <w:szCs w:val="28"/>
        </w:rPr>
        <w:t>按本案依事實經過、聲請意旨與相關文書與說明，可認其問題性在於：立法院或其委員會依本院釋字第</w:t>
      </w:r>
      <w:r w:rsidRPr="00A85FA0">
        <w:rPr>
          <w:sz w:val="28"/>
          <w:szCs w:val="28"/>
        </w:rPr>
        <w:t>325</w:t>
      </w:r>
      <w:r w:rsidRPr="00A85FA0">
        <w:rPr>
          <w:rFonts w:hAnsi="標楷體"/>
          <w:sz w:val="28"/>
          <w:szCs w:val="28"/>
        </w:rPr>
        <w:t>號解釋意旨及立法院職權行使法第</w:t>
      </w:r>
      <w:r w:rsidRPr="00A85FA0">
        <w:rPr>
          <w:sz w:val="28"/>
          <w:szCs w:val="28"/>
        </w:rPr>
        <w:t>45</w:t>
      </w:r>
      <w:r w:rsidRPr="00A85FA0">
        <w:rPr>
          <w:rFonts w:hAnsi="標楷體"/>
          <w:sz w:val="28"/>
          <w:szCs w:val="28"/>
        </w:rPr>
        <w:t>條規定，行使</w:t>
      </w:r>
      <w:r w:rsidRPr="00A85FA0">
        <w:rPr>
          <w:rFonts w:hAnsi="標楷體"/>
          <w:spacing w:val="6"/>
          <w:sz w:val="28"/>
          <w:szCs w:val="28"/>
        </w:rPr>
        <w:t>文件調閱權（即調閱文件原本或</w:t>
      </w:r>
      <w:r w:rsidRPr="00A85FA0">
        <w:rPr>
          <w:rFonts w:hAnsi="標楷體"/>
          <w:sz w:val="28"/>
          <w:szCs w:val="28"/>
        </w:rPr>
        <w:t>立法院職權行使法第</w:t>
      </w:r>
      <w:r w:rsidRPr="00A85FA0">
        <w:rPr>
          <w:sz w:val="28"/>
          <w:szCs w:val="28"/>
        </w:rPr>
        <w:t>47</w:t>
      </w:r>
      <w:r w:rsidRPr="00A85FA0">
        <w:rPr>
          <w:rFonts w:hAnsi="標楷體"/>
          <w:sz w:val="28"/>
          <w:szCs w:val="28"/>
        </w:rPr>
        <w:t>條第</w:t>
      </w:r>
      <w:r w:rsidRPr="00A85FA0">
        <w:rPr>
          <w:sz w:val="28"/>
          <w:szCs w:val="28"/>
        </w:rPr>
        <w:t>1</w:t>
      </w:r>
      <w:r w:rsidRPr="00A85FA0">
        <w:rPr>
          <w:rFonts w:hAnsi="標楷體"/>
          <w:sz w:val="28"/>
          <w:szCs w:val="28"/>
        </w:rPr>
        <w:t>項所稱之複本（含影本）</w:t>
      </w:r>
      <w:r w:rsidRPr="00A85FA0">
        <w:rPr>
          <w:rFonts w:hAnsi="標楷體"/>
          <w:spacing w:val="6"/>
          <w:sz w:val="28"/>
          <w:szCs w:val="28"/>
        </w:rPr>
        <w:t>），向檢察機關調閱</w:t>
      </w:r>
      <w:r w:rsidRPr="00A85FA0">
        <w:rPr>
          <w:rFonts w:hAnsi="標楷體"/>
          <w:color w:val="000000"/>
          <w:sz w:val="28"/>
          <w:szCs w:val="28"/>
        </w:rPr>
        <w:t>偵查卷證</w:t>
      </w:r>
      <w:r w:rsidRPr="00A85FA0">
        <w:rPr>
          <w:rFonts w:hAnsi="標楷體"/>
          <w:spacing w:val="6"/>
          <w:sz w:val="28"/>
          <w:szCs w:val="28"/>
        </w:rPr>
        <w:t>影本</w:t>
      </w:r>
      <w:r w:rsidRPr="00A85FA0">
        <w:rPr>
          <w:rFonts w:hAnsi="標楷體"/>
          <w:color w:val="000000"/>
          <w:sz w:val="28"/>
          <w:szCs w:val="28"/>
        </w:rPr>
        <w:t>（按如同解釋理由書所指，</w:t>
      </w:r>
      <w:r w:rsidRPr="00A85FA0">
        <w:rPr>
          <w:rFonts w:hAnsi="標楷體"/>
          <w:spacing w:val="6"/>
          <w:sz w:val="28"/>
          <w:szCs w:val="28"/>
        </w:rPr>
        <w:t>調閱與偵查卷宗文件原本內容相符之影本，因影本所表彰文書之內容與原本相同，故其所行使者並非僅要求提供參考資料權，而是行使文件調閱權</w:t>
      </w:r>
      <w:r w:rsidRPr="00A85FA0">
        <w:rPr>
          <w:rFonts w:hAnsi="標楷體"/>
          <w:color w:val="000000"/>
          <w:sz w:val="28"/>
          <w:szCs w:val="28"/>
        </w:rPr>
        <w:t>），是否合憲？</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sz w:val="28"/>
          <w:szCs w:val="28"/>
        </w:rPr>
        <w:t>又按「</w:t>
      </w:r>
      <w:r w:rsidR="005D2159">
        <w:rPr>
          <w:rFonts w:hAnsi="標楷體"/>
          <w:sz w:val="28"/>
          <w:szCs w:val="28"/>
        </w:rPr>
        <w:t>偵查、訴追、審判、刑之執行均屬刑事司法之過程，其間代表國家從事</w:t>
      </w:r>
      <w:r w:rsidR="005D2159">
        <w:rPr>
          <w:rFonts w:hAnsi="標楷體" w:hint="eastAsia"/>
          <w:sz w:val="28"/>
          <w:szCs w:val="28"/>
        </w:rPr>
        <w:t>『</w:t>
      </w:r>
      <w:r w:rsidRPr="00A85FA0">
        <w:rPr>
          <w:rFonts w:hAnsi="標楷體"/>
          <w:sz w:val="28"/>
          <w:szCs w:val="28"/>
        </w:rPr>
        <w:t>偵查</w:t>
      </w:r>
      <w:r w:rsidR="005D2159">
        <w:rPr>
          <w:rFonts w:hAnsi="標楷體" w:hint="eastAsia"/>
          <w:sz w:val="28"/>
          <w:szCs w:val="28"/>
        </w:rPr>
        <w:t>』『</w:t>
      </w:r>
      <w:r w:rsidRPr="00A85FA0">
        <w:rPr>
          <w:rFonts w:hAnsi="標楷體"/>
          <w:sz w:val="28"/>
          <w:szCs w:val="28"/>
        </w:rPr>
        <w:t>訴追</w:t>
      </w:r>
      <w:r w:rsidR="005D2159">
        <w:rPr>
          <w:rFonts w:hAnsi="標楷體" w:hint="eastAsia"/>
          <w:sz w:val="28"/>
          <w:szCs w:val="28"/>
        </w:rPr>
        <w:t>』『</w:t>
      </w:r>
      <w:r w:rsidRPr="00A85FA0">
        <w:rPr>
          <w:rFonts w:hAnsi="標楷體"/>
          <w:sz w:val="28"/>
          <w:szCs w:val="28"/>
        </w:rPr>
        <w:t>執行</w:t>
      </w:r>
      <w:r w:rsidR="005D2159">
        <w:rPr>
          <w:rFonts w:hAnsi="標楷體" w:hint="eastAsia"/>
          <w:sz w:val="28"/>
          <w:szCs w:val="28"/>
        </w:rPr>
        <w:t>』</w:t>
      </w:r>
      <w:r w:rsidRPr="00A85FA0">
        <w:rPr>
          <w:rFonts w:hAnsi="標楷體"/>
          <w:sz w:val="28"/>
          <w:szCs w:val="28"/>
        </w:rPr>
        <w:t>之檢察機關，其所行使之職權，目的既亦在達成刑事司法之任務，則在此一範圍內之國家作用，當應屬廣義司法之一」（釋字第</w:t>
      </w:r>
      <w:r w:rsidRPr="00A85FA0">
        <w:rPr>
          <w:sz w:val="28"/>
          <w:szCs w:val="28"/>
        </w:rPr>
        <w:t>392</w:t>
      </w:r>
      <w:r w:rsidRPr="00A85FA0">
        <w:rPr>
          <w:rFonts w:hAnsi="標楷體"/>
          <w:sz w:val="28"/>
          <w:szCs w:val="28"/>
        </w:rPr>
        <w:t>號解釋參照，亦為釋字第</w:t>
      </w:r>
      <w:r w:rsidRPr="00A85FA0">
        <w:rPr>
          <w:sz w:val="28"/>
          <w:szCs w:val="28"/>
        </w:rPr>
        <w:t>624</w:t>
      </w:r>
      <w:r w:rsidRPr="00A85FA0">
        <w:rPr>
          <w:rFonts w:hAnsi="標楷體"/>
          <w:sz w:val="28"/>
          <w:szCs w:val="28"/>
        </w:rPr>
        <w:t>號解釋理由書所肯認）。從而檢察權為司法權之一環，</w:t>
      </w:r>
      <w:r w:rsidRPr="00A85FA0">
        <w:rPr>
          <w:rFonts w:hAnsi="標楷體"/>
          <w:color w:val="000000"/>
          <w:sz w:val="28"/>
          <w:szCs w:val="28"/>
        </w:rPr>
        <w:t>檢察官之偵查係對外獨立行使職權，與法官之刑事</w:t>
      </w:r>
      <w:r w:rsidRPr="00282628">
        <w:rPr>
          <w:rFonts w:hAnsi="標楷體"/>
          <w:sz w:val="28"/>
          <w:szCs w:val="28"/>
        </w:rPr>
        <w:t>審判</w:t>
      </w:r>
      <w:r w:rsidRPr="00A85FA0">
        <w:rPr>
          <w:rFonts w:hAnsi="標楷體"/>
          <w:color w:val="000000"/>
          <w:sz w:val="28"/>
          <w:szCs w:val="28"/>
        </w:rPr>
        <w:t>，應同受憲法保障；檢察官依據刑事訴訟法之偵查行為，本質上是行使國家公權力中之司法權之行為，而偵查卷證</w:t>
      </w:r>
      <w:r w:rsidRPr="00A85FA0">
        <w:rPr>
          <w:rFonts w:hAnsi="標楷體"/>
          <w:spacing w:val="6"/>
          <w:sz w:val="28"/>
          <w:szCs w:val="28"/>
        </w:rPr>
        <w:t>與偵查追訴犯罪有重要關係，係</w:t>
      </w:r>
      <w:r w:rsidRPr="00A85FA0">
        <w:rPr>
          <w:rFonts w:hAnsi="標楷體"/>
          <w:color w:val="000000"/>
          <w:sz w:val="28"/>
          <w:szCs w:val="28"/>
        </w:rPr>
        <w:t>偵查行為之紀錄與蒐集之證據，當屬司法權之範疇，是故立法院得否對個案偵查卷證</w:t>
      </w:r>
      <w:r w:rsidRPr="00A85FA0">
        <w:rPr>
          <w:rFonts w:hAnsi="標楷體"/>
          <w:sz w:val="28"/>
          <w:szCs w:val="28"/>
        </w:rPr>
        <w:t>行使</w:t>
      </w:r>
      <w:r w:rsidRPr="00A85FA0">
        <w:rPr>
          <w:rFonts w:hAnsi="標楷體"/>
          <w:spacing w:val="6"/>
          <w:sz w:val="28"/>
          <w:szCs w:val="28"/>
        </w:rPr>
        <w:t>文件調閱權，本質上即涉及</w:t>
      </w:r>
      <w:r w:rsidRPr="00A85FA0">
        <w:rPr>
          <w:rFonts w:hAnsi="標楷體"/>
          <w:sz w:val="28"/>
          <w:szCs w:val="28"/>
        </w:rPr>
        <w:t>立法權與司法權之界限問題。換言之，姑不論其行使</w:t>
      </w:r>
      <w:r w:rsidRPr="00A85FA0">
        <w:rPr>
          <w:rFonts w:hAnsi="標楷體"/>
          <w:spacing w:val="6"/>
          <w:sz w:val="28"/>
          <w:szCs w:val="28"/>
        </w:rPr>
        <w:t>文件調閱權是否依法定組織及有無踐行法定程序，首當釐清者即為：從憲法上權力分立原則觀察</w:t>
      </w:r>
      <w:r w:rsidRPr="00A85FA0">
        <w:rPr>
          <w:rFonts w:hAnsi="標楷體"/>
          <w:sz w:val="28"/>
          <w:szCs w:val="28"/>
        </w:rPr>
        <w:t>，</w:t>
      </w:r>
      <w:r w:rsidRPr="00A85FA0">
        <w:rPr>
          <w:rFonts w:hAnsi="標楷體"/>
          <w:spacing w:val="6"/>
          <w:sz w:val="28"/>
          <w:szCs w:val="28"/>
        </w:rPr>
        <w:t>其行使是否有違於</w:t>
      </w:r>
      <w:r w:rsidRPr="00A85FA0">
        <w:rPr>
          <w:rFonts w:hAnsi="標楷體"/>
          <w:sz w:val="28"/>
          <w:szCs w:val="28"/>
        </w:rPr>
        <w:t>釋字第</w:t>
      </w:r>
      <w:r w:rsidRPr="00A85FA0">
        <w:rPr>
          <w:sz w:val="28"/>
          <w:szCs w:val="28"/>
        </w:rPr>
        <w:t>325</w:t>
      </w:r>
      <w:r w:rsidRPr="00A85FA0">
        <w:rPr>
          <w:rFonts w:hAnsi="標楷體"/>
          <w:sz w:val="28"/>
          <w:szCs w:val="28"/>
        </w:rPr>
        <w:t>號解釋意旨而</w:t>
      </w:r>
      <w:r w:rsidRPr="00A85FA0">
        <w:rPr>
          <w:rFonts w:hAnsi="標楷體"/>
          <w:spacing w:val="6"/>
          <w:sz w:val="28"/>
          <w:szCs w:val="28"/>
        </w:rPr>
        <w:t>逾越立法權？是否侵及</w:t>
      </w:r>
      <w:r w:rsidRPr="00A85FA0">
        <w:rPr>
          <w:rFonts w:hAnsi="標楷體"/>
          <w:sz w:val="28"/>
          <w:szCs w:val="28"/>
        </w:rPr>
        <w:t>司法權？此乃本號解釋必須面對之問題。從而，本案所涉問題應係屬諸如</w:t>
      </w:r>
      <w:r w:rsidRPr="00A85FA0">
        <w:rPr>
          <w:rFonts w:hAnsi="標楷體"/>
          <w:color w:val="000000"/>
          <w:sz w:val="28"/>
          <w:szCs w:val="28"/>
        </w:rPr>
        <w:t>檢察機關獨立行使職權</w:t>
      </w:r>
      <w:r w:rsidRPr="00A85FA0">
        <w:rPr>
          <w:rFonts w:hAnsi="標楷體"/>
          <w:sz w:val="28"/>
          <w:szCs w:val="28"/>
        </w:rPr>
        <w:t>受憲法之保障或司法權核心範圍等之問題，而不涉及行政特權之問題</w:t>
      </w:r>
      <w:r w:rsidRPr="00A85FA0">
        <w:rPr>
          <w:rFonts w:hAnsi="標楷體" w:hint="eastAsia"/>
          <w:sz w:val="22"/>
          <w:szCs w:val="22"/>
        </w:rPr>
        <w:t>（</w:t>
      </w:r>
      <w:r w:rsidRPr="00A85FA0">
        <w:rPr>
          <w:rFonts w:hAnsi="標楷體" w:hint="eastAsia"/>
          <w:sz w:val="22"/>
          <w:szCs w:val="22"/>
        </w:rPr>
        <w:lastRenderedPageBreak/>
        <w:t>註一）</w:t>
      </w:r>
      <w:r w:rsidRPr="00A85FA0">
        <w:rPr>
          <w:rFonts w:hAnsi="標楷體"/>
          <w:sz w:val="28"/>
          <w:szCs w:val="28"/>
        </w:rPr>
        <w:t>。</w:t>
      </w:r>
    </w:p>
    <w:p w:rsidR="00ED009B" w:rsidRPr="00A85FA0" w:rsidRDefault="00ED009B" w:rsidP="00ED009B">
      <w:pPr>
        <w:spacing w:line="391" w:lineRule="exact"/>
        <w:ind w:left="538" w:hangingChars="192" w:hanging="538"/>
        <w:jc w:val="both"/>
        <w:rPr>
          <w:b/>
          <w:sz w:val="28"/>
          <w:szCs w:val="28"/>
        </w:rPr>
      </w:pPr>
      <w:r w:rsidRPr="00A85FA0">
        <w:rPr>
          <w:rFonts w:hAnsi="標楷體"/>
          <w:b/>
          <w:sz w:val="28"/>
          <w:szCs w:val="28"/>
        </w:rPr>
        <w:t>二、本案係依據</w:t>
      </w:r>
      <w:r w:rsidRPr="00A85FA0">
        <w:rPr>
          <w:rFonts w:hAnsi="標楷體"/>
          <w:b/>
          <w:color w:val="000000"/>
          <w:sz w:val="28"/>
          <w:szCs w:val="28"/>
        </w:rPr>
        <w:t>司法院大法官審理案件法第</w:t>
      </w:r>
      <w:r w:rsidRPr="00A85FA0">
        <w:rPr>
          <w:b/>
          <w:color w:val="000000"/>
          <w:sz w:val="28"/>
          <w:szCs w:val="28"/>
        </w:rPr>
        <w:t>5</w:t>
      </w:r>
      <w:r w:rsidRPr="00A85FA0">
        <w:rPr>
          <w:rFonts w:hAnsi="標楷體"/>
          <w:b/>
          <w:color w:val="000000"/>
          <w:sz w:val="28"/>
          <w:szCs w:val="28"/>
        </w:rPr>
        <w:t>條第</w:t>
      </w:r>
      <w:r w:rsidRPr="00A85FA0">
        <w:rPr>
          <w:b/>
          <w:color w:val="000000"/>
          <w:sz w:val="28"/>
          <w:szCs w:val="28"/>
        </w:rPr>
        <w:t>1</w:t>
      </w:r>
      <w:r w:rsidRPr="00A85FA0">
        <w:rPr>
          <w:rFonts w:hAnsi="標楷體"/>
          <w:b/>
          <w:color w:val="000000"/>
          <w:sz w:val="28"/>
          <w:szCs w:val="28"/>
        </w:rPr>
        <w:t>項第</w:t>
      </w:r>
      <w:r w:rsidRPr="00A85FA0">
        <w:rPr>
          <w:b/>
          <w:color w:val="000000"/>
          <w:sz w:val="28"/>
          <w:szCs w:val="28"/>
        </w:rPr>
        <w:t>1</w:t>
      </w:r>
      <w:r w:rsidRPr="00A85FA0">
        <w:rPr>
          <w:rFonts w:hAnsi="標楷體"/>
          <w:b/>
          <w:color w:val="000000"/>
          <w:sz w:val="28"/>
          <w:szCs w:val="28"/>
        </w:rPr>
        <w:t>款解釋憲法，僅能就前述問題作</w:t>
      </w:r>
      <w:r w:rsidRPr="00A85FA0">
        <w:rPr>
          <w:rFonts w:hAnsi="標楷體"/>
          <w:b/>
          <w:sz w:val="28"/>
          <w:szCs w:val="28"/>
        </w:rPr>
        <w:t>抽象解釋，不能為具體個案之認定或裁判，因而就釋字第</w:t>
      </w:r>
      <w:r w:rsidRPr="00A85FA0">
        <w:rPr>
          <w:b/>
          <w:sz w:val="28"/>
          <w:szCs w:val="28"/>
        </w:rPr>
        <w:t>325</w:t>
      </w:r>
      <w:r w:rsidRPr="00A85FA0">
        <w:rPr>
          <w:rFonts w:hAnsi="標楷體"/>
          <w:b/>
          <w:sz w:val="28"/>
          <w:szCs w:val="28"/>
        </w:rPr>
        <w:t>號解釋為補充解釋；個案爭議應經協商或法律另定之訴訟程序解決。</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color w:val="000000"/>
          <w:sz w:val="28"/>
          <w:szCs w:val="28"/>
        </w:rPr>
        <w:t>司法院</w:t>
      </w:r>
      <w:r w:rsidRPr="00A85FA0">
        <w:rPr>
          <w:rFonts w:hAnsi="標楷體"/>
          <w:sz w:val="28"/>
          <w:szCs w:val="28"/>
        </w:rPr>
        <w:t>大法官</w:t>
      </w:r>
      <w:r w:rsidRPr="00A85FA0">
        <w:rPr>
          <w:rFonts w:hAnsi="標楷體"/>
          <w:color w:val="000000"/>
          <w:sz w:val="28"/>
          <w:szCs w:val="28"/>
        </w:rPr>
        <w:t>審理案件法第</w:t>
      </w:r>
      <w:r w:rsidRPr="00A85FA0">
        <w:rPr>
          <w:color w:val="000000"/>
          <w:sz w:val="28"/>
          <w:szCs w:val="28"/>
        </w:rPr>
        <w:t>5</w:t>
      </w:r>
      <w:r w:rsidRPr="00A85FA0">
        <w:rPr>
          <w:rFonts w:hAnsi="標楷體"/>
          <w:color w:val="000000"/>
          <w:sz w:val="28"/>
          <w:szCs w:val="28"/>
        </w:rPr>
        <w:t>條第</w:t>
      </w:r>
      <w:r w:rsidRPr="00A85FA0">
        <w:rPr>
          <w:color w:val="000000"/>
          <w:sz w:val="28"/>
          <w:szCs w:val="28"/>
        </w:rPr>
        <w:t>1</w:t>
      </w:r>
      <w:r w:rsidRPr="00A85FA0">
        <w:rPr>
          <w:rFonts w:hAnsi="標楷體"/>
          <w:color w:val="000000"/>
          <w:sz w:val="28"/>
          <w:szCs w:val="28"/>
        </w:rPr>
        <w:t>項第</w:t>
      </w:r>
      <w:r w:rsidRPr="00A85FA0">
        <w:rPr>
          <w:color w:val="000000"/>
          <w:sz w:val="28"/>
          <w:szCs w:val="28"/>
        </w:rPr>
        <w:t>1</w:t>
      </w:r>
      <w:r w:rsidRPr="00A85FA0">
        <w:rPr>
          <w:rFonts w:hAnsi="標楷體"/>
          <w:color w:val="000000"/>
          <w:sz w:val="28"/>
          <w:szCs w:val="28"/>
        </w:rPr>
        <w:t>款：「</w:t>
      </w:r>
      <w:r w:rsidRPr="00A85FA0">
        <w:rPr>
          <w:rFonts w:hAnsi="標楷體"/>
          <w:kern w:val="0"/>
          <w:sz w:val="28"/>
          <w:szCs w:val="28"/>
        </w:rPr>
        <w:t>中央或地方機關，於其行使職權，適用憲法發生疑義，或因行使職權與其他機關之職權，發生</w:t>
      </w:r>
      <w:r w:rsidRPr="00A85FA0">
        <w:rPr>
          <w:rFonts w:hAnsi="標楷體"/>
          <w:spacing w:val="6"/>
          <w:sz w:val="28"/>
          <w:szCs w:val="28"/>
        </w:rPr>
        <w:t>適用</w:t>
      </w:r>
      <w:r w:rsidRPr="00A85FA0">
        <w:rPr>
          <w:rFonts w:hAnsi="標楷體"/>
          <w:kern w:val="0"/>
          <w:sz w:val="28"/>
          <w:szCs w:val="28"/>
        </w:rPr>
        <w:t>憲法之爭議，或適用法律與命令發生有牴觸憲法之疑義者</w:t>
      </w:r>
      <w:r w:rsidRPr="00A85FA0">
        <w:rPr>
          <w:rFonts w:hAnsi="標楷體"/>
          <w:color w:val="000000"/>
          <w:sz w:val="28"/>
          <w:szCs w:val="28"/>
        </w:rPr>
        <w:t>」</w:t>
      </w:r>
      <w:r w:rsidRPr="00A85FA0">
        <w:rPr>
          <w:rFonts w:hAnsi="標楷體"/>
          <w:kern w:val="0"/>
          <w:sz w:val="28"/>
          <w:szCs w:val="28"/>
        </w:rPr>
        <w:t>得聲請解釋憲法。本案係依該款聲請解釋憲法，而其問題即為「</w:t>
      </w:r>
      <w:r w:rsidRPr="00A85FA0">
        <w:rPr>
          <w:rFonts w:hAnsi="標楷體"/>
          <w:sz w:val="28"/>
          <w:szCs w:val="28"/>
        </w:rPr>
        <w:t>立法院行使文件調閱權可否調閱個案偵查卷證</w:t>
      </w:r>
      <w:r w:rsidRPr="00A85FA0">
        <w:rPr>
          <w:rFonts w:hAnsi="標楷體"/>
          <w:kern w:val="0"/>
          <w:sz w:val="28"/>
          <w:szCs w:val="28"/>
        </w:rPr>
        <w:t>」及因而衍生之相關憲法上問題，則大法官解釋憲法，僅能就此一問題作</w:t>
      </w:r>
      <w:r w:rsidRPr="00A85FA0">
        <w:rPr>
          <w:rFonts w:hAnsi="標楷體"/>
          <w:sz w:val="28"/>
          <w:szCs w:val="28"/>
        </w:rPr>
        <w:t>抽象解釋，以建立憲法上標準或法則，並非就個案認定事實、適用法則而為裁判。</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sz w:val="28"/>
          <w:szCs w:val="28"/>
        </w:rPr>
        <w:t>至於某一特定偵查卷證是否應提供立法院之個案具體爭議，除經由協商解決外，因係以具體事實之認定為基礎，允宜另以法律規定之機關訴訟程序解決，此正如同釋字第</w:t>
      </w:r>
      <w:r w:rsidRPr="00A85FA0">
        <w:rPr>
          <w:sz w:val="28"/>
          <w:szCs w:val="28"/>
        </w:rPr>
        <w:t>585</w:t>
      </w:r>
      <w:r w:rsidRPr="00A85FA0">
        <w:rPr>
          <w:rFonts w:hAnsi="標楷體"/>
          <w:sz w:val="28"/>
          <w:szCs w:val="28"/>
        </w:rPr>
        <w:t>號解釋文針對該號解釋所指之國會個案調查權行使發生爭執時如何解決之問題乙節，明白指出：「</w:t>
      </w:r>
      <w:r w:rsidRPr="00A85FA0">
        <w:rPr>
          <w:rFonts w:hAnsi="標楷體"/>
          <w:kern w:val="0"/>
          <w:sz w:val="28"/>
          <w:szCs w:val="28"/>
        </w:rPr>
        <w:t>立法院行使調查權</w:t>
      </w:r>
      <w:r>
        <w:rPr>
          <w:rFonts w:hint="eastAsia"/>
          <w:kern w:val="0"/>
          <w:sz w:val="28"/>
          <w:szCs w:val="28"/>
        </w:rPr>
        <w:t>……</w:t>
      </w:r>
      <w:r w:rsidRPr="00A85FA0">
        <w:rPr>
          <w:rFonts w:hAnsi="標楷體"/>
          <w:kern w:val="0"/>
          <w:sz w:val="28"/>
          <w:szCs w:val="28"/>
        </w:rPr>
        <w:t>。如於具體案件，就所調查事項是否屬於國家機關獨立行使職權或行政特權之範疇，或就屬於行政特權之資訊應否接受調查或公開而有爭執時，立法院與其他國家機關宜循合理之途徑協商解決，或以法律明定相關要件與程序，由司法機關審理解決之。</w:t>
      </w:r>
      <w:r w:rsidRPr="00A85FA0">
        <w:rPr>
          <w:rFonts w:hAnsi="標楷體"/>
          <w:sz w:val="28"/>
          <w:szCs w:val="28"/>
        </w:rPr>
        <w:t>」可供本號解釋參佐。因此，本號解釋理由書指明「立法院行使文件調閱權，如與受調閱之機關發生諸如：所調閱之事項是否屬於國家機關獨立行使職權受憲法保障之範疇、是否基於與立法院憲法上職權之特定議案有重大關聯、是否屬於法律所禁止調閱之範圍、是否依法定組織及程序調閱、以及拒絕調閱是否有正當理由等爭議時，立法院與受調閱之機關，宜循協商途徑合理解決，或以法律明定相關要件與程序，由司法機關審理解決之。相關機關應儘速建立解決機關爭議之法律機制，併此指明。」但未能將本段納入解釋文，以強化其拘束力，並與釋字第</w:t>
      </w:r>
      <w:r w:rsidRPr="00A85FA0">
        <w:rPr>
          <w:sz w:val="28"/>
          <w:szCs w:val="28"/>
        </w:rPr>
        <w:t>585</w:t>
      </w:r>
      <w:r w:rsidRPr="00A85FA0">
        <w:rPr>
          <w:rFonts w:hAnsi="標楷體"/>
          <w:sz w:val="28"/>
          <w:szCs w:val="28"/>
        </w:rPr>
        <w:t>號解釋文相呼應，不無遺憾。</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sz w:val="28"/>
          <w:szCs w:val="28"/>
        </w:rPr>
        <w:t>又關於</w:t>
      </w:r>
      <w:r w:rsidRPr="00A85FA0">
        <w:rPr>
          <w:rFonts w:hAnsi="標楷體"/>
          <w:kern w:val="0"/>
          <w:sz w:val="28"/>
          <w:szCs w:val="28"/>
        </w:rPr>
        <w:t>「</w:t>
      </w:r>
      <w:r w:rsidRPr="00A85FA0">
        <w:rPr>
          <w:rFonts w:hAnsi="標楷體"/>
          <w:sz w:val="28"/>
          <w:szCs w:val="28"/>
        </w:rPr>
        <w:t>立法院行使文件調閱權可否調閱個案偵查卷證</w:t>
      </w:r>
      <w:r w:rsidRPr="00A85FA0">
        <w:rPr>
          <w:rFonts w:hAnsi="標楷體"/>
          <w:kern w:val="0"/>
          <w:sz w:val="28"/>
          <w:szCs w:val="28"/>
        </w:rPr>
        <w:t>」之問題，首次肯認</w:t>
      </w:r>
      <w:r w:rsidRPr="00A85FA0">
        <w:rPr>
          <w:rFonts w:hAnsi="標楷體"/>
          <w:sz w:val="28"/>
          <w:szCs w:val="28"/>
        </w:rPr>
        <w:t>立法院行使文件調閱權之釋字第</w:t>
      </w:r>
      <w:r w:rsidRPr="00A85FA0">
        <w:rPr>
          <w:sz w:val="28"/>
          <w:szCs w:val="28"/>
        </w:rPr>
        <w:t>325</w:t>
      </w:r>
      <w:r w:rsidRPr="00A85FA0">
        <w:rPr>
          <w:rFonts w:hAnsi="標楷體"/>
          <w:sz w:val="28"/>
          <w:szCs w:val="28"/>
        </w:rPr>
        <w:t>號解釋文業已指明：「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更於解釋理由書指明：「但國家機關獨立行使職權受憲法之保障者，例如法官依據法律獨立審判，不受任何干涉，考試委員、監察委員獨立行使職權，憲法第八十條、第八十八條、憲法增</w:t>
      </w:r>
      <w:r w:rsidR="005D2159">
        <w:rPr>
          <w:rFonts w:hAnsi="標楷體" w:hint="eastAsia"/>
          <w:sz w:val="28"/>
          <w:szCs w:val="28"/>
        </w:rPr>
        <w:t>修</w:t>
      </w:r>
      <w:r w:rsidRPr="00A85FA0">
        <w:rPr>
          <w:rFonts w:hAnsi="標楷體"/>
          <w:sz w:val="28"/>
          <w:szCs w:val="28"/>
        </w:rPr>
        <w:t>條文第十五條第六項均</w:t>
      </w:r>
      <w:r w:rsidRPr="00A85FA0">
        <w:rPr>
          <w:rFonts w:hAnsi="標楷體"/>
          <w:sz w:val="28"/>
          <w:szCs w:val="28"/>
        </w:rPr>
        <w:lastRenderedPageBreak/>
        <w:t>有明文保障；而檢察官之偵查與法官之刑事審判，同為國家刑罰權正確行使之重要程序，兩者具有密切關係，除受檢察一體之拘束外，其對外獨立行使職權，亦應同受保障。本院釋字第十三號解釋並認實任檢察官之保障，除轉調外，與實任推事（法官）同，可供參證。上述人員之職權，既應獨立行使，自必須在免於外力干涉下獨立判斷。」</w:t>
      </w:r>
    </w:p>
    <w:p w:rsidR="00ED009B" w:rsidRPr="00A85FA0" w:rsidRDefault="00ED009B" w:rsidP="00282628">
      <w:pPr>
        <w:kinsoku w:val="0"/>
        <w:overflowPunct w:val="0"/>
        <w:spacing w:line="391" w:lineRule="exact"/>
        <w:ind w:left="567" w:firstLine="595"/>
        <w:jc w:val="both"/>
        <w:rPr>
          <w:sz w:val="28"/>
          <w:szCs w:val="28"/>
        </w:rPr>
      </w:pPr>
      <w:r w:rsidRPr="00A85FA0">
        <w:rPr>
          <w:rFonts w:hAnsi="標楷體"/>
          <w:sz w:val="28"/>
          <w:szCs w:val="28"/>
        </w:rPr>
        <w:t>依上開解釋意旨，關於涉及調閱個案偵查卷證部分，係從「</w:t>
      </w:r>
      <w:r w:rsidRPr="00A85FA0">
        <w:rPr>
          <w:rFonts w:hAnsi="標楷體"/>
          <w:color w:val="000000"/>
          <w:sz w:val="28"/>
          <w:szCs w:val="28"/>
        </w:rPr>
        <w:t>檢察機關獨立行使職權</w:t>
      </w:r>
      <w:r w:rsidRPr="00A85FA0">
        <w:rPr>
          <w:rFonts w:hAnsi="標楷體"/>
          <w:sz w:val="28"/>
          <w:szCs w:val="28"/>
        </w:rPr>
        <w:t>應受憲法保障」之憲法上基本觀點出發，而文義上已明示「</w:t>
      </w:r>
      <w:r w:rsidRPr="00A85FA0">
        <w:rPr>
          <w:rFonts w:hAnsi="標楷體"/>
          <w:color w:val="000000"/>
          <w:sz w:val="28"/>
          <w:szCs w:val="28"/>
        </w:rPr>
        <w:t>對於偵查中之案件，立法院自不得向其調閱相關卷證</w:t>
      </w:r>
      <w:r w:rsidRPr="00A85FA0">
        <w:rPr>
          <w:rFonts w:hAnsi="標楷體"/>
          <w:sz w:val="28"/>
          <w:szCs w:val="28"/>
        </w:rPr>
        <w:t>」。至於偵查終結起訴之</w:t>
      </w:r>
      <w:r w:rsidRPr="00A85FA0">
        <w:rPr>
          <w:rFonts w:hAnsi="標楷體"/>
          <w:color w:val="000000"/>
          <w:sz w:val="28"/>
          <w:szCs w:val="28"/>
        </w:rPr>
        <w:t>案件，依上開文義「</w:t>
      </w:r>
      <w:r w:rsidRPr="00A85FA0">
        <w:rPr>
          <w:rFonts w:hAnsi="標楷體"/>
          <w:sz w:val="28"/>
          <w:szCs w:val="28"/>
        </w:rPr>
        <w:t>訴訟案件在裁判確定前就偵查、審判所為之處置及其卷證</w:t>
      </w:r>
      <w:r>
        <w:rPr>
          <w:rFonts w:hint="eastAsia"/>
          <w:kern w:val="0"/>
          <w:sz w:val="28"/>
          <w:szCs w:val="28"/>
        </w:rPr>
        <w:t>……</w:t>
      </w:r>
      <w:r w:rsidRPr="00A85FA0">
        <w:rPr>
          <w:rFonts w:hAnsi="標楷體"/>
          <w:sz w:val="28"/>
          <w:szCs w:val="28"/>
        </w:rPr>
        <w:t>立法院之調閱文件，亦同受限制</w:t>
      </w:r>
      <w:r w:rsidRPr="00A85FA0">
        <w:rPr>
          <w:rFonts w:hAnsi="標楷體"/>
          <w:color w:val="000000"/>
          <w:sz w:val="28"/>
          <w:szCs w:val="28"/>
        </w:rPr>
        <w:t>」可認此類案件</w:t>
      </w:r>
      <w:r w:rsidRPr="00A85FA0">
        <w:rPr>
          <w:rFonts w:hAnsi="標楷體"/>
          <w:sz w:val="28"/>
          <w:szCs w:val="28"/>
        </w:rPr>
        <w:t>在裁判確定前，</w:t>
      </w:r>
      <w:r w:rsidRPr="00A85FA0">
        <w:rPr>
          <w:rFonts w:hAnsi="標楷體"/>
          <w:color w:val="000000"/>
          <w:sz w:val="28"/>
          <w:szCs w:val="28"/>
        </w:rPr>
        <w:t>立法院亦不得調閱相關卷證。此外，「</w:t>
      </w:r>
      <w:r w:rsidRPr="00A85FA0">
        <w:rPr>
          <w:rFonts w:hAnsi="標楷體"/>
          <w:sz w:val="28"/>
          <w:szCs w:val="28"/>
        </w:rPr>
        <w:t>已偵查終結而不起訴處分確定或未經起訴而以其他方式結案之案件卷證</w:t>
      </w:r>
      <w:r w:rsidRPr="00A85FA0">
        <w:rPr>
          <w:rFonts w:hAnsi="標楷體"/>
          <w:color w:val="000000"/>
          <w:sz w:val="28"/>
          <w:szCs w:val="28"/>
        </w:rPr>
        <w:t>」，立法院可否調閱？仍未明示，自有就釋字第</w:t>
      </w:r>
      <w:r w:rsidRPr="00A85FA0">
        <w:rPr>
          <w:sz w:val="28"/>
          <w:szCs w:val="28"/>
        </w:rPr>
        <w:t>325</w:t>
      </w:r>
      <w:r w:rsidRPr="00A85FA0">
        <w:rPr>
          <w:rFonts w:hAnsi="標楷體"/>
          <w:sz w:val="28"/>
          <w:szCs w:val="28"/>
        </w:rPr>
        <w:t>號解釋為補充解釋之必要。</w:t>
      </w:r>
    </w:p>
    <w:p w:rsidR="00ED009B" w:rsidRPr="00A85FA0" w:rsidRDefault="00ED009B" w:rsidP="00E06DDC">
      <w:pPr>
        <w:kinsoku w:val="0"/>
        <w:overflowPunct w:val="0"/>
        <w:spacing w:line="402" w:lineRule="exact"/>
        <w:ind w:left="567" w:firstLine="595"/>
        <w:jc w:val="both"/>
        <w:rPr>
          <w:sz w:val="28"/>
          <w:szCs w:val="28"/>
        </w:rPr>
      </w:pPr>
      <w:r w:rsidRPr="00A85FA0">
        <w:rPr>
          <w:rFonts w:hAnsi="標楷體"/>
          <w:sz w:val="28"/>
          <w:szCs w:val="28"/>
        </w:rPr>
        <w:t>另從聲請釋憲前之事實經過與相關文件（含釋憲聲請書及其附件、立法院相關文件等），均顯示本案僅涉及釋字第</w:t>
      </w:r>
      <w:r w:rsidRPr="00A85FA0">
        <w:rPr>
          <w:sz w:val="28"/>
          <w:szCs w:val="28"/>
        </w:rPr>
        <w:t>325</w:t>
      </w:r>
      <w:r w:rsidRPr="00A85FA0">
        <w:rPr>
          <w:rFonts w:hAnsi="標楷體"/>
          <w:sz w:val="28"/>
          <w:szCs w:val="28"/>
        </w:rPr>
        <w:t>號解釋之立法院行使文件調閱權之問題，且立法院職權行使法第</w:t>
      </w:r>
      <w:r w:rsidRPr="00A85FA0">
        <w:rPr>
          <w:sz w:val="28"/>
          <w:szCs w:val="28"/>
        </w:rPr>
        <w:t>45</w:t>
      </w:r>
      <w:r w:rsidRPr="00A85FA0">
        <w:rPr>
          <w:rFonts w:hAnsi="標楷體"/>
          <w:sz w:val="28"/>
          <w:szCs w:val="28"/>
        </w:rPr>
        <w:t>條亦係依據釋字第</w:t>
      </w:r>
      <w:r w:rsidRPr="00A85FA0">
        <w:rPr>
          <w:sz w:val="28"/>
          <w:szCs w:val="28"/>
        </w:rPr>
        <w:t>325</w:t>
      </w:r>
      <w:r w:rsidRPr="00A85FA0">
        <w:rPr>
          <w:rFonts w:hAnsi="標楷體"/>
          <w:sz w:val="28"/>
          <w:szCs w:val="28"/>
        </w:rPr>
        <w:t>號解釋而為規定，因此，本案當與釋字第</w:t>
      </w:r>
      <w:r w:rsidRPr="00A85FA0">
        <w:rPr>
          <w:sz w:val="28"/>
          <w:szCs w:val="28"/>
        </w:rPr>
        <w:t>585</w:t>
      </w:r>
      <w:r w:rsidRPr="00A85FA0">
        <w:rPr>
          <w:rFonts w:hAnsi="標楷體"/>
          <w:sz w:val="28"/>
          <w:szCs w:val="28"/>
        </w:rPr>
        <w:t>號、第</w:t>
      </w:r>
      <w:r w:rsidRPr="00A85FA0">
        <w:rPr>
          <w:sz w:val="28"/>
          <w:szCs w:val="28"/>
        </w:rPr>
        <w:t>633</w:t>
      </w:r>
      <w:r w:rsidRPr="00A85FA0">
        <w:rPr>
          <w:rFonts w:hAnsi="標楷體"/>
          <w:sz w:val="28"/>
          <w:szCs w:val="28"/>
        </w:rPr>
        <w:t>號解釋所揭示之國會個案調查權無直接關聯，故僅能為釋字第</w:t>
      </w:r>
      <w:r w:rsidRPr="00A85FA0">
        <w:rPr>
          <w:sz w:val="28"/>
          <w:szCs w:val="28"/>
        </w:rPr>
        <w:t>325</w:t>
      </w:r>
      <w:r w:rsidRPr="00A85FA0">
        <w:rPr>
          <w:rFonts w:hAnsi="標楷體"/>
          <w:sz w:val="28"/>
          <w:szCs w:val="28"/>
        </w:rPr>
        <w:t>號解釋之補充解釋。但釋字第</w:t>
      </w:r>
      <w:r w:rsidRPr="00A85FA0">
        <w:rPr>
          <w:sz w:val="28"/>
          <w:szCs w:val="28"/>
        </w:rPr>
        <w:t>585</w:t>
      </w:r>
      <w:r w:rsidRPr="00A85FA0">
        <w:rPr>
          <w:rFonts w:hAnsi="標楷體"/>
          <w:sz w:val="28"/>
          <w:szCs w:val="28"/>
        </w:rPr>
        <w:t>號、第</w:t>
      </w:r>
      <w:r w:rsidRPr="00A85FA0">
        <w:rPr>
          <w:sz w:val="28"/>
          <w:szCs w:val="28"/>
        </w:rPr>
        <w:t>633</w:t>
      </w:r>
      <w:r w:rsidRPr="00A85FA0">
        <w:rPr>
          <w:rFonts w:hAnsi="標楷體"/>
          <w:sz w:val="28"/>
          <w:szCs w:val="28"/>
        </w:rPr>
        <w:t>號解釋所揭示之國會個案調查權解釋意旨符合第</w:t>
      </w:r>
      <w:r w:rsidRPr="00A85FA0">
        <w:rPr>
          <w:sz w:val="28"/>
          <w:szCs w:val="28"/>
        </w:rPr>
        <w:t>325</w:t>
      </w:r>
      <w:r w:rsidRPr="00A85FA0">
        <w:rPr>
          <w:rFonts w:hAnsi="標楷體"/>
          <w:sz w:val="28"/>
          <w:szCs w:val="28"/>
        </w:rPr>
        <w:t>號解釋意旨者，可參酌納入本號補充解釋內容。多數意見本此解釋原則而為解釋，當可認同。</w:t>
      </w:r>
    </w:p>
    <w:p w:rsidR="00ED009B" w:rsidRPr="00A85FA0" w:rsidRDefault="00ED009B" w:rsidP="00E06DDC">
      <w:pPr>
        <w:spacing w:line="402" w:lineRule="exact"/>
        <w:ind w:left="589" w:hangingChars="210" w:hanging="589"/>
        <w:jc w:val="both"/>
        <w:rPr>
          <w:b/>
          <w:sz w:val="28"/>
          <w:szCs w:val="28"/>
        </w:rPr>
      </w:pPr>
      <w:r w:rsidRPr="00A85FA0">
        <w:rPr>
          <w:rFonts w:hAnsi="標楷體"/>
          <w:b/>
          <w:sz w:val="28"/>
          <w:szCs w:val="28"/>
        </w:rPr>
        <w:t>三、多數意見業本於釋字第</w:t>
      </w:r>
      <w:r w:rsidRPr="00A85FA0">
        <w:rPr>
          <w:b/>
          <w:sz w:val="28"/>
          <w:szCs w:val="28"/>
        </w:rPr>
        <w:t>325</w:t>
      </w:r>
      <w:r w:rsidRPr="00A85FA0">
        <w:rPr>
          <w:rFonts w:hAnsi="標楷體"/>
          <w:b/>
          <w:sz w:val="28"/>
          <w:szCs w:val="28"/>
        </w:rPr>
        <w:t>號解釋意旨，並參酌釋字第</w:t>
      </w:r>
      <w:r w:rsidRPr="00A85FA0">
        <w:rPr>
          <w:b/>
          <w:sz w:val="28"/>
          <w:szCs w:val="28"/>
        </w:rPr>
        <w:t>585</w:t>
      </w:r>
      <w:r w:rsidRPr="00A85FA0">
        <w:rPr>
          <w:rFonts w:hAnsi="標楷體"/>
          <w:b/>
          <w:sz w:val="28"/>
          <w:szCs w:val="28"/>
        </w:rPr>
        <w:t>號、</w:t>
      </w:r>
      <w:r w:rsidR="005D2159">
        <w:rPr>
          <w:rFonts w:hAnsi="標楷體" w:hint="eastAsia"/>
          <w:b/>
          <w:sz w:val="28"/>
          <w:szCs w:val="28"/>
        </w:rPr>
        <w:t>第</w:t>
      </w:r>
      <w:r w:rsidRPr="00A85FA0">
        <w:rPr>
          <w:b/>
          <w:sz w:val="28"/>
          <w:szCs w:val="28"/>
        </w:rPr>
        <w:t>633</w:t>
      </w:r>
      <w:r w:rsidRPr="00A85FA0">
        <w:rPr>
          <w:rFonts w:hAnsi="標楷體"/>
          <w:b/>
          <w:sz w:val="28"/>
          <w:szCs w:val="28"/>
        </w:rPr>
        <w:t>號解釋意旨與相關法理，闡明立法院行使文件調閱權之各種實體要件、程序要件與界限，但仍有未盡周明致未能盡予認同之處。</w:t>
      </w:r>
    </w:p>
    <w:p w:rsidR="00ED009B" w:rsidRPr="00A85FA0" w:rsidRDefault="00ED009B" w:rsidP="00E06DDC">
      <w:pPr>
        <w:kinsoku w:val="0"/>
        <w:overflowPunct w:val="0"/>
        <w:spacing w:line="402" w:lineRule="exact"/>
        <w:ind w:left="595" w:firstLine="595"/>
        <w:jc w:val="both"/>
        <w:rPr>
          <w:sz w:val="28"/>
          <w:szCs w:val="28"/>
        </w:rPr>
      </w:pPr>
      <w:r w:rsidRPr="00A85FA0">
        <w:rPr>
          <w:rFonts w:hAnsi="標楷體"/>
          <w:sz w:val="28"/>
          <w:szCs w:val="28"/>
        </w:rPr>
        <w:t>按關</w:t>
      </w:r>
      <w:r w:rsidR="005D2159">
        <w:rPr>
          <w:rFonts w:hAnsi="標楷體"/>
          <w:sz w:val="28"/>
          <w:szCs w:val="28"/>
        </w:rPr>
        <w:t>於立法院行使文件調閱權，如同其他國家機關行使公權力一般，</w:t>
      </w:r>
      <w:r w:rsidR="005D2159" w:rsidRPr="00E06DDC">
        <w:rPr>
          <w:rFonts w:hAnsi="標楷體"/>
          <w:spacing w:val="-4"/>
          <w:sz w:val="28"/>
          <w:szCs w:val="28"/>
        </w:rPr>
        <w:t>從憲法</w:t>
      </w:r>
      <w:r w:rsidR="005D2159" w:rsidRPr="00E06DDC">
        <w:rPr>
          <w:rFonts w:hAnsi="標楷體" w:hint="eastAsia"/>
          <w:spacing w:val="-4"/>
          <w:sz w:val="28"/>
          <w:szCs w:val="28"/>
        </w:rPr>
        <w:t>觀</w:t>
      </w:r>
      <w:r w:rsidRPr="00E06DDC">
        <w:rPr>
          <w:rFonts w:hAnsi="標楷體"/>
          <w:spacing w:val="-4"/>
          <w:sz w:val="28"/>
          <w:szCs w:val="28"/>
        </w:rPr>
        <w:t>點而論，大致可分別就其實體要件、程序要件及界限三方面</w:t>
      </w:r>
      <w:r w:rsidRPr="00A85FA0">
        <w:rPr>
          <w:rFonts w:hAnsi="標楷體"/>
          <w:sz w:val="28"/>
          <w:szCs w:val="28"/>
        </w:rPr>
        <w:t>討論。</w:t>
      </w:r>
    </w:p>
    <w:p w:rsidR="00ED009B" w:rsidRPr="00A85FA0" w:rsidRDefault="00ED009B" w:rsidP="00E06DDC">
      <w:pPr>
        <w:kinsoku w:val="0"/>
        <w:overflowPunct w:val="0"/>
        <w:spacing w:line="402" w:lineRule="exact"/>
        <w:ind w:left="595" w:firstLine="595"/>
        <w:jc w:val="both"/>
        <w:rPr>
          <w:spacing w:val="6"/>
          <w:sz w:val="28"/>
          <w:szCs w:val="28"/>
        </w:rPr>
      </w:pPr>
      <w:r w:rsidRPr="00A85FA0">
        <w:rPr>
          <w:rFonts w:hAnsi="標楷體"/>
          <w:sz w:val="28"/>
          <w:szCs w:val="28"/>
        </w:rPr>
        <w:t>就實體要件而言，依本號解釋文及解釋理由書所述，可包含：（</w:t>
      </w:r>
      <w:r w:rsidRPr="00A85FA0">
        <w:rPr>
          <w:sz w:val="28"/>
          <w:szCs w:val="28"/>
        </w:rPr>
        <w:t>1</w:t>
      </w:r>
      <w:r w:rsidRPr="00A85FA0">
        <w:rPr>
          <w:rFonts w:hAnsi="標楷體"/>
          <w:sz w:val="28"/>
          <w:szCs w:val="28"/>
        </w:rPr>
        <w:t>）須係基於行使立法院憲法上職權。（</w:t>
      </w:r>
      <w:r w:rsidRPr="00A85FA0">
        <w:rPr>
          <w:sz w:val="28"/>
          <w:szCs w:val="28"/>
        </w:rPr>
        <w:t>2</w:t>
      </w:r>
      <w:r w:rsidRPr="00A85FA0">
        <w:rPr>
          <w:rFonts w:hAnsi="標楷體"/>
          <w:sz w:val="28"/>
          <w:szCs w:val="28"/>
        </w:rPr>
        <w:t>）須係基於特定議案：即須先有要審議之議案，而該議案之</w:t>
      </w:r>
      <w:r w:rsidRPr="00A85FA0">
        <w:rPr>
          <w:rFonts w:hAnsi="標楷體"/>
          <w:spacing w:val="6"/>
          <w:sz w:val="28"/>
          <w:szCs w:val="28"/>
        </w:rPr>
        <w:t>目的與範圍均屬明確，且</w:t>
      </w:r>
      <w:r w:rsidRPr="00A85FA0">
        <w:rPr>
          <w:rFonts w:hAnsi="標楷體"/>
          <w:sz w:val="28"/>
          <w:szCs w:val="28"/>
        </w:rPr>
        <w:t>與立法院憲法上職權</w:t>
      </w:r>
      <w:r w:rsidRPr="00A85FA0">
        <w:rPr>
          <w:rFonts w:hAnsi="標楷體"/>
          <w:spacing w:val="6"/>
          <w:sz w:val="28"/>
          <w:szCs w:val="28"/>
        </w:rPr>
        <w:t>有重大關聯。（</w:t>
      </w:r>
      <w:r w:rsidRPr="00A85FA0">
        <w:rPr>
          <w:spacing w:val="6"/>
          <w:sz w:val="28"/>
          <w:szCs w:val="28"/>
        </w:rPr>
        <w:t>3</w:t>
      </w:r>
      <w:r w:rsidRPr="00A85FA0">
        <w:rPr>
          <w:rFonts w:hAnsi="標楷體"/>
          <w:spacing w:val="6"/>
          <w:sz w:val="28"/>
          <w:szCs w:val="28"/>
        </w:rPr>
        <w:t>）必要性。（</w:t>
      </w:r>
      <w:r w:rsidRPr="00A85FA0">
        <w:rPr>
          <w:spacing w:val="6"/>
          <w:sz w:val="28"/>
          <w:szCs w:val="28"/>
        </w:rPr>
        <w:t>4</w:t>
      </w:r>
      <w:r w:rsidRPr="00A85FA0">
        <w:rPr>
          <w:rFonts w:hAnsi="標楷體"/>
          <w:spacing w:val="6"/>
          <w:sz w:val="28"/>
          <w:szCs w:val="28"/>
        </w:rPr>
        <w:t>）</w:t>
      </w:r>
      <w:r w:rsidRPr="00A85FA0">
        <w:rPr>
          <w:rFonts w:hAnsi="標楷體"/>
          <w:color w:val="000000"/>
          <w:sz w:val="28"/>
          <w:szCs w:val="28"/>
        </w:rPr>
        <w:t>非屬法律所禁</w:t>
      </w:r>
      <w:r w:rsidRPr="00A85FA0">
        <w:rPr>
          <w:rFonts w:hAnsi="標楷體"/>
          <w:sz w:val="28"/>
          <w:szCs w:val="28"/>
        </w:rPr>
        <w:t>止（就調閱偵查卷證而言，尚須不妨害偵查者）</w:t>
      </w:r>
      <w:r w:rsidRPr="00A85FA0">
        <w:rPr>
          <w:rFonts w:hAnsi="標楷體"/>
          <w:spacing w:val="6"/>
          <w:sz w:val="28"/>
          <w:szCs w:val="28"/>
        </w:rPr>
        <w:t>。就</w:t>
      </w:r>
      <w:r w:rsidRPr="00A85FA0">
        <w:rPr>
          <w:rFonts w:hAnsi="標楷體"/>
          <w:sz w:val="28"/>
          <w:szCs w:val="28"/>
        </w:rPr>
        <w:t>程序要件而言，即指應</w:t>
      </w:r>
      <w:r w:rsidRPr="00A85FA0">
        <w:rPr>
          <w:rFonts w:hAnsi="標楷體"/>
          <w:spacing w:val="6"/>
          <w:sz w:val="28"/>
          <w:szCs w:val="28"/>
        </w:rPr>
        <w:t>依法定組織及程序；另</w:t>
      </w:r>
      <w:r w:rsidRPr="00A85FA0">
        <w:rPr>
          <w:rFonts w:hAnsi="標楷體"/>
          <w:sz w:val="28"/>
          <w:szCs w:val="28"/>
        </w:rPr>
        <w:t>解釋文已指出「其調閱偵查卷證之文件原本或與原本內容相同之影本者，應經立法院院會決議；要求提供參考資料者，由院會或委員會決議為之」。惟解釋文及解釋理由書就上開實體要件與程序要件之論述，仍有未盡周延之處。再</w:t>
      </w:r>
      <w:r w:rsidRPr="00A85FA0">
        <w:rPr>
          <w:rFonts w:hAnsi="標楷體"/>
          <w:spacing w:val="6"/>
          <w:sz w:val="28"/>
          <w:szCs w:val="28"/>
        </w:rPr>
        <w:t>就其界限而言，此乃本</w:t>
      </w:r>
      <w:r w:rsidR="005D2159">
        <w:rPr>
          <w:rFonts w:hAnsi="標楷體" w:hint="eastAsia"/>
          <w:spacing w:val="6"/>
          <w:sz w:val="28"/>
          <w:szCs w:val="28"/>
        </w:rPr>
        <w:t>件</w:t>
      </w:r>
      <w:r w:rsidRPr="00A85FA0">
        <w:rPr>
          <w:rFonts w:hAnsi="標楷體"/>
          <w:spacing w:val="6"/>
          <w:sz w:val="28"/>
          <w:szCs w:val="28"/>
        </w:rPr>
        <w:t>解釋最困難之處，本號</w:t>
      </w:r>
      <w:r w:rsidRPr="00A85FA0">
        <w:rPr>
          <w:rFonts w:hAnsi="標楷體"/>
          <w:sz w:val="28"/>
          <w:szCs w:val="28"/>
        </w:rPr>
        <w:t>解釋文及解釋理由書雖</w:t>
      </w:r>
      <w:r w:rsidRPr="00A85FA0">
        <w:rPr>
          <w:rFonts w:hAnsi="標楷體"/>
          <w:sz w:val="28"/>
          <w:szCs w:val="28"/>
        </w:rPr>
        <w:lastRenderedPageBreak/>
        <w:t>有所說明，但仍</w:t>
      </w:r>
      <w:r w:rsidRPr="00A85FA0">
        <w:rPr>
          <w:rFonts w:hAnsi="標楷體"/>
          <w:spacing w:val="6"/>
          <w:sz w:val="28"/>
          <w:szCs w:val="28"/>
        </w:rPr>
        <w:t>有諸多界限問題並未予詳細說明，而尚有待釐清。茲分別說明如下：</w:t>
      </w:r>
    </w:p>
    <w:p w:rsidR="00ED009B" w:rsidRPr="00A85FA0" w:rsidRDefault="00ED009B" w:rsidP="00ED009B">
      <w:pPr>
        <w:kinsoku w:val="0"/>
        <w:overflowPunct w:val="0"/>
        <w:spacing w:line="391" w:lineRule="exact"/>
        <w:ind w:left="1474" w:hanging="879"/>
        <w:jc w:val="both"/>
        <w:rPr>
          <w:b/>
          <w:sz w:val="28"/>
          <w:szCs w:val="28"/>
        </w:rPr>
      </w:pPr>
      <w:r>
        <w:rPr>
          <w:rFonts w:hAnsi="標楷體" w:hint="eastAsia"/>
          <w:b/>
          <w:sz w:val="28"/>
          <w:szCs w:val="28"/>
        </w:rPr>
        <w:t>（一）</w:t>
      </w:r>
      <w:r w:rsidRPr="00A85FA0">
        <w:rPr>
          <w:rFonts w:hAnsi="標楷體"/>
          <w:b/>
          <w:sz w:val="28"/>
          <w:szCs w:val="28"/>
        </w:rPr>
        <w:t>本號解釋未充分討論並說明立法院行使文件調閱權之界限問題</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任何公權力之行使，除應遵行之實體要件與程序要件外，均尚有其不得逾越之界限，更何況立法院文件調閱權僅係</w:t>
      </w:r>
      <w:r w:rsidRPr="00A85FA0">
        <w:rPr>
          <w:rFonts w:hAnsi="標楷體"/>
          <w:kern w:val="0"/>
          <w:sz w:val="28"/>
          <w:szCs w:val="28"/>
        </w:rPr>
        <w:t>立法院行使其憲法職權所必要之輔助性權力，其行使更當有其應遵行之界限。然而，其界限何在？釋字第</w:t>
      </w:r>
      <w:r w:rsidRPr="00A85FA0">
        <w:rPr>
          <w:kern w:val="0"/>
          <w:sz w:val="28"/>
          <w:szCs w:val="28"/>
        </w:rPr>
        <w:t>325</w:t>
      </w:r>
      <w:r w:rsidRPr="00A85FA0">
        <w:rPr>
          <w:rFonts w:hAnsi="標楷體"/>
          <w:kern w:val="0"/>
          <w:sz w:val="28"/>
          <w:szCs w:val="28"/>
        </w:rPr>
        <w:t>號解釋</w:t>
      </w:r>
      <w:r w:rsidRPr="00A85FA0">
        <w:rPr>
          <w:rFonts w:hAnsi="標楷體"/>
          <w:sz w:val="28"/>
          <w:szCs w:val="28"/>
        </w:rPr>
        <w:t>及立法院職權行使法</w:t>
      </w:r>
      <w:r w:rsidRPr="00A85FA0">
        <w:rPr>
          <w:rFonts w:hAnsi="標楷體"/>
          <w:kern w:val="0"/>
          <w:sz w:val="28"/>
          <w:szCs w:val="28"/>
        </w:rPr>
        <w:t>第</w:t>
      </w:r>
      <w:r w:rsidRPr="00A85FA0">
        <w:rPr>
          <w:kern w:val="0"/>
          <w:sz w:val="28"/>
          <w:szCs w:val="28"/>
        </w:rPr>
        <w:t>47</w:t>
      </w:r>
      <w:r w:rsidRPr="00A85FA0">
        <w:rPr>
          <w:rFonts w:hAnsi="標楷體"/>
          <w:kern w:val="0"/>
          <w:sz w:val="28"/>
          <w:szCs w:val="28"/>
        </w:rPr>
        <w:t>條</w:t>
      </w:r>
      <w:r w:rsidRPr="00A85FA0">
        <w:rPr>
          <w:rFonts w:hAnsi="標楷體"/>
          <w:sz w:val="28"/>
          <w:szCs w:val="28"/>
        </w:rPr>
        <w:t>均表明「</w:t>
      </w:r>
      <w:r w:rsidRPr="00A85FA0">
        <w:rPr>
          <w:rFonts w:hAnsi="標楷體"/>
          <w:kern w:val="0"/>
          <w:sz w:val="28"/>
          <w:szCs w:val="28"/>
        </w:rPr>
        <w:t>受要求調閱文件之機關，依法律或其他正當理由得拒絕</w:t>
      </w:r>
      <w:r w:rsidRPr="00A85FA0">
        <w:rPr>
          <w:rFonts w:hAnsi="標楷體"/>
          <w:sz w:val="28"/>
          <w:szCs w:val="28"/>
        </w:rPr>
        <w:t>」，然而，何謂「</w:t>
      </w:r>
      <w:r w:rsidRPr="00A85FA0">
        <w:rPr>
          <w:rFonts w:hAnsi="標楷體"/>
          <w:kern w:val="0"/>
          <w:sz w:val="28"/>
          <w:szCs w:val="28"/>
        </w:rPr>
        <w:t>正當理由</w:t>
      </w:r>
      <w:r w:rsidRPr="00A85FA0">
        <w:rPr>
          <w:rFonts w:hAnsi="標楷體"/>
          <w:sz w:val="28"/>
          <w:szCs w:val="28"/>
        </w:rPr>
        <w:t>」？</w:t>
      </w:r>
      <w:r w:rsidRPr="00A85FA0">
        <w:rPr>
          <w:rFonts w:hAnsi="標楷體"/>
          <w:kern w:val="0"/>
          <w:sz w:val="28"/>
          <w:szCs w:val="28"/>
        </w:rPr>
        <w:t>誠釋憲者無可推諉而應予釋明之問題。本號解釋雖於解釋理由書內說明「</w:t>
      </w:r>
      <w:r w:rsidRPr="00A85FA0">
        <w:rPr>
          <w:rFonts w:hAnsi="標楷體"/>
          <w:spacing w:val="6"/>
          <w:sz w:val="28"/>
          <w:szCs w:val="28"/>
        </w:rPr>
        <w:t>立法院行使文件調閱權，如未符合憲法或法律上之要求，自構成受調閱機關得予拒絕之正當理由</w:t>
      </w:r>
      <w:r w:rsidRPr="00A85FA0">
        <w:rPr>
          <w:rFonts w:hAnsi="標楷體"/>
          <w:kern w:val="0"/>
          <w:sz w:val="28"/>
          <w:szCs w:val="28"/>
        </w:rPr>
        <w:t>」，惜乎並未詳予論述，僅作局部立論。</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德國</w:t>
      </w:r>
      <w:r w:rsidRPr="00367CC8">
        <w:rPr>
          <w:rFonts w:hAnsi="標楷體"/>
          <w:kern w:val="0"/>
          <w:sz w:val="28"/>
          <w:szCs w:val="28"/>
        </w:rPr>
        <w:t>聯邦</w:t>
      </w:r>
      <w:r w:rsidRPr="00A85FA0">
        <w:rPr>
          <w:rFonts w:hAnsi="標楷體"/>
          <w:sz w:val="28"/>
          <w:szCs w:val="28"/>
        </w:rPr>
        <w:t>憲法法院曾以裁判詳細說明該國國會調查委員會蒐集證據權之五項強制性憲法上界限，其內容略以</w:t>
      </w:r>
      <w:r w:rsidRPr="00A85FA0">
        <w:rPr>
          <w:rFonts w:hAnsi="標楷體" w:hint="eastAsia"/>
          <w:sz w:val="22"/>
          <w:szCs w:val="22"/>
        </w:rPr>
        <w:t>（註</w:t>
      </w:r>
      <w:r>
        <w:rPr>
          <w:rFonts w:hAnsi="標楷體" w:hint="eastAsia"/>
          <w:sz w:val="22"/>
          <w:szCs w:val="22"/>
        </w:rPr>
        <w:t>二</w:t>
      </w:r>
      <w:r w:rsidRPr="00A85FA0">
        <w:rPr>
          <w:rFonts w:hAnsi="標楷體" w:hint="eastAsia"/>
          <w:sz w:val="22"/>
          <w:szCs w:val="22"/>
        </w:rPr>
        <w:t>）</w:t>
      </w:r>
      <w:r w:rsidRPr="00A85FA0">
        <w:rPr>
          <w:rFonts w:hAnsi="標楷體"/>
          <w:sz w:val="28"/>
          <w:szCs w:val="28"/>
        </w:rPr>
        <w:t>：</w:t>
      </w:r>
    </w:p>
    <w:p w:rsidR="00ED009B" w:rsidRPr="00A85FA0" w:rsidRDefault="00ED009B" w:rsidP="00367CC8">
      <w:pPr>
        <w:spacing w:line="391" w:lineRule="exact"/>
        <w:ind w:leftChars="400" w:left="1980" w:hangingChars="250" w:hanging="700"/>
        <w:jc w:val="both"/>
        <w:rPr>
          <w:sz w:val="28"/>
          <w:szCs w:val="28"/>
        </w:rPr>
      </w:pPr>
      <w:r>
        <w:rPr>
          <w:rFonts w:hAnsi="標楷體" w:hint="eastAsia"/>
          <w:sz w:val="28"/>
          <w:szCs w:val="28"/>
        </w:rPr>
        <w:t>（</w:t>
      </w:r>
      <w:r>
        <w:rPr>
          <w:rFonts w:hAnsi="標楷體" w:hint="eastAsia"/>
          <w:sz w:val="28"/>
          <w:szCs w:val="28"/>
        </w:rPr>
        <w:t>1</w:t>
      </w:r>
      <w:r>
        <w:rPr>
          <w:rFonts w:hAnsi="標楷體" w:hint="eastAsia"/>
          <w:sz w:val="28"/>
          <w:szCs w:val="28"/>
        </w:rPr>
        <w:t>）</w:t>
      </w:r>
      <w:r w:rsidRPr="00A85FA0">
        <w:rPr>
          <w:rFonts w:hAnsi="標楷體"/>
          <w:sz w:val="28"/>
          <w:szCs w:val="28"/>
        </w:rPr>
        <w:t>經</w:t>
      </w:r>
      <w:r w:rsidRPr="0098310E">
        <w:rPr>
          <w:rFonts w:hAnsi="標楷體"/>
          <w:spacing w:val="-10"/>
          <w:sz w:val="28"/>
          <w:szCs w:val="28"/>
        </w:rPr>
        <w:t>由特定調查任務劃出界限：由設置調查委員會時所賦予之特定調查</w:t>
      </w:r>
      <w:r w:rsidRPr="0098310E">
        <w:rPr>
          <w:rFonts w:hAnsi="標楷體"/>
          <w:spacing w:val="-8"/>
          <w:sz w:val="28"/>
          <w:szCs w:val="28"/>
        </w:rPr>
        <w:t>任務，足以明白劃出「調查標的」</w:t>
      </w:r>
      <w:r w:rsidRPr="00A85FA0">
        <w:rPr>
          <w:rFonts w:hAnsi="標楷體"/>
          <w:sz w:val="28"/>
          <w:szCs w:val="28"/>
        </w:rPr>
        <w:t>（</w:t>
      </w:r>
      <w:r w:rsidRPr="00A85FA0">
        <w:rPr>
          <w:sz w:val="28"/>
          <w:szCs w:val="28"/>
        </w:rPr>
        <w:t>Untersuchungsgegenstand</w:t>
      </w:r>
      <w:r w:rsidRPr="00A85FA0">
        <w:rPr>
          <w:rFonts w:hAnsi="標楷體"/>
          <w:sz w:val="28"/>
          <w:szCs w:val="28"/>
        </w:rPr>
        <w:t>）之界限，用以保障少數黨、因行使調查權受干涉或強制之關係人（政府、第三人）等，並確定相關機關職務協助之範圍。</w:t>
      </w:r>
    </w:p>
    <w:p w:rsidR="00ED009B" w:rsidRPr="00A85FA0" w:rsidRDefault="00ED009B" w:rsidP="00367CC8">
      <w:pPr>
        <w:spacing w:line="391" w:lineRule="exact"/>
        <w:ind w:leftChars="400" w:left="1980" w:hangingChars="250" w:hanging="700"/>
        <w:jc w:val="both"/>
        <w:rPr>
          <w:sz w:val="28"/>
          <w:szCs w:val="28"/>
        </w:rPr>
      </w:pPr>
      <w:r>
        <w:rPr>
          <w:rFonts w:hAnsi="標楷體" w:hint="eastAsia"/>
          <w:sz w:val="28"/>
          <w:szCs w:val="28"/>
        </w:rPr>
        <w:t>（</w:t>
      </w:r>
      <w:r>
        <w:rPr>
          <w:rFonts w:hAnsi="標楷體" w:hint="eastAsia"/>
          <w:sz w:val="28"/>
          <w:szCs w:val="28"/>
        </w:rPr>
        <w:t>2</w:t>
      </w:r>
      <w:r>
        <w:rPr>
          <w:rFonts w:hAnsi="標楷體" w:hint="eastAsia"/>
          <w:sz w:val="28"/>
          <w:szCs w:val="28"/>
        </w:rPr>
        <w:t>）</w:t>
      </w:r>
      <w:r w:rsidRPr="00A85FA0">
        <w:rPr>
          <w:rFonts w:hAnsi="標楷體"/>
          <w:sz w:val="28"/>
          <w:szCs w:val="28"/>
        </w:rPr>
        <w:t>基於權力分立原則，調查委員會取得資訊之權力應受限制：如政府依國會之要求提供資訊，足以使本屬政府單獨決定權之事項，導致第三者共同參與之情形，則原則上政府無義務提供。例如：政府作成決定所準備之資訊，於作成決定前，通常無義務提供。</w:t>
      </w:r>
    </w:p>
    <w:p w:rsidR="00ED009B" w:rsidRPr="00A85FA0" w:rsidRDefault="00ED009B" w:rsidP="00367CC8">
      <w:pPr>
        <w:spacing w:line="391" w:lineRule="exact"/>
        <w:ind w:leftChars="400" w:left="1980" w:hangingChars="250" w:hanging="700"/>
        <w:jc w:val="both"/>
        <w:rPr>
          <w:sz w:val="28"/>
          <w:szCs w:val="28"/>
        </w:rPr>
      </w:pPr>
      <w:r>
        <w:rPr>
          <w:rFonts w:hAnsi="標楷體" w:hint="eastAsia"/>
          <w:sz w:val="28"/>
          <w:szCs w:val="28"/>
        </w:rPr>
        <w:t>（</w:t>
      </w:r>
      <w:r>
        <w:rPr>
          <w:rFonts w:hAnsi="標楷體" w:hint="eastAsia"/>
          <w:sz w:val="28"/>
          <w:szCs w:val="28"/>
        </w:rPr>
        <w:t>3</w:t>
      </w:r>
      <w:r>
        <w:rPr>
          <w:rFonts w:hAnsi="標楷體" w:hint="eastAsia"/>
          <w:sz w:val="28"/>
          <w:szCs w:val="28"/>
        </w:rPr>
        <w:t>）</w:t>
      </w:r>
      <w:r w:rsidRPr="00A85FA0">
        <w:rPr>
          <w:rFonts w:hAnsi="標楷體"/>
          <w:sz w:val="28"/>
          <w:szCs w:val="28"/>
        </w:rPr>
        <w:t>基於國家利益之界限：如將應保密之資訊予以揭露，將危及國家利益。於判斷是否因提供文件而危及國家利益時，應斟酌調查委員會處理此類文件之保密規定，以及國會與政府均應維護國家利益之因素。</w:t>
      </w:r>
    </w:p>
    <w:p w:rsidR="00ED009B" w:rsidRPr="00A85FA0" w:rsidRDefault="00ED009B" w:rsidP="00367CC8">
      <w:pPr>
        <w:spacing w:line="391" w:lineRule="exact"/>
        <w:ind w:leftChars="400" w:left="1980" w:hangingChars="250" w:hanging="700"/>
        <w:jc w:val="both"/>
        <w:rPr>
          <w:sz w:val="28"/>
          <w:szCs w:val="28"/>
        </w:rPr>
      </w:pPr>
      <w:r>
        <w:rPr>
          <w:rFonts w:hAnsi="標楷體" w:hint="eastAsia"/>
          <w:sz w:val="28"/>
          <w:szCs w:val="28"/>
        </w:rPr>
        <w:t>（</w:t>
      </w:r>
      <w:r>
        <w:rPr>
          <w:rFonts w:hAnsi="標楷體" w:hint="eastAsia"/>
          <w:sz w:val="28"/>
          <w:szCs w:val="28"/>
        </w:rPr>
        <w:t>4</w:t>
      </w:r>
      <w:r>
        <w:rPr>
          <w:rFonts w:hAnsi="標楷體" w:hint="eastAsia"/>
          <w:sz w:val="28"/>
          <w:szCs w:val="28"/>
        </w:rPr>
        <w:t>）</w:t>
      </w:r>
      <w:r w:rsidRPr="00A85FA0">
        <w:rPr>
          <w:rFonts w:hAnsi="標楷體"/>
          <w:sz w:val="28"/>
          <w:szCs w:val="28"/>
        </w:rPr>
        <w:t>調查委員會應尊重基本權：因此對蒐集證據權有所限制。</w:t>
      </w:r>
    </w:p>
    <w:p w:rsidR="00ED009B" w:rsidRPr="00A85FA0" w:rsidRDefault="00ED009B" w:rsidP="00367CC8">
      <w:pPr>
        <w:spacing w:line="391" w:lineRule="exact"/>
        <w:ind w:leftChars="400" w:left="1980" w:hangingChars="250" w:hanging="700"/>
        <w:jc w:val="both"/>
        <w:rPr>
          <w:sz w:val="28"/>
          <w:szCs w:val="28"/>
        </w:rPr>
      </w:pPr>
      <w:r>
        <w:rPr>
          <w:rFonts w:hAnsi="標楷體" w:hint="eastAsia"/>
          <w:sz w:val="28"/>
          <w:szCs w:val="28"/>
        </w:rPr>
        <w:t>（</w:t>
      </w:r>
      <w:r>
        <w:rPr>
          <w:rFonts w:hAnsi="標楷體" w:hint="eastAsia"/>
          <w:sz w:val="28"/>
          <w:szCs w:val="28"/>
        </w:rPr>
        <w:t>5</w:t>
      </w:r>
      <w:r>
        <w:rPr>
          <w:rFonts w:hAnsi="標楷體" w:hint="eastAsia"/>
          <w:sz w:val="28"/>
          <w:szCs w:val="28"/>
        </w:rPr>
        <w:t>）</w:t>
      </w:r>
      <w:r w:rsidRPr="00A85FA0">
        <w:rPr>
          <w:rFonts w:hAnsi="標楷體"/>
          <w:sz w:val="28"/>
          <w:szCs w:val="28"/>
        </w:rPr>
        <w:t>權力濫用構成界限。</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立法院調閱司法機關個案卷證（含各檢察官偵查、法院審判、公務員懲戒委員會乃至大法官審理案件之個案卷證等，以下同），是否存有憲法上界限？可能涉及下列幾個面向：</w:t>
      </w:r>
      <w:r w:rsidR="00173265">
        <w:rPr>
          <w:sz w:val="28"/>
          <w:szCs w:val="28"/>
        </w:rPr>
        <w:t>（</w:t>
      </w:r>
      <w:r w:rsidRPr="00A85FA0">
        <w:rPr>
          <w:sz w:val="28"/>
          <w:szCs w:val="28"/>
        </w:rPr>
        <w:t>1</w:t>
      </w:r>
      <w:r w:rsidR="00173265">
        <w:rPr>
          <w:sz w:val="28"/>
          <w:szCs w:val="28"/>
        </w:rPr>
        <w:t>）</w:t>
      </w:r>
      <w:r w:rsidRPr="00A85FA0">
        <w:rPr>
          <w:rFonts w:hAnsi="標楷體"/>
          <w:sz w:val="28"/>
          <w:szCs w:val="28"/>
        </w:rPr>
        <w:t>涉及國家機關獨立行使職權受憲法保障之範疇、</w:t>
      </w:r>
      <w:r w:rsidR="00173265">
        <w:rPr>
          <w:sz w:val="28"/>
          <w:szCs w:val="28"/>
        </w:rPr>
        <w:t>（</w:t>
      </w:r>
      <w:r w:rsidRPr="00A85FA0">
        <w:rPr>
          <w:sz w:val="28"/>
          <w:szCs w:val="28"/>
        </w:rPr>
        <w:t>2</w:t>
      </w:r>
      <w:r w:rsidR="00173265">
        <w:rPr>
          <w:sz w:val="28"/>
          <w:szCs w:val="28"/>
        </w:rPr>
        <w:t>）</w:t>
      </w:r>
      <w:r w:rsidRPr="00A85FA0">
        <w:rPr>
          <w:rFonts w:hAnsi="標楷體"/>
          <w:sz w:val="28"/>
          <w:szCs w:val="28"/>
        </w:rPr>
        <w:t>涉及司法權之核心事項、</w:t>
      </w:r>
      <w:r w:rsidR="00173265">
        <w:rPr>
          <w:sz w:val="28"/>
          <w:szCs w:val="28"/>
        </w:rPr>
        <w:t>（</w:t>
      </w:r>
      <w:r w:rsidRPr="00A85FA0">
        <w:rPr>
          <w:sz w:val="28"/>
          <w:szCs w:val="28"/>
        </w:rPr>
        <w:t>3</w:t>
      </w:r>
      <w:r w:rsidR="00173265">
        <w:rPr>
          <w:sz w:val="28"/>
          <w:szCs w:val="28"/>
        </w:rPr>
        <w:t>）</w:t>
      </w:r>
      <w:r w:rsidRPr="00A85FA0">
        <w:rPr>
          <w:rFonts w:hAnsi="標楷體"/>
          <w:sz w:val="28"/>
          <w:szCs w:val="28"/>
        </w:rPr>
        <w:t>涉及比例原則、</w:t>
      </w:r>
      <w:r w:rsidR="00173265">
        <w:rPr>
          <w:sz w:val="28"/>
          <w:szCs w:val="28"/>
        </w:rPr>
        <w:t>（</w:t>
      </w:r>
      <w:r w:rsidRPr="00A85FA0">
        <w:rPr>
          <w:sz w:val="28"/>
          <w:szCs w:val="28"/>
        </w:rPr>
        <w:t>4</w:t>
      </w:r>
      <w:r w:rsidR="00173265">
        <w:rPr>
          <w:sz w:val="28"/>
          <w:szCs w:val="28"/>
        </w:rPr>
        <w:t>）</w:t>
      </w:r>
      <w:r w:rsidRPr="00A85FA0">
        <w:rPr>
          <w:rFonts w:hAnsi="標楷體"/>
          <w:sz w:val="28"/>
          <w:szCs w:val="28"/>
        </w:rPr>
        <w:t>涉及國家利益</w:t>
      </w:r>
      <w:r w:rsidR="00173265">
        <w:rPr>
          <w:sz w:val="28"/>
          <w:szCs w:val="28"/>
        </w:rPr>
        <w:t>（</w:t>
      </w:r>
      <w:r w:rsidRPr="00A85FA0">
        <w:rPr>
          <w:rFonts w:hAnsi="標楷體"/>
          <w:sz w:val="28"/>
          <w:szCs w:val="28"/>
        </w:rPr>
        <w:t>國家機密</w:t>
      </w:r>
      <w:r w:rsidR="00173265">
        <w:rPr>
          <w:sz w:val="28"/>
          <w:szCs w:val="28"/>
        </w:rPr>
        <w:t>）</w:t>
      </w:r>
      <w:r w:rsidRPr="00A85FA0">
        <w:rPr>
          <w:rFonts w:hAnsi="標楷體"/>
          <w:sz w:val="28"/>
          <w:szCs w:val="28"/>
        </w:rPr>
        <w:t>或人民基本權利保護事項</w:t>
      </w:r>
      <w:r w:rsidR="00173265">
        <w:rPr>
          <w:sz w:val="28"/>
          <w:szCs w:val="28"/>
        </w:rPr>
        <w:t>（</w:t>
      </w:r>
      <w:r w:rsidRPr="00A85FA0">
        <w:rPr>
          <w:rFonts w:hAnsi="標楷體"/>
          <w:sz w:val="28"/>
          <w:szCs w:val="28"/>
        </w:rPr>
        <w:t>如名譽、隱私、營業秘密等</w:t>
      </w:r>
      <w:r w:rsidR="00173265">
        <w:rPr>
          <w:sz w:val="28"/>
          <w:szCs w:val="28"/>
        </w:rPr>
        <w:t>）</w:t>
      </w:r>
      <w:r w:rsidRPr="00A85FA0">
        <w:rPr>
          <w:rFonts w:hAnsi="標楷體"/>
          <w:sz w:val="28"/>
          <w:szCs w:val="28"/>
        </w:rPr>
        <w:t>，均存有立法院行使文件調閱權之界限問題。</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pacing w:val="6"/>
          <w:sz w:val="28"/>
          <w:szCs w:val="28"/>
        </w:rPr>
        <w:lastRenderedPageBreak/>
        <w:t>本</w:t>
      </w:r>
      <w:r w:rsidR="005D2159">
        <w:rPr>
          <w:rFonts w:hAnsi="標楷體" w:hint="eastAsia"/>
          <w:spacing w:val="6"/>
          <w:sz w:val="28"/>
          <w:szCs w:val="28"/>
        </w:rPr>
        <w:t>件</w:t>
      </w:r>
      <w:r w:rsidRPr="00A85FA0">
        <w:rPr>
          <w:rFonts w:hAnsi="標楷體"/>
          <w:sz w:val="28"/>
          <w:szCs w:val="28"/>
        </w:rPr>
        <w:t>解釋文及解釋理由書，僅從釋字第</w:t>
      </w:r>
      <w:r w:rsidRPr="00A85FA0">
        <w:rPr>
          <w:sz w:val="28"/>
          <w:szCs w:val="28"/>
        </w:rPr>
        <w:t>325</w:t>
      </w:r>
      <w:r w:rsidRPr="00A85FA0">
        <w:rPr>
          <w:rFonts w:hAnsi="標楷體"/>
          <w:sz w:val="28"/>
          <w:szCs w:val="28"/>
        </w:rPr>
        <w:t>號解釋文揭示之「國家機關獨立行使職權受憲法之保障者，如</w:t>
      </w:r>
      <w:r>
        <w:rPr>
          <w:rFonts w:hint="eastAsia"/>
          <w:kern w:val="0"/>
          <w:sz w:val="28"/>
          <w:szCs w:val="28"/>
        </w:rPr>
        <w:t>……</w:t>
      </w:r>
      <w:r w:rsidRPr="00A85FA0">
        <w:rPr>
          <w:rFonts w:hAnsi="標楷體"/>
          <w:sz w:val="28"/>
          <w:szCs w:val="28"/>
        </w:rPr>
        <w:t>訴訟案件在裁判確定前就偵查、審判所為之處置及其卷證等</w:t>
      </w:r>
      <w:r>
        <w:rPr>
          <w:rFonts w:hint="eastAsia"/>
          <w:kern w:val="0"/>
          <w:sz w:val="28"/>
          <w:szCs w:val="28"/>
        </w:rPr>
        <w:t>……</w:t>
      </w:r>
      <w:r w:rsidRPr="00A85FA0">
        <w:rPr>
          <w:rFonts w:hAnsi="標楷體"/>
          <w:sz w:val="28"/>
          <w:szCs w:val="28"/>
        </w:rPr>
        <w:t>，立法院之調閱文件，亦同受限制。」意旨出發，明白指出「檢察機關代表國家進行犯罪之偵查與追訴，基於權力分立</w:t>
      </w:r>
      <w:r w:rsidRPr="00A85FA0">
        <w:rPr>
          <w:rFonts w:hAnsi="標楷體"/>
          <w:color w:val="000000"/>
          <w:sz w:val="28"/>
          <w:szCs w:val="28"/>
        </w:rPr>
        <w:t>與制衡原則，且為保障檢察機關獨立行使職權，對於偵查中之案件，立法院自不得向其調閱相關卷證</w:t>
      </w:r>
      <w:r w:rsidRPr="00A85FA0">
        <w:rPr>
          <w:rFonts w:hAnsi="標楷體"/>
          <w:sz w:val="28"/>
          <w:szCs w:val="28"/>
        </w:rPr>
        <w:t>」，但仍</w:t>
      </w:r>
      <w:r w:rsidRPr="00A85FA0">
        <w:rPr>
          <w:rFonts w:hAnsi="標楷體"/>
          <w:spacing w:val="6"/>
          <w:sz w:val="28"/>
          <w:szCs w:val="28"/>
        </w:rPr>
        <w:t>有諸多界限問題並未予詳細說明，而尚有待釐清。</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如再參酌釋字第</w:t>
      </w:r>
      <w:r w:rsidRPr="00A85FA0">
        <w:rPr>
          <w:sz w:val="28"/>
          <w:szCs w:val="28"/>
        </w:rPr>
        <w:t>585</w:t>
      </w:r>
      <w:r w:rsidRPr="00A85FA0">
        <w:rPr>
          <w:rFonts w:hAnsi="標楷體"/>
          <w:sz w:val="28"/>
          <w:szCs w:val="28"/>
        </w:rPr>
        <w:t>號解釋文所指：「</w:t>
      </w:r>
      <w:r w:rsidRPr="00A85FA0">
        <w:rPr>
          <w:rFonts w:hAnsi="標楷體"/>
          <w:kern w:val="0"/>
          <w:sz w:val="28"/>
          <w:szCs w:val="28"/>
        </w:rPr>
        <w:t>其個案調查事項之範圍，不能違反權力分立與制衡原則，亦不得侵害其他憲法機關之權力核心範圍，或對其他</w:t>
      </w:r>
      <w:r w:rsidRPr="003E311C">
        <w:rPr>
          <w:rFonts w:hAnsi="標楷體"/>
          <w:sz w:val="28"/>
          <w:szCs w:val="28"/>
        </w:rPr>
        <w:t>憲法</w:t>
      </w:r>
      <w:r w:rsidRPr="00A85FA0">
        <w:rPr>
          <w:rFonts w:hAnsi="標楷體"/>
          <w:kern w:val="0"/>
          <w:sz w:val="28"/>
          <w:szCs w:val="28"/>
        </w:rPr>
        <w:t>機關權力之行使造成實質妨礙。如就各項調查方法所規定之程序，有涉及限制</w:t>
      </w:r>
      <w:r w:rsidRPr="00367CC8">
        <w:rPr>
          <w:rFonts w:hAnsi="標楷體"/>
          <w:sz w:val="28"/>
          <w:szCs w:val="28"/>
        </w:rPr>
        <w:t>人民</w:t>
      </w:r>
      <w:r w:rsidRPr="00A85FA0">
        <w:rPr>
          <w:rFonts w:hAnsi="標楷體"/>
          <w:kern w:val="0"/>
          <w:sz w:val="28"/>
          <w:szCs w:val="28"/>
        </w:rPr>
        <w:t>權利者，必須符合憲法上比例原則、法律明確性原則及正當法律程序之要求。</w:t>
      </w:r>
      <w:r w:rsidRPr="00A85FA0">
        <w:rPr>
          <w:rFonts w:hAnsi="標楷體"/>
          <w:sz w:val="28"/>
          <w:szCs w:val="28"/>
        </w:rPr>
        <w:t>」更可推論立法院調閱司法機關個案卷證時，尤有「</w:t>
      </w:r>
      <w:r w:rsidRPr="00A85FA0">
        <w:rPr>
          <w:rFonts w:hAnsi="標楷體"/>
          <w:kern w:val="0"/>
          <w:sz w:val="28"/>
          <w:szCs w:val="28"/>
        </w:rPr>
        <w:t>不得侵害司法機關之權力核心範圍</w:t>
      </w:r>
      <w:r w:rsidRPr="00A85FA0">
        <w:rPr>
          <w:rFonts w:hAnsi="標楷體"/>
          <w:sz w:val="28"/>
          <w:szCs w:val="28"/>
        </w:rPr>
        <w:t>」以及「應符合有關基本權保障之憲法上要求」之界限問題。其中「</w:t>
      </w:r>
      <w:r w:rsidRPr="00A85FA0">
        <w:rPr>
          <w:rFonts w:hAnsi="標楷體"/>
          <w:kern w:val="0"/>
          <w:sz w:val="28"/>
          <w:szCs w:val="28"/>
        </w:rPr>
        <w:t>不得侵害司法機關之權力核心範圍</w:t>
      </w:r>
      <w:r w:rsidRPr="00A85FA0">
        <w:rPr>
          <w:rFonts w:hAnsi="標楷體"/>
          <w:sz w:val="28"/>
          <w:szCs w:val="28"/>
        </w:rPr>
        <w:t>」之界限，可認係基於權力分立</w:t>
      </w:r>
      <w:r w:rsidRPr="00A85FA0">
        <w:rPr>
          <w:rFonts w:hAnsi="標楷體"/>
          <w:color w:val="000000"/>
          <w:sz w:val="28"/>
          <w:szCs w:val="28"/>
        </w:rPr>
        <w:t>原則，而</w:t>
      </w:r>
      <w:r w:rsidRPr="00A85FA0">
        <w:rPr>
          <w:rFonts w:hAnsi="標楷體"/>
          <w:sz w:val="28"/>
          <w:szCs w:val="28"/>
        </w:rPr>
        <w:t>釋字第</w:t>
      </w:r>
      <w:r w:rsidRPr="00A85FA0">
        <w:rPr>
          <w:sz w:val="28"/>
          <w:szCs w:val="28"/>
        </w:rPr>
        <w:t>325</w:t>
      </w:r>
      <w:r w:rsidRPr="00A85FA0">
        <w:rPr>
          <w:rFonts w:hAnsi="標楷體"/>
          <w:sz w:val="28"/>
          <w:szCs w:val="28"/>
        </w:rPr>
        <w:t>號解釋雖已敘及「權力分立</w:t>
      </w:r>
      <w:r w:rsidRPr="00A85FA0">
        <w:rPr>
          <w:rFonts w:hAnsi="標楷體"/>
          <w:color w:val="000000"/>
          <w:sz w:val="28"/>
          <w:szCs w:val="28"/>
        </w:rPr>
        <w:t>與制衡原則</w:t>
      </w:r>
      <w:r w:rsidRPr="00A85FA0">
        <w:rPr>
          <w:rFonts w:hAnsi="標楷體"/>
          <w:sz w:val="28"/>
          <w:szCs w:val="28"/>
        </w:rPr>
        <w:t>」，但於本號解釋實有待進一步釐清：立法院調閱司法機關個案卷</w:t>
      </w:r>
      <w:r w:rsidR="00762EB4">
        <w:rPr>
          <w:rFonts w:hAnsi="標楷體" w:hint="eastAsia"/>
          <w:sz w:val="28"/>
          <w:szCs w:val="28"/>
        </w:rPr>
        <w:t>證</w:t>
      </w:r>
      <w:r w:rsidRPr="00A85FA0">
        <w:rPr>
          <w:rFonts w:hAnsi="標楷體"/>
          <w:sz w:val="28"/>
          <w:szCs w:val="28"/>
        </w:rPr>
        <w:t>是否已侵害司法權之核心事項，而有違權力分立</w:t>
      </w:r>
      <w:r w:rsidRPr="00A85FA0">
        <w:rPr>
          <w:rFonts w:hAnsi="標楷體"/>
          <w:color w:val="000000"/>
          <w:sz w:val="28"/>
          <w:szCs w:val="28"/>
        </w:rPr>
        <w:t>原則？（其他有關基於國家利益、人民</w:t>
      </w:r>
      <w:r w:rsidRPr="00A85FA0">
        <w:rPr>
          <w:rFonts w:hAnsi="標楷體"/>
          <w:sz w:val="28"/>
          <w:szCs w:val="28"/>
        </w:rPr>
        <w:t>基本權保障而發生之</w:t>
      </w:r>
      <w:r w:rsidRPr="00A85FA0">
        <w:rPr>
          <w:rFonts w:hAnsi="標楷體"/>
          <w:color w:val="000000"/>
          <w:sz w:val="28"/>
          <w:szCs w:val="28"/>
        </w:rPr>
        <w:t>界限問題，容後說明）</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按基於法治國家之權力分立原則，國家各種權力除在功能、組織與人事上互相限制外，亦應保障各個權力之「核心範圍」（</w:t>
      </w:r>
      <w:r w:rsidRPr="00A85FA0">
        <w:rPr>
          <w:sz w:val="28"/>
          <w:szCs w:val="28"/>
        </w:rPr>
        <w:t>Kernbereich</w:t>
      </w:r>
      <w:r w:rsidRPr="00A85FA0">
        <w:rPr>
          <w:rFonts w:hAnsi="標楷體"/>
          <w:sz w:val="28"/>
          <w:szCs w:val="28"/>
        </w:rPr>
        <w:t>），任何國家權力之行使，如造成對他權力「核心範圍」之干涉，即屬違反權力分立原則。至於何種情形始構成對他權力「核心範圍」之干涉？其判斷標準，宜視干涉之目的、強度與數量等因素而定。因此，不得有剝奪他權力之目的，不得對他權力有特別重大之干涉，亦不得對某一功能領域有大量干涉之情形（</w:t>
      </w:r>
      <w:r w:rsidRPr="00A85FA0">
        <w:rPr>
          <w:sz w:val="28"/>
          <w:szCs w:val="28"/>
        </w:rPr>
        <w:t>BVerfGE 68,76</w:t>
      </w:r>
      <w:r w:rsidRPr="00A85FA0">
        <w:rPr>
          <w:rFonts w:hAnsi="標楷體"/>
          <w:sz w:val="28"/>
          <w:szCs w:val="28"/>
        </w:rPr>
        <w:t>（</w:t>
      </w:r>
      <w:r w:rsidRPr="00A85FA0">
        <w:rPr>
          <w:sz w:val="28"/>
          <w:szCs w:val="28"/>
        </w:rPr>
        <w:t>100</w:t>
      </w:r>
      <w:r w:rsidRPr="00A85FA0">
        <w:rPr>
          <w:rFonts w:hAnsi="標楷體"/>
          <w:sz w:val="28"/>
          <w:szCs w:val="28"/>
        </w:rPr>
        <w:t>））；又一併考量功能上與組織上權力分立之結果，亦不得將某種權力之功能委由「與其組織結構及其行使之『基本功能』不相符之機關」行使</w:t>
      </w:r>
      <w:r w:rsidRPr="00A85FA0">
        <w:rPr>
          <w:rFonts w:hAnsi="標楷體" w:hint="eastAsia"/>
          <w:sz w:val="22"/>
          <w:szCs w:val="22"/>
        </w:rPr>
        <w:t>（註</w:t>
      </w:r>
      <w:r>
        <w:rPr>
          <w:rFonts w:hAnsi="標楷體" w:hint="eastAsia"/>
          <w:sz w:val="22"/>
          <w:szCs w:val="22"/>
        </w:rPr>
        <w:t>三</w:t>
      </w:r>
      <w:r w:rsidRPr="00A85FA0">
        <w:rPr>
          <w:rFonts w:hAnsi="標楷體" w:hint="eastAsia"/>
          <w:sz w:val="22"/>
          <w:szCs w:val="22"/>
        </w:rPr>
        <w:t>）</w:t>
      </w:r>
      <w:r w:rsidRPr="00A85FA0">
        <w:rPr>
          <w:rFonts w:hAnsi="標楷體"/>
          <w:sz w:val="28"/>
          <w:szCs w:val="28"/>
        </w:rPr>
        <w:t>。另外，有所謂「禁止濫用形式</w:t>
      </w:r>
      <w:r w:rsidRPr="00A85FA0">
        <w:rPr>
          <w:sz w:val="28"/>
          <w:szCs w:val="28"/>
        </w:rPr>
        <w:t>Verbot des Formenmissbrauchs</w:t>
      </w:r>
      <w:r w:rsidRPr="00A85FA0">
        <w:rPr>
          <w:rFonts w:hAnsi="標楷體"/>
          <w:sz w:val="28"/>
          <w:szCs w:val="28"/>
        </w:rPr>
        <w:t>」，與權力分立原則有密切關係。即從權力分立原則觀點而言，各個國家權力行使憲法所賦予之手段時，不得違反目的而介入他權力之功能領域</w:t>
      </w:r>
      <w:r w:rsidRPr="00A85FA0">
        <w:rPr>
          <w:rFonts w:hAnsi="標楷體" w:hint="eastAsia"/>
          <w:sz w:val="22"/>
          <w:szCs w:val="22"/>
        </w:rPr>
        <w:t>（註</w:t>
      </w:r>
      <w:r>
        <w:rPr>
          <w:rFonts w:hAnsi="標楷體" w:hint="eastAsia"/>
          <w:sz w:val="22"/>
          <w:szCs w:val="22"/>
        </w:rPr>
        <w:t>四</w:t>
      </w:r>
      <w:r w:rsidRPr="00A85FA0">
        <w:rPr>
          <w:rFonts w:hAnsi="標楷體" w:hint="eastAsia"/>
          <w:sz w:val="22"/>
          <w:szCs w:val="22"/>
        </w:rPr>
        <w:t>）</w:t>
      </w:r>
      <w:r w:rsidRPr="00A85FA0">
        <w:rPr>
          <w:rFonts w:hAnsi="標楷體"/>
          <w:sz w:val="28"/>
          <w:szCs w:val="28"/>
        </w:rPr>
        <w:t>。</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準上所述，如立法院對偵查或審判中（含公務員懲戒委員會審議中與大法官解釋案件審理中等）之司法機關個案卷證，行使文件調閱權，固已屬對司法權之特別重大干涉，而干涉司法權之「核心範圍」。縱於偵查終結、確定判決或審議、審理結案後，始調閱該司</w:t>
      </w:r>
      <w:r w:rsidRPr="00A85FA0">
        <w:rPr>
          <w:rFonts w:hAnsi="標楷體"/>
          <w:sz w:val="28"/>
          <w:szCs w:val="28"/>
        </w:rPr>
        <w:lastRenderedPageBreak/>
        <w:t>法機關個案卷證，有鑑於此種個案卷證乃司法機關之活動紀錄與判斷憑據，立法院之調閱對司法人員之心理會有一定程度之影響，從而對其獨立行使職權之功能亦有一定程度之影響，倘非基於行使其憲法上職權之目的而有必要（諸如欠缺目的正當性、手段必要性等違反比例原則之情形，容下述），即屬不當介入司法領域，亦屬權力分立原則所不容。</w:t>
      </w:r>
    </w:p>
    <w:p w:rsidR="00ED009B" w:rsidRPr="00A85FA0" w:rsidRDefault="00ED009B" w:rsidP="00ED009B">
      <w:pPr>
        <w:kinsoku w:val="0"/>
        <w:overflowPunct w:val="0"/>
        <w:spacing w:line="391" w:lineRule="exact"/>
        <w:ind w:left="1474" w:hanging="879"/>
        <w:jc w:val="both"/>
        <w:rPr>
          <w:b/>
          <w:sz w:val="28"/>
          <w:szCs w:val="28"/>
        </w:rPr>
      </w:pPr>
      <w:r>
        <w:rPr>
          <w:rFonts w:hAnsi="標楷體" w:hint="eastAsia"/>
          <w:b/>
          <w:sz w:val="28"/>
          <w:szCs w:val="28"/>
        </w:rPr>
        <w:t>（二）</w:t>
      </w:r>
      <w:r w:rsidRPr="00A85FA0">
        <w:rPr>
          <w:rFonts w:hAnsi="標楷體"/>
          <w:b/>
          <w:sz w:val="28"/>
          <w:szCs w:val="28"/>
        </w:rPr>
        <w:t>本號解釋未詳細說明立法院行使文件調閱權應符合比例原則</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按釋字第</w:t>
      </w:r>
      <w:r w:rsidRPr="00A85FA0">
        <w:rPr>
          <w:sz w:val="28"/>
          <w:szCs w:val="28"/>
        </w:rPr>
        <w:t>325</w:t>
      </w:r>
      <w:r w:rsidR="00762EB4">
        <w:rPr>
          <w:rFonts w:hAnsi="標楷體"/>
          <w:sz w:val="28"/>
          <w:szCs w:val="28"/>
        </w:rPr>
        <w:t>號解釋文</w:t>
      </w:r>
      <w:r w:rsidR="00762EB4">
        <w:rPr>
          <w:rFonts w:hAnsi="標楷體" w:hint="eastAsia"/>
          <w:sz w:val="28"/>
          <w:szCs w:val="28"/>
        </w:rPr>
        <w:t>已</w:t>
      </w:r>
      <w:r w:rsidRPr="00A85FA0">
        <w:rPr>
          <w:rFonts w:hAnsi="標楷體"/>
          <w:sz w:val="28"/>
          <w:szCs w:val="28"/>
        </w:rPr>
        <w:t>指出：「立法院為行使憲法所賦予之職權，除依憲法第五十七條第一款及第六十七條第二項辦理外，得經院會或委員會之決議，要求有關機關就議案涉及事項提供參考資料，必要時並得經院會決議調閱文件原本」等語，已明白表示立法院行使文件調閱權應具備必要性。同號解釋理由書更進一步指出：「為使立法院發揮其功能，憲法於第五十七條第一款規定，『行政院有向立法院提出施</w:t>
      </w:r>
      <w:r w:rsidR="00762EB4">
        <w:rPr>
          <w:rFonts w:hAnsi="標楷體" w:hint="eastAsia"/>
          <w:sz w:val="28"/>
          <w:szCs w:val="28"/>
        </w:rPr>
        <w:t>政</w:t>
      </w:r>
      <w:r w:rsidRPr="00A85FA0">
        <w:rPr>
          <w:rFonts w:hAnsi="標楷體"/>
          <w:sz w:val="28"/>
          <w:szCs w:val="28"/>
        </w:rPr>
        <w:t>方針及施政報告之責，立法委員在開會時有向行政院院長及行政院各部會首長質詢之權』，於第六十七條第二項規定，『各種委員會得邀請政府人員及社會上有關係人員到會備詢』，則立法委員本得於開會時為質詢或詢問，經由受質詢人或應邀列席人員就詢問事項於答覆時所說明之事實或發表之意見，而明瞭有關事項。如仍不明瞭，得經院會或委員會之決議，要求有關機關就議案涉及事項提供參考資料，必要時並得經院會決議調閱文件原本，以符憲法關於立法委員集會行使職權之規定」等語，對行使文件調閱權之必要性更敘明，應先行使「質詢或詢問」、「要求提供參考資料」之手段，如尚有必要，始得行使文件調閱權（最後手段；必要手段）。本於上述必要性觀點，立法院職權行使法第</w:t>
      </w:r>
      <w:r w:rsidRPr="00A85FA0">
        <w:rPr>
          <w:sz w:val="28"/>
          <w:szCs w:val="28"/>
        </w:rPr>
        <w:t>45</w:t>
      </w:r>
      <w:r w:rsidRPr="00A85FA0">
        <w:rPr>
          <w:rFonts w:hAnsi="標楷體"/>
          <w:sz w:val="28"/>
          <w:szCs w:val="28"/>
        </w:rPr>
        <w:t>條第</w:t>
      </w:r>
      <w:r w:rsidRPr="00A85FA0">
        <w:rPr>
          <w:sz w:val="28"/>
          <w:szCs w:val="28"/>
        </w:rPr>
        <w:t>1</w:t>
      </w:r>
      <w:r w:rsidRPr="00A85FA0">
        <w:rPr>
          <w:rFonts w:hAnsi="標楷體"/>
          <w:sz w:val="28"/>
          <w:szCs w:val="28"/>
        </w:rPr>
        <w:t>項乃先規定得「</w:t>
      </w:r>
      <w:r w:rsidRPr="00A85FA0">
        <w:rPr>
          <w:rFonts w:hAnsi="標楷體"/>
          <w:kern w:val="0"/>
          <w:sz w:val="28"/>
          <w:szCs w:val="28"/>
        </w:rPr>
        <w:t>要求有關機關就特定議案涉及事項提供參考資料」，</w:t>
      </w:r>
      <w:r w:rsidRPr="00A85FA0">
        <w:rPr>
          <w:rFonts w:hAnsi="標楷體"/>
          <w:sz w:val="28"/>
          <w:szCs w:val="28"/>
        </w:rPr>
        <w:t>繼而於第</w:t>
      </w:r>
      <w:r w:rsidRPr="00A85FA0">
        <w:rPr>
          <w:sz w:val="28"/>
          <w:szCs w:val="28"/>
        </w:rPr>
        <w:t>2</w:t>
      </w:r>
      <w:r w:rsidRPr="00A85FA0">
        <w:rPr>
          <w:rFonts w:hAnsi="標楷體"/>
          <w:sz w:val="28"/>
          <w:szCs w:val="28"/>
        </w:rPr>
        <w:t>項明文：「</w:t>
      </w:r>
      <w:r w:rsidRPr="00A85FA0">
        <w:rPr>
          <w:rFonts w:hAnsi="標楷體"/>
          <w:kern w:val="0"/>
          <w:sz w:val="28"/>
          <w:szCs w:val="28"/>
        </w:rPr>
        <w:t>調閱委員會或調閱專案小組於必要時，</w:t>
      </w:r>
      <w:r w:rsidRPr="00A85FA0">
        <w:rPr>
          <w:rFonts w:hAnsi="標楷體"/>
          <w:sz w:val="28"/>
          <w:szCs w:val="28"/>
        </w:rPr>
        <w:t>得經院會之決議，向有關機關調閱</w:t>
      </w:r>
      <w:r w:rsidRPr="00A85FA0">
        <w:rPr>
          <w:rFonts w:hAnsi="標楷體"/>
          <w:kern w:val="0"/>
          <w:sz w:val="28"/>
          <w:szCs w:val="28"/>
        </w:rPr>
        <w:t>前項議案涉及事項之文件原本。</w:t>
      </w:r>
      <w:r w:rsidRPr="00A85FA0">
        <w:rPr>
          <w:rFonts w:hAnsi="標楷體"/>
          <w:sz w:val="28"/>
          <w:szCs w:val="28"/>
        </w:rPr>
        <w:t>」</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本號解釋僅於理由書中指出：「</w:t>
      </w:r>
      <w:r w:rsidRPr="00A85FA0">
        <w:rPr>
          <w:rFonts w:hAnsi="標楷體"/>
          <w:spacing w:val="6"/>
          <w:sz w:val="28"/>
          <w:szCs w:val="28"/>
        </w:rPr>
        <w:t>至於偵查終結後，經不起訴處分確定或未經起訴而以其他方式結案（例如檢察實務上之簽結）之案件，既已終結偵查程序及運作，如立法院因審查目的與範圍均屬明確、且與其憲法上職權有重大關聯之特定議案所必要</w:t>
      </w:r>
      <w:r>
        <w:rPr>
          <w:rFonts w:hint="eastAsia"/>
          <w:kern w:val="0"/>
          <w:sz w:val="28"/>
          <w:szCs w:val="28"/>
        </w:rPr>
        <w:t>……</w:t>
      </w:r>
      <w:r w:rsidRPr="00A85FA0">
        <w:rPr>
          <w:rFonts w:hAnsi="標楷體"/>
          <w:spacing w:val="6"/>
          <w:sz w:val="28"/>
          <w:szCs w:val="28"/>
        </w:rPr>
        <w:t>，自得於經其院會決議調閱上述已偵查終結之卷證。</w:t>
      </w:r>
      <w:r w:rsidRPr="00A85FA0">
        <w:rPr>
          <w:rFonts w:hAnsi="標楷體"/>
          <w:sz w:val="28"/>
          <w:szCs w:val="28"/>
        </w:rPr>
        <w:t>」其中所稱「</w:t>
      </w:r>
      <w:r w:rsidRPr="00A85FA0">
        <w:rPr>
          <w:rFonts w:hAnsi="標楷體"/>
          <w:spacing w:val="6"/>
          <w:sz w:val="28"/>
          <w:szCs w:val="28"/>
        </w:rPr>
        <w:t>與其憲法上職權有重大關聯之特定議案所必要</w:t>
      </w:r>
      <w:r w:rsidRPr="00A85FA0">
        <w:rPr>
          <w:rFonts w:hAnsi="標楷體"/>
          <w:sz w:val="28"/>
          <w:szCs w:val="28"/>
        </w:rPr>
        <w:t>」，即含有必要性之要求。因本號解釋係釋字第</w:t>
      </w:r>
      <w:r w:rsidRPr="00A85FA0">
        <w:rPr>
          <w:sz w:val="28"/>
          <w:szCs w:val="28"/>
        </w:rPr>
        <w:t>325</w:t>
      </w:r>
      <w:r w:rsidRPr="00A85FA0">
        <w:rPr>
          <w:rFonts w:hAnsi="標楷體"/>
          <w:sz w:val="28"/>
          <w:szCs w:val="28"/>
        </w:rPr>
        <w:t>號解釋之補充解釋，上開釋字第</w:t>
      </w:r>
      <w:r w:rsidRPr="00A85FA0">
        <w:rPr>
          <w:sz w:val="28"/>
          <w:szCs w:val="28"/>
        </w:rPr>
        <w:t>325</w:t>
      </w:r>
      <w:r w:rsidRPr="00A85FA0">
        <w:rPr>
          <w:rFonts w:hAnsi="標楷體"/>
          <w:sz w:val="28"/>
          <w:szCs w:val="28"/>
        </w:rPr>
        <w:t>號解釋意旨仍屬有效，並不因本件解釋未重複敘述而失其憲法上效力。</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lastRenderedPageBreak/>
        <w:t>然綜觀上開各解釋內容，實已含有比例原則之適用。換言之，立法院</w:t>
      </w:r>
      <w:r w:rsidRPr="00367CC8">
        <w:rPr>
          <w:rFonts w:hAnsi="標楷體"/>
          <w:kern w:val="0"/>
          <w:sz w:val="28"/>
          <w:szCs w:val="28"/>
        </w:rPr>
        <w:t>行使文件</w:t>
      </w:r>
      <w:r w:rsidRPr="00A85FA0">
        <w:rPr>
          <w:rFonts w:hAnsi="標楷體"/>
          <w:sz w:val="28"/>
          <w:szCs w:val="28"/>
        </w:rPr>
        <w:t>調閱權應</w:t>
      </w:r>
      <w:r w:rsidRPr="00367CC8">
        <w:rPr>
          <w:rFonts w:hAnsi="標楷體"/>
          <w:kern w:val="0"/>
          <w:sz w:val="28"/>
          <w:szCs w:val="28"/>
        </w:rPr>
        <w:t>符合</w:t>
      </w:r>
      <w:r w:rsidRPr="00A85FA0">
        <w:rPr>
          <w:rFonts w:hAnsi="標楷體"/>
          <w:sz w:val="28"/>
          <w:szCs w:val="28"/>
        </w:rPr>
        <w:t>比例原則。因此，所要求者，為比例原則之四項內涵：目的正當性與手段適合性、必要性、狹義比例性。惜乎本件解釋未能加以闡明。</w:t>
      </w:r>
    </w:p>
    <w:p w:rsidR="00ED009B" w:rsidRPr="00A85FA0" w:rsidRDefault="00ED009B" w:rsidP="00367CC8">
      <w:pPr>
        <w:kinsoku w:val="0"/>
        <w:overflowPunct w:val="0"/>
        <w:spacing w:line="391" w:lineRule="exact"/>
        <w:ind w:left="1474" w:firstLine="595"/>
        <w:jc w:val="both"/>
        <w:rPr>
          <w:sz w:val="28"/>
          <w:szCs w:val="28"/>
        </w:rPr>
      </w:pPr>
      <w:r w:rsidRPr="00A85FA0">
        <w:rPr>
          <w:rFonts w:hAnsi="標楷體"/>
          <w:sz w:val="28"/>
          <w:szCs w:val="28"/>
        </w:rPr>
        <w:t>按比例原則並非僅奠基於基本權之保障，亦奠基於法治國家原則，因此，比例原則之適用範圍，不僅適用於國家與人民之關係，亦適用於國家各種權力間之相互關係與界限問題</w:t>
      </w:r>
      <w:r w:rsidRPr="00A85FA0">
        <w:rPr>
          <w:rFonts w:hAnsi="標楷體" w:hint="eastAsia"/>
          <w:sz w:val="22"/>
          <w:szCs w:val="22"/>
        </w:rPr>
        <w:t>（註</w:t>
      </w:r>
      <w:r>
        <w:rPr>
          <w:rFonts w:hAnsi="標楷體" w:hint="eastAsia"/>
          <w:sz w:val="22"/>
          <w:szCs w:val="22"/>
        </w:rPr>
        <w:t>五</w:t>
      </w:r>
      <w:r w:rsidRPr="00A85FA0">
        <w:rPr>
          <w:rFonts w:hAnsi="標楷體" w:hint="eastAsia"/>
          <w:sz w:val="22"/>
          <w:szCs w:val="22"/>
        </w:rPr>
        <w:t>）</w:t>
      </w:r>
      <w:r w:rsidRPr="00A85FA0">
        <w:rPr>
          <w:rFonts w:hAnsi="標楷體"/>
          <w:sz w:val="28"/>
          <w:szCs w:val="28"/>
        </w:rPr>
        <w:t>。而立法院行使文件調閱權亦屬國家公權力之行使，自當亦受比例原則之拘束。故如立法院所調閱之文件，非基於行使其憲法上職權（欠缺目的正當性），或無助於其憲法上職權之行使（不符手段適合性），或由行使「質詢或詢問」、「要求提供參考資料」之手段即可達成目的（不符手段必要性），或造成受調閱機關過度負擔而與其調閱所欲達成之公益目的顯失均衡（不符狹義比例性）者，即有違於比例原則而違憲。縱係調閱偵查終結、確定判決或審議、審理結案之司法機關個案卷證，亦然。且於具體個案如符合要件與界限而得調閱者，亦當依比例原則判斷得調閱文件之範圍。</w:t>
      </w:r>
    </w:p>
    <w:p w:rsidR="00ED009B" w:rsidRPr="00A85FA0" w:rsidRDefault="00ED009B" w:rsidP="00ED009B">
      <w:pPr>
        <w:kinsoku w:val="0"/>
        <w:overflowPunct w:val="0"/>
        <w:spacing w:line="391" w:lineRule="exact"/>
        <w:ind w:left="1474" w:hanging="879"/>
        <w:jc w:val="both"/>
        <w:rPr>
          <w:b/>
          <w:sz w:val="28"/>
          <w:szCs w:val="28"/>
        </w:rPr>
      </w:pPr>
      <w:r>
        <w:rPr>
          <w:rFonts w:hAnsi="標楷體" w:hint="eastAsia"/>
          <w:b/>
          <w:sz w:val="28"/>
          <w:szCs w:val="28"/>
        </w:rPr>
        <w:t>（三）</w:t>
      </w:r>
      <w:r w:rsidRPr="00ED009B">
        <w:rPr>
          <w:rFonts w:hAnsi="標楷體"/>
          <w:b/>
          <w:sz w:val="28"/>
          <w:szCs w:val="28"/>
        </w:rPr>
        <w:t>本號解釋未</w:t>
      </w:r>
      <w:r w:rsidRPr="00A85FA0">
        <w:rPr>
          <w:rFonts w:hAnsi="標楷體"/>
          <w:b/>
          <w:sz w:val="28"/>
          <w:szCs w:val="28"/>
        </w:rPr>
        <w:t>積極闡明國家利益（國家機密）及人民基本權保護二者與立法院文件調閱權之關係</w:t>
      </w:r>
    </w:p>
    <w:p w:rsidR="00ED009B" w:rsidRPr="00A85FA0" w:rsidRDefault="00ED009B" w:rsidP="00367CC8">
      <w:pPr>
        <w:spacing w:line="391" w:lineRule="exact"/>
        <w:ind w:left="1280"/>
        <w:jc w:val="both"/>
        <w:rPr>
          <w:b/>
          <w:sz w:val="28"/>
          <w:szCs w:val="28"/>
        </w:rPr>
      </w:pPr>
      <w:r w:rsidRPr="00A85FA0">
        <w:rPr>
          <w:b/>
          <w:sz w:val="28"/>
          <w:szCs w:val="28"/>
        </w:rPr>
        <w:t>1</w:t>
      </w:r>
      <w:r w:rsidRPr="00A85FA0">
        <w:rPr>
          <w:rFonts w:hAnsi="標楷體"/>
          <w:b/>
          <w:sz w:val="28"/>
          <w:szCs w:val="28"/>
        </w:rPr>
        <w:t>、關於國家利益（國家機密）與立法院文件調閱權之關係</w:t>
      </w:r>
    </w:p>
    <w:p w:rsidR="00ED009B" w:rsidRPr="00A85FA0" w:rsidRDefault="00ED009B" w:rsidP="00367CC8">
      <w:pPr>
        <w:spacing w:line="391" w:lineRule="exact"/>
        <w:ind w:left="1701" w:firstLine="595"/>
        <w:jc w:val="both"/>
        <w:rPr>
          <w:b/>
          <w:sz w:val="28"/>
          <w:szCs w:val="28"/>
        </w:rPr>
      </w:pPr>
      <w:r w:rsidRPr="00A85FA0">
        <w:rPr>
          <w:rFonts w:hAnsi="標楷體"/>
          <w:sz w:val="28"/>
          <w:szCs w:val="28"/>
        </w:rPr>
        <w:t>如前所述，德國聯邦憲法法院曾以裁判詳細說明該國國會調查委員會蒐集證據權之五項強制性憲法上界限中，有「基於國家利益之界限：如將應保密之資訊予以揭露，將危及國家利益。於判斷是否因提供文件而危及國家利益時，應斟酌調查委員會處理此類文件之保密規定，以及國會與政府均應維護國家利益之因素。」之見解。參酌此一見解，本案是否亦當有以國家利益（國家機密）構成立法院行使文件調閱權之界限問題？此一問題，即在於：受調閱機關得否以國家機密為理由，拒絕提供？又如不得拒絕，則如何要求立法院保密？立法院目前保密機制是否已完備？確有釐清之必要，亦屬本號解釋所缺漏。</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釋字第</w:t>
      </w:r>
      <w:r w:rsidRPr="00A85FA0">
        <w:rPr>
          <w:sz w:val="28"/>
          <w:szCs w:val="28"/>
        </w:rPr>
        <w:t>325</w:t>
      </w:r>
      <w:r w:rsidRPr="00A85FA0">
        <w:rPr>
          <w:rFonts w:hAnsi="標楷體"/>
          <w:sz w:val="28"/>
          <w:szCs w:val="28"/>
        </w:rPr>
        <w:t>號解釋對此問題並未說明。釋字第</w:t>
      </w:r>
      <w:r w:rsidRPr="00A85FA0">
        <w:rPr>
          <w:sz w:val="28"/>
          <w:szCs w:val="28"/>
        </w:rPr>
        <w:t>585</w:t>
      </w:r>
      <w:r w:rsidRPr="00A85FA0">
        <w:rPr>
          <w:rFonts w:hAnsi="標楷體"/>
          <w:sz w:val="28"/>
          <w:szCs w:val="28"/>
        </w:rPr>
        <w:t>號解釋則以</w:t>
      </w:r>
      <w:r w:rsidRPr="00A85FA0">
        <w:rPr>
          <w:rFonts w:hAnsi="標楷體"/>
          <w:kern w:val="0"/>
          <w:sz w:val="28"/>
          <w:szCs w:val="28"/>
        </w:rPr>
        <w:t>國家機密事項屬行政權本質所具有之行政特權，「立法院行使調查權如涉及此類事項，即應予以適當之尊重，而不宜逕自強制行政部門必須公開此類資訊或提供相關文書」</w:t>
      </w:r>
      <w:r w:rsidRPr="00A85FA0">
        <w:rPr>
          <w:rFonts w:hAnsi="標楷體" w:hint="eastAsia"/>
          <w:sz w:val="22"/>
          <w:szCs w:val="22"/>
        </w:rPr>
        <w:t>（註</w:t>
      </w:r>
      <w:r>
        <w:rPr>
          <w:rFonts w:hAnsi="標楷體" w:hint="eastAsia"/>
          <w:sz w:val="22"/>
          <w:szCs w:val="22"/>
        </w:rPr>
        <w:t>六</w:t>
      </w:r>
      <w:r w:rsidRPr="00A85FA0">
        <w:rPr>
          <w:rFonts w:hAnsi="標楷體" w:hint="eastAsia"/>
          <w:sz w:val="22"/>
          <w:szCs w:val="22"/>
        </w:rPr>
        <w:t>）</w:t>
      </w:r>
      <w:r w:rsidRPr="00A85FA0">
        <w:rPr>
          <w:rFonts w:hAnsi="標楷體"/>
          <w:kern w:val="0"/>
          <w:sz w:val="28"/>
          <w:szCs w:val="28"/>
        </w:rPr>
        <w:t>。上述</w:t>
      </w:r>
      <w:r w:rsidRPr="00A85FA0">
        <w:rPr>
          <w:rFonts w:hAnsi="標楷體"/>
          <w:sz w:val="28"/>
          <w:szCs w:val="28"/>
        </w:rPr>
        <w:t>釋字第</w:t>
      </w:r>
      <w:r w:rsidRPr="00A85FA0">
        <w:rPr>
          <w:sz w:val="28"/>
          <w:szCs w:val="28"/>
        </w:rPr>
        <w:t>585</w:t>
      </w:r>
      <w:r w:rsidRPr="00A85FA0">
        <w:rPr>
          <w:rFonts w:hAnsi="標楷體"/>
          <w:sz w:val="28"/>
          <w:szCs w:val="28"/>
        </w:rPr>
        <w:t>號解釋見解係針對該解釋所揭示之國會個案調查權而發，可否適用於立法院行使文件調閱權而納入本件之補充解釋？若屬肯定，則立法院所欲調閱之文件（含偵查或審判中之司法機關個</w:t>
      </w:r>
      <w:r w:rsidRPr="00A85FA0">
        <w:rPr>
          <w:rFonts w:hAnsi="標楷體"/>
          <w:sz w:val="28"/>
          <w:szCs w:val="28"/>
        </w:rPr>
        <w:lastRenderedPageBreak/>
        <w:t>案卷證）涉及</w:t>
      </w:r>
      <w:r w:rsidRPr="00A85FA0">
        <w:rPr>
          <w:rFonts w:hAnsi="標楷體"/>
          <w:kern w:val="0"/>
          <w:sz w:val="28"/>
          <w:szCs w:val="28"/>
        </w:rPr>
        <w:t>國家機密事項部分，受調閱機關即得拒絕。又</w:t>
      </w:r>
      <w:r w:rsidRPr="00A85FA0">
        <w:rPr>
          <w:rFonts w:hAnsi="標楷體"/>
          <w:sz w:val="28"/>
          <w:szCs w:val="28"/>
        </w:rPr>
        <w:t>若非屬肯定，則如何解釋？</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按司法機關個案卷證，如涉及國家機密事項，不論是否偵查終結、確定判決或審議、審理結案，均發生保密之問題。對此，</w:t>
      </w:r>
      <w:r w:rsidRPr="00A85FA0">
        <w:rPr>
          <w:rFonts w:hAnsi="標楷體"/>
          <w:bCs/>
          <w:kern w:val="0"/>
          <w:sz w:val="28"/>
          <w:szCs w:val="28"/>
        </w:rPr>
        <w:t>國家機密保護法</w:t>
      </w:r>
      <w:r w:rsidRPr="00A85FA0">
        <w:rPr>
          <w:rFonts w:hAnsi="標楷體"/>
          <w:kern w:val="0"/>
          <w:sz w:val="28"/>
          <w:szCs w:val="28"/>
        </w:rPr>
        <w:t>第</w:t>
      </w:r>
      <w:r w:rsidRPr="00A85FA0">
        <w:rPr>
          <w:kern w:val="0"/>
          <w:sz w:val="28"/>
          <w:szCs w:val="28"/>
        </w:rPr>
        <w:t>25</w:t>
      </w:r>
      <w:r w:rsidRPr="00A85FA0">
        <w:rPr>
          <w:rFonts w:hAnsi="標楷體"/>
          <w:kern w:val="0"/>
          <w:sz w:val="28"/>
          <w:szCs w:val="28"/>
        </w:rPr>
        <w:t>條規定：「法院、檢察機關</w:t>
      </w:r>
      <w:r w:rsidRPr="00367CC8">
        <w:rPr>
          <w:rFonts w:hAnsi="標楷體"/>
          <w:sz w:val="28"/>
          <w:szCs w:val="28"/>
        </w:rPr>
        <w:t>受理</w:t>
      </w:r>
      <w:r w:rsidRPr="00A85FA0">
        <w:rPr>
          <w:rFonts w:hAnsi="標楷體"/>
          <w:kern w:val="0"/>
          <w:sz w:val="28"/>
          <w:szCs w:val="28"/>
        </w:rPr>
        <w:t>之案件涉及國家機密時，其程序不公開之（第</w:t>
      </w:r>
      <w:r w:rsidRPr="00A85FA0">
        <w:rPr>
          <w:kern w:val="0"/>
          <w:sz w:val="28"/>
          <w:szCs w:val="28"/>
        </w:rPr>
        <w:t>1</w:t>
      </w:r>
      <w:r w:rsidRPr="00A85FA0">
        <w:rPr>
          <w:rFonts w:hAnsi="標楷體"/>
          <w:kern w:val="0"/>
          <w:sz w:val="28"/>
          <w:szCs w:val="28"/>
        </w:rPr>
        <w:t>項）。法官、檢察官於辦理前項案件時，如認對質或詰問有洩漏國家機密之虞者，得依職權或聲請拒絕或限制之（第</w:t>
      </w:r>
      <w:r w:rsidRPr="00A85FA0">
        <w:rPr>
          <w:kern w:val="0"/>
          <w:sz w:val="28"/>
          <w:szCs w:val="28"/>
        </w:rPr>
        <w:t>2</w:t>
      </w:r>
      <w:r w:rsidRPr="00A85FA0">
        <w:rPr>
          <w:rFonts w:hAnsi="標楷體"/>
          <w:kern w:val="0"/>
          <w:sz w:val="28"/>
          <w:szCs w:val="28"/>
        </w:rPr>
        <w:t>項）。」第</w:t>
      </w:r>
      <w:r w:rsidRPr="00A85FA0">
        <w:rPr>
          <w:kern w:val="0"/>
          <w:sz w:val="28"/>
          <w:szCs w:val="28"/>
        </w:rPr>
        <w:t>24</w:t>
      </w:r>
      <w:r w:rsidRPr="00A85FA0">
        <w:rPr>
          <w:rFonts w:hAnsi="標楷體"/>
          <w:kern w:val="0"/>
          <w:sz w:val="28"/>
          <w:szCs w:val="28"/>
        </w:rPr>
        <w:t>條第</w:t>
      </w:r>
      <w:r w:rsidRPr="00A85FA0">
        <w:rPr>
          <w:kern w:val="0"/>
          <w:sz w:val="28"/>
          <w:szCs w:val="28"/>
        </w:rPr>
        <w:t>2</w:t>
      </w:r>
      <w:r w:rsidRPr="00A85FA0">
        <w:rPr>
          <w:rFonts w:hAnsi="標楷體"/>
          <w:kern w:val="0"/>
          <w:sz w:val="28"/>
          <w:szCs w:val="28"/>
        </w:rPr>
        <w:t>項規定：「監察院、各級法院、公務員懲戒委員會、檢察機關、軍法機關辦理案件，對其他機關或人員所提供、答復或陳述之國家機密，應另訂保密作業辦法；其辦法，由監察院、司法院、法務部及國防部於本法公布六個月內分別依本法訂之。」另司法院亦訂定「法院辦理涉及國家機密案件保密作業辦法」、法務部訂定「</w:t>
      </w:r>
      <w:r w:rsidRPr="00A85FA0">
        <w:rPr>
          <w:rFonts w:hAnsi="標楷體"/>
          <w:bCs/>
          <w:sz w:val="28"/>
          <w:szCs w:val="28"/>
        </w:rPr>
        <w:t>檢察機關處理涉及國家機密案件保密作業辦法</w:t>
      </w:r>
      <w:r w:rsidRPr="00A85FA0">
        <w:rPr>
          <w:rFonts w:hAnsi="標楷體"/>
          <w:kern w:val="0"/>
          <w:sz w:val="28"/>
          <w:szCs w:val="28"/>
        </w:rPr>
        <w:t>」，均旨在</w:t>
      </w:r>
      <w:r w:rsidRPr="00A85FA0">
        <w:rPr>
          <w:rFonts w:hAnsi="標楷體"/>
          <w:sz w:val="28"/>
          <w:szCs w:val="28"/>
        </w:rPr>
        <w:t>建立國家機密保護制度，確保國家安全及利益，而嚴格要求司法人員等之保密義務。</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至立法院方面，按立法院職權行使法</w:t>
      </w:r>
      <w:r w:rsidRPr="00A85FA0">
        <w:rPr>
          <w:rFonts w:hAnsi="標楷體"/>
          <w:kern w:val="0"/>
          <w:sz w:val="28"/>
          <w:szCs w:val="28"/>
        </w:rPr>
        <w:t>第</w:t>
      </w:r>
      <w:r w:rsidRPr="00A85FA0">
        <w:rPr>
          <w:kern w:val="0"/>
          <w:sz w:val="28"/>
          <w:szCs w:val="28"/>
        </w:rPr>
        <w:t>52</w:t>
      </w:r>
      <w:r w:rsidRPr="00A85FA0">
        <w:rPr>
          <w:rFonts w:hAnsi="標楷體"/>
          <w:kern w:val="0"/>
          <w:sz w:val="28"/>
          <w:szCs w:val="28"/>
        </w:rPr>
        <w:t>條早已規定：「文件調閱之調閱報告書及處理意見未提出前，其工作人員、專業人員、保管人員或查閱人員負有保密之義務，不得對文件內容或處理情形予以揭露。但涉及外交、國防或其他依法令應秘密事項者，於調閱報告及處理意見提出後，仍應依相關法令規定保密，並依秘密會議處理之。」其立法理由：「立法院對文件調閱所發現之事實及相關事項之經過，民眾有知曉之權利，但為使調閱委員會及調閱專案小組能在不受外界干擾之環境下，提出公正之報告書及處理意見，爰為本條前段之規定。另在文件調閱過程中調閱之相關人員可能知曉國家外交、國防或擬議中之重大財經政策等事項，依法令仍有保密之必要，故為本條後段但書之規定。」而</w:t>
      </w:r>
      <w:r w:rsidRPr="00A85FA0">
        <w:rPr>
          <w:rFonts w:hAnsi="標楷體"/>
          <w:bCs/>
          <w:kern w:val="0"/>
          <w:sz w:val="28"/>
          <w:szCs w:val="28"/>
        </w:rPr>
        <w:t>國家機密保護法</w:t>
      </w:r>
      <w:r w:rsidRPr="00A85FA0">
        <w:rPr>
          <w:rFonts w:hAnsi="標楷體"/>
          <w:kern w:val="0"/>
          <w:sz w:val="28"/>
          <w:szCs w:val="28"/>
        </w:rPr>
        <w:t>第</w:t>
      </w:r>
      <w:r w:rsidRPr="00A85FA0">
        <w:rPr>
          <w:kern w:val="0"/>
          <w:sz w:val="28"/>
          <w:szCs w:val="28"/>
        </w:rPr>
        <w:t>22</w:t>
      </w:r>
      <w:r w:rsidRPr="00A85FA0">
        <w:rPr>
          <w:rFonts w:hAnsi="標楷體"/>
          <w:kern w:val="0"/>
          <w:sz w:val="28"/>
          <w:szCs w:val="28"/>
        </w:rPr>
        <w:t>條規定：「立法院依法行使職權涉及國家機密者，非經解除機密，不得提供或答復。但其以秘密會議或不公開方式行之者，得於指定場所依規定提供閱覽或答復（第</w:t>
      </w:r>
      <w:r w:rsidRPr="00A85FA0">
        <w:rPr>
          <w:kern w:val="0"/>
          <w:sz w:val="28"/>
          <w:szCs w:val="28"/>
        </w:rPr>
        <w:t>1</w:t>
      </w:r>
      <w:r w:rsidRPr="00A85FA0">
        <w:rPr>
          <w:rFonts w:hAnsi="標楷體"/>
          <w:kern w:val="0"/>
          <w:sz w:val="28"/>
          <w:szCs w:val="28"/>
        </w:rPr>
        <w:t>項）。前項閱覽及答復辦法，由立法院訂之（第</w:t>
      </w:r>
      <w:r w:rsidRPr="00A85FA0">
        <w:rPr>
          <w:kern w:val="0"/>
          <w:sz w:val="28"/>
          <w:szCs w:val="28"/>
        </w:rPr>
        <w:t>2</w:t>
      </w:r>
      <w:r w:rsidRPr="00A85FA0">
        <w:rPr>
          <w:rFonts w:hAnsi="標楷體"/>
          <w:kern w:val="0"/>
          <w:sz w:val="28"/>
          <w:szCs w:val="28"/>
        </w:rPr>
        <w:t>項）。」立法理由明白表示：「一、本條規定國家機密提供予立法院之方式。二、立法院依法行使職權涉及國家機密者，如予答復或提供，則國家機密將無法維護，故規定非經解除機密，不得為之。但為免影響該院職權之行使，特設例外規定，即以秘密會議或不公開方式行使職權時，得予於指定場所依規定提供閱覽或答復。爰為第一項規定。至於立法院仍應依草案第二十四條第一項規定，配合保密。</w:t>
      </w:r>
      <w:r w:rsidRPr="00A85FA0">
        <w:rPr>
          <w:rFonts w:hAnsi="標楷體"/>
          <w:kern w:val="0"/>
          <w:sz w:val="28"/>
          <w:szCs w:val="28"/>
        </w:rPr>
        <w:lastRenderedPageBreak/>
        <w:t>三、提供國家機密予立法院閱覽或答復時，為避免於該等過程中發生洩漏國家機密之情形，爰於第二項明定由立法院訂定閱覽及答復辦法，以資維護。」等語。</w:t>
      </w:r>
      <w:r w:rsidRPr="00A85FA0">
        <w:rPr>
          <w:rFonts w:hAnsi="標楷體"/>
          <w:sz w:val="28"/>
          <w:szCs w:val="28"/>
        </w:rPr>
        <w:t>法務部</w:t>
      </w:r>
      <w:r w:rsidRPr="00A85FA0">
        <w:rPr>
          <w:sz w:val="28"/>
          <w:szCs w:val="28"/>
        </w:rPr>
        <w:t>95</w:t>
      </w:r>
      <w:r w:rsidRPr="00A85FA0">
        <w:rPr>
          <w:rFonts w:hAnsi="標楷體"/>
          <w:sz w:val="28"/>
          <w:szCs w:val="28"/>
        </w:rPr>
        <w:t>年</w:t>
      </w:r>
      <w:r w:rsidRPr="00A85FA0">
        <w:rPr>
          <w:sz w:val="28"/>
          <w:szCs w:val="28"/>
        </w:rPr>
        <w:t>01</w:t>
      </w:r>
      <w:r w:rsidRPr="00A85FA0">
        <w:rPr>
          <w:rFonts w:hAnsi="標楷體"/>
          <w:sz w:val="28"/>
          <w:szCs w:val="28"/>
        </w:rPr>
        <w:t>月</w:t>
      </w:r>
      <w:r w:rsidRPr="00A85FA0">
        <w:rPr>
          <w:sz w:val="28"/>
          <w:szCs w:val="28"/>
        </w:rPr>
        <w:t>11</w:t>
      </w:r>
      <w:r w:rsidRPr="00A85FA0">
        <w:rPr>
          <w:rFonts w:hAnsi="標楷體"/>
          <w:sz w:val="28"/>
          <w:szCs w:val="28"/>
        </w:rPr>
        <w:t>日法政字第</w:t>
      </w:r>
      <w:r w:rsidRPr="00A85FA0">
        <w:rPr>
          <w:sz w:val="28"/>
          <w:szCs w:val="28"/>
        </w:rPr>
        <w:t>0940044083</w:t>
      </w:r>
      <w:r w:rsidRPr="00A85FA0">
        <w:rPr>
          <w:rFonts w:hAnsi="標楷體"/>
          <w:sz w:val="28"/>
          <w:szCs w:val="28"/>
        </w:rPr>
        <w:t>號函說明三（三）指出：「是解釋上，涉及國家機密事項，非經解除機密，不得提供予立法院，如立法院以秘密會議或不公開方式行使職權時，國家機密</w:t>
      </w:r>
      <w:r w:rsidR="00762EB4">
        <w:rPr>
          <w:rFonts w:hAnsi="標楷體"/>
          <w:sz w:val="28"/>
          <w:szCs w:val="28"/>
        </w:rPr>
        <w:t>之提供方式應依立法院相關閱覽及答復辦法為之。據了解立法院現訂有</w:t>
      </w:r>
      <w:r w:rsidR="00762EB4">
        <w:rPr>
          <w:rFonts w:hAnsi="標楷體" w:hint="eastAsia"/>
          <w:sz w:val="28"/>
          <w:szCs w:val="28"/>
        </w:rPr>
        <w:t>『</w:t>
      </w:r>
      <w:r w:rsidRPr="00A85FA0">
        <w:rPr>
          <w:rFonts w:hAnsi="標楷體"/>
          <w:sz w:val="28"/>
          <w:szCs w:val="28"/>
        </w:rPr>
        <w:t>立法院秘密會議規則</w:t>
      </w:r>
      <w:r w:rsidR="00762EB4">
        <w:rPr>
          <w:rFonts w:hAnsi="標楷體" w:hint="eastAsia"/>
          <w:sz w:val="28"/>
          <w:szCs w:val="28"/>
        </w:rPr>
        <w:t>』</w:t>
      </w:r>
      <w:r>
        <w:rPr>
          <w:rFonts w:hint="eastAsia"/>
          <w:sz w:val="28"/>
          <w:szCs w:val="28"/>
        </w:rPr>
        <w:t>（</w:t>
      </w:r>
      <w:r w:rsidRPr="00A85FA0">
        <w:rPr>
          <w:sz w:val="28"/>
          <w:szCs w:val="28"/>
        </w:rPr>
        <w:t>41</w:t>
      </w:r>
      <w:r w:rsidRPr="00A85FA0">
        <w:rPr>
          <w:rFonts w:hAnsi="標楷體"/>
          <w:sz w:val="28"/>
          <w:szCs w:val="28"/>
        </w:rPr>
        <w:t>年</w:t>
      </w:r>
      <w:r w:rsidRPr="00A85FA0">
        <w:rPr>
          <w:sz w:val="28"/>
          <w:szCs w:val="28"/>
        </w:rPr>
        <w:t>4</w:t>
      </w:r>
      <w:r w:rsidRPr="00A85FA0">
        <w:rPr>
          <w:rFonts w:hAnsi="標楷體"/>
          <w:sz w:val="28"/>
          <w:szCs w:val="28"/>
        </w:rPr>
        <w:t>月</w:t>
      </w:r>
      <w:r w:rsidRPr="00A85FA0">
        <w:rPr>
          <w:sz w:val="28"/>
          <w:szCs w:val="28"/>
        </w:rPr>
        <w:t>29</w:t>
      </w:r>
      <w:r w:rsidRPr="00A85FA0">
        <w:rPr>
          <w:rFonts w:hAnsi="標楷體"/>
          <w:sz w:val="28"/>
          <w:szCs w:val="28"/>
        </w:rPr>
        <w:t>日修正</w:t>
      </w:r>
      <w:r>
        <w:rPr>
          <w:rFonts w:hAnsi="標楷體" w:hint="eastAsia"/>
          <w:sz w:val="28"/>
          <w:szCs w:val="28"/>
        </w:rPr>
        <w:t>）</w:t>
      </w:r>
      <w:r w:rsidRPr="00A85FA0">
        <w:rPr>
          <w:rFonts w:hAnsi="標楷體"/>
          <w:sz w:val="28"/>
          <w:szCs w:val="28"/>
        </w:rPr>
        <w:t>、</w:t>
      </w:r>
      <w:r w:rsidR="00762EB4">
        <w:rPr>
          <w:rFonts w:hAnsi="標楷體" w:hint="eastAsia"/>
          <w:sz w:val="28"/>
          <w:szCs w:val="28"/>
        </w:rPr>
        <w:t>『</w:t>
      </w:r>
      <w:r w:rsidRPr="00A85FA0">
        <w:rPr>
          <w:rFonts w:hAnsi="標楷體"/>
          <w:sz w:val="28"/>
          <w:szCs w:val="28"/>
        </w:rPr>
        <w:t>立法院秘密會議注意事項</w:t>
      </w:r>
      <w:r w:rsidR="00762EB4">
        <w:rPr>
          <w:rFonts w:hAnsi="標楷體" w:hint="eastAsia"/>
          <w:sz w:val="28"/>
          <w:szCs w:val="28"/>
        </w:rPr>
        <w:t>』</w:t>
      </w:r>
      <w:r>
        <w:rPr>
          <w:rFonts w:hint="eastAsia"/>
          <w:sz w:val="28"/>
          <w:szCs w:val="28"/>
        </w:rPr>
        <w:t>（</w:t>
      </w:r>
      <w:r w:rsidRPr="00A85FA0">
        <w:rPr>
          <w:sz w:val="28"/>
          <w:szCs w:val="28"/>
        </w:rPr>
        <w:t>89</w:t>
      </w:r>
      <w:r w:rsidRPr="00A85FA0">
        <w:rPr>
          <w:rFonts w:hAnsi="標楷體"/>
          <w:sz w:val="28"/>
          <w:szCs w:val="28"/>
        </w:rPr>
        <w:t>年</w:t>
      </w:r>
      <w:r w:rsidRPr="00A85FA0">
        <w:rPr>
          <w:sz w:val="28"/>
          <w:szCs w:val="28"/>
        </w:rPr>
        <w:t>12</w:t>
      </w:r>
      <w:r w:rsidRPr="00A85FA0">
        <w:rPr>
          <w:rFonts w:hAnsi="標楷體"/>
          <w:sz w:val="28"/>
          <w:szCs w:val="28"/>
        </w:rPr>
        <w:t>月</w:t>
      </w:r>
      <w:r w:rsidRPr="00A85FA0">
        <w:rPr>
          <w:sz w:val="28"/>
          <w:szCs w:val="28"/>
        </w:rPr>
        <w:t>15</w:t>
      </w:r>
      <w:r w:rsidRPr="00A85FA0">
        <w:rPr>
          <w:rFonts w:hAnsi="標楷體"/>
          <w:sz w:val="28"/>
          <w:szCs w:val="28"/>
        </w:rPr>
        <w:t>日修正</w:t>
      </w:r>
      <w:r>
        <w:rPr>
          <w:rFonts w:hint="eastAsia"/>
          <w:sz w:val="28"/>
          <w:szCs w:val="28"/>
        </w:rPr>
        <w:t>）</w:t>
      </w:r>
      <w:r w:rsidRPr="00A85FA0">
        <w:rPr>
          <w:rFonts w:hAnsi="標楷體"/>
          <w:sz w:val="28"/>
          <w:szCs w:val="28"/>
        </w:rPr>
        <w:t>等規定。」等語。</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倘若認為</w:t>
      </w:r>
      <w:r w:rsidRPr="00A85FA0">
        <w:rPr>
          <w:rFonts w:hAnsi="標楷體"/>
          <w:kern w:val="0"/>
          <w:sz w:val="28"/>
          <w:szCs w:val="28"/>
        </w:rPr>
        <w:t>受調閱機關不得以文件（</w:t>
      </w:r>
      <w:r w:rsidRPr="00A85FA0">
        <w:rPr>
          <w:rFonts w:hAnsi="標楷體"/>
          <w:sz w:val="28"/>
          <w:szCs w:val="28"/>
        </w:rPr>
        <w:t>個案卷證</w:t>
      </w:r>
      <w:r w:rsidRPr="00A85FA0">
        <w:rPr>
          <w:rFonts w:hAnsi="標楷體"/>
          <w:kern w:val="0"/>
          <w:sz w:val="28"/>
          <w:szCs w:val="28"/>
        </w:rPr>
        <w:t>）</w:t>
      </w:r>
      <w:r w:rsidRPr="00A85FA0">
        <w:rPr>
          <w:rFonts w:hAnsi="標楷體"/>
          <w:sz w:val="28"/>
          <w:szCs w:val="28"/>
        </w:rPr>
        <w:t>涉及</w:t>
      </w:r>
      <w:r w:rsidRPr="00A85FA0">
        <w:rPr>
          <w:rFonts w:hAnsi="標楷體"/>
          <w:kern w:val="0"/>
          <w:sz w:val="28"/>
          <w:szCs w:val="28"/>
        </w:rPr>
        <w:t>國家機密而拒絕調閱，則</w:t>
      </w:r>
      <w:r w:rsidRPr="00A85FA0">
        <w:rPr>
          <w:rFonts w:hAnsi="標楷體"/>
          <w:sz w:val="28"/>
          <w:szCs w:val="28"/>
        </w:rPr>
        <w:t>上述立法院之國家機密保護制度，是否已足以排除因調閱涉及</w:t>
      </w:r>
      <w:r w:rsidRPr="00A85FA0">
        <w:rPr>
          <w:rFonts w:hAnsi="標楷體"/>
          <w:kern w:val="0"/>
          <w:sz w:val="28"/>
          <w:szCs w:val="28"/>
        </w:rPr>
        <w:t>國家機密事項</w:t>
      </w:r>
      <w:r w:rsidRPr="00A85FA0">
        <w:rPr>
          <w:rFonts w:hAnsi="標楷體"/>
          <w:sz w:val="28"/>
          <w:szCs w:val="28"/>
        </w:rPr>
        <w:t>之文件（含偵查或審判中之司法機關個案卷證）而可能妨害國家安全及利益之疑慮？有待實務驗證，且宜就個案斟酌</w:t>
      </w:r>
      <w:r w:rsidRPr="00A85FA0">
        <w:rPr>
          <w:rFonts w:hAnsi="標楷體"/>
          <w:kern w:val="0"/>
          <w:sz w:val="28"/>
          <w:szCs w:val="28"/>
        </w:rPr>
        <w:t>國家機密之內涵與性質等因素判斷</w:t>
      </w:r>
      <w:r w:rsidRPr="00A85FA0">
        <w:rPr>
          <w:rFonts w:hAnsi="標楷體"/>
          <w:sz w:val="28"/>
          <w:szCs w:val="28"/>
        </w:rPr>
        <w:t>。要之，國家安全及利益可能成為立法院文件調閱權之界限，當無疑義，此一界限，或構成</w:t>
      </w:r>
      <w:r w:rsidRPr="00A85FA0">
        <w:rPr>
          <w:rFonts w:hAnsi="標楷體"/>
          <w:kern w:val="0"/>
          <w:sz w:val="28"/>
          <w:szCs w:val="28"/>
        </w:rPr>
        <w:t>拒絕調閱之正當理由，或要求立法院應有</w:t>
      </w:r>
      <w:r w:rsidRPr="00A85FA0">
        <w:rPr>
          <w:rFonts w:hAnsi="標楷體"/>
          <w:sz w:val="28"/>
          <w:szCs w:val="28"/>
        </w:rPr>
        <w:t>足以排除可能妨害國家安全及利益疑慮之國家機密保護制度</w:t>
      </w:r>
      <w:r w:rsidRPr="00A85FA0">
        <w:rPr>
          <w:rFonts w:hAnsi="標楷體"/>
          <w:kern w:val="0"/>
          <w:sz w:val="28"/>
          <w:szCs w:val="28"/>
        </w:rPr>
        <w:t>。</w:t>
      </w:r>
    </w:p>
    <w:p w:rsidR="00ED009B" w:rsidRPr="00A85FA0" w:rsidRDefault="00ED009B" w:rsidP="00367CC8">
      <w:pPr>
        <w:spacing w:line="391" w:lineRule="exact"/>
        <w:ind w:left="1280"/>
        <w:jc w:val="both"/>
        <w:rPr>
          <w:b/>
          <w:sz w:val="28"/>
          <w:szCs w:val="28"/>
        </w:rPr>
      </w:pPr>
      <w:r w:rsidRPr="00A85FA0">
        <w:rPr>
          <w:b/>
          <w:sz w:val="28"/>
          <w:szCs w:val="28"/>
        </w:rPr>
        <w:t>2</w:t>
      </w:r>
      <w:r w:rsidRPr="00A85FA0">
        <w:rPr>
          <w:rFonts w:hAnsi="標楷體"/>
          <w:b/>
          <w:sz w:val="28"/>
          <w:szCs w:val="28"/>
        </w:rPr>
        <w:t>、關於人民基本權保護與立法院文件調閱權之關係</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如前所述，德國聯邦憲法法院亦以「人民基本權之保護」作為該國國會調查權之界限。按司法機關個案卷證，亦不免涉及人民基本權保護之事項，雖與涉及國家機密事項之情形難予同等看待，然人民基本權之私益如與立法院文件調閱權之公益相較，孰重孰輕？當有待具體個案之利益衡量，故亦不能完全排除以「人民基本權之保護」作為立法院文件調閱權界限之可能。又於「人民基本權之保護」不足以作為立法院文件調閱權界限之情形，應有何等保護人民基本權之機制？此又涉及一般公務機密事項（即國家機密以外公務員依法規應保密之事項）之問題，目前相關機制是否已足？均有待釐清。</w:t>
      </w:r>
    </w:p>
    <w:p w:rsidR="00ED009B" w:rsidRPr="00A85FA0" w:rsidRDefault="00ED009B" w:rsidP="00367CC8">
      <w:pPr>
        <w:spacing w:line="391" w:lineRule="exact"/>
        <w:ind w:left="1280"/>
        <w:jc w:val="both"/>
        <w:rPr>
          <w:b/>
          <w:sz w:val="28"/>
          <w:szCs w:val="28"/>
        </w:rPr>
      </w:pPr>
      <w:r w:rsidRPr="00A85FA0">
        <w:rPr>
          <w:b/>
          <w:sz w:val="28"/>
          <w:szCs w:val="28"/>
        </w:rPr>
        <w:t>3</w:t>
      </w:r>
      <w:r w:rsidRPr="00A85FA0">
        <w:rPr>
          <w:rFonts w:hAnsi="標楷體"/>
          <w:b/>
          <w:sz w:val="28"/>
          <w:szCs w:val="28"/>
        </w:rPr>
        <w:t>、本號解釋之見解仍未釋明界限</w:t>
      </w:r>
    </w:p>
    <w:p w:rsidR="00ED009B" w:rsidRPr="00A85FA0" w:rsidRDefault="00ED009B" w:rsidP="00367CC8">
      <w:pPr>
        <w:spacing w:line="391" w:lineRule="exact"/>
        <w:ind w:left="1701" w:firstLine="595"/>
        <w:jc w:val="both"/>
        <w:rPr>
          <w:sz w:val="28"/>
          <w:szCs w:val="28"/>
        </w:rPr>
      </w:pPr>
      <w:r w:rsidRPr="00A85FA0">
        <w:rPr>
          <w:rFonts w:hAnsi="標楷體"/>
          <w:sz w:val="28"/>
          <w:szCs w:val="28"/>
        </w:rPr>
        <w:t>本號解釋文僅簡單表示：「因調閱卷證而知悉之資訊，其使用應限於行使憲法上職權所必要，並注意維護關係人之權益（如名譽、隱私、營業秘密等）」。解釋理由書雖進一步說明：「立法院行使憲法上職權，向檢察機關調閱偵查卷證之文件原本或影本，由於偵查卷證之內容或含有國家機密、個人隱私、工商秘密及犯罪事證等事項，攸關國家利益及人民權利，是立法院及其委員因此知悉之資訊，其使用自應限於行使憲法上職權所必要，並須注意</w:t>
      </w:r>
      <w:r w:rsidRPr="00A85FA0">
        <w:rPr>
          <w:rFonts w:hAnsi="標楷體"/>
          <w:sz w:val="28"/>
          <w:szCs w:val="28"/>
        </w:rPr>
        <w:lastRenderedPageBreak/>
        <w:t>維護關係人之權益（如名譽、隱私、營業秘密等），對依法應予保密之事項亦應善盡保密之義務；且不得就個案偵查之過程、不起訴處分或未經起訴而以其他方式結案之結論及內容，為與行使憲法上職權無關之評論或決議，始符合權力分立、相互制衡並相互尊重之憲政原理，乃屬當然。」即以限制使用資訊與善盡保密義務之要求（方法），來維護國家利益（國家機密）及保護人民基本權。準上開說明，本號解釋對於何種情形下，基於國家利益（國家機密）及人民基本權保護，可構成立法院行使文件調閱權之界限問題，仍未能充分釋明。</w:t>
      </w:r>
    </w:p>
    <w:p w:rsidR="00ED009B" w:rsidRPr="00A85FA0" w:rsidRDefault="00ED009B" w:rsidP="00ED009B">
      <w:pPr>
        <w:spacing w:line="391" w:lineRule="exact"/>
        <w:jc w:val="both"/>
        <w:rPr>
          <w:sz w:val="28"/>
          <w:szCs w:val="28"/>
        </w:rPr>
      </w:pPr>
      <w:r>
        <w:rPr>
          <w:rFonts w:hAnsi="標楷體" w:hint="eastAsia"/>
          <w:b/>
          <w:sz w:val="28"/>
          <w:szCs w:val="28"/>
        </w:rPr>
        <w:t>四、</w:t>
      </w:r>
      <w:r w:rsidRPr="00A85FA0">
        <w:rPr>
          <w:rFonts w:hAnsi="標楷體"/>
          <w:b/>
          <w:sz w:val="28"/>
          <w:szCs w:val="28"/>
        </w:rPr>
        <w:t>結論</w:t>
      </w:r>
    </w:p>
    <w:p w:rsidR="00ED009B" w:rsidRPr="00A85FA0" w:rsidRDefault="00ED009B" w:rsidP="00ED009B">
      <w:pPr>
        <w:kinsoku w:val="0"/>
        <w:overflowPunct w:val="0"/>
        <w:spacing w:line="391" w:lineRule="exact"/>
        <w:ind w:left="1474" w:hanging="879"/>
        <w:jc w:val="both"/>
        <w:rPr>
          <w:sz w:val="28"/>
          <w:szCs w:val="28"/>
        </w:rPr>
      </w:pPr>
      <w:r>
        <w:rPr>
          <w:rFonts w:hAnsi="標楷體" w:hint="eastAsia"/>
          <w:sz w:val="28"/>
          <w:szCs w:val="28"/>
        </w:rPr>
        <w:t>（一）</w:t>
      </w:r>
      <w:r w:rsidRPr="00A85FA0">
        <w:rPr>
          <w:rFonts w:hAnsi="標楷體"/>
          <w:sz w:val="28"/>
          <w:szCs w:val="28"/>
        </w:rPr>
        <w:t>關於立法院文件調閱權所涉憲法上問題，釋字第</w:t>
      </w:r>
      <w:r w:rsidRPr="00A85FA0">
        <w:rPr>
          <w:sz w:val="28"/>
          <w:szCs w:val="28"/>
        </w:rPr>
        <w:t>325</w:t>
      </w:r>
      <w:r w:rsidRPr="00A85FA0">
        <w:rPr>
          <w:rFonts w:hAnsi="標楷體"/>
          <w:sz w:val="28"/>
          <w:szCs w:val="28"/>
        </w:rPr>
        <w:t>號解釋及本號解釋雖有相當程度之說明，但並非完足，仍有某些尚待釐清之問題，尤其關於文件調閱權之憲法上界限問題，已如上述，仍有待未來深入討論。</w:t>
      </w:r>
    </w:p>
    <w:p w:rsidR="00ED009B" w:rsidRPr="00A85FA0" w:rsidRDefault="00ED009B" w:rsidP="00ED009B">
      <w:pPr>
        <w:kinsoku w:val="0"/>
        <w:overflowPunct w:val="0"/>
        <w:spacing w:line="391" w:lineRule="exact"/>
        <w:ind w:left="1474" w:hanging="879"/>
        <w:jc w:val="both"/>
        <w:rPr>
          <w:spacing w:val="6"/>
          <w:sz w:val="28"/>
          <w:szCs w:val="28"/>
        </w:rPr>
      </w:pPr>
      <w:r>
        <w:rPr>
          <w:rFonts w:hAnsi="標楷體" w:hint="eastAsia"/>
          <w:sz w:val="28"/>
          <w:szCs w:val="28"/>
        </w:rPr>
        <w:t>（二）</w:t>
      </w:r>
      <w:r w:rsidRPr="00A85FA0">
        <w:rPr>
          <w:rFonts w:hAnsi="標楷體"/>
          <w:sz w:val="28"/>
          <w:szCs w:val="28"/>
        </w:rPr>
        <w:t>本號解釋雖著眼於「</w:t>
      </w:r>
      <w:r w:rsidRPr="00A85FA0">
        <w:rPr>
          <w:rFonts w:hAnsi="標楷體"/>
          <w:color w:val="000000"/>
          <w:sz w:val="28"/>
          <w:szCs w:val="28"/>
        </w:rPr>
        <w:t>立法院得否對個案偵查卷證</w:t>
      </w:r>
      <w:r w:rsidRPr="00A85FA0">
        <w:rPr>
          <w:rFonts w:hAnsi="標楷體"/>
          <w:sz w:val="28"/>
          <w:szCs w:val="28"/>
        </w:rPr>
        <w:t>行使</w:t>
      </w:r>
      <w:r w:rsidRPr="00A85FA0">
        <w:rPr>
          <w:rFonts w:hAnsi="標楷體"/>
          <w:spacing w:val="6"/>
          <w:sz w:val="28"/>
          <w:szCs w:val="28"/>
        </w:rPr>
        <w:t>文件調閱權</w:t>
      </w:r>
      <w:r w:rsidRPr="00A85FA0">
        <w:rPr>
          <w:rFonts w:hAnsi="標楷體"/>
          <w:sz w:val="28"/>
          <w:szCs w:val="28"/>
        </w:rPr>
        <w:t>」之問題，但本質上係立法權與司法權之界限問題，因此倘涉及「</w:t>
      </w:r>
      <w:r w:rsidRPr="00A85FA0">
        <w:rPr>
          <w:rFonts w:hAnsi="標楷體"/>
          <w:color w:val="000000"/>
          <w:sz w:val="28"/>
          <w:szCs w:val="28"/>
        </w:rPr>
        <w:t>立法院得否對</w:t>
      </w:r>
      <w:r w:rsidRPr="00A85FA0">
        <w:rPr>
          <w:rFonts w:hAnsi="標楷體"/>
          <w:sz w:val="28"/>
          <w:szCs w:val="28"/>
        </w:rPr>
        <w:t>法院審判、公務員懲戒委員會乃至大法官審理案件等之個案卷證行使</w:t>
      </w:r>
      <w:r w:rsidRPr="00A85FA0">
        <w:rPr>
          <w:rFonts w:hAnsi="標楷體"/>
          <w:spacing w:val="6"/>
          <w:sz w:val="28"/>
          <w:szCs w:val="28"/>
        </w:rPr>
        <w:t>文件調閱權」</w:t>
      </w:r>
      <w:r w:rsidRPr="00A85FA0">
        <w:rPr>
          <w:rFonts w:hAnsi="標楷體"/>
          <w:sz w:val="28"/>
          <w:szCs w:val="28"/>
        </w:rPr>
        <w:t>之問題，是否因其問題本質相同而得參照？乃至，</w:t>
      </w:r>
      <w:r w:rsidRPr="00A85FA0">
        <w:rPr>
          <w:rFonts w:hAnsi="標楷體"/>
          <w:color w:val="000000"/>
          <w:sz w:val="28"/>
          <w:szCs w:val="28"/>
        </w:rPr>
        <w:t>立法院對行政機關</w:t>
      </w:r>
      <w:r w:rsidRPr="00A85FA0">
        <w:rPr>
          <w:rFonts w:hAnsi="標楷體"/>
          <w:sz w:val="28"/>
          <w:szCs w:val="28"/>
        </w:rPr>
        <w:t>行使</w:t>
      </w:r>
      <w:r w:rsidRPr="00A85FA0">
        <w:rPr>
          <w:rFonts w:hAnsi="標楷體"/>
          <w:spacing w:val="6"/>
          <w:sz w:val="28"/>
          <w:szCs w:val="28"/>
        </w:rPr>
        <w:t>文件調閱權，涉及立法權與行政權之界限問題，有無其他考量（諸如：行政特權、行政核心範圍之問題）？均有待未來遇相關釋憲案時再予釐清。</w:t>
      </w:r>
    </w:p>
    <w:p w:rsidR="00ED009B" w:rsidRPr="00A85FA0" w:rsidRDefault="00ED009B" w:rsidP="00ED009B">
      <w:pPr>
        <w:kinsoku w:val="0"/>
        <w:overflowPunct w:val="0"/>
        <w:spacing w:line="391" w:lineRule="exact"/>
        <w:ind w:left="1474" w:hanging="879"/>
        <w:jc w:val="both"/>
        <w:rPr>
          <w:sz w:val="28"/>
          <w:szCs w:val="28"/>
        </w:rPr>
      </w:pPr>
      <w:r>
        <w:rPr>
          <w:rFonts w:hAnsi="標楷體" w:hint="eastAsia"/>
          <w:sz w:val="28"/>
          <w:szCs w:val="28"/>
        </w:rPr>
        <w:t>（三）</w:t>
      </w:r>
      <w:r w:rsidRPr="00A85FA0">
        <w:rPr>
          <w:rFonts w:hAnsi="標楷體"/>
          <w:sz w:val="28"/>
          <w:szCs w:val="28"/>
        </w:rPr>
        <w:t>本號解釋所建立之法則仍屬抽象法則，於立法院行使文件調閱權之具體個案，如與受調閱之機關發生爭議時，可能涉及事實認定、解釋或適用法律、憲法（含業經大法官解釋之各項法則）之疑義等具體問題，其牽涉層面容因個案而有不同，均有由客觀、中立之第三者（法院）依訴訟程序決定之必要（參考德國法制，即</w:t>
      </w:r>
      <w:r w:rsidRPr="00A85FA0">
        <w:rPr>
          <w:sz w:val="28"/>
          <w:szCs w:val="28"/>
        </w:rPr>
        <w:t>Gesetz zur Regelung des Rechts der Untersuchungsausschüsse des Deutschen Bundestages</w:t>
      </w:r>
      <w:r w:rsidRPr="00A85FA0">
        <w:rPr>
          <w:rFonts w:hAnsi="標楷體"/>
          <w:sz w:val="28"/>
          <w:szCs w:val="28"/>
        </w:rPr>
        <w:t>（</w:t>
      </w:r>
      <w:r w:rsidRPr="00A85FA0">
        <w:rPr>
          <w:sz w:val="28"/>
          <w:szCs w:val="28"/>
        </w:rPr>
        <w:t>Untersuchungsausschussgesetz - PUAG</w:t>
      </w:r>
      <w:r w:rsidRPr="00A85FA0">
        <w:rPr>
          <w:rFonts w:hAnsi="標楷體"/>
          <w:sz w:val="28"/>
          <w:szCs w:val="28"/>
        </w:rPr>
        <w:t>）</w:t>
      </w:r>
      <w:r w:rsidRPr="00A85FA0">
        <w:rPr>
          <w:sz w:val="28"/>
          <w:szCs w:val="28"/>
        </w:rPr>
        <w:t>§36</w:t>
      </w:r>
      <w:r w:rsidRPr="00A85FA0">
        <w:rPr>
          <w:rFonts w:hAnsi="標楷體"/>
          <w:sz w:val="28"/>
          <w:szCs w:val="28"/>
        </w:rPr>
        <w:t>），故本號解釋理由書敘明「立法院與受調閱之機關，宜循協商途徑合理解決，或以法律明定相關要件與程序，由司法機關審理解決之。相關機關應儘速建立解決機關爭議之法律機制」。如能積極建立此種解決個案爭議之機制，當可使相關法律或憲法上疑義，更獲得明確之答案。</w:t>
      </w:r>
    </w:p>
    <w:p w:rsidR="004F540D" w:rsidRPr="00762EB4" w:rsidRDefault="004F540D" w:rsidP="004F540D">
      <w:pPr>
        <w:overflowPunct w:val="0"/>
        <w:spacing w:line="391" w:lineRule="exact"/>
        <w:ind w:left="682" w:hangingChars="310" w:hanging="682"/>
        <w:jc w:val="both"/>
        <w:rPr>
          <w:color w:val="000000"/>
          <w:sz w:val="22"/>
          <w:szCs w:val="22"/>
        </w:rPr>
      </w:pPr>
      <w:r w:rsidRPr="00440B5A">
        <w:rPr>
          <w:rFonts w:ascii="標楷體" w:hAnsi="標楷體" w:hint="eastAsia"/>
          <w:color w:val="000000"/>
          <w:sz w:val="22"/>
          <w:szCs w:val="22"/>
        </w:rPr>
        <w:t>註一：</w:t>
      </w:r>
      <w:r w:rsidRPr="00440B5A">
        <w:rPr>
          <w:rFonts w:ascii="標楷體" w:hAnsi="標楷體" w:hint="eastAsia"/>
          <w:sz w:val="22"/>
          <w:szCs w:val="22"/>
        </w:rPr>
        <w:t>釋字第585號解釋理由書雖謂：「</w:t>
      </w:r>
      <w:r w:rsidRPr="00440B5A">
        <w:rPr>
          <w:rFonts w:ascii="標楷體" w:hAnsi="標楷體"/>
          <w:sz w:val="22"/>
          <w:szCs w:val="22"/>
        </w:rPr>
        <w:t>又如行政首長依其行政權固有之權能，對於可能影響或干預行政部門有效運作之資訊，例如涉及國家安全、國防或外交之國家機密事項，有關政策形成過程之內部討論資訊，以及有關正在進行中之犯罪偵查之相關資訊等，均有決定不予公開之權</w:t>
      </w:r>
      <w:r w:rsidRPr="00440B5A">
        <w:rPr>
          <w:rFonts w:ascii="標楷體" w:hAnsi="標楷體"/>
          <w:sz w:val="22"/>
          <w:szCs w:val="22"/>
        </w:rPr>
        <w:lastRenderedPageBreak/>
        <w:t>力，乃屬行政權本質所具有之行政特權（</w:t>
      </w:r>
      <w:r w:rsidRPr="00762EB4">
        <w:rPr>
          <w:sz w:val="22"/>
          <w:szCs w:val="22"/>
        </w:rPr>
        <w:t>executive privilege</w:t>
      </w:r>
      <w:r w:rsidRPr="00762EB4">
        <w:rPr>
          <w:rFonts w:hAnsi="標楷體"/>
          <w:sz w:val="22"/>
          <w:szCs w:val="22"/>
        </w:rPr>
        <w:t>）</w:t>
      </w:r>
      <w:r w:rsidRPr="00440B5A">
        <w:rPr>
          <w:rFonts w:ascii="標楷體" w:hAnsi="標楷體"/>
          <w:sz w:val="22"/>
          <w:szCs w:val="22"/>
        </w:rPr>
        <w:t>。立法院行使調查權如涉及此類事項，即應予以適當之尊重，而不宜逕自強制行政部門必須公開此類資訊或提供相關文書</w:t>
      </w:r>
      <w:r w:rsidRPr="00440B5A">
        <w:rPr>
          <w:rFonts w:ascii="標楷體" w:hAnsi="標楷體" w:hint="eastAsia"/>
          <w:sz w:val="22"/>
          <w:szCs w:val="22"/>
        </w:rPr>
        <w:t>」、「</w:t>
      </w:r>
      <w:r w:rsidRPr="00440B5A">
        <w:rPr>
          <w:rFonts w:ascii="標楷體" w:hAnsi="標楷體"/>
          <w:sz w:val="22"/>
          <w:szCs w:val="22"/>
        </w:rPr>
        <w:t>另涉及國家機密或偵查保密事項，行政首長具有決定是否公開之行政特權，亦已述之如前，立法院行使調查權若涉及此類事項，自應予以適當尊重，而不宜逕自強制行政部門必須公</w:t>
      </w:r>
      <w:r w:rsidRPr="00440B5A">
        <w:rPr>
          <w:rFonts w:ascii="標楷體" w:hAnsi="標楷體" w:cs="新細明體"/>
          <w:sz w:val="22"/>
          <w:szCs w:val="22"/>
        </w:rPr>
        <w:t>開此類資訊或提供相關文書</w:t>
      </w:r>
      <w:r w:rsidRPr="00440B5A">
        <w:rPr>
          <w:rFonts w:ascii="標楷體" w:hAnsi="標楷體" w:hint="eastAsia"/>
          <w:sz w:val="22"/>
          <w:szCs w:val="22"/>
        </w:rPr>
        <w:t>」等語，其所舉</w:t>
      </w:r>
      <w:r w:rsidRPr="00440B5A">
        <w:rPr>
          <w:rFonts w:ascii="標楷體" w:hAnsi="標楷體"/>
          <w:sz w:val="22"/>
          <w:szCs w:val="22"/>
        </w:rPr>
        <w:t>行政特權</w:t>
      </w:r>
      <w:r w:rsidRPr="00440B5A">
        <w:rPr>
          <w:rFonts w:ascii="標楷體" w:hAnsi="標楷體" w:hint="eastAsia"/>
          <w:sz w:val="22"/>
          <w:szCs w:val="22"/>
        </w:rPr>
        <w:t>之例「</w:t>
      </w:r>
      <w:r w:rsidRPr="00440B5A">
        <w:rPr>
          <w:rFonts w:ascii="標楷體" w:hAnsi="標楷體"/>
          <w:sz w:val="22"/>
          <w:szCs w:val="22"/>
        </w:rPr>
        <w:t>有關正在進行中之犯罪偵查之相關資訊</w:t>
      </w:r>
      <w:r w:rsidRPr="00440B5A">
        <w:rPr>
          <w:rFonts w:ascii="標楷體" w:hAnsi="標楷體" w:hint="eastAsia"/>
          <w:sz w:val="22"/>
          <w:szCs w:val="22"/>
        </w:rPr>
        <w:t>」、「</w:t>
      </w:r>
      <w:r w:rsidRPr="00440B5A">
        <w:rPr>
          <w:rFonts w:ascii="標楷體" w:hAnsi="標楷體"/>
          <w:sz w:val="22"/>
          <w:szCs w:val="22"/>
        </w:rPr>
        <w:t>偵查保密事項</w:t>
      </w:r>
      <w:r w:rsidRPr="00440B5A">
        <w:rPr>
          <w:rFonts w:ascii="標楷體" w:hAnsi="標楷體" w:hint="eastAsia"/>
          <w:sz w:val="22"/>
          <w:szCs w:val="22"/>
        </w:rPr>
        <w:t>」，與</w:t>
      </w:r>
      <w:r w:rsidRPr="00440B5A">
        <w:rPr>
          <w:rFonts w:ascii="標楷體" w:hAnsi="標楷體"/>
          <w:color w:val="000000"/>
          <w:sz w:val="22"/>
          <w:szCs w:val="22"/>
        </w:rPr>
        <w:t>偵查</w:t>
      </w:r>
      <w:r w:rsidRPr="00440B5A">
        <w:rPr>
          <w:rFonts w:ascii="標楷體" w:hAnsi="標楷體" w:hint="eastAsia"/>
          <w:color w:val="000000"/>
          <w:sz w:val="22"/>
          <w:szCs w:val="22"/>
        </w:rPr>
        <w:t>行為之司法權本質不符，亦與刑事訴訟法第245條所規定之偵查不公開</w:t>
      </w:r>
      <w:r w:rsidRPr="00762EB4">
        <w:rPr>
          <w:rFonts w:hAnsi="標楷體"/>
          <w:color w:val="000000"/>
          <w:sz w:val="22"/>
          <w:szCs w:val="22"/>
        </w:rPr>
        <w:t>原則不符</w:t>
      </w:r>
      <w:r w:rsidRPr="00762EB4">
        <w:rPr>
          <w:rFonts w:hAnsi="標楷體"/>
          <w:sz w:val="22"/>
          <w:szCs w:val="22"/>
        </w:rPr>
        <w:t>。</w:t>
      </w:r>
    </w:p>
    <w:p w:rsidR="004F540D" w:rsidRPr="00762EB4" w:rsidRDefault="004F540D" w:rsidP="004F540D">
      <w:pPr>
        <w:overflowPunct w:val="0"/>
        <w:spacing w:line="391" w:lineRule="exact"/>
        <w:ind w:left="682" w:hangingChars="310" w:hanging="682"/>
        <w:jc w:val="both"/>
        <w:rPr>
          <w:color w:val="000000"/>
          <w:sz w:val="22"/>
          <w:szCs w:val="22"/>
        </w:rPr>
      </w:pPr>
      <w:r w:rsidRPr="00762EB4">
        <w:rPr>
          <w:rFonts w:hAnsi="標楷體"/>
          <w:color w:val="000000"/>
          <w:sz w:val="22"/>
          <w:szCs w:val="22"/>
        </w:rPr>
        <w:t>註二：</w:t>
      </w:r>
      <w:r w:rsidRPr="00762EB4">
        <w:rPr>
          <w:sz w:val="22"/>
          <w:szCs w:val="22"/>
          <w:lang w:val="de-DE"/>
        </w:rPr>
        <w:t>Christian Bumke/ Andreas Voßkuhle, Casebook Verfassungsrecht, 2013, Rn</w:t>
      </w:r>
      <w:smartTag w:uri="urn:schemas-microsoft-com:office:smarttags" w:element="chmetcnv">
        <w:smartTagPr>
          <w:attr w:name="UnitName" w:val="F"/>
          <w:attr w:name="SourceValue" w:val="0.2109"/>
          <w:attr w:name="HasSpace" w:val="False"/>
          <w:attr w:name="Negative" w:val="False"/>
          <w:attr w:name="NumberType" w:val="1"/>
          <w:attr w:name="TCSC" w:val="0"/>
        </w:smartTagPr>
        <w:r w:rsidRPr="00762EB4">
          <w:rPr>
            <w:sz w:val="22"/>
            <w:szCs w:val="22"/>
            <w:lang w:val="de-DE"/>
          </w:rPr>
          <w:t>.2109f</w:t>
        </w:r>
      </w:smartTag>
      <w:r w:rsidRPr="00762EB4">
        <w:rPr>
          <w:sz w:val="22"/>
          <w:szCs w:val="22"/>
        </w:rPr>
        <w:t>.</w:t>
      </w:r>
      <w:r w:rsidRPr="00762EB4">
        <w:rPr>
          <w:rFonts w:hAnsi="標楷體"/>
          <w:sz w:val="22"/>
          <w:szCs w:val="22"/>
        </w:rPr>
        <w:t>詳見</w:t>
      </w:r>
      <w:r w:rsidRPr="00762EB4">
        <w:rPr>
          <w:sz w:val="22"/>
          <w:szCs w:val="22"/>
          <w:lang w:val="de-DE"/>
        </w:rPr>
        <w:t>BVerfGE124</w:t>
      </w:r>
      <w:r w:rsidRPr="00762EB4">
        <w:rPr>
          <w:sz w:val="22"/>
          <w:szCs w:val="22"/>
        </w:rPr>
        <w:t>,78</w:t>
      </w:r>
      <w:r w:rsidRPr="00762EB4">
        <w:rPr>
          <w:rFonts w:hAnsi="標楷體"/>
          <w:sz w:val="22"/>
          <w:szCs w:val="22"/>
        </w:rPr>
        <w:t>（</w:t>
      </w:r>
      <w:r w:rsidRPr="00762EB4">
        <w:rPr>
          <w:sz w:val="22"/>
          <w:szCs w:val="22"/>
        </w:rPr>
        <w:t>118ff</w:t>
      </w:r>
      <w:r w:rsidRPr="00762EB4">
        <w:rPr>
          <w:rFonts w:hAnsi="標楷體"/>
          <w:sz w:val="22"/>
          <w:szCs w:val="22"/>
        </w:rPr>
        <w:t>）。按德國國會調查權與本案討論之立法院文件調閱權固未盡相同，但該國聯邦憲法法院有關國會調查權之界限之憲法上論述，涉及立法權與司法權或其他權力之界限問題者，當可供參考。</w:t>
      </w:r>
    </w:p>
    <w:p w:rsidR="004F540D" w:rsidRPr="00762EB4" w:rsidRDefault="004F540D" w:rsidP="004F540D">
      <w:pPr>
        <w:overflowPunct w:val="0"/>
        <w:spacing w:line="391" w:lineRule="exact"/>
        <w:ind w:left="682" w:hangingChars="310" w:hanging="682"/>
        <w:jc w:val="both"/>
        <w:rPr>
          <w:color w:val="000000"/>
          <w:sz w:val="22"/>
          <w:szCs w:val="22"/>
        </w:rPr>
      </w:pPr>
      <w:r w:rsidRPr="00762EB4">
        <w:rPr>
          <w:rFonts w:hAnsi="標楷體"/>
          <w:color w:val="000000"/>
          <w:sz w:val="22"/>
          <w:szCs w:val="22"/>
        </w:rPr>
        <w:t>註三：</w:t>
      </w:r>
      <w:r w:rsidRPr="00762EB4">
        <w:rPr>
          <w:sz w:val="22"/>
          <w:szCs w:val="22"/>
          <w:lang w:val="de-DE"/>
        </w:rPr>
        <w:t xml:space="preserve">Michael Kloepher, Verfassungsrecht </w:t>
      </w:r>
      <w:r w:rsidRPr="00762EB4">
        <w:rPr>
          <w:sz w:val="22"/>
          <w:szCs w:val="22"/>
        </w:rPr>
        <w:t>Ι</w:t>
      </w:r>
      <w:r w:rsidRPr="00762EB4">
        <w:rPr>
          <w:sz w:val="22"/>
          <w:szCs w:val="22"/>
          <w:lang w:val="de-DE"/>
        </w:rPr>
        <w:t>, 2011, §10 Rn.77ff.</w:t>
      </w:r>
    </w:p>
    <w:p w:rsidR="004F540D" w:rsidRPr="00762EB4" w:rsidRDefault="004F540D" w:rsidP="004F540D">
      <w:pPr>
        <w:overflowPunct w:val="0"/>
        <w:spacing w:line="391" w:lineRule="exact"/>
        <w:ind w:left="682" w:hangingChars="310" w:hanging="682"/>
        <w:jc w:val="both"/>
        <w:rPr>
          <w:color w:val="000000"/>
          <w:sz w:val="22"/>
          <w:szCs w:val="22"/>
        </w:rPr>
      </w:pPr>
      <w:r w:rsidRPr="00762EB4">
        <w:rPr>
          <w:rFonts w:hAnsi="標楷體"/>
          <w:color w:val="000000"/>
          <w:sz w:val="22"/>
          <w:szCs w:val="22"/>
        </w:rPr>
        <w:t>註四：</w:t>
      </w:r>
      <w:r w:rsidRPr="00762EB4">
        <w:rPr>
          <w:sz w:val="22"/>
          <w:szCs w:val="22"/>
          <w:lang w:val="de-DE"/>
        </w:rPr>
        <w:t xml:space="preserve">Michael Kloepher, Verfassungsrecht </w:t>
      </w:r>
      <w:r w:rsidRPr="00762EB4">
        <w:rPr>
          <w:sz w:val="22"/>
          <w:szCs w:val="22"/>
        </w:rPr>
        <w:t>Ι</w:t>
      </w:r>
      <w:r w:rsidRPr="00762EB4">
        <w:rPr>
          <w:sz w:val="22"/>
          <w:szCs w:val="22"/>
          <w:lang w:val="de-DE"/>
        </w:rPr>
        <w:t>, 2011, §10 Rn.88.</w:t>
      </w:r>
    </w:p>
    <w:p w:rsidR="004F540D" w:rsidRPr="00762EB4" w:rsidRDefault="004F540D" w:rsidP="004F540D">
      <w:pPr>
        <w:overflowPunct w:val="0"/>
        <w:spacing w:line="391" w:lineRule="exact"/>
        <w:ind w:left="682" w:hangingChars="310" w:hanging="682"/>
        <w:jc w:val="both"/>
        <w:rPr>
          <w:color w:val="000000"/>
          <w:sz w:val="22"/>
          <w:szCs w:val="22"/>
        </w:rPr>
      </w:pPr>
      <w:r w:rsidRPr="00762EB4">
        <w:rPr>
          <w:rFonts w:hAnsi="標楷體"/>
          <w:color w:val="000000"/>
          <w:sz w:val="22"/>
          <w:szCs w:val="22"/>
        </w:rPr>
        <w:t>註五：</w:t>
      </w:r>
      <w:r w:rsidRPr="00762EB4">
        <w:rPr>
          <w:sz w:val="22"/>
          <w:szCs w:val="22"/>
          <w:lang w:val="de-DE"/>
        </w:rPr>
        <w:t>Bernhard Schlink, Der Grundsatz der Verhältnismäßigkeit,jn</w:t>
      </w:r>
      <w:r w:rsidRPr="00762EB4">
        <w:rPr>
          <w:rFonts w:hAnsi="標楷體"/>
          <w:sz w:val="22"/>
          <w:szCs w:val="22"/>
          <w:lang w:val="de-DE"/>
        </w:rPr>
        <w:t>：</w:t>
      </w:r>
      <w:r w:rsidRPr="00762EB4">
        <w:rPr>
          <w:sz w:val="22"/>
          <w:szCs w:val="22"/>
          <w:lang w:val="de-DE"/>
        </w:rPr>
        <w:t xml:space="preserve">Peter Badura/ Horst Dreier, Festschrift 50 Jahre Bundesverfassungsgericht </w:t>
      </w:r>
      <w:r w:rsidRPr="00762EB4">
        <w:rPr>
          <w:rFonts w:hAnsi="標楷體"/>
          <w:sz w:val="22"/>
          <w:szCs w:val="22"/>
          <w:lang w:val="de-DE"/>
        </w:rPr>
        <w:t>（</w:t>
      </w:r>
      <w:r w:rsidRPr="00762EB4">
        <w:rPr>
          <w:sz w:val="22"/>
          <w:szCs w:val="22"/>
          <w:lang w:val="de-DE"/>
        </w:rPr>
        <w:t>2001</w:t>
      </w:r>
      <w:r w:rsidRPr="00762EB4">
        <w:rPr>
          <w:rFonts w:hAnsi="標楷體"/>
          <w:sz w:val="22"/>
          <w:szCs w:val="22"/>
          <w:lang w:val="de-DE"/>
        </w:rPr>
        <w:t>）</w:t>
      </w:r>
      <w:r w:rsidRPr="00762EB4">
        <w:rPr>
          <w:sz w:val="22"/>
          <w:szCs w:val="22"/>
          <w:lang w:val="de-DE"/>
        </w:rPr>
        <w:t>, S.448ff</w:t>
      </w:r>
      <w:r w:rsidRPr="00762EB4">
        <w:rPr>
          <w:rFonts w:hAnsi="標楷體"/>
          <w:sz w:val="22"/>
          <w:szCs w:val="22"/>
          <w:lang w:val="de-DE"/>
        </w:rPr>
        <w:t>；</w:t>
      </w:r>
      <w:r w:rsidRPr="00762EB4">
        <w:rPr>
          <w:sz w:val="22"/>
          <w:szCs w:val="22"/>
          <w:lang w:val="de-DE"/>
        </w:rPr>
        <w:t xml:space="preserve"> Hartmut Maurer, Staatsrecht </w:t>
      </w:r>
      <w:r w:rsidRPr="00762EB4">
        <w:rPr>
          <w:rFonts w:hAnsi="標楷體"/>
          <w:sz w:val="22"/>
          <w:szCs w:val="22"/>
          <w:lang w:val="de-DE"/>
        </w:rPr>
        <w:t>Ⅰ</w:t>
      </w:r>
      <w:r w:rsidRPr="00762EB4">
        <w:rPr>
          <w:sz w:val="22"/>
          <w:szCs w:val="22"/>
          <w:lang w:val="de-DE"/>
        </w:rPr>
        <w:t>, 2007, §8 Rn.55.</w:t>
      </w:r>
      <w:r w:rsidRPr="00762EB4">
        <w:rPr>
          <w:rFonts w:hAnsi="標楷體"/>
          <w:sz w:val="22"/>
          <w:szCs w:val="22"/>
        </w:rPr>
        <w:t>惟容有不同見解</w:t>
      </w:r>
      <w:r w:rsidRPr="00762EB4">
        <w:rPr>
          <w:rFonts w:hAnsi="標楷體"/>
          <w:sz w:val="22"/>
          <w:szCs w:val="22"/>
          <w:lang w:val="de-DE"/>
        </w:rPr>
        <w:t>，</w:t>
      </w:r>
      <w:r w:rsidRPr="00762EB4">
        <w:rPr>
          <w:rFonts w:hAnsi="標楷體"/>
          <w:sz w:val="22"/>
          <w:szCs w:val="22"/>
        </w:rPr>
        <w:t>此不詳述。</w:t>
      </w:r>
    </w:p>
    <w:p w:rsidR="004F540D" w:rsidRPr="00440B5A" w:rsidRDefault="004F540D" w:rsidP="004F540D">
      <w:pPr>
        <w:overflowPunct w:val="0"/>
        <w:spacing w:line="391" w:lineRule="exact"/>
        <w:ind w:left="682" w:hangingChars="310" w:hanging="682"/>
        <w:jc w:val="both"/>
        <w:rPr>
          <w:rFonts w:ascii="標楷體" w:hAnsi="標楷體"/>
          <w:color w:val="000000"/>
          <w:sz w:val="22"/>
          <w:szCs w:val="22"/>
        </w:rPr>
      </w:pPr>
      <w:r w:rsidRPr="00440B5A">
        <w:rPr>
          <w:rFonts w:ascii="標楷體" w:hAnsi="標楷體" w:hint="eastAsia"/>
          <w:color w:val="000000"/>
          <w:sz w:val="22"/>
          <w:szCs w:val="22"/>
        </w:rPr>
        <w:t>註六：</w:t>
      </w:r>
      <w:r w:rsidRPr="00440B5A">
        <w:rPr>
          <w:rFonts w:ascii="標楷體" w:hAnsi="標楷體" w:hint="eastAsia"/>
          <w:sz w:val="22"/>
          <w:szCs w:val="22"/>
        </w:rPr>
        <w:t>詳見註</w:t>
      </w:r>
      <w:r w:rsidR="008349BC">
        <w:rPr>
          <w:rFonts w:ascii="標楷體" w:hAnsi="標楷體" w:hint="eastAsia"/>
          <w:sz w:val="22"/>
          <w:szCs w:val="22"/>
        </w:rPr>
        <w:t>一</w:t>
      </w:r>
      <w:r w:rsidRPr="00440B5A">
        <w:rPr>
          <w:rFonts w:ascii="標楷體" w:hAnsi="標楷體" w:hint="eastAsia"/>
          <w:sz w:val="22"/>
          <w:szCs w:val="22"/>
        </w:rPr>
        <w:t>。</w:t>
      </w:r>
    </w:p>
    <w:p w:rsidR="00C23706" w:rsidRDefault="00C23706" w:rsidP="00DF4DD3">
      <w:pPr>
        <w:overflowPunct w:val="0"/>
        <w:spacing w:line="391" w:lineRule="exact"/>
        <w:ind w:left="682" w:hangingChars="310" w:hanging="682"/>
        <w:jc w:val="both"/>
        <w:rPr>
          <w:rFonts w:hAnsi="標楷體" w:hint="eastAsia"/>
          <w:sz w:val="22"/>
          <w:szCs w:val="22"/>
        </w:rPr>
      </w:pPr>
    </w:p>
    <w:p w:rsidR="00A2056D" w:rsidRPr="00762EB4" w:rsidRDefault="00A2056D" w:rsidP="00BC288B">
      <w:pPr>
        <w:overflowPunct w:val="0"/>
        <w:spacing w:line="391" w:lineRule="exact"/>
        <w:ind w:left="964" w:right="567"/>
        <w:jc w:val="distribute"/>
        <w:rPr>
          <w:sz w:val="28"/>
          <w:szCs w:val="28"/>
        </w:rPr>
      </w:pPr>
      <w:r w:rsidRPr="007E5D81">
        <w:rPr>
          <w:rFonts w:ascii="華康粗黑體" w:eastAsia="華康粗黑體" w:hAnsi="標楷體" w:hint="eastAsia"/>
          <w:sz w:val="28"/>
          <w:szCs w:val="28"/>
        </w:rPr>
        <w:t>部分協同</w:t>
      </w:r>
      <w:r w:rsidR="00762EB4">
        <w:rPr>
          <w:rFonts w:ascii="華康粗黑體" w:eastAsia="華康粗黑體" w:hAnsi="標楷體" w:hint="eastAsia"/>
          <w:sz w:val="28"/>
          <w:szCs w:val="28"/>
        </w:rPr>
        <w:t>、</w:t>
      </w:r>
      <w:r w:rsidRPr="007E5D81">
        <w:rPr>
          <w:rFonts w:ascii="華康粗黑體" w:eastAsia="華康粗黑體" w:hAnsi="標楷體" w:hint="eastAsia"/>
          <w:sz w:val="28"/>
          <w:szCs w:val="28"/>
        </w:rPr>
        <w:t>部分不同意見書</w:t>
      </w:r>
      <w:r w:rsidR="007E5D81">
        <w:rPr>
          <w:rFonts w:hAnsi="標楷體" w:hint="eastAsia"/>
          <w:sz w:val="28"/>
          <w:szCs w:val="28"/>
        </w:rPr>
        <w:t xml:space="preserve">　　　　　　</w:t>
      </w:r>
      <w:r w:rsidRPr="00126D74">
        <w:rPr>
          <w:rFonts w:hAnsi="標楷體" w:hint="eastAsia"/>
          <w:sz w:val="28"/>
          <w:szCs w:val="28"/>
        </w:rPr>
        <w:t xml:space="preserve">　　</w:t>
      </w:r>
      <w:r w:rsidRPr="00126D74">
        <w:rPr>
          <w:rFonts w:hAnsi="標楷體"/>
          <w:sz w:val="28"/>
          <w:szCs w:val="28"/>
        </w:rPr>
        <w:t>蔡清遊大法官</w:t>
      </w:r>
      <w:r>
        <w:rPr>
          <w:rFonts w:hAnsi="標楷體" w:hint="eastAsia"/>
          <w:sz w:val="28"/>
          <w:szCs w:val="28"/>
        </w:rPr>
        <w:t xml:space="preserve">　</w:t>
      </w:r>
      <w:r w:rsidRPr="00BC288B">
        <w:rPr>
          <w:rFonts w:hAnsi="標楷體"/>
          <w:kern w:val="0"/>
          <w:sz w:val="28"/>
          <w:szCs w:val="28"/>
        </w:rPr>
        <w:t>提出</w:t>
      </w:r>
    </w:p>
    <w:p w:rsidR="00A2056D" w:rsidRPr="00126D74" w:rsidRDefault="00A2056D" w:rsidP="00762EB4">
      <w:pPr>
        <w:spacing w:line="391" w:lineRule="exact"/>
        <w:ind w:firstLineChars="200" w:firstLine="560"/>
        <w:jc w:val="both"/>
        <w:rPr>
          <w:sz w:val="28"/>
          <w:szCs w:val="28"/>
        </w:rPr>
      </w:pPr>
      <w:r w:rsidRPr="00762EB4">
        <w:rPr>
          <w:rFonts w:hAnsi="標楷體"/>
          <w:color w:val="000000"/>
          <w:sz w:val="28"/>
          <w:szCs w:val="28"/>
        </w:rPr>
        <w:t>本號解釋多數意見認為：「</w:t>
      </w:r>
      <w:r w:rsidRPr="00762EB4">
        <w:rPr>
          <w:rFonts w:hAnsi="標楷體"/>
          <w:sz w:val="28"/>
          <w:szCs w:val="28"/>
        </w:rPr>
        <w:t>檢察機關代表國家進行犯罪之偵查與追訴，</w:t>
      </w:r>
      <w:r w:rsidRPr="00126D74">
        <w:rPr>
          <w:rFonts w:hAnsi="標楷體"/>
          <w:sz w:val="28"/>
          <w:szCs w:val="28"/>
        </w:rPr>
        <w:t>基於權力分立與制衡原則，且為保障檢察機關獨立行使職權，對於偵查中之案件，立法院自不得向其調閱相關卷證。立法院向檢察機關調閱已偵查終結而不起訴處分確定或未經起訴而以其他方式結案之案件卷證，須基於目的與範圍均屬明確之特定議案，並與其行使憲法上職權有重大關聯，且非屬法律所禁止者為限。如因調閱而有妨害另案偵查之虞，檢察機關得延至該另案偵查終結後，再行提供調閱之卷證資料。其調閱偵查卷證之文件原本或與原本內容相同之影本者，應經立法院院會決議；要求提供參考資料者，由院會或其委員會決議為之。因調閱卷證而知悉之資訊，其使用應限於行使憲法上職權所必要，並注意維護關係人之權益（如名譽、隱私、營業秘密等）。</w:t>
      </w:r>
      <w:r w:rsidRPr="00126D74">
        <w:rPr>
          <w:rFonts w:hAnsi="標楷體"/>
          <w:spacing w:val="6"/>
          <w:sz w:val="28"/>
          <w:szCs w:val="28"/>
        </w:rPr>
        <w:t>本院釋字第三二五號解釋應予補充。」</w:t>
      </w:r>
      <w:r w:rsidRPr="00126D74">
        <w:rPr>
          <w:rFonts w:hAnsi="標楷體"/>
          <w:color w:val="000000"/>
          <w:sz w:val="28"/>
          <w:szCs w:val="28"/>
        </w:rPr>
        <w:t>本席原則敬表贊同，惟對於立法院文件調閱權與立法院調查權予以切割，不加論述部分，認有補充論述之必要；對於調閱偵查卷證與原本內容相同之文件影本者，應經立法院院會決議部分，則有不同意見，</w:t>
      </w:r>
      <w:r w:rsidRPr="00126D74">
        <w:rPr>
          <w:rFonts w:hAnsi="標楷體"/>
          <w:sz w:val="28"/>
          <w:szCs w:val="28"/>
        </w:rPr>
        <w:t>爰提出部分協同、部分不同意見書。</w:t>
      </w:r>
    </w:p>
    <w:p w:rsidR="00A2056D" w:rsidRPr="00126D74" w:rsidRDefault="00A2056D" w:rsidP="00A2056D">
      <w:pPr>
        <w:snapToGrid w:val="0"/>
        <w:spacing w:line="391" w:lineRule="exact"/>
        <w:ind w:left="577" w:hangingChars="200" w:hanging="577"/>
        <w:rPr>
          <w:b/>
          <w:spacing w:val="4"/>
          <w:sz w:val="28"/>
          <w:szCs w:val="28"/>
        </w:rPr>
      </w:pPr>
      <w:r w:rsidRPr="00126D74">
        <w:rPr>
          <w:rFonts w:hAnsi="標楷體"/>
          <w:b/>
          <w:spacing w:val="4"/>
          <w:sz w:val="28"/>
          <w:szCs w:val="28"/>
        </w:rPr>
        <w:t>一、本件聲請人似忽略本院釋字第三二五號、第五八五號解釋部分重要意旨</w:t>
      </w:r>
    </w:p>
    <w:p w:rsidR="00A2056D" w:rsidRPr="00126D74" w:rsidRDefault="00A2056D" w:rsidP="00FA07E6">
      <w:pPr>
        <w:tabs>
          <w:tab w:val="left" w:pos="2127"/>
        </w:tabs>
        <w:snapToGrid w:val="0"/>
        <w:spacing w:line="391" w:lineRule="exact"/>
        <w:ind w:left="595" w:firstLineChars="200" w:firstLine="576"/>
        <w:jc w:val="both"/>
        <w:rPr>
          <w:spacing w:val="4"/>
          <w:sz w:val="28"/>
          <w:szCs w:val="28"/>
        </w:rPr>
      </w:pPr>
      <w:r w:rsidRPr="00126D74">
        <w:rPr>
          <w:rFonts w:hAnsi="標楷體"/>
          <w:spacing w:val="4"/>
          <w:sz w:val="28"/>
          <w:szCs w:val="28"/>
        </w:rPr>
        <w:t>本件聲請人以立法院司法及法制委員會向其調閱聲請人一</w:t>
      </w:r>
      <w:r w:rsidR="001466FF" w:rsidRPr="00C208C4">
        <w:rPr>
          <w:rFonts w:ascii="標楷體" w:hAnsi="標楷體" w:hint="eastAsia"/>
          <w:spacing w:val="4"/>
          <w:sz w:val="28"/>
          <w:szCs w:val="28"/>
        </w:rPr>
        <w:t>○○</w:t>
      </w:r>
      <w:r w:rsidRPr="00126D74">
        <w:rPr>
          <w:rFonts w:hAnsi="標楷體"/>
          <w:spacing w:val="4"/>
          <w:sz w:val="28"/>
          <w:szCs w:val="28"/>
        </w:rPr>
        <w:t>年度特他字第六一號偵查卷證（調閱時已偵查終結而簽結），發生適用憲法之</w:t>
      </w:r>
      <w:r w:rsidRPr="00126D74">
        <w:rPr>
          <w:rFonts w:hAnsi="標楷體"/>
          <w:spacing w:val="4"/>
          <w:sz w:val="28"/>
          <w:szCs w:val="28"/>
        </w:rPr>
        <w:lastRenderedPageBreak/>
        <w:t>爭議部分，經由法務部函請行政院轉請本院解釋，檢視其聲請之理由，大致有下列幾點：</w:t>
      </w:r>
      <w:r>
        <w:rPr>
          <w:rFonts w:hAnsi="標楷體"/>
          <w:spacing w:val="4"/>
          <w:sz w:val="28"/>
          <w:szCs w:val="28"/>
        </w:rPr>
        <w:t>（</w:t>
      </w:r>
      <w:r>
        <w:rPr>
          <w:rFonts w:hAnsi="標楷體" w:hint="eastAsia"/>
          <w:spacing w:val="4"/>
          <w:sz w:val="28"/>
          <w:szCs w:val="28"/>
        </w:rPr>
        <w:t>1</w:t>
      </w:r>
      <w:r w:rsidRPr="00126D74">
        <w:rPr>
          <w:rFonts w:hAnsi="標楷體"/>
          <w:spacing w:val="4"/>
          <w:sz w:val="28"/>
          <w:szCs w:val="28"/>
        </w:rPr>
        <w:t>）聲請人一</w:t>
      </w:r>
      <w:r w:rsidR="001466FF" w:rsidRPr="00C208C4">
        <w:rPr>
          <w:rFonts w:ascii="標楷體" w:hAnsi="標楷體" w:hint="eastAsia"/>
          <w:spacing w:val="4"/>
          <w:sz w:val="28"/>
          <w:szCs w:val="28"/>
        </w:rPr>
        <w:t>○○</w:t>
      </w:r>
      <w:r w:rsidRPr="00126D74">
        <w:rPr>
          <w:rFonts w:hAnsi="標楷體"/>
          <w:spacing w:val="4"/>
          <w:sz w:val="28"/>
          <w:szCs w:val="28"/>
        </w:rPr>
        <w:t>年度特他字第六一號刑事個案之卷證，係檢察官獨立行使職權，所為偵查行為之一部，依本院釋字第三二五號解釋檢察官獨立行使職權受憲法保障，以及本院釋字第五八五號、第六三三號解釋有關立法院對獨立機關行使調閱權應受限制之意旨，應非立法院所得調閱、調查之事務範圍。（</w:t>
      </w:r>
      <w:r>
        <w:rPr>
          <w:rFonts w:hAnsi="標楷體" w:hint="eastAsia"/>
          <w:spacing w:val="4"/>
          <w:sz w:val="28"/>
          <w:szCs w:val="28"/>
        </w:rPr>
        <w:t>2</w:t>
      </w:r>
      <w:r w:rsidRPr="00126D74">
        <w:rPr>
          <w:rFonts w:hAnsi="標楷體"/>
          <w:spacing w:val="4"/>
          <w:sz w:val="28"/>
          <w:szCs w:val="28"/>
        </w:rPr>
        <w:t>）依憲法第九十五條、第九十六條有關監察院行使調查權之規定，及本院釋字第五八五號解釋意旨，有關檢察官偵查終結後案卷資料之調閱及調查檢察官有無濫權監聽之違失等節，應專屬監察院行使調查權之範圍，立法院司法及法制委員會為釐清特偵組等是否違法監聽等節，調閱特偵組檢察官個案偵查卷證資料等行使職權之行為，顯與憲法上權力分立及制衡原則有違。（</w:t>
      </w:r>
      <w:r>
        <w:rPr>
          <w:rFonts w:hAnsi="標楷體" w:hint="eastAsia"/>
          <w:spacing w:val="4"/>
          <w:sz w:val="28"/>
          <w:szCs w:val="28"/>
        </w:rPr>
        <w:t>3</w:t>
      </w:r>
      <w:r w:rsidRPr="00126D74">
        <w:rPr>
          <w:rFonts w:hAnsi="標楷體"/>
          <w:spacing w:val="4"/>
          <w:sz w:val="28"/>
          <w:szCs w:val="28"/>
        </w:rPr>
        <w:t>）檢察機關是否同意立法院之調閱，係屬檢察官職權行使之行為，基於權力分立及制衡原則，凡受憲法保障獨立行使職權之國家機關，即非立法院所得調查之事物範圍。（</w:t>
      </w:r>
      <w:r>
        <w:rPr>
          <w:rFonts w:hAnsi="標楷體" w:hint="eastAsia"/>
          <w:spacing w:val="4"/>
          <w:sz w:val="28"/>
          <w:szCs w:val="28"/>
        </w:rPr>
        <w:t>4</w:t>
      </w:r>
      <w:r w:rsidRPr="00126D74">
        <w:rPr>
          <w:rFonts w:hAnsi="標楷體"/>
          <w:spacing w:val="4"/>
          <w:sz w:val="28"/>
          <w:szCs w:val="28"/>
        </w:rPr>
        <w:t>）檢察官之偵查犯罪，係獨立行使國家刑罰權，應受憲法保障，其犯罪偵查之相關資訊之不公開，係屬行政權具有之「行政特權」，要不因立法院行使調查權，而有強制行政部門公開此類資訊或提供相關文書之適用。（</w:t>
      </w:r>
      <w:r>
        <w:rPr>
          <w:rFonts w:hAnsi="標楷體" w:hint="eastAsia"/>
          <w:spacing w:val="4"/>
          <w:sz w:val="28"/>
          <w:szCs w:val="28"/>
        </w:rPr>
        <w:t>5</w:t>
      </w:r>
      <w:r w:rsidRPr="00126D74">
        <w:rPr>
          <w:rFonts w:hAnsi="標楷體"/>
          <w:spacing w:val="4"/>
          <w:sz w:val="28"/>
          <w:szCs w:val="28"/>
        </w:rPr>
        <w:t>）聲請人一</w:t>
      </w:r>
      <w:r w:rsidR="001466FF" w:rsidRPr="00C208C4">
        <w:rPr>
          <w:rFonts w:ascii="標楷體" w:hAnsi="標楷體" w:hint="eastAsia"/>
          <w:spacing w:val="4"/>
          <w:sz w:val="28"/>
          <w:szCs w:val="28"/>
        </w:rPr>
        <w:t>○○</w:t>
      </w:r>
      <w:r w:rsidRPr="00126D74">
        <w:rPr>
          <w:rFonts w:hAnsi="標楷體"/>
          <w:spacing w:val="4"/>
          <w:sz w:val="28"/>
          <w:szCs w:val="28"/>
        </w:rPr>
        <w:t>年度特他字第六一號案經簽結後，因認有其他涉嫌犯罪事實，共簽分三案，其中聲請人繼續偵辦一案，二案發交臺灣臺北地方法院檢察署續行偵查，是原一</w:t>
      </w:r>
      <w:r w:rsidR="001466FF" w:rsidRPr="00C208C4">
        <w:rPr>
          <w:rFonts w:ascii="標楷體" w:hAnsi="標楷體" w:hint="eastAsia"/>
          <w:spacing w:val="4"/>
          <w:sz w:val="28"/>
          <w:szCs w:val="28"/>
        </w:rPr>
        <w:t>○○</w:t>
      </w:r>
      <w:r w:rsidRPr="00126D74">
        <w:rPr>
          <w:rFonts w:hAnsi="標楷體"/>
          <w:spacing w:val="4"/>
          <w:sz w:val="28"/>
          <w:szCs w:val="28"/>
        </w:rPr>
        <w:t>年度特他字第六一號卷內，仍有涉及該三案之偵查秘密之虞，若予調閱將有礙檢察官偵查權之行使。（</w:t>
      </w:r>
      <w:r>
        <w:rPr>
          <w:rFonts w:hAnsi="標楷體" w:hint="eastAsia"/>
          <w:spacing w:val="4"/>
          <w:sz w:val="28"/>
          <w:szCs w:val="28"/>
        </w:rPr>
        <w:t>6</w:t>
      </w:r>
      <w:r w:rsidRPr="00126D74">
        <w:rPr>
          <w:rFonts w:hAnsi="標楷體"/>
          <w:spacing w:val="4"/>
          <w:sz w:val="28"/>
          <w:szCs w:val="28"/>
        </w:rPr>
        <w:t>）偵查終結後之個案卷證資料，不應同意立法院調取。（</w:t>
      </w:r>
      <w:r>
        <w:rPr>
          <w:rFonts w:hAnsi="標楷體" w:hint="eastAsia"/>
          <w:spacing w:val="4"/>
          <w:sz w:val="28"/>
          <w:szCs w:val="28"/>
        </w:rPr>
        <w:t>7</w:t>
      </w:r>
      <w:r w:rsidRPr="00126D74">
        <w:rPr>
          <w:rFonts w:hAnsi="標楷體"/>
          <w:spacing w:val="4"/>
          <w:sz w:val="28"/>
          <w:szCs w:val="28"/>
        </w:rPr>
        <w:t>）聲請人於聲請統一解釋（此部分業經本號解釋另諭知不受理）之函文中，另提及立法院司法及法制委員會適用立法院職權行使法第四十五條第一項調取臺灣臺北地方法院檢察署檢察官偵查中原屬聲請人之卷證所採係屬該條項所稱「參考資料」之見解，與聲請人認「參考資料」不包含本案原始卷證之見解有異。</w:t>
      </w:r>
    </w:p>
    <w:p w:rsidR="00A2056D" w:rsidRPr="00126D74" w:rsidRDefault="00A2056D" w:rsidP="00FA07E6">
      <w:pPr>
        <w:snapToGrid w:val="0"/>
        <w:spacing w:line="391" w:lineRule="exact"/>
        <w:ind w:left="595" w:firstLineChars="200" w:firstLine="576"/>
        <w:jc w:val="both"/>
        <w:rPr>
          <w:spacing w:val="4"/>
          <w:sz w:val="28"/>
          <w:szCs w:val="28"/>
        </w:rPr>
      </w:pPr>
      <w:r w:rsidRPr="00126D74">
        <w:rPr>
          <w:rFonts w:hAnsi="標楷體"/>
          <w:spacing w:val="4"/>
          <w:sz w:val="28"/>
          <w:szCs w:val="28"/>
        </w:rPr>
        <w:t>惟除調閱偵查卷證之文件影本是否視同調閱文件原本而仍須經立法院院會決議（此點本席有不同意見，詳如後述），及如因調閱而有妨害另案偵查者，檢察機關得於該另案經偵查終結提起公訴、或不起訴處分確定、或以其他方式結案後，再行提供調閱之卷證資料部分外，其餘聲請人所採拒絕調閱卷證之憲政上理由，似有意忽略本院釋字第三二五號、第五八五號部分解釋意旨。蓋檢察機關並非獨立之憲政機關，僅檢察官獨立行使偵查職權時，始受憲法保障。所謂檢察官獨立行使職權受憲法保障，係指其依法行使偵查職權時，基於其係行使國家刑罰權，故應與法官之審判同受憲法之保障，如已偵查終結，而未行使偵查職權，純係偵查終結後之行政行為者，自無獨立機關應受憲法保障之可言。本院釋</w:t>
      </w:r>
      <w:r w:rsidRPr="00126D74">
        <w:rPr>
          <w:rFonts w:hAnsi="標楷體"/>
          <w:spacing w:val="4"/>
          <w:sz w:val="28"/>
          <w:szCs w:val="28"/>
        </w:rPr>
        <w:lastRenderedPageBreak/>
        <w:t>字第三二五號解釋已明白闡述立法院為行使憲法所賦予之職權，得經院會或委員會之決議，要求有關機關就議案涉及事項提供參考資料，必要時並得經院會決議調閱文件之原本。本院釋字第五八五號解釋更確認立法院為有效行使憲法所賦予之立法職權，本其固有之權能自得享有一定之調查權，主動獲取行使職權所需之相關資訊；立法院調查權乃立法院行使其憲法職權所必要之輔助性權力；立法院調查權行使之方式，並不以要求有關機關就立法院行使職權所涉及事項提供參考資料或向有關機關調閱文件原本之文件調閱權為限，必要時並得經院會決議，要求與調查事項相關之人民或政府人員，陳述證言或表示意見；行政首長依其行政權固有之權能，對於可能影響或干預行政部門有效運作之資訊，例如涉及國家安全、國防或外交之國家機密事項，有關政策形成過程之內部討論資訊，以及有關正在進行中之犯罪偵查之相關資訊等，均有決定不予公開之權力，乃屬行政權本質所具有之行政特權。依上開二號解釋意旨，應可得理解立法院有文書調閱權，除正在進行中之犯罪偵查之相關資訊，係屬行政權本質所具有之行政特權，及訴訟案件（指已提起公訴）在裁判確定前就偵查、審判所為之處置及其卷證以外，已偵查終結不起訴處分（包括簽結在內）確定之偵查卷證，及判決確定後之偵、審卷證，均在立法院得行使文件調閱權之範圍內。乃聲請人竟謂其係獨立機關，應受憲法保障，有關檢察官偵查終結後案卷資料之調閱，係專屬監察院行使調查權之範圍，立法院不得調卷；檢察官之偵查犯罪（其意包括偵查終結後），其相關資訊之不公開，係屬行政權具有之行政特權，要不因立法院行使調查權，而有強制行政部門公開此類資訊或提供相關文書之適用云云。按聲請人為國家最高檢察機關，似有意忽略上開二號解釋上述部分之解釋意旨，誠屬令人不解。惟既然本號解釋再次確認在一定要件下，立法院得向檢察機關調閱已偵查終結而不起訴處分確定或未行起訴而以其他方式結案之案件卷證；妨害另案偵查者，須另案終結後始得調閱；調閱偵查卷證之文件影本者，應經立法院院會同意，而補充解釋本院釋字第三二五號解釋，自亦有其受理之價值。</w:t>
      </w:r>
    </w:p>
    <w:p w:rsidR="00A2056D" w:rsidRPr="00126D74" w:rsidRDefault="00A2056D" w:rsidP="00A2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91" w:lineRule="exact"/>
        <w:ind w:left="561" w:hangingChars="200" w:hanging="561"/>
        <w:rPr>
          <w:b/>
          <w:color w:val="000000"/>
          <w:sz w:val="28"/>
          <w:szCs w:val="28"/>
        </w:rPr>
      </w:pPr>
      <w:r w:rsidRPr="00126D74">
        <w:rPr>
          <w:rFonts w:hAnsi="標楷體"/>
          <w:b/>
          <w:color w:val="000000"/>
          <w:sz w:val="28"/>
          <w:szCs w:val="28"/>
        </w:rPr>
        <w:t>二、本號解釋並未釐清參考資料與文件之區別</w:t>
      </w:r>
    </w:p>
    <w:p w:rsidR="00A2056D" w:rsidRPr="00126D74" w:rsidRDefault="00A2056D" w:rsidP="00FA07E6">
      <w:pPr>
        <w:tabs>
          <w:tab w:val="left" w:pos="2127"/>
        </w:tabs>
        <w:snapToGrid w:val="0"/>
        <w:spacing w:line="391" w:lineRule="exact"/>
        <w:ind w:left="595" w:firstLineChars="200" w:firstLine="560"/>
        <w:jc w:val="both"/>
        <w:rPr>
          <w:spacing w:val="4"/>
          <w:sz w:val="28"/>
          <w:szCs w:val="28"/>
        </w:rPr>
      </w:pPr>
      <w:r w:rsidRPr="00126D74">
        <w:rPr>
          <w:rFonts w:hAnsi="標楷體"/>
          <w:sz w:val="28"/>
          <w:szCs w:val="28"/>
        </w:rPr>
        <w:t>釋字第三二五號解釋謂：「立法院為行使憲法所賦予之職權，</w:t>
      </w:r>
      <w:r>
        <w:rPr>
          <w:rFonts w:hint="eastAsia"/>
          <w:sz w:val="28"/>
          <w:szCs w:val="28"/>
        </w:rPr>
        <w:t>……</w:t>
      </w:r>
      <w:r w:rsidRPr="00126D74">
        <w:rPr>
          <w:rFonts w:hAnsi="標楷體"/>
          <w:sz w:val="28"/>
          <w:szCs w:val="28"/>
        </w:rPr>
        <w:t>得經院會或委員會之決議，要求有關機關就議案涉及事項提供參考資料，必要時並得經院會決議調閱文件原本，受要求之機關非依法律規定或其他正當理由不得拒絕。」該號解釋公布後，立法院制定立法院職權行使法，乃依據上開解釋，於第四十五條規定：「立法院經院會決議，得設調閱委員會，或經委員會之決議，得設調閱專案小組，要求有關機關就特定議案涉及事項提供參考資料。（第一項）調閱委員會或調閱專案小組於必要時，得經院</w:t>
      </w:r>
      <w:r w:rsidRPr="00126D74">
        <w:rPr>
          <w:rFonts w:hAnsi="標楷體"/>
          <w:sz w:val="28"/>
          <w:szCs w:val="28"/>
        </w:rPr>
        <w:lastRenderedPageBreak/>
        <w:t>會之決議，向有關機關調閱前項議案涉及事項之文件原本。（第二項）」</w:t>
      </w:r>
      <w:r w:rsidR="00762EB4">
        <w:rPr>
          <w:rFonts w:hAnsi="標楷體" w:hint="eastAsia"/>
          <w:sz w:val="28"/>
          <w:szCs w:val="28"/>
        </w:rPr>
        <w:t>、</w:t>
      </w:r>
      <w:r w:rsidRPr="00126D74">
        <w:rPr>
          <w:rFonts w:hAnsi="標楷體"/>
          <w:sz w:val="28"/>
          <w:szCs w:val="28"/>
        </w:rPr>
        <w:t>第四十七條第一項前段規定：「受要求調閱文件之機關，除依法律或其他正當理由得拒絕外，應於五日內提供之。」究竟何謂參考資料？其與文件如何區別？文件原本是否包括文件影本在內？要求提供與調閱又有何區別？從釋字第三二五號解釋及立法院職權行使法上開條文中均無法得知。經查閱釋字第三二五號解釋案卷宗，參與該案之前大法官們就何者為參考資料，何者為文件，並未為明確之討論與區隔，甚至有前大法官已質疑究竟參考資料與文件應為如何之區分，惜未獲釋疑之結論。而立法院於回覆本院之函文中則謂：「同法條（指立法院職權行使法第四十五條）第二項規定在於調閱委員會或調閱專案小組向有關機關調閱之議案所涉及事項之文件係指原本，方須經院會之決議，然本案係向最高法院檢察署調閱該署一</w:t>
      </w:r>
      <w:r w:rsidR="001466FF" w:rsidRPr="00200B97">
        <w:rPr>
          <w:rFonts w:ascii="標楷體" w:hAnsi="標楷體" w:hint="eastAsia"/>
          <w:sz w:val="28"/>
          <w:szCs w:val="28"/>
        </w:rPr>
        <w:t>○○</w:t>
      </w:r>
      <w:r w:rsidRPr="00126D74">
        <w:rPr>
          <w:rFonts w:hAnsi="標楷體"/>
          <w:sz w:val="28"/>
          <w:szCs w:val="28"/>
        </w:rPr>
        <w:t>年度特他字第六一號卷影本，自毋須經院會決議」</w:t>
      </w:r>
      <w:r w:rsidRPr="00126D74">
        <w:rPr>
          <w:rFonts w:hAnsi="標楷體" w:hint="eastAsia"/>
          <w:sz w:val="22"/>
          <w:szCs w:val="22"/>
        </w:rPr>
        <w:t>（註一）</w:t>
      </w:r>
      <w:r w:rsidRPr="00126D74">
        <w:rPr>
          <w:rFonts w:hAnsi="標楷體"/>
          <w:sz w:val="28"/>
          <w:szCs w:val="28"/>
        </w:rPr>
        <w:t>，係謂上開偵查卷宗影本係立法院職權行使法第四十五條第一項所指之參考資料，而非同條第二項所指之文件原本。本席以為，參考資料與文件實很難加以區分，參考資料有可能為文件，亦可能為非文件，亦即文件之涵意可包含參考資料在內。</w:t>
      </w:r>
      <w:r w:rsidRPr="00126D74">
        <w:rPr>
          <w:rFonts w:hAnsi="標楷體"/>
          <w:spacing w:val="4"/>
          <w:sz w:val="28"/>
          <w:szCs w:val="28"/>
        </w:rPr>
        <w:t>此觀之立法院職權行使法第四十七條前段、第四十八條、第五十條至第五十二條，均只以文件取代第四十五條之參考資料及文件原本自明。至何謂要求提供？何謂調閱？要求提供，可以口頭質詢時為之，亦可函請有關機關為之，其與向有關機關之調閱行為，實亦無從為明確之劃分。</w:t>
      </w:r>
    </w:p>
    <w:p w:rsidR="00A2056D" w:rsidRPr="00126D74" w:rsidRDefault="00A2056D" w:rsidP="00A2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91" w:lineRule="exact"/>
        <w:ind w:left="561" w:hangingChars="200" w:hanging="561"/>
        <w:rPr>
          <w:b/>
          <w:color w:val="000000"/>
          <w:sz w:val="28"/>
          <w:szCs w:val="28"/>
        </w:rPr>
      </w:pPr>
      <w:r w:rsidRPr="00126D74">
        <w:rPr>
          <w:rFonts w:hAnsi="標楷體"/>
          <w:b/>
          <w:color w:val="000000"/>
          <w:sz w:val="28"/>
          <w:szCs w:val="28"/>
        </w:rPr>
        <w:t>三、調閱文件影本是否如同調閱文件原本，須經立法院院會決議始得為之</w:t>
      </w:r>
    </w:p>
    <w:p w:rsidR="00A2056D" w:rsidRPr="00126D74" w:rsidRDefault="00A2056D" w:rsidP="00FA07E6">
      <w:pPr>
        <w:snapToGrid w:val="0"/>
        <w:spacing w:line="391" w:lineRule="exact"/>
        <w:ind w:left="595" w:firstLineChars="200" w:firstLine="576"/>
        <w:jc w:val="both"/>
        <w:rPr>
          <w:spacing w:val="4"/>
          <w:sz w:val="28"/>
          <w:szCs w:val="28"/>
        </w:rPr>
      </w:pPr>
      <w:r w:rsidRPr="00126D74">
        <w:rPr>
          <w:rFonts w:hAnsi="標楷體"/>
          <w:spacing w:val="4"/>
          <w:sz w:val="28"/>
          <w:szCs w:val="28"/>
        </w:rPr>
        <w:t>本號解釋雖然侷限於調閱偵查卷證與文件原本內容相同之影本者，應經立法院院會決議，惟如此解釋，恐導致不論偵查卷證之全部或一部分，只其中一、二頁之文書影本，甚或檢察機關以外之其他行政機關所保管文件全部或一部之影本（本號解釋只侷限在偵查卷證而為論述），均仍須立法院院會同意。本席以為，立法院代表民意監督政府機關之施政，既然釋字第三二五號、第五八五號解釋已確認立法院為行使憲法所賦予之立法職權，而擁有文件調閱權（包括要求提供參考資料權，以下簡稱文件調閱權），則此項文件調閱權之行使要件實不宜限制過嚴。如動輒須經立法院院會同意，則很容易受政治爭鬥影響，苟多數黨因某種特定因素考量而不願調閱，少數黨立法委員之文件調閱權恐被封殺。故如連調閱偵查卷宗或其他行政機關所保管文件其中一小部分，仍須立法院院會同意，本席認為限制過嚴。雖本號解釋多數意見認為須與原本內容相同之影本，始須經立法院院會同意，惟影本內容必然與原本相同，否則影本即有可能係偽造或變造，故以影本須與原本內容相同為要件，實無意義。又因立法院委員會委員人數較少，如僅由極少數委員同意，即可決</w:t>
      </w:r>
      <w:r w:rsidRPr="00126D74">
        <w:rPr>
          <w:rFonts w:hAnsi="標楷體"/>
          <w:spacing w:val="4"/>
          <w:sz w:val="28"/>
          <w:szCs w:val="28"/>
        </w:rPr>
        <w:lastRenderedPageBreak/>
        <w:t>議調閱偵查卷宗全部影本，實亦形同規避調閱文件原本須經立法院院會同意之結果，此亦不可不加顧慮。</w:t>
      </w:r>
    </w:p>
    <w:p w:rsidR="00A2056D" w:rsidRPr="00126D74" w:rsidRDefault="00A2056D" w:rsidP="00FA07E6">
      <w:pPr>
        <w:snapToGrid w:val="0"/>
        <w:spacing w:line="391" w:lineRule="exact"/>
        <w:ind w:left="595" w:firstLineChars="200" w:firstLine="576"/>
        <w:jc w:val="both"/>
        <w:rPr>
          <w:spacing w:val="4"/>
          <w:sz w:val="28"/>
          <w:szCs w:val="28"/>
        </w:rPr>
      </w:pPr>
      <w:r w:rsidRPr="00126D74">
        <w:rPr>
          <w:rFonts w:hAnsi="標楷體"/>
          <w:spacing w:val="4"/>
          <w:sz w:val="28"/>
          <w:szCs w:val="28"/>
        </w:rPr>
        <w:t>本席以為釋字第三二五號解釋及立法院職權行使法第四十五條第二項規定已清楚表示調閱文件之原本，始須經立法院院會同意，既特別載明文件原本，自係有意排除影本，如何能因影本與原本內容相同，或以偽造、變造文書影本與偽造、變造文書原本所負罪責相同為由，而謂調閱文件影本仍須立法院院會同意</w:t>
      </w:r>
      <w:r w:rsidRPr="00126D74">
        <w:rPr>
          <w:rFonts w:hAnsi="標楷體" w:hint="eastAsia"/>
          <w:sz w:val="22"/>
          <w:szCs w:val="22"/>
        </w:rPr>
        <w:t>（註</w:t>
      </w:r>
      <w:r>
        <w:rPr>
          <w:rFonts w:hAnsi="標楷體" w:hint="eastAsia"/>
          <w:sz w:val="22"/>
          <w:szCs w:val="22"/>
        </w:rPr>
        <w:t>二</w:t>
      </w:r>
      <w:r w:rsidRPr="00126D74">
        <w:rPr>
          <w:rFonts w:hAnsi="標楷體" w:hint="eastAsia"/>
          <w:sz w:val="22"/>
          <w:szCs w:val="22"/>
        </w:rPr>
        <w:t>）</w:t>
      </w:r>
      <w:r w:rsidRPr="00126D74">
        <w:rPr>
          <w:rFonts w:hAnsi="標楷體"/>
          <w:spacing w:val="4"/>
          <w:sz w:val="28"/>
          <w:szCs w:val="28"/>
        </w:rPr>
        <w:t>。文件（包括偵查卷證）影本，仍應視為參考資料，如調閱該文件之全部影本，尤其是本件偵查卷證之全部影本，受調閱之機關應可以因影本所表彰文書之內容與原本相同，如僅由立法院委員會極少數委員決議，形同意在規避調閱原本須經立法院院會決議之規定，即可以有正當理由為由加以拒絕。蓋釋字第三二五號解釋及立法院職權行使法第四十七條第一項前段，並未界定有其他正當理由得拒絕之情形，解釋上凡不符合本號解釋所定調閱文件之要件，諸如調閱尚在偵查中之卷證，或調閱卷證與立法院之行使憲法上職權並無重大關聯，或釋字第三二五號解釋所指國家機關獨立行使職權受憲法保障者之情形，或釋字第五八五號解釋所指屬行政權本質所具有之行政特權等，均屬於有正當理由得拒絕調閱之情形。故如立法院委員會要求提供文件全部影本，如客觀上可認為形同規避調閱文件原本須經立法院院會決議之規定，受調閱之機關自得以有正當理由為由，而拒絕調閱。綜上所述，本席不贊同本號解釋以影本與原本內容相同為由，不論係調閱文件之全部或一部，一律認為調閱文件影本，均仍須經立法院院會之決議，始得為之之結論。如果認為調閱文件全部或一部之影本，仍須經立法院院會決議，則宜由立法院修正相關法條，以為明確之規範。</w:t>
      </w:r>
    </w:p>
    <w:p w:rsidR="00A2056D" w:rsidRPr="00126D74" w:rsidRDefault="00A2056D" w:rsidP="00A2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91" w:lineRule="exact"/>
        <w:ind w:left="561" w:hangingChars="200" w:hanging="561"/>
        <w:rPr>
          <w:b/>
          <w:color w:val="000000"/>
          <w:sz w:val="28"/>
          <w:szCs w:val="28"/>
        </w:rPr>
      </w:pPr>
      <w:r w:rsidRPr="00126D74">
        <w:rPr>
          <w:rFonts w:hAnsi="標楷體"/>
          <w:b/>
          <w:color w:val="000000"/>
          <w:sz w:val="28"/>
          <w:szCs w:val="28"/>
        </w:rPr>
        <w:t>四、立法院文件調閱權與其個案調查權，是否可明確區隔</w:t>
      </w:r>
    </w:p>
    <w:p w:rsidR="00A2056D" w:rsidRPr="00126D74" w:rsidRDefault="00A2056D" w:rsidP="00FA07E6">
      <w:pPr>
        <w:snapToGrid w:val="0"/>
        <w:spacing w:line="391" w:lineRule="exact"/>
        <w:ind w:left="595" w:firstLineChars="200" w:firstLine="576"/>
        <w:jc w:val="both"/>
        <w:rPr>
          <w:color w:val="000000"/>
          <w:sz w:val="28"/>
          <w:szCs w:val="28"/>
        </w:rPr>
      </w:pPr>
      <w:r w:rsidRPr="00126D74">
        <w:rPr>
          <w:rFonts w:hAnsi="標楷體"/>
          <w:spacing w:val="4"/>
          <w:sz w:val="28"/>
          <w:szCs w:val="28"/>
        </w:rPr>
        <w:t>本件解釋討論中，有大法官主張釋字第三二五號係就立法院文件調閱權而為解釋，與釋字第五八五號則專就立法院個案之調查權而為解釋，二者截然不同，不可混為一談，致本號解釋全未引用釋字第五八五號解釋之意旨。本席對此持不同看法，本席認為立法院文書調閱權，亦屬立法院調查權之一環，不論文件調閱權或個案調查權，均屬立法院之調查權，此從釋字第五八五號解釋所謂「</w:t>
      </w:r>
      <w:r w:rsidRPr="00126D74">
        <w:rPr>
          <w:rFonts w:hAnsi="標楷體"/>
          <w:color w:val="000000"/>
          <w:sz w:val="28"/>
          <w:szCs w:val="28"/>
        </w:rPr>
        <w:t>立法院為有效行使憲法所賦予之立法職權，本其固有之權能自得享有一定之調查權，主動獲取行使職權所需之相關資訊，俾能充分思辯，審慎決定，以善盡民意機關之職責，發揮權力分立與制衡之機能。」「立法院調查權行使之方式，並不以要求有關機關就立法院行使職權所涉及事項提供參考資料或向有關機關調閱文件原本之文件調閱權為限，必要時並得經院會決議，要求與調查事項相關之人民或政府人員，陳述證言或表示意見」，該號解釋乃進而補充釋字第三二五號</w:t>
      </w:r>
      <w:r w:rsidRPr="00126D74">
        <w:rPr>
          <w:rFonts w:hAnsi="標楷體"/>
          <w:color w:val="000000"/>
          <w:sz w:val="28"/>
          <w:szCs w:val="28"/>
        </w:rPr>
        <w:lastRenderedPageBreak/>
        <w:t>解釋。釋字第五八五號解釋所謂立法院行使調查權時，自得要求有關機關就立法院行使職權所涉及事項提供參考資料，或向有關機關調閱文件原本，正係釋字第三二五號解釋所闡述之內容。是立法院調查權自可包含文件調閱權，如何能謂釋字第三二五號解釋之立法院文件調閱權與釋字第五八五號解釋之立法院個案調查權截然不同。</w:t>
      </w:r>
    </w:p>
    <w:p w:rsidR="00A2056D" w:rsidRPr="00126D74" w:rsidRDefault="00A2056D" w:rsidP="00A20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91" w:lineRule="exact"/>
        <w:ind w:left="561" w:hangingChars="200" w:hanging="561"/>
        <w:rPr>
          <w:b/>
          <w:color w:val="000000"/>
          <w:sz w:val="28"/>
          <w:szCs w:val="28"/>
        </w:rPr>
      </w:pPr>
      <w:r w:rsidRPr="00126D74">
        <w:rPr>
          <w:rFonts w:hAnsi="標楷體"/>
          <w:b/>
          <w:color w:val="000000"/>
          <w:sz w:val="28"/>
          <w:szCs w:val="28"/>
        </w:rPr>
        <w:t>五、立法院或相關機關應儘速制定由司法機關審理解決立法院行使調查權與受調閱機關爭議之法律機制</w:t>
      </w:r>
    </w:p>
    <w:p w:rsidR="00A2056D" w:rsidRPr="00126D74" w:rsidRDefault="00A2056D" w:rsidP="00FA07E6">
      <w:pPr>
        <w:snapToGrid w:val="0"/>
        <w:spacing w:line="391" w:lineRule="exact"/>
        <w:ind w:left="595" w:firstLineChars="200" w:firstLine="576"/>
        <w:jc w:val="both"/>
        <w:rPr>
          <w:color w:val="000000"/>
          <w:sz w:val="28"/>
          <w:szCs w:val="28"/>
        </w:rPr>
      </w:pPr>
      <w:r w:rsidRPr="00126D74">
        <w:rPr>
          <w:rFonts w:hAnsi="標楷體"/>
          <w:spacing w:val="4"/>
          <w:sz w:val="28"/>
          <w:szCs w:val="28"/>
        </w:rPr>
        <w:t>釋字第五八五號解釋已明示「</w:t>
      </w:r>
      <w:r w:rsidRPr="00126D74">
        <w:rPr>
          <w:rFonts w:hAnsi="標楷體"/>
          <w:color w:val="000000"/>
          <w:sz w:val="28"/>
          <w:szCs w:val="28"/>
        </w:rPr>
        <w:t>如於具體案件，就所調查事項是否屬於國家機關獨立行使職權或行政特權之範疇，或就屬於行政特權之資訊應否接受調查或公開而有爭執時，立法院與其他國家機關宜循合理之途徑協商解決，或以法律明定相關要件與程序，由司法機關審理解決之。」該號解釋於</w:t>
      </w:r>
      <w:smartTag w:uri="urn:schemas-microsoft-com:office:smarttags" w:element="chsdate">
        <w:smartTagPr>
          <w:attr w:name="IsROCDate" w:val="True"/>
          <w:attr w:name="IsLunarDate" w:val="False"/>
          <w:attr w:name="Day" w:val="15"/>
          <w:attr w:name="Month" w:val="12"/>
          <w:attr w:name="Year" w:val="2004"/>
        </w:smartTagPr>
        <w:r w:rsidRPr="00126D74">
          <w:rPr>
            <w:rFonts w:hAnsi="標楷體"/>
            <w:color w:val="000000"/>
            <w:sz w:val="28"/>
            <w:szCs w:val="28"/>
          </w:rPr>
          <w:t>民國九十三年十二月十五日</w:t>
        </w:r>
      </w:smartTag>
      <w:r w:rsidRPr="00126D74">
        <w:rPr>
          <w:rFonts w:hAnsi="標楷體"/>
          <w:color w:val="000000"/>
          <w:sz w:val="28"/>
          <w:szCs w:val="28"/>
        </w:rPr>
        <w:t>公布，</w:t>
      </w:r>
      <w:r w:rsidRPr="00FA07E6">
        <w:rPr>
          <w:rFonts w:hAnsi="標楷體"/>
          <w:spacing w:val="4"/>
          <w:sz w:val="28"/>
          <w:szCs w:val="28"/>
        </w:rPr>
        <w:t>迄今</w:t>
      </w:r>
      <w:r w:rsidRPr="00126D74">
        <w:rPr>
          <w:rFonts w:hAnsi="標楷體"/>
          <w:color w:val="000000"/>
          <w:sz w:val="28"/>
          <w:szCs w:val="28"/>
        </w:rPr>
        <w:t>已屆十年餘，立法院仍未制定由司法機關審理解決之法律機制。本號解釋理由書第六段固參考釋字第五八五號解釋上開文字（惟未載明參照該號解釋意旨），再指明主管機關應儘速建立上開機制，誠如本號解釋理由書第六段所載爭議之情形，有些是較偏向於事實認定之爭議，例如是否基於與立法院憲法上職權之特定議案有重大關聯者，是否屬於法律所禁止調閱之範圍，是否依法定組織及程序調閱，拒絕調閱有無正當理由等，實由司法審判機關審理認定即可，而不須一有爭議即聲請本院解釋。立法院如不欲制定新法，亦可於修正立法院職權行使法，或修正行政訴訟法，建立解決上開爭議之法律機制。</w:t>
      </w:r>
    </w:p>
    <w:p w:rsidR="00A2056D" w:rsidRPr="00620DB4" w:rsidRDefault="00A2056D" w:rsidP="00A2056D">
      <w:pPr>
        <w:overflowPunct w:val="0"/>
        <w:spacing w:line="391" w:lineRule="exact"/>
        <w:ind w:left="682" w:hangingChars="310" w:hanging="682"/>
        <w:jc w:val="both"/>
        <w:rPr>
          <w:rFonts w:ascii="標楷體" w:hAnsi="標楷體"/>
          <w:color w:val="000000"/>
          <w:sz w:val="22"/>
          <w:szCs w:val="22"/>
        </w:rPr>
      </w:pPr>
      <w:r w:rsidRPr="00620DB4">
        <w:rPr>
          <w:rFonts w:ascii="標楷體" w:hAnsi="標楷體" w:hint="eastAsia"/>
          <w:color w:val="000000"/>
          <w:sz w:val="22"/>
          <w:szCs w:val="22"/>
        </w:rPr>
        <w:t>註一：</w:t>
      </w:r>
      <w:r w:rsidRPr="00620DB4">
        <w:rPr>
          <w:rFonts w:hint="eastAsia"/>
          <w:sz w:val="22"/>
          <w:szCs w:val="22"/>
        </w:rPr>
        <w:t>立法院</w:t>
      </w:r>
      <w:r w:rsidRPr="00A2056D">
        <w:rPr>
          <w:rFonts w:ascii="標楷體" w:hAnsi="標楷體" w:hint="eastAsia"/>
          <w:sz w:val="22"/>
          <w:szCs w:val="22"/>
        </w:rPr>
        <w:t>秘書長</w:t>
      </w:r>
      <w:r w:rsidRPr="00620DB4">
        <w:rPr>
          <w:rFonts w:hint="eastAsia"/>
          <w:sz w:val="22"/>
          <w:szCs w:val="22"/>
        </w:rPr>
        <w:t>103</w:t>
      </w:r>
      <w:r w:rsidRPr="00620DB4">
        <w:rPr>
          <w:rFonts w:hint="eastAsia"/>
          <w:sz w:val="22"/>
          <w:szCs w:val="22"/>
        </w:rPr>
        <w:t>年</w:t>
      </w:r>
      <w:r w:rsidRPr="00620DB4">
        <w:rPr>
          <w:rFonts w:hint="eastAsia"/>
          <w:sz w:val="22"/>
          <w:szCs w:val="22"/>
        </w:rPr>
        <w:t>5</w:t>
      </w:r>
      <w:r w:rsidRPr="00620DB4">
        <w:rPr>
          <w:rFonts w:hint="eastAsia"/>
          <w:sz w:val="22"/>
          <w:szCs w:val="22"/>
        </w:rPr>
        <w:t>月</w:t>
      </w:r>
      <w:r w:rsidRPr="00620DB4">
        <w:rPr>
          <w:rFonts w:hint="eastAsia"/>
          <w:sz w:val="22"/>
          <w:szCs w:val="22"/>
        </w:rPr>
        <w:t>7</w:t>
      </w:r>
      <w:r w:rsidRPr="00620DB4">
        <w:rPr>
          <w:rFonts w:hint="eastAsia"/>
          <w:sz w:val="22"/>
          <w:szCs w:val="22"/>
        </w:rPr>
        <w:t>日台立院司字第</w:t>
      </w:r>
      <w:r w:rsidRPr="00620DB4">
        <w:rPr>
          <w:rFonts w:hint="eastAsia"/>
          <w:sz w:val="22"/>
          <w:szCs w:val="22"/>
        </w:rPr>
        <w:t>1034300280</w:t>
      </w:r>
      <w:r w:rsidRPr="00620DB4">
        <w:rPr>
          <w:rFonts w:hint="eastAsia"/>
          <w:sz w:val="22"/>
          <w:szCs w:val="22"/>
        </w:rPr>
        <w:t>號函參照。</w:t>
      </w:r>
    </w:p>
    <w:p w:rsidR="00A2056D" w:rsidRPr="00620DB4" w:rsidRDefault="00A2056D" w:rsidP="00A2056D">
      <w:pPr>
        <w:overflowPunct w:val="0"/>
        <w:spacing w:line="391" w:lineRule="exact"/>
        <w:ind w:left="682" w:hangingChars="310" w:hanging="682"/>
        <w:jc w:val="both"/>
        <w:rPr>
          <w:rFonts w:ascii="標楷體" w:hAnsi="標楷體"/>
          <w:color w:val="000000"/>
          <w:sz w:val="22"/>
          <w:szCs w:val="22"/>
        </w:rPr>
      </w:pPr>
      <w:r w:rsidRPr="00620DB4">
        <w:rPr>
          <w:rFonts w:ascii="標楷體" w:hAnsi="標楷體" w:hint="eastAsia"/>
          <w:color w:val="000000"/>
          <w:sz w:val="22"/>
          <w:szCs w:val="22"/>
        </w:rPr>
        <w:t>註二：</w:t>
      </w:r>
      <w:r w:rsidRPr="00620DB4">
        <w:rPr>
          <w:rFonts w:hint="eastAsia"/>
          <w:sz w:val="22"/>
          <w:szCs w:val="22"/>
        </w:rPr>
        <w:t>立法院為制定立法院職權行使法之主管機關，其既已函示，立法院職權行使法第</w:t>
      </w:r>
      <w:r w:rsidRPr="00620DB4">
        <w:rPr>
          <w:rFonts w:hint="eastAsia"/>
          <w:sz w:val="22"/>
          <w:szCs w:val="22"/>
        </w:rPr>
        <w:t>45</w:t>
      </w:r>
      <w:r w:rsidRPr="00620DB4">
        <w:rPr>
          <w:rFonts w:hint="eastAsia"/>
          <w:sz w:val="22"/>
          <w:szCs w:val="22"/>
        </w:rPr>
        <w:t>條第</w:t>
      </w:r>
      <w:r w:rsidRPr="00620DB4">
        <w:rPr>
          <w:rFonts w:hint="eastAsia"/>
          <w:sz w:val="22"/>
          <w:szCs w:val="22"/>
        </w:rPr>
        <w:t>2</w:t>
      </w:r>
      <w:r w:rsidRPr="00620DB4">
        <w:rPr>
          <w:rFonts w:hint="eastAsia"/>
          <w:sz w:val="22"/>
          <w:szCs w:val="22"/>
        </w:rPr>
        <w:t>項規定之文件須原本，始須經立法院院會決議，然本案係向最高法院檢察署調閱該署</w:t>
      </w:r>
      <w:r w:rsidRPr="000060A8">
        <w:rPr>
          <w:sz w:val="22"/>
          <w:szCs w:val="22"/>
        </w:rPr>
        <w:t>100</w:t>
      </w:r>
      <w:r w:rsidRPr="00620DB4">
        <w:rPr>
          <w:rFonts w:hint="eastAsia"/>
          <w:sz w:val="22"/>
          <w:szCs w:val="22"/>
        </w:rPr>
        <w:t>年度特他字第</w:t>
      </w:r>
      <w:r w:rsidRPr="00620DB4">
        <w:rPr>
          <w:rFonts w:hint="eastAsia"/>
          <w:sz w:val="22"/>
          <w:szCs w:val="22"/>
        </w:rPr>
        <w:t>61</w:t>
      </w:r>
      <w:r w:rsidRPr="00620DB4">
        <w:rPr>
          <w:rFonts w:hint="eastAsia"/>
          <w:sz w:val="22"/>
          <w:szCs w:val="22"/>
        </w:rPr>
        <w:t>號</w:t>
      </w:r>
      <w:r w:rsidR="000060A8">
        <w:rPr>
          <w:rFonts w:hint="eastAsia"/>
          <w:sz w:val="22"/>
          <w:szCs w:val="22"/>
        </w:rPr>
        <w:t>偵查卷證</w:t>
      </w:r>
      <w:r w:rsidRPr="00620DB4">
        <w:rPr>
          <w:rFonts w:hint="eastAsia"/>
          <w:sz w:val="22"/>
          <w:szCs w:val="22"/>
        </w:rPr>
        <w:t>影本，自毋須經院會決議，如註</w:t>
      </w:r>
      <w:r w:rsidR="00971F77">
        <w:rPr>
          <w:rFonts w:hint="eastAsia"/>
          <w:sz w:val="22"/>
          <w:szCs w:val="22"/>
        </w:rPr>
        <w:t>一</w:t>
      </w:r>
      <w:r w:rsidRPr="00620DB4">
        <w:rPr>
          <w:rFonts w:hint="eastAsia"/>
          <w:sz w:val="22"/>
          <w:szCs w:val="22"/>
        </w:rPr>
        <w:t>，主管機關之立法原意實應予適度尊重。</w:t>
      </w:r>
    </w:p>
    <w:p w:rsidR="00C23706" w:rsidRPr="00A2056D" w:rsidRDefault="00C23706" w:rsidP="00DF4DD3">
      <w:pPr>
        <w:overflowPunct w:val="0"/>
        <w:spacing w:line="391" w:lineRule="exact"/>
        <w:ind w:left="682" w:hangingChars="310" w:hanging="682"/>
        <w:jc w:val="both"/>
        <w:rPr>
          <w:rFonts w:hAnsi="標楷體" w:hint="eastAsia"/>
          <w:sz w:val="22"/>
          <w:szCs w:val="22"/>
        </w:rPr>
      </w:pPr>
    </w:p>
    <w:p w:rsidR="001175B9" w:rsidRPr="00E05347" w:rsidRDefault="001175B9" w:rsidP="00BC288B">
      <w:pPr>
        <w:overflowPunct w:val="0"/>
        <w:spacing w:line="391" w:lineRule="exact"/>
        <w:ind w:left="964" w:right="567"/>
        <w:jc w:val="distribute"/>
        <w:rPr>
          <w:color w:val="000000"/>
          <w:sz w:val="28"/>
          <w:szCs w:val="28"/>
        </w:rPr>
      </w:pPr>
      <w:r w:rsidRPr="00E05347">
        <w:rPr>
          <w:rFonts w:ascii="華康粗黑體" w:eastAsia="華康粗黑體" w:hAnsi="標楷體" w:hint="eastAsia"/>
          <w:color w:val="000000"/>
          <w:sz w:val="28"/>
          <w:szCs w:val="28"/>
        </w:rPr>
        <w:t>部分協同</w:t>
      </w:r>
      <w:r w:rsidR="000060A8">
        <w:rPr>
          <w:rFonts w:ascii="華康粗黑體" w:eastAsia="華康粗黑體" w:hAnsi="標楷體" w:hint="eastAsia"/>
          <w:color w:val="000000"/>
          <w:sz w:val="28"/>
          <w:szCs w:val="28"/>
        </w:rPr>
        <w:t>、部</w:t>
      </w:r>
      <w:r w:rsidRPr="00E05347">
        <w:rPr>
          <w:rFonts w:ascii="華康粗黑體" w:eastAsia="華康粗黑體" w:hAnsi="標楷體" w:hint="eastAsia"/>
          <w:color w:val="000000"/>
          <w:sz w:val="28"/>
          <w:szCs w:val="28"/>
        </w:rPr>
        <w:t>分不同意見書</w:t>
      </w:r>
      <w:r w:rsidRPr="00E05347">
        <w:rPr>
          <w:rFonts w:hAnsi="標楷體" w:hint="eastAsia"/>
          <w:color w:val="000000"/>
          <w:sz w:val="28"/>
          <w:szCs w:val="28"/>
        </w:rPr>
        <w:t xml:space="preserve">　　</w:t>
      </w:r>
      <w:r>
        <w:rPr>
          <w:rFonts w:hAnsi="標楷體" w:hint="eastAsia"/>
          <w:color w:val="000000"/>
          <w:sz w:val="28"/>
          <w:szCs w:val="28"/>
        </w:rPr>
        <w:t xml:space="preserve">　　　　　　</w:t>
      </w:r>
      <w:r w:rsidRPr="00E05347">
        <w:rPr>
          <w:rFonts w:hAnsi="標楷體"/>
          <w:color w:val="000000"/>
          <w:sz w:val="28"/>
          <w:szCs w:val="28"/>
        </w:rPr>
        <w:t>陳新民大法官</w:t>
      </w:r>
      <w:r w:rsidRPr="00E05347">
        <w:rPr>
          <w:rFonts w:hAnsi="標楷體" w:hint="eastAsia"/>
          <w:color w:val="000000"/>
          <w:sz w:val="28"/>
          <w:szCs w:val="28"/>
        </w:rPr>
        <w:t xml:space="preserve">　</w:t>
      </w:r>
      <w:r w:rsidRPr="00BC288B">
        <w:rPr>
          <w:rFonts w:hAnsi="標楷體"/>
          <w:kern w:val="0"/>
          <w:sz w:val="28"/>
          <w:szCs w:val="28"/>
        </w:rPr>
        <w:t>提出</w:t>
      </w:r>
    </w:p>
    <w:p w:rsidR="001175B9" w:rsidRPr="007D12A1" w:rsidRDefault="001175B9" w:rsidP="001175B9">
      <w:pPr>
        <w:overflowPunct w:val="0"/>
        <w:adjustRightInd w:val="0"/>
        <w:snapToGrid w:val="0"/>
        <w:spacing w:line="391" w:lineRule="exact"/>
        <w:ind w:firstLineChars="200" w:firstLine="561"/>
        <w:jc w:val="both"/>
        <w:textAlignment w:val="baseline"/>
        <w:rPr>
          <w:b/>
          <w:color w:val="000000"/>
          <w:sz w:val="28"/>
          <w:szCs w:val="28"/>
        </w:rPr>
      </w:pPr>
      <w:r w:rsidRPr="007D12A1">
        <w:rPr>
          <w:rFonts w:hAnsi="標楷體"/>
          <w:b/>
          <w:color w:val="000000"/>
          <w:sz w:val="28"/>
          <w:szCs w:val="28"/>
        </w:rPr>
        <w:t>國會若欠缺對事實的調查權，當導致其必會合憲地作出外行，且</w:t>
      </w:r>
      <w:r w:rsidRPr="007D12A1">
        <w:rPr>
          <w:rFonts w:ascii="標楷體" w:hAnsi="標楷體"/>
          <w:b/>
          <w:sz w:val="28"/>
          <w:szCs w:val="28"/>
        </w:rPr>
        <w:t>愚笨</w:t>
      </w:r>
      <w:r w:rsidRPr="007D12A1">
        <w:rPr>
          <w:rFonts w:hAnsi="標楷體"/>
          <w:b/>
          <w:color w:val="000000"/>
          <w:sz w:val="28"/>
          <w:szCs w:val="28"/>
        </w:rPr>
        <w:t>的判斷。</w:t>
      </w:r>
    </w:p>
    <w:p w:rsidR="001175B9" w:rsidRPr="007D12A1" w:rsidRDefault="001175B9" w:rsidP="001175B9">
      <w:pPr>
        <w:overflowPunct w:val="0"/>
        <w:adjustRightInd w:val="0"/>
        <w:snapToGrid w:val="0"/>
        <w:spacing w:line="391" w:lineRule="exact"/>
        <w:ind w:left="318" w:right="318"/>
        <w:jc w:val="right"/>
        <w:textAlignment w:val="baseline"/>
        <w:rPr>
          <w:b/>
          <w:color w:val="000000"/>
          <w:sz w:val="28"/>
          <w:szCs w:val="28"/>
        </w:rPr>
      </w:pPr>
      <w:r w:rsidRPr="007D12A1">
        <w:rPr>
          <w:rFonts w:hAnsi="標楷體"/>
          <w:b/>
          <w:color w:val="000000"/>
          <w:sz w:val="28"/>
          <w:szCs w:val="28"/>
        </w:rPr>
        <w:t>德國大社會學家</w:t>
      </w:r>
      <w:r w:rsidRPr="007D12A1">
        <w:rPr>
          <w:rFonts w:hint="eastAsia"/>
          <w:b/>
          <w:color w:val="000000"/>
          <w:sz w:val="28"/>
          <w:szCs w:val="28"/>
        </w:rPr>
        <w:t xml:space="preserve">　</w:t>
      </w:r>
      <w:r w:rsidRPr="007D12A1">
        <w:rPr>
          <w:rFonts w:hAnsi="標楷體"/>
          <w:b/>
          <w:color w:val="000000"/>
          <w:sz w:val="28"/>
          <w:szCs w:val="28"/>
        </w:rPr>
        <w:t>馬克斯‧韋伯</w:t>
      </w:r>
    </w:p>
    <w:p w:rsidR="001175B9" w:rsidRPr="007D12A1" w:rsidRDefault="001175B9" w:rsidP="001175B9">
      <w:pPr>
        <w:overflowPunct w:val="0"/>
        <w:adjustRightInd w:val="0"/>
        <w:snapToGrid w:val="0"/>
        <w:spacing w:line="391" w:lineRule="exact"/>
        <w:ind w:firstLineChars="200" w:firstLine="561"/>
        <w:jc w:val="both"/>
        <w:textAlignment w:val="baseline"/>
        <w:rPr>
          <w:b/>
          <w:color w:val="000000"/>
          <w:sz w:val="28"/>
          <w:szCs w:val="28"/>
        </w:rPr>
      </w:pPr>
      <w:r w:rsidRPr="007D12A1">
        <w:rPr>
          <w:rFonts w:hAnsi="標楷體"/>
          <w:b/>
          <w:color w:val="000000"/>
          <w:sz w:val="28"/>
          <w:szCs w:val="28"/>
        </w:rPr>
        <w:t>認為毋庸透過正當程序，即可揭露真相，乃最危險不過的想法。</w:t>
      </w:r>
    </w:p>
    <w:p w:rsidR="001175B9" w:rsidRPr="007D12A1" w:rsidRDefault="001175B9" w:rsidP="001175B9">
      <w:pPr>
        <w:overflowPunct w:val="0"/>
        <w:adjustRightInd w:val="0"/>
        <w:snapToGrid w:val="0"/>
        <w:spacing w:line="391" w:lineRule="exact"/>
        <w:ind w:left="318" w:right="318"/>
        <w:jc w:val="right"/>
        <w:textAlignment w:val="baseline"/>
        <w:rPr>
          <w:b/>
          <w:color w:val="000000"/>
          <w:sz w:val="28"/>
          <w:szCs w:val="28"/>
        </w:rPr>
      </w:pPr>
      <w:r w:rsidRPr="007D12A1">
        <w:rPr>
          <w:rFonts w:hAnsi="標楷體"/>
          <w:b/>
          <w:color w:val="000000"/>
          <w:sz w:val="28"/>
          <w:szCs w:val="28"/>
        </w:rPr>
        <w:t>美國著名法學家</w:t>
      </w:r>
      <w:r w:rsidRPr="007D12A1">
        <w:rPr>
          <w:rFonts w:hint="eastAsia"/>
          <w:b/>
          <w:color w:val="000000"/>
          <w:sz w:val="28"/>
          <w:szCs w:val="28"/>
        </w:rPr>
        <w:t xml:space="preserve">　</w:t>
      </w:r>
      <w:r w:rsidRPr="007D12A1">
        <w:rPr>
          <w:rFonts w:hAnsi="標楷體"/>
          <w:b/>
          <w:color w:val="000000"/>
          <w:sz w:val="28"/>
          <w:szCs w:val="28"/>
        </w:rPr>
        <w:t>亞倫‧德蕭維茲</w:t>
      </w:r>
    </w:p>
    <w:p w:rsidR="001175B9" w:rsidRPr="004E344C" w:rsidRDefault="001175B9" w:rsidP="00FA07E6">
      <w:pPr>
        <w:spacing w:line="391" w:lineRule="exact"/>
        <w:ind w:firstLineChars="200" w:firstLine="560"/>
        <w:jc w:val="both"/>
        <w:rPr>
          <w:color w:val="000000"/>
          <w:sz w:val="28"/>
          <w:szCs w:val="28"/>
        </w:rPr>
      </w:pPr>
      <w:r w:rsidRPr="004E344C">
        <w:rPr>
          <w:rFonts w:hAnsi="標楷體"/>
          <w:color w:val="000000"/>
          <w:sz w:val="28"/>
          <w:szCs w:val="28"/>
        </w:rPr>
        <w:t>本號解釋多數意見認為，對於已偵查終結而不起訴確定或未經起訴而以其他方式結案之案件卷證，只要在一定的條件下，即許可立法院調閱，以供其行使憲法所定職權所需之用。這是有效提升立法品質，加強民意監督的必要手段，且合乎法治國家之原則。對此結論，本席敬表支持。</w:t>
      </w:r>
    </w:p>
    <w:p w:rsidR="001175B9" w:rsidRPr="004E344C" w:rsidRDefault="001175B9" w:rsidP="00FA07E6">
      <w:pPr>
        <w:spacing w:line="391" w:lineRule="exact"/>
        <w:ind w:firstLineChars="200" w:firstLine="560"/>
        <w:jc w:val="both"/>
        <w:rPr>
          <w:color w:val="000000"/>
          <w:sz w:val="28"/>
          <w:szCs w:val="28"/>
        </w:rPr>
      </w:pPr>
      <w:r w:rsidRPr="004E344C">
        <w:rPr>
          <w:rFonts w:hAnsi="標楷體"/>
          <w:color w:val="000000"/>
          <w:sz w:val="28"/>
          <w:szCs w:val="28"/>
        </w:rPr>
        <w:lastRenderedPageBreak/>
        <w:t>然而，本席認為多數意見在解釋方法論上，猶有兩處未盡妥適之處。</w:t>
      </w:r>
    </w:p>
    <w:p w:rsidR="001175B9" w:rsidRPr="004E344C" w:rsidRDefault="001175B9" w:rsidP="00FA07E6">
      <w:pPr>
        <w:spacing w:line="391" w:lineRule="exact"/>
        <w:ind w:firstLineChars="200" w:firstLine="560"/>
        <w:jc w:val="both"/>
        <w:rPr>
          <w:color w:val="000000"/>
          <w:sz w:val="28"/>
          <w:szCs w:val="28"/>
        </w:rPr>
      </w:pPr>
      <w:r w:rsidRPr="004E344C">
        <w:rPr>
          <w:rFonts w:hAnsi="標楷體"/>
          <w:color w:val="000000"/>
          <w:sz w:val="28"/>
          <w:szCs w:val="28"/>
        </w:rPr>
        <w:t>首先，多數意見乃「畫地自限」專就釋字第三二五號解釋之文件調閱權，作為本號解釋的標的，並且只以該號解釋所樹立的原則作為論究基準，且作成「補充」該號解釋之結論。</w:t>
      </w:r>
    </w:p>
    <w:p w:rsidR="001175B9" w:rsidRPr="004E344C" w:rsidRDefault="001175B9" w:rsidP="001175B9">
      <w:pPr>
        <w:spacing w:line="391" w:lineRule="exact"/>
        <w:ind w:firstLineChars="177" w:firstLine="496"/>
        <w:jc w:val="both"/>
        <w:rPr>
          <w:color w:val="000000"/>
          <w:sz w:val="28"/>
          <w:szCs w:val="28"/>
        </w:rPr>
      </w:pPr>
      <w:r w:rsidRPr="004E344C">
        <w:rPr>
          <w:rFonts w:hAnsi="標楷體"/>
          <w:color w:val="000000"/>
          <w:sz w:val="28"/>
          <w:szCs w:val="28"/>
        </w:rPr>
        <w:t>這忽視了立法院調閱卷證，應屬其調查權行使的方式之一，本號解釋即應一併斟酌與賡續釋字第五八五號解釋有關立法院調查權之精神，而不得有意切割之</w:t>
      </w:r>
      <w:r w:rsidRPr="004E344C">
        <w:rPr>
          <w:rFonts w:hAnsi="標楷體" w:hint="eastAsia"/>
          <w:color w:val="000000"/>
          <w:sz w:val="22"/>
          <w:szCs w:val="22"/>
        </w:rPr>
        <w:t>（註一）</w:t>
      </w:r>
      <w:r w:rsidRPr="004E344C">
        <w:rPr>
          <w:rFonts w:hAnsi="標楷體"/>
          <w:color w:val="000000"/>
          <w:sz w:val="28"/>
          <w:szCs w:val="28"/>
        </w:rPr>
        <w:t>。例如，釋字第五八五號解釋所宣示的「行政特權」作為拒絕履行交付卷證或配合調查權行使的法定理由（法律或正當理由），能否一併適用於本號解釋</w:t>
      </w:r>
      <w:r w:rsidRPr="004E344C">
        <w:rPr>
          <w:rFonts w:hAnsi="標楷體" w:hint="eastAsia"/>
          <w:color w:val="000000"/>
          <w:sz w:val="22"/>
          <w:szCs w:val="22"/>
        </w:rPr>
        <w:t>（註</w:t>
      </w:r>
      <w:r>
        <w:rPr>
          <w:rFonts w:hAnsi="標楷體" w:hint="eastAsia"/>
          <w:color w:val="000000"/>
          <w:sz w:val="22"/>
          <w:szCs w:val="22"/>
        </w:rPr>
        <w:t>二</w:t>
      </w:r>
      <w:r w:rsidRPr="004E344C">
        <w:rPr>
          <w:rFonts w:hAnsi="標楷體" w:hint="eastAsia"/>
          <w:color w:val="000000"/>
          <w:sz w:val="22"/>
          <w:szCs w:val="22"/>
        </w:rPr>
        <w:t>）</w:t>
      </w:r>
      <w:r w:rsidRPr="004E344C">
        <w:rPr>
          <w:rFonts w:hAnsi="標楷體"/>
          <w:color w:val="000000"/>
          <w:sz w:val="28"/>
          <w:szCs w:val="28"/>
        </w:rPr>
        <w:t>？多數意見皆未觸及。實則此亦為原因案件中，立法院調閱專案小組所行使的權限內容之一（要求檢察總長率員赴院備詢與答覆調閱事宜），更進而造成聲請人聲請統一解釋之原因也。</w:t>
      </w:r>
    </w:p>
    <w:p w:rsidR="001175B9" w:rsidRPr="004E344C" w:rsidRDefault="001175B9" w:rsidP="001175B9">
      <w:pPr>
        <w:spacing w:line="391" w:lineRule="exact"/>
        <w:ind w:firstLineChars="177" w:firstLine="496"/>
        <w:jc w:val="both"/>
        <w:rPr>
          <w:color w:val="000000"/>
          <w:sz w:val="28"/>
          <w:szCs w:val="28"/>
        </w:rPr>
      </w:pPr>
      <w:r w:rsidRPr="004E344C">
        <w:rPr>
          <w:rFonts w:hAnsi="標楷體"/>
          <w:color w:val="000000"/>
          <w:sz w:val="28"/>
          <w:szCs w:val="28"/>
        </w:rPr>
        <w:t>其次，就解釋標的之範圍而言，本席認為應專就聲請意旨所主張的「偵查終結之案件卷證」為標的（本席稱之為「小解決」方案），並援引「重要關聯理論」，將已裁判確定之審判卷證是否一併許可調閱之爭議納入審查。這是基</w:t>
      </w:r>
      <w:r w:rsidR="000060A8">
        <w:rPr>
          <w:rFonts w:hAnsi="標楷體"/>
          <w:color w:val="000000"/>
          <w:sz w:val="28"/>
          <w:szCs w:val="28"/>
        </w:rPr>
        <w:t>於前者乃本號釋憲聲請人主張之標的，同時專以釋字第三二五號及第五</w:t>
      </w:r>
      <w:r w:rsidR="000060A8">
        <w:rPr>
          <w:rFonts w:hAnsi="標楷體" w:hint="eastAsia"/>
          <w:color w:val="000000"/>
          <w:sz w:val="28"/>
          <w:szCs w:val="28"/>
        </w:rPr>
        <w:t>八</w:t>
      </w:r>
      <w:r w:rsidRPr="004E344C">
        <w:rPr>
          <w:rFonts w:hAnsi="標楷體"/>
          <w:color w:val="000000"/>
          <w:sz w:val="28"/>
          <w:szCs w:val="28"/>
        </w:rPr>
        <w:t>五號解釋之反面解釋，都會獲致不論是偵查終結或裁判確定後的司法案件卷證，都可以調閱的結論。故本席認為本號解釋應集中精力與焦點，專注於此目前仍呈現模糊的問題，來避免會獲得可調閱已裁判確定之卷宗</w:t>
      </w:r>
      <w:r w:rsidR="000060A8">
        <w:rPr>
          <w:rFonts w:hAnsi="標楷體" w:hint="eastAsia"/>
          <w:color w:val="000000"/>
          <w:sz w:val="28"/>
          <w:szCs w:val="28"/>
        </w:rPr>
        <w:t>，</w:t>
      </w:r>
      <w:r w:rsidRPr="004E344C">
        <w:rPr>
          <w:rFonts w:hAnsi="標楷體"/>
          <w:color w:val="000000"/>
          <w:sz w:val="28"/>
          <w:szCs w:val="28"/>
        </w:rPr>
        <w:t>致造成侵犯獨立審判的嚴重後果。</w:t>
      </w:r>
    </w:p>
    <w:p w:rsidR="001175B9" w:rsidRPr="004E344C" w:rsidRDefault="001175B9" w:rsidP="001175B9">
      <w:pPr>
        <w:spacing w:line="391" w:lineRule="exact"/>
        <w:ind w:firstLineChars="177" w:firstLine="496"/>
        <w:jc w:val="both"/>
        <w:rPr>
          <w:color w:val="000000"/>
          <w:sz w:val="28"/>
          <w:szCs w:val="28"/>
        </w:rPr>
      </w:pPr>
      <w:r w:rsidRPr="004E344C">
        <w:rPr>
          <w:rFonts w:hAnsi="標楷體"/>
          <w:color w:val="000000"/>
          <w:sz w:val="28"/>
          <w:szCs w:val="28"/>
        </w:rPr>
        <w:t>雖然多數意見在解釋主文中正確地採行「小解決」為釋憲標的，但卻在解釋理由中採「中解決」模式，將解釋標的擴張至所有的文件調閱，不以司法機關為限。使得其理由之敘述，都形成拘束效力頗有爭議的「傍論」，反而對裁判確定後的審判卷證應否許可調閱，未置一詞，且顯有贊成之</w:t>
      </w:r>
      <w:r w:rsidR="000060A8">
        <w:rPr>
          <w:rFonts w:hAnsi="標楷體" w:hint="eastAsia"/>
          <w:color w:val="000000"/>
          <w:sz w:val="28"/>
          <w:szCs w:val="28"/>
        </w:rPr>
        <w:t>含</w:t>
      </w:r>
      <w:r w:rsidRPr="004E344C">
        <w:rPr>
          <w:rFonts w:hAnsi="標楷體"/>
          <w:color w:val="000000"/>
          <w:sz w:val="28"/>
          <w:szCs w:val="28"/>
        </w:rPr>
        <w:t>意。對此，造成解釋主文與理由間產生「擴張」的質變，首尾不能相顧，使得本號解釋面臨實施上的窒礙，不免引發國會與被調閱機關間的摩擦。本席不無遺憾，謹提出部分協同意見書闡述其理。</w:t>
      </w:r>
    </w:p>
    <w:p w:rsidR="001175B9" w:rsidRPr="004E344C" w:rsidRDefault="001175B9" w:rsidP="001175B9">
      <w:pPr>
        <w:spacing w:line="391" w:lineRule="exact"/>
        <w:ind w:firstLineChars="177" w:firstLine="496"/>
        <w:jc w:val="both"/>
        <w:rPr>
          <w:color w:val="000000"/>
          <w:sz w:val="28"/>
          <w:szCs w:val="28"/>
        </w:rPr>
      </w:pPr>
      <w:r w:rsidRPr="004E344C">
        <w:rPr>
          <w:rFonts w:hAnsi="標楷體"/>
          <w:color w:val="000000"/>
          <w:sz w:val="28"/>
          <w:szCs w:val="28"/>
        </w:rPr>
        <w:t>次而，本號解釋聲請統一解釋案理由之一，乃指摘立法院司法及法制委員會依該院職權行使法第四十五條之規定，以通過之「監聽作業專案小組運作要點」之規定，要求最高法院檢察署檢察總長本人及率同有關人員列席說明，已牴觸法院組織法第六十六條第十項之規定（總長除年度預算及法律案外，無須至立法院列席備詢），故聲請統一解釋。本號解釋多數意見竟認為該要點乃議事運作的內部規範，不對外生效，而非法規為由，予以不受理。就此而言，本席肯認該要點為具有對外效力，且聲請人拒絕配合調閱，致遭移送監察院調查懲戒，此昭昭事實，既不可謂之並無法律效力，且兩方的確呈現出各引法律規定，有矛既有盾，法秩序呈現莫衷一是。故本院應受理之，以澄清現行制度的不明確。爰提出部分不同意見，以申論多數意見之非也。</w:t>
      </w:r>
    </w:p>
    <w:p w:rsidR="001175B9" w:rsidRPr="004E344C" w:rsidRDefault="001175B9" w:rsidP="001175B9">
      <w:pPr>
        <w:spacing w:line="391" w:lineRule="exact"/>
        <w:jc w:val="both"/>
        <w:rPr>
          <w:b/>
          <w:color w:val="000000"/>
          <w:sz w:val="28"/>
          <w:szCs w:val="28"/>
        </w:rPr>
      </w:pPr>
      <w:r>
        <w:rPr>
          <w:rFonts w:hAnsi="標楷體" w:hint="eastAsia"/>
          <w:b/>
          <w:color w:val="000000"/>
          <w:sz w:val="28"/>
          <w:szCs w:val="28"/>
        </w:rPr>
        <w:lastRenderedPageBreak/>
        <w:t>一、</w:t>
      </w:r>
      <w:r w:rsidRPr="004E344C">
        <w:rPr>
          <w:rFonts w:hAnsi="標楷體"/>
          <w:b/>
          <w:color w:val="000000"/>
          <w:sz w:val="28"/>
          <w:szCs w:val="28"/>
        </w:rPr>
        <w:t>方法論的徘徊不定</w:t>
      </w:r>
    </w:p>
    <w:p w:rsidR="001175B9" w:rsidRPr="004E344C" w:rsidRDefault="001175B9" w:rsidP="001175B9">
      <w:pPr>
        <w:kinsoku w:val="0"/>
        <w:overflowPunct w:val="0"/>
        <w:spacing w:line="391" w:lineRule="exact"/>
        <w:ind w:left="1474" w:hanging="879"/>
        <w:jc w:val="both"/>
        <w:rPr>
          <w:b/>
          <w:color w:val="000000"/>
          <w:sz w:val="28"/>
          <w:szCs w:val="28"/>
        </w:rPr>
      </w:pPr>
      <w:r>
        <w:rPr>
          <w:rFonts w:hAnsi="標楷體" w:hint="eastAsia"/>
          <w:b/>
          <w:color w:val="000000"/>
          <w:sz w:val="28"/>
          <w:szCs w:val="28"/>
        </w:rPr>
        <w:t>（一）</w:t>
      </w:r>
      <w:r w:rsidRPr="004E344C">
        <w:rPr>
          <w:rFonts w:hAnsi="標楷體"/>
          <w:b/>
          <w:color w:val="000000"/>
          <w:sz w:val="28"/>
          <w:szCs w:val="28"/>
        </w:rPr>
        <w:t>本號解釋</w:t>
      </w:r>
      <w:r w:rsidRPr="000060A8">
        <w:rPr>
          <w:rFonts w:hAnsi="標楷體"/>
          <w:b/>
          <w:sz w:val="28"/>
          <w:szCs w:val="28"/>
        </w:rPr>
        <w:t>不能</w:t>
      </w:r>
      <w:r w:rsidRPr="004E344C">
        <w:rPr>
          <w:rFonts w:hAnsi="標楷體"/>
          <w:b/>
          <w:color w:val="000000"/>
          <w:sz w:val="28"/>
          <w:szCs w:val="28"/>
        </w:rPr>
        <w:t>刻意切割釋字第五八五號解釋，專就釋字第三二五號解釋之文件調閱權予以補充解釋</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本號解釋文最後兩行，指明本號解釋乃「補充」釋字第三二五號解釋。而不提及比該號解釋更晚十年才作出的釋字第五八五號解釋，可知多數意見乃欲切割該號解釋，才會出現此「補充釋字第三二五</w:t>
      </w:r>
      <w:r w:rsidR="00265590">
        <w:rPr>
          <w:rFonts w:hAnsi="標楷體" w:hint="eastAsia"/>
          <w:color w:val="000000"/>
          <w:sz w:val="28"/>
          <w:szCs w:val="28"/>
        </w:rPr>
        <w:t>號</w:t>
      </w:r>
      <w:r w:rsidRPr="004E344C">
        <w:rPr>
          <w:rFonts w:hAnsi="標楷體"/>
          <w:color w:val="000000"/>
          <w:sz w:val="28"/>
          <w:szCs w:val="28"/>
        </w:rPr>
        <w:t>解釋」的敘述。這種</w:t>
      </w:r>
      <w:r w:rsidR="000060A8">
        <w:rPr>
          <w:rFonts w:hAnsi="標楷體"/>
          <w:color w:val="000000"/>
          <w:sz w:val="28"/>
          <w:szCs w:val="28"/>
        </w:rPr>
        <w:t>規避態度，忽視當年釋字第五八五號解釋作出時，已經極為細緻與周詳</w:t>
      </w:r>
      <w:r w:rsidR="000060A8">
        <w:rPr>
          <w:rFonts w:hAnsi="標楷體" w:hint="eastAsia"/>
          <w:color w:val="000000"/>
          <w:sz w:val="28"/>
          <w:szCs w:val="28"/>
        </w:rPr>
        <w:t>地</w:t>
      </w:r>
      <w:r w:rsidRPr="004E344C">
        <w:rPr>
          <w:rFonts w:hAnsi="標楷體"/>
          <w:color w:val="000000"/>
          <w:sz w:val="28"/>
          <w:szCs w:val="28"/>
        </w:rPr>
        <w:t>斟酌釋字第三二五號解釋的立論而加以擴充、精細化地作出該號解釋。因此，本號解釋竟然採行不置一詞的排斥態度，實乃「明察秋毫，不見輿薪」，本席不能贊同這種太過狹隘的視角。</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誠然，本號解釋標的乍看之下，只屬於文件調閱權，與釋字第三二五號解釋一致，但釋字第五八五號解釋的標的雖擴及調查權，也一併及於文件調閱部分（特別</w:t>
      </w:r>
      <w:r w:rsidR="000060A8">
        <w:rPr>
          <w:rFonts w:hAnsi="標楷體" w:hint="eastAsia"/>
          <w:color w:val="000000"/>
          <w:sz w:val="28"/>
          <w:szCs w:val="28"/>
        </w:rPr>
        <w:t>是</w:t>
      </w:r>
      <w:r w:rsidRPr="004E344C">
        <w:rPr>
          <w:rFonts w:hAnsi="標楷體"/>
          <w:color w:val="000000"/>
          <w:sz w:val="28"/>
          <w:szCs w:val="28"/>
        </w:rPr>
        <w:t>其對行政特權的例示說明）。故兩者應適用同樣的原則。況且，自該號解釋後已確認調閱文件乃調查權的手段之一，既然討論其下位概念的文件調閱權，豈可忽視涵蓋其上的整個調查權法制？牽一髮，必動全身，若文件調閱制度目前仍有欠缺時，必然是在釋字第五八五號解釋作成之後仍然存在者。如要補充之，也必然須一併補充釋字第五八五號解釋的意旨不可。多數意見的排斥釋字第五八五號解釋，忽視了我國立法院的調查權，係由「零」開始，透過兩號大法官的解釋，才形塑至本號解釋作出前的現狀。由此制度的成形歷史過程觀之，即可驗證矣。</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按我國憲法未如同其他許多外國憲法賦予國會強制性質的調查權</w:t>
      </w:r>
      <w:r w:rsidRPr="004E344C">
        <w:rPr>
          <w:rFonts w:hAnsi="標楷體" w:hint="eastAsia"/>
          <w:color w:val="000000"/>
          <w:sz w:val="22"/>
          <w:szCs w:val="22"/>
        </w:rPr>
        <w:t>（註</w:t>
      </w:r>
      <w:r>
        <w:rPr>
          <w:rFonts w:hAnsi="標楷體" w:hint="eastAsia"/>
          <w:color w:val="000000"/>
          <w:sz w:val="22"/>
          <w:szCs w:val="22"/>
        </w:rPr>
        <w:t>三</w:t>
      </w:r>
      <w:r w:rsidRPr="004E344C">
        <w:rPr>
          <w:rFonts w:hAnsi="標楷體" w:hint="eastAsia"/>
          <w:color w:val="000000"/>
          <w:sz w:val="22"/>
          <w:szCs w:val="22"/>
        </w:rPr>
        <w:t>）</w:t>
      </w:r>
      <w:r w:rsidRPr="004E344C">
        <w:rPr>
          <w:rFonts w:hAnsi="標楷體"/>
          <w:color w:val="000000"/>
          <w:sz w:val="28"/>
          <w:szCs w:val="28"/>
        </w:rPr>
        <w:t>，而只給予質詢權，包括院會及委員會行使之質詢權。並未包括文件的調閱權以及</w:t>
      </w:r>
      <w:r w:rsidRPr="007D12A1">
        <w:rPr>
          <w:rFonts w:hAnsi="標楷體"/>
          <w:sz w:val="28"/>
          <w:szCs w:val="28"/>
        </w:rPr>
        <w:t>其他</w:t>
      </w:r>
      <w:r w:rsidRPr="004E344C">
        <w:rPr>
          <w:rFonts w:hAnsi="標楷體"/>
          <w:color w:val="000000"/>
          <w:sz w:val="28"/>
          <w:szCs w:val="28"/>
        </w:rPr>
        <w:t>調查事實的權力。這是因為採行五權憲法的我國憲政體制，將此調查權主要是賦予監察院行使，俾作為追究行政或司法官員的政治與法律責任之用。</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然而，釋字第三二五號解釋開啟了承認立法院僅有文件調閱權在先，釋字第五八五號解釋繼之承認立法院有包括傳喚證人的調查權在後，已經賦予立法院擁有一定的調查權限。本號解釋的原因案件，立法院司法委員會實已行使此兩種權限（調閱已偵查終結案件卷證及要求檢察總長出席備詢說明）。本號解釋作出前，我國立法院已經擁有何種文件調閱權及調查權，又有如何不足，而需要「補充」之處，是本號解釋作出前，應當了解的客觀事實。可略述如下：</w:t>
      </w:r>
    </w:p>
    <w:p w:rsidR="001175B9" w:rsidRPr="004E344C" w:rsidRDefault="001175B9" w:rsidP="000B1D1E">
      <w:pPr>
        <w:pStyle w:val="ListParagraph"/>
        <w:spacing w:line="391" w:lineRule="exact"/>
        <w:ind w:leftChars="600" w:left="2620" w:hangingChars="250" w:hanging="700"/>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color w:val="000000"/>
          <w:sz w:val="28"/>
          <w:szCs w:val="28"/>
        </w:rPr>
        <w:t>1</w:t>
      </w:r>
      <w:r w:rsidRPr="004E344C">
        <w:rPr>
          <w:rFonts w:ascii="Times New Roman" w:eastAsia="標楷體" w:hAnsi="標楷體"/>
          <w:color w:val="000000"/>
          <w:sz w:val="28"/>
          <w:szCs w:val="28"/>
        </w:rPr>
        <w:t>）釋字第三二五號解釋方面：立法院在「議案涉及事項」可以要求有關機關提供參考資料，有關機關惟有在「非依法</w:t>
      </w:r>
      <w:r w:rsidRPr="004E344C">
        <w:rPr>
          <w:rFonts w:ascii="Times New Roman" w:eastAsia="標楷體" w:hAnsi="標楷體"/>
          <w:color w:val="000000"/>
          <w:sz w:val="28"/>
          <w:szCs w:val="28"/>
        </w:rPr>
        <w:lastRenderedPageBreak/>
        <w:t>律或其他正當理由」，不得拒絕。此「拒絕的理由」，該號解釋舉例說明為：「國家機關獨立行使職權受憲法之保障者，如司法機關審理案件所表示之法律見解、考試機關對於應考人成績之評定、監察委員為糾彈或糾正與否之判斷，以及訴訟案件在裁判確定前就偵查、審判所為之處置及其卷證等」，都屬於不必提供卷證的範圍。</w:t>
      </w:r>
    </w:p>
    <w:p w:rsidR="001175B9" w:rsidRPr="004E344C" w:rsidRDefault="001175B9" w:rsidP="000B1D1E">
      <w:pPr>
        <w:pStyle w:val="ListParagraph"/>
        <w:spacing w:line="391" w:lineRule="exact"/>
        <w:ind w:leftChars="0" w:left="2637"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上述見解中，與本號解釋標的已經十分接近的敘述為：「訴訟案件在裁判確定前就偵查、審判所為之處置及其卷證」，如作反面解釋，是否已經足以給本號解釋提出答案乎？</w:t>
      </w:r>
    </w:p>
    <w:p w:rsidR="001175B9" w:rsidRPr="004E344C" w:rsidRDefault="001175B9" w:rsidP="000B1D1E">
      <w:pPr>
        <w:pStyle w:val="ListParagraph"/>
        <w:spacing w:line="391" w:lineRule="exact"/>
        <w:ind w:leftChars="600" w:left="2620" w:hangingChars="250" w:hanging="700"/>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2</w:t>
      </w:r>
      <w:r w:rsidRPr="004E344C">
        <w:rPr>
          <w:rFonts w:ascii="Times New Roman" w:eastAsia="標楷體" w:hAnsi="標楷體"/>
          <w:color w:val="000000"/>
          <w:sz w:val="28"/>
          <w:szCs w:val="28"/>
        </w:rPr>
        <w:t>）釋字第五八五號解釋：本號解釋認定立法院得「行使憲法所賦予之職權有重大的關聯者外，可向有關機關調閱文件，並且在一定的程序下（院會決議）得要求與調查事項相關之人民或政府人員，陳述證言或表示意見」，並得</w:t>
      </w:r>
      <w:r w:rsidR="000B1D1E">
        <w:rPr>
          <w:rFonts w:ascii="Times New Roman" w:eastAsia="標楷體" w:hAnsi="標楷體" w:hint="eastAsia"/>
          <w:color w:val="000000"/>
          <w:sz w:val="28"/>
          <w:szCs w:val="28"/>
        </w:rPr>
        <w:t>對</w:t>
      </w:r>
      <w:r w:rsidRPr="004E344C">
        <w:rPr>
          <w:rFonts w:ascii="Times New Roman" w:eastAsia="標楷體" w:hAnsi="標楷體"/>
          <w:color w:val="000000"/>
          <w:sz w:val="28"/>
          <w:szCs w:val="28"/>
        </w:rPr>
        <w:t>違反此協助調查義務者，科處罰鍰。而有關機關，惟有在「國家獨立行使職權受憲法保障者」，以及例示性的說明「又如行政首長依其行政權固有之權能，對於可能影響或干預行政部門有效運作之資訊，例如涉及國家安全、國防或外交之國家機密事項，有關政策形成過程之內部討論資訊，以及有關正在進行中之犯罪偵查之相關資訊等，均有決定不予公開之權力，乃屬行政權本質所具有之行政特權」，亦可不必提供資訊。同時，也明白宣示就具體案件產生是否符合行政特權的爭議時「立法院與其他國家機關宜循合理之途</w:t>
      </w:r>
      <w:r w:rsidR="000B1D1E">
        <w:rPr>
          <w:rFonts w:ascii="Times New Roman" w:eastAsia="標楷體" w:hAnsi="標楷體"/>
          <w:color w:val="000000"/>
          <w:sz w:val="28"/>
          <w:szCs w:val="28"/>
        </w:rPr>
        <w:t>徑協商解決，或以法律明定相關要件與程序由司法機關審理解決之。」</w:t>
      </w:r>
      <w:r w:rsidRPr="004E344C">
        <w:rPr>
          <w:rFonts w:ascii="Times New Roman" w:eastAsia="標楷體" w:hAnsi="標楷體"/>
          <w:color w:val="000000"/>
          <w:sz w:val="28"/>
          <w:szCs w:val="28"/>
        </w:rPr>
        <w:t>本號解釋的另一個特色是，強調調查權行使時，應遵守比例原則及正當法律程序，避免造成濫權，侵犯人民基本權利的後果。</w:t>
      </w:r>
    </w:p>
    <w:p w:rsidR="001175B9" w:rsidRPr="004E344C" w:rsidRDefault="001175B9" w:rsidP="000B1D1E">
      <w:pPr>
        <w:kinsoku w:val="0"/>
        <w:overflowPunct w:val="0"/>
        <w:spacing w:line="391" w:lineRule="exact"/>
        <w:ind w:left="1474" w:firstLine="595"/>
        <w:jc w:val="both"/>
        <w:rPr>
          <w:color w:val="000000"/>
          <w:sz w:val="28"/>
          <w:szCs w:val="28"/>
        </w:rPr>
      </w:pPr>
      <w:r w:rsidRPr="004E344C">
        <w:rPr>
          <w:rFonts w:hAnsi="標楷體"/>
          <w:color w:val="000000"/>
          <w:sz w:val="28"/>
          <w:szCs w:val="28"/>
        </w:rPr>
        <w:t>由比較此兩號解釋的內容，即可得知國會行使調查權，不論是單純的文件調閱權，或是範圍較廣的調查權（包括調閱文件資訊或是傳喚相關政府人員），都必須以釋字第三二五號及第五八五號解釋構建出的整個調查權法制</w:t>
      </w:r>
      <w:r w:rsidRPr="004E344C">
        <w:rPr>
          <w:color w:val="000000"/>
          <w:sz w:val="28"/>
          <w:szCs w:val="28"/>
        </w:rPr>
        <w:t>─</w:t>
      </w:r>
      <w:r w:rsidRPr="004E344C">
        <w:rPr>
          <w:rFonts w:hAnsi="標楷體"/>
          <w:color w:val="000000"/>
          <w:sz w:val="28"/>
          <w:szCs w:val="28"/>
        </w:rPr>
        <w:t>不論是行使的要件、程序及被要求機關的配合義務與拒絕條款，來綜合的適用之，亦即：釋字第五八五號解釋已經比釋字第三二五號解釋作出範圍更廣、內容更多的見解，本號解釋不可走回頭路的有意切割、漠視釋字第五八五號解釋的存在</w:t>
      </w:r>
      <w:r w:rsidRPr="004E344C">
        <w:rPr>
          <w:color w:val="000000"/>
          <w:sz w:val="28"/>
          <w:szCs w:val="28"/>
        </w:rPr>
        <w:t>─</w:t>
      </w:r>
      <w:r w:rsidRPr="004E344C">
        <w:rPr>
          <w:rFonts w:hAnsi="標楷體"/>
          <w:color w:val="000000"/>
          <w:sz w:val="28"/>
          <w:szCs w:val="28"/>
        </w:rPr>
        <w:t>即使本案涉及的立法院文件調閱權，乃依據立法院職權行使法第四十七條之規定「受</w:t>
      </w:r>
      <w:r w:rsidR="000B1D1E">
        <w:rPr>
          <w:rFonts w:hAnsi="標楷體" w:hint="eastAsia"/>
          <w:color w:val="000000"/>
          <w:sz w:val="28"/>
          <w:szCs w:val="28"/>
        </w:rPr>
        <w:t>要求</w:t>
      </w:r>
      <w:r w:rsidRPr="004E344C">
        <w:rPr>
          <w:rFonts w:hAnsi="標楷體"/>
          <w:color w:val="000000"/>
          <w:sz w:val="28"/>
          <w:szCs w:val="28"/>
        </w:rPr>
        <w:t>調閱</w:t>
      </w:r>
      <w:r w:rsidR="000B1D1E">
        <w:rPr>
          <w:rFonts w:hAnsi="標楷體" w:hint="eastAsia"/>
          <w:color w:val="000000"/>
          <w:sz w:val="28"/>
          <w:szCs w:val="28"/>
        </w:rPr>
        <w:t>文件之</w:t>
      </w:r>
      <w:r w:rsidRPr="004E344C">
        <w:rPr>
          <w:rFonts w:hAnsi="標楷體"/>
          <w:color w:val="000000"/>
          <w:sz w:val="28"/>
          <w:szCs w:val="28"/>
        </w:rPr>
        <w:t>機關，除</w:t>
      </w:r>
      <w:r w:rsidR="000B1D1E">
        <w:rPr>
          <w:rFonts w:hAnsi="標楷體" w:hint="eastAsia"/>
          <w:color w:val="000000"/>
          <w:sz w:val="28"/>
          <w:szCs w:val="28"/>
        </w:rPr>
        <w:t>依</w:t>
      </w:r>
      <w:r w:rsidRPr="004E344C">
        <w:rPr>
          <w:rFonts w:hAnsi="標楷體"/>
          <w:color w:val="000000"/>
          <w:sz w:val="28"/>
          <w:szCs w:val="28"/>
        </w:rPr>
        <w:t>法律或其他正當</w:t>
      </w:r>
      <w:r w:rsidRPr="004E344C">
        <w:rPr>
          <w:rFonts w:hAnsi="標楷體"/>
          <w:color w:val="000000"/>
          <w:sz w:val="28"/>
          <w:szCs w:val="28"/>
        </w:rPr>
        <w:lastRenderedPageBreak/>
        <w:t>理由</w:t>
      </w:r>
      <w:r w:rsidR="000B1D1E">
        <w:rPr>
          <w:rFonts w:hAnsi="標楷體" w:hint="eastAsia"/>
          <w:color w:val="000000"/>
          <w:sz w:val="28"/>
          <w:szCs w:val="28"/>
        </w:rPr>
        <w:t>得拒絕</w:t>
      </w:r>
      <w:r w:rsidRPr="004E344C">
        <w:rPr>
          <w:rFonts w:hAnsi="標楷體"/>
          <w:color w:val="000000"/>
          <w:sz w:val="28"/>
          <w:szCs w:val="28"/>
        </w:rPr>
        <w:t>外，應</w:t>
      </w:r>
      <w:r w:rsidR="000B1D1E">
        <w:rPr>
          <w:rFonts w:hAnsi="標楷體" w:hint="eastAsia"/>
          <w:color w:val="000000"/>
          <w:sz w:val="28"/>
          <w:szCs w:val="28"/>
        </w:rPr>
        <w:t>於</w:t>
      </w:r>
      <w:r w:rsidRPr="004E344C">
        <w:rPr>
          <w:rFonts w:hAnsi="標楷體"/>
          <w:color w:val="000000"/>
          <w:sz w:val="28"/>
          <w:szCs w:val="28"/>
        </w:rPr>
        <w:t>五日內提供</w:t>
      </w:r>
      <w:r w:rsidR="000B1D1E">
        <w:rPr>
          <w:rFonts w:hAnsi="標楷體" w:hint="eastAsia"/>
          <w:color w:val="000000"/>
          <w:sz w:val="28"/>
          <w:szCs w:val="28"/>
        </w:rPr>
        <w:t>之</w:t>
      </w:r>
      <w:r w:rsidR="000B1D1E">
        <w:rPr>
          <w:rFonts w:hAnsi="標楷體"/>
          <w:color w:val="000000"/>
          <w:sz w:val="28"/>
          <w:szCs w:val="28"/>
        </w:rPr>
        <w:t>。」</w:t>
      </w:r>
      <w:r w:rsidRPr="004E344C">
        <w:rPr>
          <w:rFonts w:hAnsi="標楷體"/>
          <w:color w:val="000000"/>
          <w:sz w:val="28"/>
          <w:szCs w:val="28"/>
        </w:rPr>
        <w:t>這是配合釋字第三二五號解釋後的立法，而非根據釋字第五八五號解釋所為。一旦適用本條文，則所謂「法律或其他正當理由」的拒絕事由，自包括了釋字第五八五號解釋有異於釋字第三二五號解釋理由，即所謂的「行政特權」理論在內。故此亦可運用「舉重以明輕」之法理，在範圍更廣、拘束力更強的調查權範圍，皆可援引行政特權來拒絕之，則作為調查權手段之一的文件調閱權，自可援引該「拒絕條款」。更何況，釋字第五八五號解釋所例示的「行政特權」理論，正是指明為「文件調閱的限制」也</w:t>
      </w:r>
      <w:r w:rsidRPr="004E344C">
        <w:rPr>
          <w:color w:val="000000"/>
          <w:sz w:val="28"/>
          <w:szCs w:val="28"/>
        </w:rPr>
        <w:t>─</w:t>
      </w:r>
      <w:r w:rsidRPr="004E344C">
        <w:rPr>
          <w:rFonts w:hAnsi="標楷體"/>
          <w:color w:val="000000"/>
          <w:sz w:val="28"/>
          <w:szCs w:val="28"/>
        </w:rPr>
        <w:t>即如理由書所言「立法院行使調查權如涉及此類事項，即應予以適當之尊重，而不宜逕自強制行政部門必須公開此類資訊或提供相關文書」，是為明證也。</w:t>
      </w:r>
    </w:p>
    <w:p w:rsidR="001175B9" w:rsidRPr="004E344C" w:rsidRDefault="001175B9" w:rsidP="000B1D1E">
      <w:pPr>
        <w:kinsoku w:val="0"/>
        <w:overflowPunct w:val="0"/>
        <w:spacing w:line="391" w:lineRule="exact"/>
        <w:ind w:left="1474" w:firstLine="595"/>
        <w:jc w:val="both"/>
        <w:rPr>
          <w:color w:val="000000"/>
          <w:sz w:val="28"/>
          <w:szCs w:val="28"/>
        </w:rPr>
      </w:pPr>
      <w:r w:rsidRPr="004E344C">
        <w:rPr>
          <w:rFonts w:hAnsi="標楷體"/>
          <w:color w:val="000000"/>
          <w:sz w:val="28"/>
          <w:szCs w:val="28"/>
        </w:rPr>
        <w:t>一言以貫之，本號解釋既然是第三個有關國會調查權的案子，就必須在兩號解釋整體構成的法規體系上，再進一步發展。即使在現有規範基礎上，沒有進一步擴張國會調查權的範圍，而僅在舊有範圍內為</w:t>
      </w:r>
      <w:r w:rsidR="000B1D1E">
        <w:rPr>
          <w:rFonts w:hAnsi="標楷體"/>
          <w:color w:val="000000"/>
          <w:sz w:val="28"/>
          <w:szCs w:val="28"/>
        </w:rPr>
        <w:t>更細密，也屬於填補漏洞的「補充解釋」，亦無不可。但也必須以該兩</w:t>
      </w:r>
      <w:r w:rsidR="000B1D1E">
        <w:rPr>
          <w:rFonts w:hAnsi="標楷體" w:hint="eastAsia"/>
          <w:color w:val="000000"/>
          <w:sz w:val="28"/>
          <w:szCs w:val="28"/>
        </w:rPr>
        <w:t>號</w:t>
      </w:r>
      <w:r w:rsidRPr="004E344C">
        <w:rPr>
          <w:rFonts w:hAnsi="標楷體"/>
          <w:color w:val="000000"/>
          <w:sz w:val="28"/>
          <w:szCs w:val="28"/>
        </w:rPr>
        <w:t>解釋整體的內容作填補對象，而不可以專就其一而捨其二也。本號解釋這種詮釋方法顯然有誤！</w:t>
      </w:r>
    </w:p>
    <w:p w:rsidR="001175B9" w:rsidRPr="004E344C" w:rsidRDefault="001175B9" w:rsidP="001175B9">
      <w:pPr>
        <w:kinsoku w:val="0"/>
        <w:overflowPunct w:val="0"/>
        <w:spacing w:line="391" w:lineRule="exact"/>
        <w:ind w:left="1474" w:hanging="879"/>
        <w:jc w:val="both"/>
        <w:rPr>
          <w:color w:val="000000"/>
          <w:sz w:val="28"/>
          <w:szCs w:val="28"/>
        </w:rPr>
      </w:pPr>
      <w:r w:rsidRPr="004E344C">
        <w:rPr>
          <w:rFonts w:hAnsi="標楷體"/>
          <w:color w:val="000000"/>
          <w:sz w:val="28"/>
          <w:szCs w:val="28"/>
        </w:rPr>
        <w:t>（二）</w:t>
      </w:r>
      <w:r w:rsidRPr="004E344C">
        <w:rPr>
          <w:rFonts w:hAnsi="標楷體"/>
          <w:b/>
          <w:color w:val="000000"/>
          <w:sz w:val="28"/>
          <w:szCs w:val="28"/>
        </w:rPr>
        <w:t>本號解釋的實際功用何在？本號解釋「補充」之處又何在？</w:t>
      </w:r>
    </w:p>
    <w:p w:rsidR="001175B9" w:rsidRPr="004E344C" w:rsidRDefault="001175B9" w:rsidP="001175B9">
      <w:pPr>
        <w:kinsoku w:val="0"/>
        <w:overflowPunct w:val="0"/>
        <w:spacing w:line="391" w:lineRule="exact"/>
        <w:ind w:left="1418" w:firstLine="595"/>
        <w:jc w:val="both"/>
        <w:rPr>
          <w:color w:val="000000"/>
          <w:sz w:val="28"/>
          <w:szCs w:val="28"/>
        </w:rPr>
      </w:pPr>
      <w:r w:rsidRPr="004E344C">
        <w:rPr>
          <w:rFonts w:hAnsi="標楷體"/>
          <w:color w:val="000000"/>
          <w:sz w:val="28"/>
          <w:szCs w:val="28"/>
        </w:rPr>
        <w:t>本號解釋多數意見有意排斥賡續釋字第五八五號解釋意旨，所以才明言「補充」釋字第三二五號解釋。這種不當切割的理由，已於前述。然而，是否多數意見卻也十分「誠實」表明本號解釋，實質上未更動釋字第五八五號解釋所構建下的調查權之重要原則？在此可檢驗本號解釋的主要內容，以及其到底</w:t>
      </w:r>
      <w:r w:rsidR="000B1D1E">
        <w:rPr>
          <w:rFonts w:hAnsi="標楷體" w:hint="eastAsia"/>
          <w:color w:val="000000"/>
          <w:sz w:val="28"/>
          <w:szCs w:val="28"/>
        </w:rPr>
        <w:t>有無</w:t>
      </w:r>
      <w:r w:rsidRPr="004E344C">
        <w:rPr>
          <w:rFonts w:hAnsi="標楷體"/>
          <w:color w:val="000000"/>
          <w:sz w:val="28"/>
          <w:szCs w:val="28"/>
        </w:rPr>
        <w:t>突破過去見解，也就是其實際的功用何在？</w:t>
      </w:r>
    </w:p>
    <w:p w:rsidR="001175B9" w:rsidRPr="004E344C" w:rsidRDefault="001175B9" w:rsidP="007C356B">
      <w:pPr>
        <w:pStyle w:val="ListParagraph"/>
        <w:spacing w:line="391" w:lineRule="exact"/>
        <w:ind w:leftChars="0" w:left="0" w:firstLine="2041"/>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綜論本號解釋的內容，可臚列如下：</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w:t>
      </w:r>
      <w:r w:rsidRPr="004A01B9">
        <w:rPr>
          <w:rFonts w:ascii="Times New Roman" w:hAnsi="Times New Roman" w:hint="eastAsia"/>
          <w:color w:val="000000"/>
          <w:sz w:val="28"/>
          <w:szCs w:val="28"/>
        </w:rPr>
        <w:t>1</w:t>
      </w:r>
      <w:r w:rsidRPr="004E344C">
        <w:rPr>
          <w:rFonts w:ascii="Times New Roman" w:eastAsia="標楷體" w:hAnsi="標楷體"/>
          <w:color w:val="000000"/>
          <w:sz w:val="28"/>
          <w:szCs w:val="28"/>
        </w:rPr>
        <w:t>）偵查已終結而不起訴處分確定或未經起訴但以其他方式結案之案件卷證，得成為調卷標的。</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2</w:t>
      </w:r>
      <w:r w:rsidRPr="004E344C">
        <w:rPr>
          <w:rFonts w:ascii="Times New Roman" w:eastAsia="標楷體" w:hAnsi="標楷體"/>
          <w:color w:val="000000"/>
          <w:sz w:val="28"/>
          <w:szCs w:val="28"/>
        </w:rPr>
        <w:t>）行使上述調閱權須基於目的與範圍明確之特定議案，且與憲法行使職權有重大關聯，非屬法律所禁止或妨害另案偵查者為限。</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3</w:t>
      </w:r>
      <w:r w:rsidRPr="004E344C">
        <w:rPr>
          <w:rFonts w:ascii="Times New Roman" w:eastAsia="標楷體" w:hAnsi="標楷體"/>
          <w:color w:val="000000"/>
          <w:sz w:val="28"/>
          <w:szCs w:val="28"/>
        </w:rPr>
        <w:t>）立法院行使調閱權如未符合憲法或法律上之要求，自構成受調閱機關得以拒絕之正當理由。</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4</w:t>
      </w:r>
      <w:r w:rsidRPr="004E344C">
        <w:rPr>
          <w:rFonts w:ascii="Times New Roman" w:eastAsia="標楷體" w:hAnsi="標楷體"/>
          <w:color w:val="000000"/>
          <w:sz w:val="28"/>
          <w:szCs w:val="28"/>
        </w:rPr>
        <w:t>）程序方面：調閱原本或影本，須經立法院院會決議；至於一般參考資料，可由委員會決議即可。</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5</w:t>
      </w:r>
      <w:r w:rsidRPr="004E344C">
        <w:rPr>
          <w:rFonts w:ascii="Times New Roman" w:eastAsia="標楷體" w:hAnsi="標楷體"/>
          <w:color w:val="000000"/>
          <w:sz w:val="28"/>
          <w:szCs w:val="28"/>
        </w:rPr>
        <w:t>）調閱卷證而知悉之資訊，使用應限於憲法職權所必要，並注意維護關係人之權益（如名譽、隱私、營業秘密等），且不得</w:t>
      </w:r>
      <w:r w:rsidRPr="004E344C">
        <w:rPr>
          <w:rFonts w:ascii="Times New Roman" w:eastAsia="標楷體" w:hAnsi="標楷體"/>
          <w:color w:val="000000"/>
          <w:sz w:val="28"/>
          <w:szCs w:val="28"/>
        </w:rPr>
        <w:lastRenderedPageBreak/>
        <w:t>為與職權無關之評論或決議。</w:t>
      </w:r>
    </w:p>
    <w:p w:rsidR="001175B9" w:rsidRPr="004E344C" w:rsidRDefault="001175B9" w:rsidP="007C356B">
      <w:pPr>
        <w:pStyle w:val="ListParagraph"/>
        <w:spacing w:line="391" w:lineRule="exact"/>
        <w:ind w:leftChars="0" w:left="2240" w:hanging="709"/>
        <w:jc w:val="both"/>
        <w:rPr>
          <w:rFonts w:ascii="Times New Roman" w:eastAsia="標楷體" w:hAnsi="Times New Roman"/>
          <w:color w:val="000000"/>
          <w:sz w:val="28"/>
          <w:szCs w:val="28"/>
        </w:rPr>
      </w:pPr>
      <w:r>
        <w:rPr>
          <w:rFonts w:eastAsia="標楷體" w:hAnsi="標楷體"/>
          <w:color w:val="000000"/>
          <w:sz w:val="28"/>
          <w:szCs w:val="28"/>
        </w:rPr>
        <w:t>（</w:t>
      </w:r>
      <w:r w:rsidRPr="004A01B9">
        <w:rPr>
          <w:rFonts w:ascii="Times New Roman" w:hAnsi="Times New Roman" w:hint="eastAsia"/>
          <w:color w:val="000000"/>
          <w:sz w:val="28"/>
          <w:szCs w:val="28"/>
        </w:rPr>
        <w:t>6</w:t>
      </w:r>
      <w:r w:rsidRPr="004A01B9">
        <w:rPr>
          <w:rFonts w:ascii="Times New Roman" w:hAnsi="Times New Roman"/>
          <w:color w:val="000000"/>
          <w:sz w:val="28"/>
          <w:szCs w:val="28"/>
        </w:rPr>
        <w:t>）</w:t>
      </w:r>
      <w:r w:rsidRPr="004E344C">
        <w:rPr>
          <w:rFonts w:ascii="Times New Roman" w:eastAsia="標楷體" w:hAnsi="標楷體"/>
          <w:color w:val="000000"/>
          <w:sz w:val="28"/>
          <w:szCs w:val="28"/>
        </w:rPr>
        <w:t>在具體個案是否屬於法律禁止調閱之範圍、有無遵守法定程序及行使拒絕權是否正當，立法院與受調閱機關，宜循協商途徑合理解決，或以法律明定相關要件與程序由司法機關審理解決，相關機關應儘速成立該法律機制。</w:t>
      </w:r>
    </w:p>
    <w:p w:rsidR="001175B9" w:rsidRPr="004E344C" w:rsidRDefault="001175B9" w:rsidP="00473747">
      <w:pPr>
        <w:pStyle w:val="ListParagraph"/>
        <w:spacing w:line="391" w:lineRule="exact"/>
        <w:ind w:leftChars="420" w:left="1344" w:firstLineChars="177" w:firstLine="496"/>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吾人一一檢驗上述幾個要件可知：</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第（</w:t>
      </w:r>
      <w:r w:rsidRPr="004A01B9">
        <w:rPr>
          <w:rFonts w:ascii="Times New Roman" w:hAnsi="Times New Roman" w:hint="eastAsia"/>
          <w:color w:val="000000"/>
          <w:sz w:val="28"/>
          <w:szCs w:val="28"/>
        </w:rPr>
        <w:t>1</w:t>
      </w:r>
      <w:r w:rsidRPr="004A01B9">
        <w:rPr>
          <w:rFonts w:ascii="Times New Roman" w:hAnsi="Times New Roman"/>
          <w:color w:val="000000"/>
          <w:sz w:val="28"/>
          <w:szCs w:val="28"/>
        </w:rPr>
        <w:t>）</w:t>
      </w:r>
      <w:r w:rsidRPr="004E344C">
        <w:rPr>
          <w:rFonts w:ascii="Times New Roman" w:eastAsia="標楷體" w:hAnsi="標楷體"/>
          <w:color w:val="000000"/>
          <w:sz w:val="28"/>
          <w:szCs w:val="28"/>
        </w:rPr>
        <w:t>部分關於解釋偵查中的案件不可調閱，而待終結後不起訴等案件方可調閱。實則此項「解禁」可由釋字第三二</w:t>
      </w:r>
      <w:r w:rsidR="00473747">
        <w:rPr>
          <w:rFonts w:ascii="Times New Roman" w:eastAsia="標楷體" w:hAnsi="標楷體"/>
          <w:color w:val="000000"/>
          <w:sz w:val="28"/>
          <w:szCs w:val="28"/>
        </w:rPr>
        <w:t>五號解釋的反面解釋而得到此結論，同時釋字第五八五號解釋甚至明白</w:t>
      </w:r>
      <w:r w:rsidR="00473747">
        <w:rPr>
          <w:rFonts w:ascii="Times New Roman" w:eastAsia="標楷體" w:hAnsi="標楷體" w:hint="eastAsia"/>
          <w:color w:val="000000"/>
          <w:sz w:val="28"/>
          <w:szCs w:val="28"/>
        </w:rPr>
        <w:t>地</w:t>
      </w:r>
      <w:r w:rsidRPr="004E344C">
        <w:rPr>
          <w:rFonts w:ascii="Times New Roman" w:eastAsia="標楷體" w:hAnsi="標楷體"/>
          <w:color w:val="000000"/>
          <w:sz w:val="28"/>
          <w:szCs w:val="28"/>
        </w:rPr>
        <w:t>將「偵查中案件」視為行政特權之一。因此，由此兩號解釋的反面解釋，自然會獲得第（</w:t>
      </w:r>
      <w:r w:rsidRPr="004A01B9">
        <w:rPr>
          <w:rFonts w:ascii="Times New Roman" w:hAnsi="Times New Roman" w:hint="eastAsia"/>
          <w:color w:val="000000"/>
          <w:sz w:val="28"/>
          <w:szCs w:val="28"/>
        </w:rPr>
        <w:t>1</w:t>
      </w:r>
      <w:r w:rsidRPr="004E344C">
        <w:rPr>
          <w:rFonts w:ascii="Times New Roman" w:eastAsia="標楷體" w:hAnsi="標楷體"/>
          <w:color w:val="000000"/>
          <w:sz w:val="28"/>
          <w:szCs w:val="28"/>
        </w:rPr>
        <w:t>）部分的結論也。故此部分實無出人意表的創見可言。</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Pr>
          <w:rFonts w:eastAsia="標楷體" w:hAnsi="標楷體"/>
          <w:color w:val="000000"/>
          <w:sz w:val="28"/>
          <w:szCs w:val="28"/>
        </w:rPr>
        <w:t>第（</w:t>
      </w:r>
      <w:r w:rsidRPr="004A01B9">
        <w:rPr>
          <w:rFonts w:ascii="Times New Roman" w:hAnsi="Times New Roman" w:hint="eastAsia"/>
          <w:color w:val="000000"/>
          <w:sz w:val="28"/>
          <w:szCs w:val="28"/>
        </w:rPr>
        <w:t>2</w:t>
      </w:r>
      <w:r w:rsidRPr="004A01B9">
        <w:rPr>
          <w:rFonts w:ascii="Times New Roman" w:hAnsi="Times New Roman"/>
          <w:color w:val="000000"/>
          <w:sz w:val="28"/>
          <w:szCs w:val="28"/>
        </w:rPr>
        <w:t>）</w:t>
      </w:r>
      <w:r w:rsidRPr="004E344C">
        <w:rPr>
          <w:rFonts w:ascii="Times New Roman" w:eastAsia="標楷體" w:hAnsi="標楷體"/>
          <w:color w:val="000000"/>
          <w:sz w:val="28"/>
          <w:szCs w:val="28"/>
        </w:rPr>
        <w:t>部分，雖然比釋字第三二五號解釋所提及的「議案涉及事項」的要件來得更周延，但卻完全與釋字第五八五號解釋所提及的「憲法所賦予之職權有重大關聯者」，並無二致。惟在此提到特殊之處乃是將「妨害另案偵查之虞」，作為拒絕理由之一。實則，這是對「偵查中」的文義所為之解釋。由防止妨害偵查權行使的角度以觀，導出此當然結論亦不意外。且此種字義解釋，泰半可透過法院在具體爭議案件中解釋即可，毋庸大法官作出此簡單的推論也。本席亦認為此部分並無太值得一述的積極功能。</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而在立法院的行使職權部分，本號解釋多數意見且特別加以說明：「必須基於與議決法律案、預算案</w:t>
      </w:r>
      <w:r w:rsidR="00473747">
        <w:rPr>
          <w:rFonts w:ascii="Times New Roman" w:eastAsia="標楷體" w:hAnsi="標楷體"/>
          <w:color w:val="000000"/>
          <w:sz w:val="28"/>
          <w:szCs w:val="28"/>
        </w:rPr>
        <w:t>或人事同意權案等憲法上職權之特定議案有重大關聯者，始得為之。」</w:t>
      </w:r>
      <w:r w:rsidRPr="004E344C">
        <w:rPr>
          <w:rFonts w:ascii="Times New Roman" w:eastAsia="標楷體" w:hAnsi="標楷體"/>
          <w:color w:val="000000"/>
          <w:sz w:val="28"/>
          <w:szCs w:val="28"/>
        </w:rPr>
        <w:t>並且認為所謂的「特定議案」，目的與範圍皆應明確。這個說明反而漏出明顯之破綻。</w:t>
      </w:r>
    </w:p>
    <w:p w:rsidR="001175B9" w:rsidRPr="004E344C" w:rsidRDefault="001175B9" w:rsidP="005E362F">
      <w:pPr>
        <w:pStyle w:val="ListParagraph"/>
        <w:tabs>
          <w:tab w:val="left" w:pos="2127"/>
        </w:tabs>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多數意見對立法院行使職權範圍所為的詮釋</w:t>
      </w:r>
      <w:r w:rsidRPr="004E344C">
        <w:rPr>
          <w:rFonts w:ascii="Times New Roman" w:eastAsia="標楷體" w:hAnsi="Times New Roman"/>
          <w:color w:val="000000"/>
          <w:sz w:val="28"/>
          <w:szCs w:val="28"/>
        </w:rPr>
        <w:t>─</w:t>
      </w:r>
      <w:r w:rsidRPr="004E344C">
        <w:rPr>
          <w:rFonts w:ascii="Times New Roman" w:eastAsia="標楷體" w:hAnsi="標楷體"/>
          <w:color w:val="000000"/>
          <w:sz w:val="28"/>
          <w:szCs w:val="28"/>
        </w:rPr>
        <w:t>必須基於法律案、預算案或人事同意權案，到底是列舉性說明，亦或是例示性說明？由行文的口氣「始得為之」，似乎僅限於列舉性，以避免浮濫！但本席反而願意解釋為「例示性」，然立法院行使的職權，除了上述的三種議案外，還有監督行政院施政，以及「參與國家重大政策的決定權」（釋字第五二</w:t>
      </w:r>
      <w:r w:rsidR="001466FF" w:rsidRPr="008A5AB0">
        <w:rPr>
          <w:rFonts w:ascii="標楷體" w:eastAsia="標楷體" w:hAnsi="標楷體" w:hint="eastAsia"/>
          <w:color w:val="000000"/>
          <w:sz w:val="28"/>
          <w:szCs w:val="28"/>
        </w:rPr>
        <w:t>○</w:t>
      </w:r>
      <w:r w:rsidRPr="004E344C">
        <w:rPr>
          <w:rFonts w:ascii="Times New Roman" w:eastAsia="標楷體" w:hAnsi="標楷體"/>
          <w:color w:val="000000"/>
          <w:sz w:val="28"/>
          <w:szCs w:val="28"/>
        </w:rPr>
        <w:t>號解釋參照）。因此，其職權對人、對事都可含括，範圍頗為寬廣，尤其是弊案調查，幾乎許多都可納入立法院的職權，這也與立法院獲得調閱資料後的運用界限有關（見以下第（</w:t>
      </w:r>
      <w:r w:rsidRPr="004A01B9">
        <w:rPr>
          <w:rFonts w:ascii="Times New Roman" w:hAnsi="Times New Roman" w:hint="eastAsia"/>
          <w:color w:val="000000"/>
          <w:sz w:val="28"/>
          <w:szCs w:val="28"/>
        </w:rPr>
        <w:t>5</w:t>
      </w:r>
      <w:r w:rsidR="00473747">
        <w:rPr>
          <w:rFonts w:ascii="Times New Roman" w:eastAsia="標楷體" w:hAnsi="標楷體"/>
          <w:color w:val="000000"/>
          <w:sz w:val="28"/>
          <w:szCs w:val="28"/>
        </w:rPr>
        <w:t>）</w:t>
      </w:r>
      <w:r w:rsidRPr="004E344C">
        <w:rPr>
          <w:rFonts w:ascii="Times New Roman" w:eastAsia="標楷體" w:hAnsi="標楷體"/>
          <w:color w:val="000000"/>
          <w:sz w:val="28"/>
          <w:szCs w:val="28"/>
        </w:rPr>
        <w:t>部分）。因此，多數意見限於三項議案的說明似乎不無有「蛇足」之憾！</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至於第（</w:t>
      </w:r>
      <w:r w:rsidRPr="004A01B9">
        <w:rPr>
          <w:rFonts w:ascii="Times New Roman" w:hAnsi="Times New Roman" w:hint="eastAsia"/>
          <w:color w:val="000000"/>
          <w:sz w:val="28"/>
          <w:szCs w:val="28"/>
        </w:rPr>
        <w:t>3</w:t>
      </w:r>
      <w:r w:rsidRPr="004A01B9">
        <w:rPr>
          <w:rFonts w:ascii="Times New Roman" w:hAnsi="Times New Roman"/>
          <w:color w:val="000000"/>
          <w:sz w:val="28"/>
          <w:szCs w:val="28"/>
        </w:rPr>
        <w:t>）</w:t>
      </w:r>
      <w:r w:rsidRPr="004E344C">
        <w:rPr>
          <w:rFonts w:ascii="Times New Roman" w:eastAsia="標楷體" w:hAnsi="標楷體"/>
          <w:color w:val="000000"/>
          <w:sz w:val="28"/>
          <w:szCs w:val="28"/>
        </w:rPr>
        <w:t>部分的拒絕權部分，應是最重要、核心的規範內容。在第（</w:t>
      </w:r>
      <w:r w:rsidRPr="004A01B9">
        <w:rPr>
          <w:rFonts w:ascii="Times New Roman" w:hAnsi="Times New Roman" w:hint="eastAsia"/>
          <w:color w:val="000000"/>
          <w:sz w:val="28"/>
          <w:szCs w:val="28"/>
        </w:rPr>
        <w:t>2</w:t>
      </w:r>
      <w:r w:rsidRPr="004E344C">
        <w:rPr>
          <w:rFonts w:ascii="Times New Roman" w:eastAsia="標楷體" w:hAnsi="標楷體"/>
          <w:color w:val="000000"/>
          <w:sz w:val="28"/>
          <w:szCs w:val="28"/>
        </w:rPr>
        <w:t>）部分的調閱權已提到須「非屬法律所禁止</w:t>
      </w:r>
      <w:r w:rsidR="00473747">
        <w:rPr>
          <w:rFonts w:ascii="Times New Roman" w:eastAsia="標楷體" w:hAnsi="標楷體" w:hint="eastAsia"/>
          <w:color w:val="000000"/>
          <w:sz w:val="28"/>
          <w:szCs w:val="28"/>
        </w:rPr>
        <w:t>者</w:t>
      </w:r>
      <w:r w:rsidRPr="004E344C">
        <w:rPr>
          <w:rFonts w:ascii="Times New Roman" w:eastAsia="標楷體" w:hAnsi="標楷體"/>
          <w:color w:val="000000"/>
          <w:sz w:val="28"/>
          <w:szCs w:val="28"/>
        </w:rPr>
        <w:t>為限」，</w:t>
      </w:r>
      <w:r w:rsidRPr="004E344C">
        <w:rPr>
          <w:rFonts w:ascii="Times New Roman" w:eastAsia="標楷體" w:hAnsi="標楷體"/>
          <w:color w:val="000000"/>
          <w:sz w:val="28"/>
          <w:szCs w:val="28"/>
        </w:rPr>
        <w:lastRenderedPageBreak/>
        <w:t>在此又重</w:t>
      </w:r>
      <w:r w:rsidR="00473747">
        <w:rPr>
          <w:rFonts w:ascii="Times New Roman" w:eastAsia="標楷體" w:hAnsi="標楷體" w:hint="eastAsia"/>
          <w:color w:val="000000"/>
          <w:sz w:val="28"/>
          <w:szCs w:val="28"/>
        </w:rPr>
        <w:t>複</w:t>
      </w:r>
      <w:r w:rsidRPr="004E344C">
        <w:rPr>
          <w:rFonts w:ascii="Times New Roman" w:eastAsia="標楷體" w:hAnsi="標楷體"/>
          <w:color w:val="000000"/>
          <w:sz w:val="28"/>
          <w:szCs w:val="28"/>
        </w:rPr>
        <w:t>提到「如未符合憲法或法律上之要求」，此亦見諸於釋字第三二五</w:t>
      </w:r>
      <w:r w:rsidR="00473747">
        <w:rPr>
          <w:rFonts w:ascii="Times New Roman" w:eastAsia="標楷體" w:hAnsi="標楷體" w:hint="eastAsia"/>
          <w:color w:val="000000"/>
          <w:sz w:val="28"/>
          <w:szCs w:val="28"/>
        </w:rPr>
        <w:t>號</w:t>
      </w:r>
      <w:r w:rsidRPr="004E344C">
        <w:rPr>
          <w:rFonts w:ascii="Times New Roman" w:eastAsia="標楷體" w:hAnsi="標楷體"/>
          <w:color w:val="000000"/>
          <w:sz w:val="28"/>
          <w:szCs w:val="28"/>
        </w:rPr>
        <w:t>解釋「法律與正當理由」及釋字第五八五號解釋「國家機關獨立行使職權受憲法之保障者」，及</w:t>
      </w:r>
      <w:r w:rsidR="00473747">
        <w:rPr>
          <w:rFonts w:ascii="Times New Roman" w:eastAsia="標楷體" w:hAnsi="標楷體"/>
          <w:color w:val="000000"/>
          <w:sz w:val="28"/>
          <w:szCs w:val="28"/>
        </w:rPr>
        <w:t>屬於行政特權，皆可拒絕提供。同時立法院職權行使法第四十七條也重</w:t>
      </w:r>
      <w:r w:rsidR="00473747">
        <w:rPr>
          <w:rFonts w:ascii="Times New Roman" w:eastAsia="標楷體" w:hAnsi="標楷體" w:hint="eastAsia"/>
          <w:color w:val="000000"/>
          <w:sz w:val="28"/>
          <w:szCs w:val="28"/>
        </w:rPr>
        <w:t>複</w:t>
      </w:r>
      <w:r w:rsidRPr="004E344C">
        <w:rPr>
          <w:rFonts w:ascii="Times New Roman" w:eastAsia="標楷體" w:hAnsi="標楷體"/>
          <w:color w:val="000000"/>
          <w:sz w:val="28"/>
          <w:szCs w:val="28"/>
        </w:rPr>
        <w:t>使用此用語：「受要求調閱文件之機關，除依法律或其他正當理由得拒絕外，應於五日內提供之</w:t>
      </w:r>
      <w:r w:rsidR="00473747" w:rsidRPr="004E344C">
        <w:rPr>
          <w:rFonts w:ascii="Times New Roman" w:eastAsia="標楷體" w:hAnsi="標楷體"/>
          <w:color w:val="000000"/>
          <w:sz w:val="28"/>
          <w:szCs w:val="28"/>
        </w:rPr>
        <w:t>。</w:t>
      </w:r>
      <w:r w:rsidRPr="004E344C">
        <w:rPr>
          <w:rFonts w:ascii="Times New Roman" w:eastAsia="標楷體" w:hAnsi="標楷體"/>
          <w:color w:val="000000"/>
          <w:sz w:val="28"/>
          <w:szCs w:val="28"/>
        </w:rPr>
        <w:t>」都無新意！此外，理由書第三段就此相關的論述，除了闡釋偵查終結後方得調閱的理由外，兼論及涉及另案偵查應不許調閱外，就只有關於有無遵守「調閱的程序」，可作拒絕調閱之正當理由罷了。</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至於何種事項屬於憲法或</w:t>
      </w:r>
      <w:r w:rsidR="00473747">
        <w:rPr>
          <w:rFonts w:ascii="Times New Roman" w:eastAsia="標楷體" w:hAnsi="標楷體" w:hint="eastAsia"/>
          <w:color w:val="000000"/>
          <w:sz w:val="28"/>
          <w:szCs w:val="28"/>
        </w:rPr>
        <w:t>法律上</w:t>
      </w:r>
      <w:r w:rsidRPr="004E344C">
        <w:rPr>
          <w:rFonts w:ascii="Times New Roman" w:eastAsia="標楷體" w:hAnsi="標楷體"/>
          <w:color w:val="000000"/>
          <w:sz w:val="28"/>
          <w:szCs w:val="28"/>
        </w:rPr>
        <w:t>正當理由，本號解釋多數意見未有再進一步的論述，這是調查權的「核心內容」，亦為多數意見對於開創立法院調查與調閱權，並沒有大格局與具體成效的一個顯例也。</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在第（</w:t>
      </w:r>
      <w:r w:rsidRPr="004A01B9">
        <w:rPr>
          <w:rFonts w:ascii="Times New Roman" w:hAnsi="Times New Roman" w:hint="eastAsia"/>
          <w:color w:val="000000"/>
          <w:sz w:val="28"/>
          <w:szCs w:val="28"/>
        </w:rPr>
        <w:t>4</w:t>
      </w:r>
      <w:r w:rsidRPr="004E344C">
        <w:rPr>
          <w:rFonts w:ascii="Times New Roman" w:eastAsia="標楷體" w:hAnsi="標楷體"/>
          <w:color w:val="000000"/>
          <w:sz w:val="28"/>
          <w:szCs w:val="28"/>
        </w:rPr>
        <w:t>）部分的程序要求，本號解釋似乎頗為重視，對如有違反時且視之為可拒絕調閱的正當理由。但此程序的要求，特別是區分原本與一般參考文件的調閱決議，前者必須出自於院會以示慎重，後者只須委員會決議即可，乃出自釋字第三二五號解釋，並明</w:t>
      </w:r>
      <w:r w:rsidR="00473747">
        <w:rPr>
          <w:rFonts w:ascii="Times New Roman" w:eastAsia="標楷體" w:hAnsi="標楷體"/>
          <w:color w:val="000000"/>
          <w:sz w:val="28"/>
          <w:szCs w:val="28"/>
        </w:rPr>
        <w:t>確規定於立法院職權行使法第四十五條第二項。故本號解釋多數意見重</w:t>
      </w:r>
      <w:r w:rsidR="00473747">
        <w:rPr>
          <w:rFonts w:ascii="Times New Roman" w:eastAsia="標楷體" w:hAnsi="標楷體" w:hint="eastAsia"/>
          <w:color w:val="000000"/>
          <w:sz w:val="28"/>
          <w:szCs w:val="28"/>
        </w:rPr>
        <w:t>複</w:t>
      </w:r>
      <w:r w:rsidRPr="004E344C">
        <w:rPr>
          <w:rFonts w:ascii="Times New Roman" w:eastAsia="標楷體" w:hAnsi="標楷體"/>
          <w:color w:val="000000"/>
          <w:sz w:val="28"/>
          <w:szCs w:val="28"/>
        </w:rPr>
        <w:t>提及，不無贅文之感。</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第（</w:t>
      </w:r>
      <w:r w:rsidRPr="004A01B9">
        <w:rPr>
          <w:rFonts w:ascii="Times New Roman" w:hAnsi="Times New Roman" w:hint="eastAsia"/>
          <w:color w:val="000000"/>
          <w:sz w:val="28"/>
          <w:szCs w:val="28"/>
        </w:rPr>
        <w:t>5</w:t>
      </w:r>
      <w:r w:rsidRPr="004E344C">
        <w:rPr>
          <w:rFonts w:ascii="Times New Roman" w:eastAsia="標楷體" w:hAnsi="標楷體"/>
          <w:color w:val="000000"/>
          <w:sz w:val="28"/>
          <w:szCs w:val="28"/>
        </w:rPr>
        <w:t>）部分，約束立法委員對於取得資訊的運用，應合乎行使職權所需，並注意維護人民的隱私等權利，這是本號解釋的創見，也是真正的補充了釋字第三二五號解釋，更可作為釋字第五八五號解釋中，就行使更強力的調查權所獲得之資訊，其應有的運用限制。易言之，更應該是補充釋字第五八五號解釋也。</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sidRPr="004E344C">
        <w:rPr>
          <w:rFonts w:ascii="Times New Roman" w:eastAsia="標楷體" w:hAnsi="標楷體"/>
          <w:color w:val="000000"/>
          <w:sz w:val="28"/>
          <w:szCs w:val="28"/>
        </w:rPr>
        <w:t>審其根源，自可回溯至釋字第五八五號解釋所強調的保障人民基本權利，如隱私權及營業秘密權，以及遵守比例原則。此立意固然正確，然而在實際功能上，多數意見卻僅將之作為「注意事項式」的訓示規定，於立法院悍然不顧人民隱私而加以侵犯時，本號解釋並未提供足夠的保護效果。雖然亦提到「對依法應予保密事項應盡保密之義務」，但並未明白將此人民隱私列為「應保密事項」，尚須待立法者透過立法的方式來納入之</w:t>
      </w:r>
      <w:r w:rsidRPr="004E344C">
        <w:rPr>
          <w:rFonts w:eastAsia="標楷體" w:hAnsi="標楷體" w:hint="eastAsia"/>
          <w:color w:val="000000"/>
          <w:sz w:val="22"/>
        </w:rPr>
        <w:t>（註</w:t>
      </w:r>
      <w:r>
        <w:rPr>
          <w:rFonts w:eastAsia="標楷體" w:hAnsi="標楷體" w:hint="eastAsia"/>
          <w:color w:val="000000"/>
          <w:sz w:val="22"/>
        </w:rPr>
        <w:t>四</w:t>
      </w:r>
      <w:r w:rsidRPr="004E344C">
        <w:rPr>
          <w:rFonts w:eastAsia="標楷體" w:hAnsi="標楷體" w:hint="eastAsia"/>
          <w:color w:val="000000"/>
          <w:sz w:val="22"/>
        </w:rPr>
        <w:t>）</w:t>
      </w:r>
      <w:r w:rsidRPr="004E344C">
        <w:rPr>
          <w:rFonts w:ascii="Times New Roman" w:eastAsia="標楷體" w:hAnsi="標楷體"/>
          <w:color w:val="000000"/>
          <w:sz w:val="28"/>
          <w:szCs w:val="28"/>
        </w:rPr>
        <w:t>；同時，針對由偵查案件終結後的卷證中，所獲得關於不起訴或結案的結論與內容，亦表示：「不應為與行使職權無關的評論或決議」。但此亦為訓示規定，並無任何強制效果。即使立法委員妄為評論或委員會作出任何不當決議，亦無法律效果。更何況，國會調查權制度產生的目的，乃是「曝光與吸引公眾注意」，調閱文件與調查結果，應該以公開討論</w:t>
      </w:r>
      <w:r w:rsidRPr="004E344C">
        <w:rPr>
          <w:rFonts w:ascii="Times New Roman" w:eastAsia="標楷體" w:hAnsi="標楷體"/>
          <w:color w:val="000000"/>
          <w:sz w:val="28"/>
          <w:szCs w:val="28"/>
        </w:rPr>
        <w:lastRenderedPageBreak/>
        <w:t>為原則。此時，因該資訊足以吸引社會大眾的注視，對立法委員的言論，自有極大的吸引力，而促其公開議論。為避免不必要的公務或私人資訊被揭露，自應有一定的國會自律或他律（例如，德國法制要求以刑事訴訟法相關程序來規範之），都是應有的立法措施</w:t>
      </w:r>
      <w:r w:rsidRPr="004E344C">
        <w:rPr>
          <w:rFonts w:eastAsia="標楷體" w:hAnsi="標楷體" w:hint="eastAsia"/>
          <w:color w:val="000000"/>
          <w:sz w:val="22"/>
        </w:rPr>
        <w:t>（註</w:t>
      </w:r>
      <w:r>
        <w:rPr>
          <w:rFonts w:eastAsia="標楷體" w:hAnsi="標楷體" w:hint="eastAsia"/>
          <w:color w:val="000000"/>
          <w:sz w:val="22"/>
        </w:rPr>
        <w:t>五</w:t>
      </w:r>
      <w:r w:rsidRPr="004E344C">
        <w:rPr>
          <w:rFonts w:eastAsia="標楷體" w:hAnsi="標楷體" w:hint="eastAsia"/>
          <w:color w:val="000000"/>
          <w:sz w:val="22"/>
        </w:rPr>
        <w:t>）</w:t>
      </w:r>
      <w:r w:rsidRPr="004E344C">
        <w:rPr>
          <w:rFonts w:ascii="Times New Roman" w:eastAsia="標楷體" w:hAnsi="標楷體"/>
          <w:color w:val="000000"/>
          <w:sz w:val="28"/>
          <w:szCs w:val="28"/>
        </w:rPr>
        <w:t>。否則，若立委抒發此種言論也可能藉著言論免責權，而逃避可能產生的法律責任</w:t>
      </w:r>
      <w:r w:rsidRPr="004E344C">
        <w:rPr>
          <w:rFonts w:eastAsia="標楷體" w:hAnsi="標楷體" w:hint="eastAsia"/>
          <w:color w:val="000000"/>
          <w:sz w:val="22"/>
        </w:rPr>
        <w:t>（註</w:t>
      </w:r>
      <w:r>
        <w:rPr>
          <w:rFonts w:eastAsia="標楷體" w:hAnsi="標楷體" w:hint="eastAsia"/>
          <w:color w:val="000000"/>
          <w:sz w:val="22"/>
        </w:rPr>
        <w:t>六</w:t>
      </w:r>
      <w:r w:rsidRPr="004E344C">
        <w:rPr>
          <w:rFonts w:eastAsia="標楷體" w:hAnsi="標楷體" w:hint="eastAsia"/>
          <w:color w:val="000000"/>
          <w:sz w:val="22"/>
        </w:rPr>
        <w:t>）</w:t>
      </w:r>
      <w:r w:rsidRPr="004E344C">
        <w:rPr>
          <w:rFonts w:ascii="Times New Roman" w:eastAsia="標楷體" w:hAnsi="標楷體"/>
          <w:color w:val="000000"/>
          <w:sz w:val="28"/>
          <w:szCs w:val="28"/>
        </w:rPr>
        <w:t>。</w:t>
      </w:r>
    </w:p>
    <w:p w:rsidR="001175B9" w:rsidRPr="004E344C" w:rsidRDefault="00473747"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Pr>
          <w:rFonts w:ascii="Times New Roman" w:eastAsia="標楷體" w:hAnsi="標楷體" w:hint="eastAsia"/>
          <w:color w:val="000000"/>
          <w:sz w:val="28"/>
          <w:szCs w:val="28"/>
        </w:rPr>
        <w:t>總</w:t>
      </w:r>
      <w:r w:rsidR="001175B9" w:rsidRPr="004E344C">
        <w:rPr>
          <w:rFonts w:ascii="Times New Roman" w:eastAsia="標楷體" w:hAnsi="標楷體"/>
          <w:color w:val="000000"/>
          <w:sz w:val="28"/>
          <w:szCs w:val="28"/>
        </w:rPr>
        <w:t>而言之，本號解釋未將人民的隱私權明確列為國會調查權的法定界限，使得本號解釋真正出現的「唯一創見」，卻顯得疲軟而無力，至為可惜</w:t>
      </w:r>
      <w:r w:rsidR="001175B9" w:rsidRPr="004E344C">
        <w:rPr>
          <w:rFonts w:eastAsia="標楷體" w:hAnsi="標楷體" w:hint="eastAsia"/>
          <w:color w:val="000000"/>
          <w:sz w:val="22"/>
        </w:rPr>
        <w:t>（註</w:t>
      </w:r>
      <w:r w:rsidR="001175B9">
        <w:rPr>
          <w:rFonts w:eastAsia="標楷體" w:hAnsi="標楷體" w:hint="eastAsia"/>
          <w:color w:val="000000"/>
          <w:sz w:val="22"/>
        </w:rPr>
        <w:t>七</w:t>
      </w:r>
      <w:r w:rsidR="001175B9" w:rsidRPr="004E344C">
        <w:rPr>
          <w:rFonts w:eastAsia="標楷體" w:hAnsi="標楷體" w:hint="eastAsia"/>
          <w:color w:val="000000"/>
          <w:sz w:val="22"/>
        </w:rPr>
        <w:t>）</w:t>
      </w:r>
      <w:r w:rsidR="001175B9" w:rsidRPr="004E344C">
        <w:rPr>
          <w:rFonts w:ascii="Times New Roman" w:eastAsia="標楷體" w:hAnsi="標楷體"/>
          <w:color w:val="000000"/>
          <w:sz w:val="28"/>
          <w:szCs w:val="28"/>
        </w:rPr>
        <w:t>。</w:t>
      </w:r>
    </w:p>
    <w:p w:rsidR="001175B9" w:rsidRPr="004E344C" w:rsidRDefault="001175B9" w:rsidP="001175B9">
      <w:pPr>
        <w:pStyle w:val="ListParagraph"/>
        <w:spacing w:line="391" w:lineRule="exact"/>
        <w:ind w:leftChars="0" w:left="1588" w:firstLineChars="200" w:firstLine="560"/>
        <w:jc w:val="both"/>
        <w:rPr>
          <w:rFonts w:ascii="Times New Roman" w:eastAsia="標楷體" w:hAnsi="Times New Roman"/>
          <w:color w:val="000000"/>
          <w:sz w:val="28"/>
          <w:szCs w:val="28"/>
        </w:rPr>
      </w:pPr>
      <w:r>
        <w:rPr>
          <w:rFonts w:eastAsia="標楷體" w:hAnsi="標楷體"/>
          <w:color w:val="000000"/>
          <w:sz w:val="28"/>
          <w:szCs w:val="28"/>
        </w:rPr>
        <w:t>第（</w:t>
      </w:r>
      <w:r w:rsidRPr="004A01B9">
        <w:rPr>
          <w:rFonts w:ascii="Times New Roman" w:hAnsi="Times New Roman" w:hint="eastAsia"/>
          <w:color w:val="000000"/>
          <w:sz w:val="28"/>
          <w:szCs w:val="28"/>
        </w:rPr>
        <w:t>6</w:t>
      </w:r>
      <w:r w:rsidRPr="004A01B9">
        <w:rPr>
          <w:rFonts w:ascii="Times New Roman" w:hAnsi="Times New Roman"/>
          <w:color w:val="000000"/>
          <w:sz w:val="28"/>
          <w:szCs w:val="28"/>
        </w:rPr>
        <w:t>）</w:t>
      </w:r>
      <w:r w:rsidRPr="004E344C">
        <w:rPr>
          <w:rFonts w:ascii="Times New Roman" w:eastAsia="標楷體" w:hAnsi="標楷體"/>
          <w:color w:val="000000"/>
          <w:sz w:val="28"/>
          <w:szCs w:val="28"/>
        </w:rPr>
        <w:t>部分，至於應否行使調閱權，拒絕權是否存在</w:t>
      </w:r>
      <w:r>
        <w:rPr>
          <w:rFonts w:eastAsia="標楷體" w:hint="eastAsia"/>
          <w:color w:val="000000"/>
          <w:sz w:val="28"/>
          <w:szCs w:val="28"/>
        </w:rPr>
        <w:t>……</w:t>
      </w:r>
      <w:r w:rsidRPr="004E344C">
        <w:rPr>
          <w:rFonts w:ascii="Times New Roman" w:eastAsia="標楷體" w:hAnsi="標楷體"/>
          <w:color w:val="000000"/>
          <w:sz w:val="28"/>
          <w:szCs w:val="28"/>
        </w:rPr>
        <w:t>等具體案件所產生的爭議，本號解釋提出的應儘速立法</w:t>
      </w:r>
      <w:r w:rsidR="00473747">
        <w:rPr>
          <w:rFonts w:ascii="Times New Roman" w:eastAsia="標楷體" w:hAnsi="標楷體"/>
          <w:color w:val="000000"/>
          <w:sz w:val="28"/>
          <w:szCs w:val="28"/>
        </w:rPr>
        <w:t>，交由法院解決的見解，完全出自釋字第五八五號解釋的意旨，亦屬重</w:t>
      </w:r>
      <w:r w:rsidR="00473747">
        <w:rPr>
          <w:rFonts w:ascii="Times New Roman" w:eastAsia="標楷體" w:hAnsi="標楷體" w:hint="eastAsia"/>
          <w:color w:val="000000"/>
          <w:sz w:val="28"/>
          <w:szCs w:val="28"/>
        </w:rPr>
        <w:t>複</w:t>
      </w:r>
      <w:r w:rsidRPr="004E344C">
        <w:rPr>
          <w:rFonts w:ascii="Times New Roman" w:eastAsia="標楷體" w:hAnsi="標楷體"/>
          <w:color w:val="000000"/>
          <w:sz w:val="28"/>
          <w:szCs w:val="28"/>
        </w:rPr>
        <w:t>陳述之一例也。本席以為，既然釋字第五八五號解釋已經陳述相同意旨，迄今已滿十年，面對立法機關的蹉跎，過去不乏其例，大法官可起而糾正之。就以最近所作出的釋字第七一八號解釋為例，對於緊急性與偶發性集會，毋庸事前向主管機關申請許可。大法官在釋字第四四五號解釋中已經要求立法機關應修法檢討改進，然立法不作為持續達十五年之久且遲無修法徵兆，大法官遂作出釋字第七一八號解釋，宣布相關條文八個月後失效。本號解釋何妨亦比照此方式？本席認為本案既然涉及到刑事案件，故其調閱之卷證是否屬於議案所必須？有無太過浮濫及侵害他人法益或公益之虞？（例如，洩露線民、秘密證人與情報來源的資料，其他輔助性的辦案資訊</w:t>
      </w:r>
      <w:r>
        <w:rPr>
          <w:rFonts w:eastAsia="標楷體" w:hint="eastAsia"/>
          <w:color w:val="000000"/>
          <w:sz w:val="28"/>
          <w:szCs w:val="28"/>
        </w:rPr>
        <w:t>……</w:t>
      </w:r>
      <w:r w:rsidR="00473747">
        <w:rPr>
          <w:rFonts w:ascii="Times New Roman" w:eastAsia="標楷體" w:hAnsi="標楷體"/>
          <w:color w:val="000000"/>
          <w:sz w:val="28"/>
          <w:szCs w:val="28"/>
        </w:rPr>
        <w:t>），此時</w:t>
      </w:r>
      <w:r w:rsidR="00473747">
        <w:rPr>
          <w:rFonts w:ascii="Times New Roman" w:eastAsia="標楷體" w:hAnsi="標楷體" w:hint="eastAsia"/>
          <w:color w:val="000000"/>
          <w:sz w:val="28"/>
          <w:szCs w:val="28"/>
        </w:rPr>
        <w:t>唯</w:t>
      </w:r>
      <w:r w:rsidRPr="004E344C">
        <w:rPr>
          <w:rFonts w:ascii="Times New Roman" w:eastAsia="標楷體" w:hAnsi="標楷體"/>
          <w:color w:val="000000"/>
          <w:sz w:val="28"/>
          <w:szCs w:val="28"/>
        </w:rPr>
        <w:t>有審理刑案經驗之刑事法院方具備可勝任之資格。故可倣效本院釋字第六二七號解釋對於總統提出之資訊是否適用國家機密保護法及相關的法規爭議，創設由高等法院或其分院以資深庭長為審判長之法官五人組成之特別合議庭，並適用刑事訴訟法的相關規定審理之成例。使在新法制定前，有一個過渡的審理機制，並藉以督促立法腳步也。本席認為，由於本號解釋涉及調閱司法刑事案件，故應交由刑事法院體系審理（德國聯邦眾議院調查委員會職權行使法第三十六條，乃交由最終審之聯邦法院刑事庭審理），至於向其他行政機關的調閱產生之爭議，可交由行政法院審理，亦屬立法裁量之範圍</w:t>
      </w:r>
      <w:r w:rsidRPr="004E344C">
        <w:rPr>
          <w:rFonts w:eastAsia="標楷體" w:hAnsi="標楷體" w:hint="eastAsia"/>
          <w:color w:val="000000"/>
          <w:sz w:val="22"/>
        </w:rPr>
        <w:t>（註</w:t>
      </w:r>
      <w:r>
        <w:rPr>
          <w:rFonts w:eastAsia="標楷體" w:hAnsi="標楷體" w:hint="eastAsia"/>
          <w:color w:val="000000"/>
          <w:sz w:val="22"/>
        </w:rPr>
        <w:t>八</w:t>
      </w:r>
      <w:r w:rsidRPr="004E344C">
        <w:rPr>
          <w:rFonts w:eastAsia="標楷體" w:hAnsi="標楷體" w:hint="eastAsia"/>
          <w:color w:val="000000"/>
          <w:sz w:val="22"/>
        </w:rPr>
        <w:t>）</w:t>
      </w:r>
      <w:r w:rsidRPr="004E344C">
        <w:rPr>
          <w:rFonts w:ascii="Times New Roman" w:eastAsia="標楷體" w:hAnsi="標楷體"/>
          <w:color w:val="000000"/>
          <w:sz w:val="28"/>
          <w:szCs w:val="28"/>
        </w:rPr>
        <w:t>。惜乎，多數意見不採納此「創造暫時過渡秩序」的建議，立法機關何時才會履行此義務？吾人且拭目以待。</w:t>
      </w:r>
    </w:p>
    <w:p w:rsidR="001175B9" w:rsidRPr="004E344C" w:rsidRDefault="001175B9" w:rsidP="001175B9">
      <w:pPr>
        <w:kinsoku w:val="0"/>
        <w:overflowPunct w:val="0"/>
        <w:spacing w:line="391" w:lineRule="exact"/>
        <w:ind w:left="1474" w:hanging="879"/>
        <w:jc w:val="both"/>
        <w:rPr>
          <w:b/>
          <w:color w:val="000000"/>
          <w:sz w:val="28"/>
          <w:szCs w:val="28"/>
        </w:rPr>
      </w:pPr>
      <w:r w:rsidRPr="004E344C">
        <w:rPr>
          <w:rFonts w:hAnsi="標楷體"/>
          <w:b/>
          <w:color w:val="000000"/>
          <w:sz w:val="28"/>
          <w:szCs w:val="28"/>
        </w:rPr>
        <w:t>（三）契合聲請意旨的解釋方法</w:t>
      </w:r>
      <w:r w:rsidRPr="004E344C">
        <w:rPr>
          <w:b/>
          <w:color w:val="000000"/>
          <w:sz w:val="28"/>
          <w:szCs w:val="28"/>
        </w:rPr>
        <w:t>─</w:t>
      </w:r>
      <w:r w:rsidRPr="004E344C">
        <w:rPr>
          <w:rFonts w:hAnsi="標楷體"/>
          <w:b/>
          <w:color w:val="000000"/>
          <w:sz w:val="28"/>
          <w:szCs w:val="28"/>
        </w:rPr>
        <w:t>應當採納「小解決」的解釋標的</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本號解釋在方法論不妥之處，除了有意規避釋字第五八五號解釋所樹立的原則，</w:t>
      </w:r>
      <w:r w:rsidRPr="007D12A1">
        <w:rPr>
          <w:rFonts w:hAnsi="標楷體"/>
          <w:sz w:val="28"/>
          <w:szCs w:val="28"/>
        </w:rPr>
        <w:t>使得</w:t>
      </w:r>
      <w:r w:rsidRPr="004E344C">
        <w:rPr>
          <w:rFonts w:hAnsi="標楷體"/>
          <w:color w:val="000000"/>
          <w:sz w:val="28"/>
          <w:szCs w:val="28"/>
        </w:rPr>
        <w:t>本號解釋的「傳承意旨」遭到割裂的效果外</w:t>
      </w:r>
      <w:r w:rsidRPr="004E344C">
        <w:rPr>
          <w:rFonts w:hAnsi="標楷體"/>
          <w:color w:val="000000"/>
          <w:sz w:val="28"/>
          <w:szCs w:val="28"/>
        </w:rPr>
        <w:lastRenderedPageBreak/>
        <w:t>，在解釋體系上，也出現解釋主文與理由混亂的現象，此弊病乃根源於對解釋標的選擇的錯誤。</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按本號解釋首先應當確認解釋的標的。以解釋標的的大小，可以存在三種選項：第一種為「大解決」（</w:t>
      </w:r>
      <w:r w:rsidRPr="004E344C">
        <w:rPr>
          <w:color w:val="000000"/>
          <w:sz w:val="28"/>
          <w:szCs w:val="28"/>
        </w:rPr>
        <w:t>Große Lösung</w:t>
      </w:r>
      <w:r w:rsidRPr="004E344C">
        <w:rPr>
          <w:rFonts w:hAnsi="標楷體"/>
          <w:color w:val="000000"/>
          <w:sz w:val="28"/>
          <w:szCs w:val="28"/>
        </w:rPr>
        <w:t>）；第二種</w:t>
      </w:r>
      <w:r w:rsidR="00473747">
        <w:rPr>
          <w:rFonts w:hAnsi="標楷體" w:hint="eastAsia"/>
          <w:color w:val="000000"/>
          <w:sz w:val="28"/>
          <w:szCs w:val="28"/>
        </w:rPr>
        <w:t>為</w:t>
      </w:r>
      <w:r w:rsidRPr="004E344C">
        <w:rPr>
          <w:rFonts w:hAnsi="標楷體"/>
          <w:color w:val="000000"/>
          <w:sz w:val="28"/>
          <w:szCs w:val="28"/>
        </w:rPr>
        <w:t>「中解決」（</w:t>
      </w:r>
      <w:r w:rsidRPr="004E344C">
        <w:rPr>
          <w:color w:val="000000"/>
          <w:sz w:val="28"/>
          <w:szCs w:val="28"/>
        </w:rPr>
        <w:t>Mittle Lösung</w:t>
      </w:r>
      <w:r w:rsidRPr="004E344C">
        <w:rPr>
          <w:rFonts w:hAnsi="標楷體"/>
          <w:color w:val="000000"/>
          <w:sz w:val="28"/>
          <w:szCs w:val="28"/>
        </w:rPr>
        <w:t>）；第三種</w:t>
      </w:r>
      <w:r w:rsidR="009664ED">
        <w:rPr>
          <w:rFonts w:hAnsi="標楷體" w:hint="eastAsia"/>
          <w:color w:val="000000"/>
          <w:sz w:val="28"/>
          <w:szCs w:val="28"/>
        </w:rPr>
        <w:t>為</w:t>
      </w:r>
      <w:r w:rsidRPr="004E344C">
        <w:rPr>
          <w:rFonts w:hAnsi="標楷體"/>
          <w:color w:val="000000"/>
          <w:sz w:val="28"/>
          <w:szCs w:val="28"/>
        </w:rPr>
        <w:t>「小解決」（</w:t>
      </w:r>
      <w:r w:rsidRPr="004E344C">
        <w:rPr>
          <w:color w:val="000000"/>
          <w:sz w:val="28"/>
          <w:szCs w:val="28"/>
        </w:rPr>
        <w:t>Kleine Lösung</w:t>
      </w:r>
      <w:r w:rsidRPr="004E344C">
        <w:rPr>
          <w:rFonts w:hAnsi="標楷體"/>
          <w:color w:val="000000"/>
          <w:sz w:val="28"/>
          <w:szCs w:val="28"/>
        </w:rPr>
        <w:t>）。都會影響最終解釋內容的深度與周延性。標的越大，即有議論空泛的危機，是乃「備多力分」，所不可避免的後果。如時間有限，規劃與重新構建一個雄偉新法制的共識與構想仍欠缺時，即應採行「小而美」的解決標的論，以實事求是也</w:t>
      </w:r>
      <w:r w:rsidR="009664ED">
        <w:rPr>
          <w:rFonts w:hAnsi="標楷體" w:hint="eastAsia"/>
          <w:color w:val="000000"/>
          <w:sz w:val="28"/>
          <w:szCs w:val="28"/>
        </w:rPr>
        <w:t>，</w:t>
      </w:r>
      <w:r w:rsidRPr="004E344C">
        <w:rPr>
          <w:rFonts w:hAnsi="標楷體"/>
          <w:color w:val="000000"/>
          <w:sz w:val="28"/>
          <w:szCs w:val="28"/>
        </w:rPr>
        <w:t>則是本席在本號解釋形成過程，一再堅持的立場。</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按所謂的「大解決」乃雄心壯志地在本號解釋中，建立一整套完整的調查權法制，當然包括文件調閱權在內，以期畢全功於一役。但前提條件必須是：須為</w:t>
      </w:r>
      <w:r w:rsidRPr="007D12A1">
        <w:rPr>
          <w:rFonts w:hAnsi="標楷體"/>
          <w:sz w:val="28"/>
          <w:szCs w:val="28"/>
        </w:rPr>
        <w:t>原因</w:t>
      </w:r>
      <w:r w:rsidRPr="004E344C">
        <w:rPr>
          <w:rFonts w:hAnsi="標楷體"/>
          <w:color w:val="000000"/>
          <w:sz w:val="28"/>
          <w:szCs w:val="28"/>
        </w:rPr>
        <w:t>案件聲請統一解釋的範圍所及，是乃形式要件；以及大法官對於構建整套體制已有腹案。但對本案而言，顯然兩者皆不具備。</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所謂的「中解決」，乃專就文件調閱權的完善度著眼，雖然必須以目前包括釋字第五</w:t>
      </w:r>
      <w:r w:rsidRPr="007D12A1">
        <w:rPr>
          <w:rFonts w:hAnsi="標楷體"/>
          <w:sz w:val="28"/>
          <w:szCs w:val="28"/>
        </w:rPr>
        <w:t>八五號</w:t>
      </w:r>
      <w:r w:rsidRPr="004E344C">
        <w:rPr>
          <w:rFonts w:hAnsi="標楷體"/>
          <w:color w:val="000000"/>
          <w:sz w:val="28"/>
          <w:szCs w:val="28"/>
        </w:rPr>
        <w:t>解釋所共同構建的法理來探究與填補，但終究是以整個文件調閱制度為標的，不僅司法案件之卷證，更及於其他卷證，如一般行政卷證，亦應保密之。惟國防、外交及情治卷證，</w:t>
      </w:r>
      <w:r w:rsidR="009664ED">
        <w:rPr>
          <w:rFonts w:hAnsi="標楷體" w:hint="eastAsia"/>
          <w:color w:val="000000"/>
          <w:sz w:val="28"/>
          <w:szCs w:val="28"/>
        </w:rPr>
        <w:t>唯</w:t>
      </w:r>
      <w:r w:rsidRPr="004E344C">
        <w:rPr>
          <w:rFonts w:hAnsi="標楷體"/>
          <w:color w:val="000000"/>
          <w:sz w:val="28"/>
          <w:szCs w:val="28"/>
        </w:rPr>
        <w:t>恐極為多樣及複雜，可能須有不同的制度設計也。本號解釋在解釋理由書部分，便呈現出典型「中解決」的詮釋方法。</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而「小解決」則是專就本號解釋原因案件聲請人所聲請解釋的標的</w:t>
      </w:r>
      <w:r w:rsidRPr="004E344C">
        <w:rPr>
          <w:color w:val="000000"/>
          <w:sz w:val="28"/>
          <w:szCs w:val="28"/>
        </w:rPr>
        <w:t>─</w:t>
      </w:r>
      <w:r w:rsidRPr="004E344C">
        <w:rPr>
          <w:rFonts w:hAnsi="標楷體"/>
          <w:color w:val="000000"/>
          <w:sz w:val="28"/>
          <w:szCs w:val="28"/>
        </w:rPr>
        <w:t>「已偵查終結的案件」，來予詮釋。本號解釋的主文，即是以「小解決」為對象，並透過對釋字第三二五號解釋與釋字第五八五號解釋的反面解釋，獲得了應提供卷證的結論。</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本席</w:t>
      </w:r>
      <w:r w:rsidRPr="007D12A1">
        <w:rPr>
          <w:rFonts w:hAnsi="標楷體"/>
          <w:sz w:val="28"/>
          <w:szCs w:val="28"/>
        </w:rPr>
        <w:t>認為</w:t>
      </w:r>
      <w:r w:rsidRPr="004E344C">
        <w:rPr>
          <w:rFonts w:hAnsi="標楷體"/>
          <w:color w:val="000000"/>
          <w:sz w:val="28"/>
          <w:szCs w:val="28"/>
        </w:rPr>
        <w:t>，本號解釋即應當採行「小解決」的方法論，即可以得到下述的優點：</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第一，避免理由書淪為大多為「傍論」的後果。按理由書如果逸出了聲請案的聲請</w:t>
      </w:r>
      <w:r w:rsidRPr="007D12A1">
        <w:rPr>
          <w:rFonts w:hAnsi="標楷體"/>
          <w:sz w:val="28"/>
          <w:szCs w:val="28"/>
        </w:rPr>
        <w:t>意旨</w:t>
      </w:r>
      <w:r w:rsidRPr="004E344C">
        <w:rPr>
          <w:rFonts w:hAnsi="標楷體"/>
          <w:color w:val="000000"/>
          <w:sz w:val="28"/>
          <w:szCs w:val="28"/>
        </w:rPr>
        <w:t>，以及解釋文的主軸，即形同類似「訴外裁判」，即為所謂的「傍論」（</w:t>
      </w:r>
      <w:r w:rsidRPr="004E344C">
        <w:rPr>
          <w:color w:val="000000"/>
          <w:sz w:val="28"/>
          <w:szCs w:val="28"/>
        </w:rPr>
        <w:t>obiter dicta</w:t>
      </w:r>
      <w:r w:rsidRPr="004E344C">
        <w:rPr>
          <w:rFonts w:hAnsi="標楷體"/>
          <w:color w:val="000000"/>
          <w:sz w:val="28"/>
          <w:szCs w:val="28"/>
        </w:rPr>
        <w:t>）。雖然其構成理由書一部分，亦應有拘束力，但其效力正當性的質疑，始終存在於學術界</w:t>
      </w:r>
      <w:r w:rsidRPr="004E344C">
        <w:rPr>
          <w:rFonts w:hAnsi="標楷體" w:hint="eastAsia"/>
          <w:color w:val="000000"/>
          <w:sz w:val="22"/>
          <w:szCs w:val="22"/>
        </w:rPr>
        <w:t>（註</w:t>
      </w:r>
      <w:r>
        <w:rPr>
          <w:rFonts w:hAnsi="標楷體" w:hint="eastAsia"/>
          <w:color w:val="000000"/>
          <w:sz w:val="22"/>
          <w:szCs w:val="22"/>
        </w:rPr>
        <w:t>九</w:t>
      </w:r>
      <w:r w:rsidRPr="004E344C">
        <w:rPr>
          <w:rFonts w:hAnsi="標楷體" w:hint="eastAsia"/>
          <w:color w:val="000000"/>
          <w:sz w:val="22"/>
          <w:szCs w:val="22"/>
        </w:rPr>
        <w:t>）</w:t>
      </w:r>
      <w:r w:rsidRPr="004E344C">
        <w:rPr>
          <w:rFonts w:hAnsi="標楷體"/>
          <w:color w:val="000000"/>
          <w:sz w:val="28"/>
          <w:szCs w:val="28"/>
        </w:rPr>
        <w:t>。同時本號解釋文與理由書竟然標的不同，前後首尾不能相</w:t>
      </w:r>
      <w:r w:rsidR="009664ED">
        <w:rPr>
          <w:rFonts w:hAnsi="標楷體" w:hint="eastAsia"/>
          <w:color w:val="000000"/>
          <w:sz w:val="28"/>
          <w:szCs w:val="28"/>
        </w:rPr>
        <w:t>互</w:t>
      </w:r>
      <w:r w:rsidRPr="004E344C">
        <w:rPr>
          <w:rFonts w:hAnsi="標楷體"/>
          <w:color w:val="000000"/>
          <w:sz w:val="28"/>
          <w:szCs w:val="28"/>
        </w:rPr>
        <w:t>銜接的矛盾，體系不無紊亂之嫌。</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第二，如果專注於司法卷證的調閱，更可以將此領域精細規範。按本號解釋多數意見，已經對釋字第三二五號解釋與釋字第五八五號解釋採行反面解釋，而獲得對偵查終結案件的卷證開禁。但同</w:t>
      </w:r>
      <w:r w:rsidRPr="004E344C">
        <w:rPr>
          <w:rFonts w:hAnsi="標楷體"/>
          <w:color w:val="000000"/>
          <w:sz w:val="28"/>
          <w:szCs w:val="28"/>
        </w:rPr>
        <w:lastRenderedPageBreak/>
        <w:t>樣的反面解釋，是否也及於該</w:t>
      </w:r>
      <w:r w:rsidRPr="007D12A1">
        <w:rPr>
          <w:rFonts w:hAnsi="標楷體"/>
          <w:sz w:val="28"/>
          <w:szCs w:val="28"/>
        </w:rPr>
        <w:t>兩號</w:t>
      </w:r>
      <w:r w:rsidRPr="004E344C">
        <w:rPr>
          <w:rFonts w:hAnsi="標楷體"/>
          <w:color w:val="000000"/>
          <w:sz w:val="28"/>
          <w:szCs w:val="28"/>
        </w:rPr>
        <w:t>解釋同時提及的「審判中」案件的卷證，而得到「確定終局裁判」後的卷證，一樣可由立法院調卷？且法官（含書記官等），亦可赴立法院備詢的結論？導出此結論的可能性恐怕非空穴來風矣！</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本席認為，如採「小解決」之標的論，自然可將探究的標的及於確定終局裁判後的</w:t>
      </w:r>
      <w:r w:rsidRPr="007D12A1">
        <w:rPr>
          <w:rFonts w:hAnsi="標楷體"/>
          <w:sz w:val="28"/>
          <w:szCs w:val="28"/>
        </w:rPr>
        <w:t>卷宗</w:t>
      </w:r>
      <w:r w:rsidRPr="004E344C">
        <w:rPr>
          <w:rFonts w:hAnsi="標楷體"/>
          <w:color w:val="000000"/>
          <w:sz w:val="28"/>
          <w:szCs w:val="28"/>
        </w:rPr>
        <w:t>，其理由為：既然本案採行反面解釋，則與偵查相關的審判案件，自可依「重要關聯理論」一併審查之。故本案解釋標的即可延伸至「確定終局裁判」後的卷證，而無「訴外裁判」之虞。</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然而，本席卻認為，確定終局裁判後的卷證不應提供立法院調閱。這是基於審判與偵查之權限性質不同，屬於憲法所保障的獨立機關行使職權之範疇。而</w:t>
      </w:r>
      <w:r w:rsidRPr="007D12A1">
        <w:rPr>
          <w:rFonts w:hAnsi="標楷體"/>
          <w:sz w:val="28"/>
          <w:szCs w:val="28"/>
        </w:rPr>
        <w:t>審判</w:t>
      </w:r>
      <w:r w:rsidRPr="004E344C">
        <w:rPr>
          <w:rFonts w:hAnsi="標楷體"/>
          <w:color w:val="000000"/>
          <w:sz w:val="28"/>
          <w:szCs w:val="28"/>
        </w:rPr>
        <w:t>是否合法或妥當，事涉司法公務員的懲戒問題，自有監察體系職掌之，非立法院的職權所及（本號解釋理由書第五段已特別澄清）</w:t>
      </w:r>
      <w:r w:rsidRPr="004E344C">
        <w:rPr>
          <w:rFonts w:hAnsi="標楷體" w:hint="eastAsia"/>
          <w:color w:val="000000"/>
          <w:sz w:val="22"/>
          <w:szCs w:val="22"/>
        </w:rPr>
        <w:t>（註</w:t>
      </w:r>
      <w:r>
        <w:rPr>
          <w:rFonts w:hAnsi="標楷體" w:hint="eastAsia"/>
          <w:color w:val="000000"/>
          <w:sz w:val="22"/>
          <w:szCs w:val="22"/>
        </w:rPr>
        <w:t>十</w:t>
      </w:r>
      <w:r w:rsidRPr="004E344C">
        <w:rPr>
          <w:rFonts w:hAnsi="標楷體" w:hint="eastAsia"/>
          <w:color w:val="000000"/>
          <w:sz w:val="22"/>
          <w:szCs w:val="22"/>
        </w:rPr>
        <w:t>）</w:t>
      </w:r>
      <w:r w:rsidRPr="004E344C">
        <w:rPr>
          <w:rFonts w:hAnsi="標楷體"/>
          <w:color w:val="000000"/>
          <w:sz w:val="28"/>
          <w:szCs w:val="28"/>
        </w:rPr>
        <w:t>。另外，還有必要澄清之疑處，乃專對審判的案件，釋字第三二五號解釋曾經指出「司法機關審理案件所表示之法律見解」與「考試機關對於應考人成績之評定、監察委員為糾彈或糾正與否之判斷」，都屬不受立法院調閱之範疇。故上述案件，不論終結與否，都不可調閱，乃憲法機關及其人員獨立行使職權，與權力分立原則的實現。這是極明白的闡釋。</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而其中「司法機關審理案件所表示之法律見解」的卷證，既然在案件終局審判後亦不必提供。而對比該號解釋接續提到可拒絕的事項另有「訴訟案件在裁判確定前就偵查、審判所為之處置及其卷證等」，顯然兩者差別之處，一為「司法機關審理案件之法律見解」，另一為「訴訟案件在偵查與審判中的處置及其卷證」，差異何在？顯然本號解釋未予答覆。本席以為，應尊重司法機關獨立行使職權的法治國分權原則，前述「司法機關審理的案件」，乃專指法院而言。故不論訴訟終結與否，個案訴訟卷證皆毋庸作為調閱之標的，因司法權不對立法權負責也</w:t>
      </w:r>
      <w:r w:rsidRPr="004E344C">
        <w:rPr>
          <w:rFonts w:hAnsi="標楷體" w:hint="eastAsia"/>
          <w:color w:val="000000"/>
          <w:sz w:val="22"/>
          <w:szCs w:val="22"/>
        </w:rPr>
        <w:t>（註</w:t>
      </w:r>
      <w:r>
        <w:rPr>
          <w:rFonts w:hAnsi="標楷體" w:hint="eastAsia"/>
          <w:color w:val="000000"/>
          <w:sz w:val="22"/>
          <w:szCs w:val="22"/>
        </w:rPr>
        <w:t>十</w:t>
      </w:r>
      <w:r w:rsidRPr="004E344C">
        <w:rPr>
          <w:rFonts w:hAnsi="標楷體" w:hint="eastAsia"/>
          <w:color w:val="000000"/>
          <w:sz w:val="22"/>
          <w:szCs w:val="22"/>
        </w:rPr>
        <w:t>一）</w:t>
      </w:r>
      <w:r w:rsidRPr="004E344C">
        <w:rPr>
          <w:rFonts w:hAnsi="標楷體"/>
          <w:color w:val="000000"/>
          <w:sz w:val="28"/>
          <w:szCs w:val="28"/>
        </w:rPr>
        <w:t>。至於後者雖然亦提及「訴訟仍未確定前的審判卷證」，不可調閱，即可結合前要件，而作出即使裁判確定後亦不必提供卷證的結論</w:t>
      </w:r>
      <w:r w:rsidRPr="004E344C">
        <w:rPr>
          <w:rFonts w:hAnsi="標楷體" w:hint="eastAsia"/>
          <w:color w:val="000000"/>
          <w:sz w:val="22"/>
          <w:szCs w:val="22"/>
        </w:rPr>
        <w:t>（註</w:t>
      </w:r>
      <w:r>
        <w:rPr>
          <w:rFonts w:hAnsi="標楷體" w:hint="eastAsia"/>
          <w:color w:val="000000"/>
          <w:sz w:val="22"/>
          <w:szCs w:val="22"/>
        </w:rPr>
        <w:t>十二</w:t>
      </w:r>
      <w:r w:rsidRPr="004E344C">
        <w:rPr>
          <w:rFonts w:hAnsi="標楷體" w:hint="eastAsia"/>
          <w:color w:val="000000"/>
          <w:sz w:val="22"/>
          <w:szCs w:val="22"/>
        </w:rPr>
        <w:t>）</w:t>
      </w:r>
      <w:r w:rsidRPr="004E344C">
        <w:rPr>
          <w:rFonts w:hAnsi="標楷體"/>
          <w:color w:val="000000"/>
          <w:sz w:val="28"/>
          <w:szCs w:val="28"/>
        </w:rPr>
        <w:t>。</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故審判行為不似檢察權的行使，仍屬行政權，其行使過程雖受獨立行使的保障，不受任何干涉。但對其行使的良窳亦可追究其行政、政治及法律責任。在</w:t>
      </w:r>
      <w:r w:rsidRPr="007D12A1">
        <w:rPr>
          <w:rFonts w:hAnsi="標楷體"/>
          <w:sz w:val="28"/>
          <w:szCs w:val="28"/>
        </w:rPr>
        <w:t>民主國家</w:t>
      </w:r>
      <w:r w:rsidRPr="004E344C">
        <w:rPr>
          <w:rFonts w:hAnsi="標楷體"/>
          <w:color w:val="000000"/>
          <w:sz w:val="28"/>
          <w:szCs w:val="28"/>
        </w:rPr>
        <w:t>如果偵查權濫行起訴（司法迫害）或不起訴（有意放水），極有可能形成朝野政黨爭論的焦點也。</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故本號解釋惜乎未能就此問題加以澄清，使得本號解釋的「反面解釋論」，會造成許可立法院調閱已確定司法案件的卷證，恐會有</w:t>
      </w:r>
      <w:r w:rsidRPr="004E344C">
        <w:rPr>
          <w:rFonts w:hAnsi="標楷體"/>
          <w:color w:val="000000"/>
          <w:sz w:val="28"/>
          <w:szCs w:val="28"/>
        </w:rPr>
        <w:lastRenderedPageBreak/>
        <w:t>形成侵擾司法審判空間之危機，令人不禁為之擔憂也。</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第三，本號解釋若採行「小解決」即可專對司法案件的特性，作更詳盡的詮釋，可使得涉及司法與裁判權力是否遭到調閱權與調查權之可能侵害之問題，得到更完美的解決。可舉例說明之。</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就以文件調閱以外，釋字第五八五號解釋已提到立法院可傳喚政府機關人員與人民擔任證人，負有協助調查的義務。則檢察官與法官可否擁有「免為證人與</w:t>
      </w:r>
      <w:r w:rsidRPr="007D12A1">
        <w:rPr>
          <w:rFonts w:hAnsi="標楷體"/>
          <w:sz w:val="28"/>
          <w:szCs w:val="28"/>
        </w:rPr>
        <w:t>證言</w:t>
      </w:r>
      <w:r w:rsidRPr="004E344C">
        <w:rPr>
          <w:rFonts w:hAnsi="標楷體"/>
          <w:color w:val="000000"/>
          <w:sz w:val="28"/>
          <w:szCs w:val="28"/>
        </w:rPr>
        <w:t>」的特權？故釋字第五八五號解釋</w:t>
      </w:r>
      <w:r w:rsidR="009664ED">
        <w:rPr>
          <w:rFonts w:hAnsi="標楷體"/>
          <w:color w:val="000000"/>
          <w:sz w:val="28"/>
          <w:szCs w:val="28"/>
        </w:rPr>
        <w:t>的規範始終如影隨形。原因案件已出現立法院要求檢察總長與相關人員</w:t>
      </w:r>
      <w:r w:rsidRPr="004E344C">
        <w:rPr>
          <w:rFonts w:hAnsi="標楷體"/>
          <w:color w:val="000000"/>
          <w:sz w:val="28"/>
          <w:szCs w:val="28"/>
        </w:rPr>
        <w:t>應赴立法院備詢。多數意見雖然對聲請人此要求不予受理（理由書第七段），然此問題依舊存在。</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若結合偵查案件終結即許可調閱卷證的法理，乃是因為不再有侵犯偵查權行使之虞，則會導出顯然檢察官等相關人員（包括書記官或鑑定人等），即應赴立法院接受備詢之結論。而對確定判決案件的法官，亦同。如採此種見解，</w:t>
      </w:r>
      <w:r w:rsidRPr="007D12A1">
        <w:rPr>
          <w:rFonts w:hAnsi="標楷體"/>
          <w:sz w:val="28"/>
          <w:szCs w:val="28"/>
        </w:rPr>
        <w:t>是否</w:t>
      </w:r>
      <w:r w:rsidRPr="004E344C">
        <w:rPr>
          <w:rFonts w:hAnsi="標楷體"/>
          <w:color w:val="000000"/>
          <w:sz w:val="28"/>
          <w:szCs w:val="28"/>
        </w:rPr>
        <w:t>應討論此些人員是否屬於「行政機關內部意志形成」的一份子，是否屬於行政特權的核心理論？此些行政內部的文件，以及參與人的意志與言論，都屬於不必公開的資訊。</w:t>
      </w:r>
      <w:r w:rsidR="009664ED">
        <w:rPr>
          <w:rFonts w:hAnsi="標楷體" w:hint="eastAsia"/>
          <w:color w:val="000000"/>
          <w:sz w:val="28"/>
          <w:szCs w:val="28"/>
        </w:rPr>
        <w:t>政府</w:t>
      </w:r>
      <w:r w:rsidRPr="004E344C">
        <w:rPr>
          <w:rFonts w:hAnsi="標楷體"/>
          <w:color w:val="000000"/>
          <w:sz w:val="28"/>
          <w:szCs w:val="28"/>
        </w:rPr>
        <w:t>資訊公開法第十八條第一項第二款：「公開或提供有礙犯罪之偵查、追訴、執行或足以妨</w:t>
      </w:r>
      <w:r w:rsidR="009664ED">
        <w:rPr>
          <w:rFonts w:hAnsi="標楷體"/>
          <w:color w:val="000000"/>
          <w:sz w:val="28"/>
          <w:szCs w:val="28"/>
        </w:rPr>
        <w:t>害刑事被告受公正之裁判或有危害他人生命、身體、自由、財產者。」</w:t>
      </w:r>
      <w:r w:rsidRPr="004E344C">
        <w:rPr>
          <w:rFonts w:hAnsi="標楷體"/>
          <w:color w:val="000000"/>
          <w:sz w:val="28"/>
          <w:szCs w:val="28"/>
        </w:rPr>
        <w:t>及第三款「政府機關作成意思決定前，內部單位之擬稿或其他準備作業。但對公益有必要者，得公開或提供之。」都有類似的規定，只是對司法案件的終結與否未明文與更進一步的規範，日後在調閱的實務上，也可能發生檢察主管機關，得否對於哪些卷證屬於內部意志形成過程的文件，援引行政特權（例如，線民或秘密證人的資料），而拒絕提供；或哪些工作人員乃幕僚與作業人員，無須</w:t>
      </w:r>
      <w:r w:rsidR="009664ED">
        <w:rPr>
          <w:rFonts w:hAnsi="標楷體"/>
          <w:color w:val="000000"/>
          <w:sz w:val="28"/>
          <w:szCs w:val="28"/>
        </w:rPr>
        <w:t>出席備詢或作證等，都可能造成爭議也。同樣的，審判機關也會面臨類</w:t>
      </w:r>
      <w:r w:rsidR="009664ED">
        <w:rPr>
          <w:rFonts w:hAnsi="標楷體" w:hint="eastAsia"/>
          <w:color w:val="000000"/>
          <w:sz w:val="28"/>
          <w:szCs w:val="28"/>
        </w:rPr>
        <w:t>似</w:t>
      </w:r>
      <w:r w:rsidRPr="004E344C">
        <w:rPr>
          <w:rFonts w:hAnsi="標楷體"/>
          <w:color w:val="000000"/>
          <w:sz w:val="28"/>
          <w:szCs w:val="28"/>
        </w:rPr>
        <w:t>的問題。</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本號解釋，如果不採行「中解決」方案，以免備多力分，而採行「小解決」即可望對此</w:t>
      </w:r>
      <w:r w:rsidRPr="007D12A1">
        <w:rPr>
          <w:rFonts w:hAnsi="標楷體"/>
          <w:sz w:val="28"/>
          <w:szCs w:val="28"/>
        </w:rPr>
        <w:t>問題</w:t>
      </w:r>
      <w:r w:rsidRPr="004E344C">
        <w:rPr>
          <w:rFonts w:hAnsi="標楷體"/>
          <w:color w:val="000000"/>
          <w:sz w:val="28"/>
          <w:szCs w:val="28"/>
        </w:rPr>
        <w:t>作一個澄清。本席認為，為避免立法院形成個別刑事案件的另一個戰場，對於審判案件終結，固不可調卷及傳</w:t>
      </w:r>
      <w:r w:rsidR="009664ED">
        <w:rPr>
          <w:rFonts w:hAnsi="標楷體"/>
          <w:color w:val="000000"/>
          <w:sz w:val="28"/>
          <w:szCs w:val="28"/>
        </w:rPr>
        <w:t>喚法官為證人外，對於偵查終結案件，</w:t>
      </w:r>
      <w:r w:rsidR="009664ED">
        <w:rPr>
          <w:rFonts w:hAnsi="標楷體" w:hint="eastAsia"/>
          <w:color w:val="000000"/>
          <w:sz w:val="28"/>
          <w:szCs w:val="28"/>
        </w:rPr>
        <w:t>既</w:t>
      </w:r>
      <w:r w:rsidR="009664ED">
        <w:rPr>
          <w:rFonts w:hAnsi="標楷體"/>
          <w:color w:val="000000"/>
          <w:sz w:val="28"/>
          <w:szCs w:val="28"/>
        </w:rPr>
        <w:t>然許可調閱，自然也及於可以</w:t>
      </w:r>
      <w:r w:rsidR="009664ED">
        <w:rPr>
          <w:rFonts w:hAnsi="標楷體" w:hint="eastAsia"/>
          <w:color w:val="000000"/>
          <w:sz w:val="28"/>
          <w:szCs w:val="28"/>
        </w:rPr>
        <w:t>傳</w:t>
      </w:r>
      <w:r w:rsidRPr="004E344C">
        <w:rPr>
          <w:rFonts w:hAnsi="標楷體"/>
          <w:color w:val="000000"/>
          <w:sz w:val="28"/>
          <w:szCs w:val="28"/>
        </w:rPr>
        <w:t>喚相關人員之備詢，雖可有益於國會監督偵查權的行使，但可能會使國會更大幅度界入監察權的體系，亦可能會對檢察官等行使職權造成嚴重的干涉。就以對個案的檢察權決定所為之立法監督，即容易混淆政治監督、行政監督與法律監督。而檢察官所為之偵查決定很容易納入其法律見解，依法官法的規定（法官法第八十九條），檢察官享有幾乎與法官相同的行使職權之保障，其偵查</w:t>
      </w:r>
      <w:r w:rsidRPr="004E344C">
        <w:rPr>
          <w:rFonts w:hAnsi="標楷體"/>
          <w:color w:val="000000"/>
          <w:sz w:val="28"/>
          <w:szCs w:val="28"/>
        </w:rPr>
        <w:lastRenderedPageBreak/>
        <w:t>權的行使的見解，如納入法律見解時，且不為檢察官評鑑的標的也。釋字第三二五號解釋，也特別提到「檢察官之偵查與法官之刑事審判，同為國家刑罰權正確行使之重要程序，兩者具有密切關</w:t>
      </w:r>
      <w:r w:rsidR="009664ED">
        <w:rPr>
          <w:rFonts w:hAnsi="標楷體"/>
          <w:color w:val="000000"/>
          <w:sz w:val="28"/>
          <w:szCs w:val="28"/>
        </w:rPr>
        <w:t>係，除受檢察一體之拘束外，其對外獨立行使職權，亦應同受保障。」</w:t>
      </w:r>
      <w:r w:rsidRPr="004E344C">
        <w:rPr>
          <w:rFonts w:hAnsi="標楷體"/>
          <w:color w:val="000000"/>
          <w:sz w:val="28"/>
          <w:szCs w:val="28"/>
        </w:rPr>
        <w:t>所以應當將檢察官就刑事偵查的權限，與其受到立法院的監督界限，與法官同等看待</w:t>
      </w:r>
      <w:r w:rsidRPr="004E344C">
        <w:rPr>
          <w:rFonts w:hAnsi="標楷體" w:hint="eastAsia"/>
          <w:color w:val="000000"/>
          <w:sz w:val="22"/>
          <w:szCs w:val="22"/>
        </w:rPr>
        <w:t>（註</w:t>
      </w:r>
      <w:r>
        <w:rPr>
          <w:rFonts w:hAnsi="標楷體" w:hint="eastAsia"/>
          <w:color w:val="000000"/>
          <w:sz w:val="22"/>
          <w:szCs w:val="22"/>
        </w:rPr>
        <w:t>十三</w:t>
      </w:r>
      <w:r w:rsidRPr="004E344C">
        <w:rPr>
          <w:rFonts w:hAnsi="標楷體" w:hint="eastAsia"/>
          <w:color w:val="000000"/>
          <w:sz w:val="22"/>
          <w:szCs w:val="22"/>
        </w:rPr>
        <w:t>）</w:t>
      </w:r>
      <w:r w:rsidRPr="004E344C">
        <w:rPr>
          <w:rFonts w:hAnsi="標楷體"/>
          <w:color w:val="000000"/>
          <w:sz w:val="28"/>
          <w:szCs w:val="28"/>
        </w:rPr>
        <w:t>，此亦為原因案件聲請釋憲的主要訴求之一。因此，對檢察官應與一般行政官有相當的區別，是否也應反應在其擁有免赴立法院備詢，及免為擔任證人等協助調查義務之特權乎？</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本號解釋多數意見似乎未有任何的表示，只提及立法院及其委員不得就該案件的偵查過程等或不起訴等結論及內容，為與憲法上職權無關之評論或決議（理由書第四段），似乎可詢問與傳喚相關人（釋字第五八五號解釋），只是不能夠作出類似譴責，或要求重新起訴等決議罷了。</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因此，這裡面臨「兩難困境」：一方面承認許可調閱已偵查終結之案件卷證，不致於影響偵查權；另一方面又認為傳喚個案檢察官，了解其偵查作為是否妥適，可能造成壓迫檢察官之副作用，而對此權存有疑慮。此時得否獲得一個妥協方案：即「人與文件相區分」</w:t>
      </w:r>
      <w:r w:rsidRPr="004E344C">
        <w:rPr>
          <w:color w:val="000000"/>
          <w:sz w:val="28"/>
          <w:szCs w:val="28"/>
        </w:rPr>
        <w:t>─</w:t>
      </w:r>
      <w:r w:rsidRPr="004E344C">
        <w:rPr>
          <w:rFonts w:hAnsi="標楷體"/>
          <w:color w:val="000000"/>
          <w:sz w:val="28"/>
          <w:szCs w:val="28"/>
        </w:rPr>
        <w:t>調閱卷證可，傳喚人員不可。但如此一來，會否又認為立法院的調查權即不完整與破碎，光審查文件而無法詢問當事人，勢必無法獲得事情真相與全貌也。</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多數意見也提及「</w:t>
      </w:r>
      <w:r>
        <w:rPr>
          <w:rFonts w:hint="eastAsia"/>
          <w:color w:val="000000"/>
          <w:sz w:val="28"/>
          <w:szCs w:val="28"/>
        </w:rPr>
        <w:t>……</w:t>
      </w:r>
      <w:r w:rsidRPr="004E344C">
        <w:rPr>
          <w:rFonts w:hAnsi="標楷體"/>
          <w:color w:val="000000"/>
          <w:sz w:val="28"/>
          <w:szCs w:val="28"/>
        </w:rPr>
        <w:t>不得就個案偵查之過程、不起訴處分或未經起訴而以其他方式結案之</w:t>
      </w:r>
      <w:r w:rsidRPr="00F9365A">
        <w:rPr>
          <w:rFonts w:hAnsi="標楷體"/>
          <w:sz w:val="28"/>
          <w:szCs w:val="28"/>
        </w:rPr>
        <w:t>結論</w:t>
      </w:r>
      <w:r w:rsidRPr="004E344C">
        <w:rPr>
          <w:rFonts w:hAnsi="標楷體"/>
          <w:color w:val="000000"/>
          <w:sz w:val="28"/>
          <w:szCs w:val="28"/>
        </w:rPr>
        <w:t>及內容，為與行使憲法上職權無關之評論或決議」（理由書第四段），也透露出多數意見對於立法院使用文件調閱權，可能影響偵查權行使之顧慮。</w:t>
      </w:r>
    </w:p>
    <w:p w:rsidR="001175B9" w:rsidRPr="004E344C" w:rsidRDefault="001175B9" w:rsidP="001175B9">
      <w:pPr>
        <w:kinsoku w:val="0"/>
        <w:overflowPunct w:val="0"/>
        <w:spacing w:line="391" w:lineRule="exact"/>
        <w:ind w:left="1474" w:firstLine="595"/>
        <w:jc w:val="both"/>
        <w:rPr>
          <w:color w:val="000000"/>
          <w:sz w:val="28"/>
          <w:szCs w:val="28"/>
        </w:rPr>
      </w:pPr>
      <w:r w:rsidRPr="004E344C">
        <w:rPr>
          <w:rFonts w:hAnsi="標楷體"/>
          <w:color w:val="000000"/>
          <w:sz w:val="28"/>
          <w:szCs w:val="28"/>
        </w:rPr>
        <w:t>因此，如何在立法前就此問題求得一個兩全的共識，並非易事，</w:t>
      </w:r>
      <w:r w:rsidRPr="00F9365A">
        <w:rPr>
          <w:rFonts w:hAnsi="標楷體"/>
          <w:sz w:val="28"/>
          <w:szCs w:val="28"/>
        </w:rPr>
        <w:t>但也是一個必須立刻</w:t>
      </w:r>
      <w:r w:rsidRPr="004E344C">
        <w:rPr>
          <w:rFonts w:hAnsi="標楷體"/>
          <w:color w:val="000000"/>
          <w:sz w:val="28"/>
          <w:szCs w:val="28"/>
        </w:rPr>
        <w:t>著手進行研議的議題也</w:t>
      </w:r>
      <w:r w:rsidRPr="004E344C">
        <w:rPr>
          <w:rFonts w:hAnsi="標楷體" w:hint="eastAsia"/>
          <w:color w:val="000000"/>
          <w:sz w:val="22"/>
          <w:szCs w:val="22"/>
        </w:rPr>
        <w:t>（註</w:t>
      </w:r>
      <w:r>
        <w:rPr>
          <w:rFonts w:hAnsi="標楷體" w:hint="eastAsia"/>
          <w:color w:val="000000"/>
          <w:sz w:val="22"/>
          <w:szCs w:val="22"/>
        </w:rPr>
        <w:t>十四</w:t>
      </w:r>
      <w:r w:rsidRPr="004E344C">
        <w:rPr>
          <w:rFonts w:hAnsi="標楷體" w:hint="eastAsia"/>
          <w:color w:val="000000"/>
          <w:sz w:val="22"/>
          <w:szCs w:val="22"/>
        </w:rPr>
        <w:t>）</w:t>
      </w:r>
      <w:r w:rsidRPr="004E344C">
        <w:rPr>
          <w:rFonts w:hAnsi="標楷體"/>
          <w:color w:val="000000"/>
          <w:sz w:val="28"/>
          <w:szCs w:val="28"/>
        </w:rPr>
        <w:t>。可惜本號解釋亦未給予任何解決的藥石之方。</w:t>
      </w:r>
    </w:p>
    <w:p w:rsidR="001175B9" w:rsidRPr="004E344C" w:rsidRDefault="001175B9" w:rsidP="001175B9">
      <w:pPr>
        <w:spacing w:line="391" w:lineRule="exact"/>
        <w:ind w:left="482" w:hanging="482"/>
        <w:jc w:val="both"/>
        <w:rPr>
          <w:b/>
          <w:color w:val="000000"/>
          <w:sz w:val="28"/>
          <w:szCs w:val="28"/>
        </w:rPr>
      </w:pPr>
      <w:r>
        <w:rPr>
          <w:rFonts w:hAnsi="標楷體" w:hint="eastAsia"/>
          <w:b/>
          <w:color w:val="000000"/>
          <w:sz w:val="28"/>
          <w:szCs w:val="28"/>
        </w:rPr>
        <w:t>二、</w:t>
      </w:r>
      <w:r w:rsidRPr="004E344C">
        <w:rPr>
          <w:rFonts w:hAnsi="標楷體"/>
          <w:b/>
          <w:color w:val="000000"/>
          <w:sz w:val="28"/>
          <w:szCs w:val="28"/>
        </w:rPr>
        <w:t>不同意見之處</w:t>
      </w:r>
      <w:r w:rsidRPr="004E344C">
        <w:rPr>
          <w:b/>
          <w:color w:val="000000"/>
          <w:sz w:val="28"/>
          <w:szCs w:val="28"/>
        </w:rPr>
        <w:t>─</w:t>
      </w:r>
      <w:r w:rsidRPr="004E344C">
        <w:rPr>
          <w:rFonts w:hAnsi="標楷體"/>
          <w:b/>
          <w:color w:val="000000"/>
          <w:sz w:val="28"/>
          <w:szCs w:val="28"/>
        </w:rPr>
        <w:t>應受理審查檢察總長有無赴立法院委員會就調閱文件或調查權行使範圍備詢與答覆之義務</w:t>
      </w:r>
    </w:p>
    <w:p w:rsidR="001175B9" w:rsidRPr="004E344C" w:rsidRDefault="00111659" w:rsidP="001175B9">
      <w:pPr>
        <w:spacing w:line="391" w:lineRule="exact"/>
        <w:ind w:left="480" w:firstLineChars="221" w:firstLine="619"/>
        <w:jc w:val="both"/>
        <w:rPr>
          <w:color w:val="000000"/>
          <w:sz w:val="28"/>
          <w:szCs w:val="28"/>
        </w:rPr>
      </w:pPr>
      <w:r>
        <w:rPr>
          <w:rFonts w:hAnsi="標楷體" w:hint="eastAsia"/>
          <w:color w:val="000000"/>
          <w:sz w:val="28"/>
          <w:szCs w:val="28"/>
        </w:rPr>
        <w:t>聲請人</w:t>
      </w:r>
      <w:r>
        <w:rPr>
          <w:rFonts w:hAnsi="標楷體"/>
          <w:color w:val="000000"/>
          <w:sz w:val="28"/>
          <w:szCs w:val="28"/>
        </w:rPr>
        <w:t>同時認</w:t>
      </w:r>
      <w:r>
        <w:rPr>
          <w:rFonts w:hAnsi="標楷體" w:hint="eastAsia"/>
          <w:color w:val="000000"/>
          <w:sz w:val="28"/>
          <w:szCs w:val="28"/>
        </w:rPr>
        <w:t>為</w:t>
      </w:r>
      <w:r w:rsidR="001175B9" w:rsidRPr="004E344C">
        <w:rPr>
          <w:rFonts w:hAnsi="標楷體"/>
          <w:color w:val="000000"/>
          <w:sz w:val="28"/>
          <w:szCs w:val="28"/>
        </w:rPr>
        <w:t>司法及法制委員會決議通過之「監聽調閱專案小組運作要點」（下稱運作要點）第十一點、第十二點之內容，逾越立法院職權行使法第四十</w:t>
      </w:r>
      <w:r w:rsidR="009664ED">
        <w:rPr>
          <w:rFonts w:hAnsi="標楷體"/>
          <w:color w:val="000000"/>
          <w:sz w:val="28"/>
          <w:szCs w:val="28"/>
        </w:rPr>
        <w:t>五條之範圍。且據該要點第十一點規定，調閱專案小組會議召開時，得</w:t>
      </w:r>
      <w:r w:rsidR="009664ED">
        <w:rPr>
          <w:rFonts w:hAnsi="標楷體" w:hint="eastAsia"/>
          <w:color w:val="000000"/>
          <w:sz w:val="28"/>
          <w:szCs w:val="28"/>
        </w:rPr>
        <w:t>邀</w:t>
      </w:r>
      <w:r w:rsidR="001175B9" w:rsidRPr="004E344C">
        <w:rPr>
          <w:rFonts w:hAnsi="標楷體"/>
          <w:color w:val="000000"/>
          <w:sz w:val="28"/>
          <w:szCs w:val="28"/>
        </w:rPr>
        <w:t>請被告機關之首長率同有關人員列席說明。聲請人（檢察總長）依據法院組織法第六十</w:t>
      </w:r>
      <w:r w:rsidR="009664ED">
        <w:rPr>
          <w:rFonts w:hAnsi="標楷體"/>
          <w:color w:val="000000"/>
          <w:sz w:val="28"/>
          <w:szCs w:val="28"/>
        </w:rPr>
        <w:t>六條第十項，認為毋庸前往，而拒絕之，引發其遭立法院移送監察院</w:t>
      </w:r>
      <w:r w:rsidR="009664ED">
        <w:rPr>
          <w:rFonts w:hAnsi="標楷體" w:hint="eastAsia"/>
          <w:color w:val="000000"/>
          <w:sz w:val="28"/>
          <w:szCs w:val="28"/>
        </w:rPr>
        <w:t>調查</w:t>
      </w:r>
      <w:r w:rsidR="001175B9" w:rsidRPr="004E344C">
        <w:rPr>
          <w:rFonts w:hAnsi="標楷體"/>
          <w:color w:val="000000"/>
          <w:sz w:val="28"/>
          <w:szCs w:val="28"/>
        </w:rPr>
        <w:t>懲戒，遂向本院聲請解</w:t>
      </w:r>
      <w:r w:rsidR="009664ED">
        <w:rPr>
          <w:rFonts w:hAnsi="標楷體"/>
          <w:color w:val="000000"/>
          <w:sz w:val="28"/>
          <w:szCs w:val="28"/>
        </w:rPr>
        <w:t>釋。然而，多數意見卻以該要點乃</w:t>
      </w:r>
      <w:r w:rsidR="009664ED">
        <w:rPr>
          <w:rFonts w:hAnsi="標楷體"/>
          <w:color w:val="000000"/>
          <w:sz w:val="28"/>
          <w:szCs w:val="28"/>
        </w:rPr>
        <w:lastRenderedPageBreak/>
        <w:t>委員會之內規，協助調閱小組運作而</w:t>
      </w:r>
      <w:r w:rsidR="001175B9" w:rsidRPr="004E344C">
        <w:rPr>
          <w:rFonts w:hAnsi="標楷體"/>
          <w:color w:val="000000"/>
          <w:sz w:val="28"/>
          <w:szCs w:val="28"/>
        </w:rPr>
        <w:t>訂</w:t>
      </w:r>
      <w:r w:rsidR="00C03670">
        <w:rPr>
          <w:rFonts w:hAnsi="標楷體" w:hint="eastAsia"/>
          <w:color w:val="000000"/>
          <w:sz w:val="28"/>
          <w:szCs w:val="28"/>
        </w:rPr>
        <w:t>定</w:t>
      </w:r>
      <w:r w:rsidR="001175B9" w:rsidRPr="004E344C">
        <w:rPr>
          <w:rFonts w:hAnsi="標楷體"/>
          <w:color w:val="000000"/>
          <w:sz w:val="28"/>
          <w:szCs w:val="28"/>
        </w:rPr>
        <w:t>，「要屬</w:t>
      </w:r>
      <w:r w:rsidR="009664ED">
        <w:rPr>
          <w:rFonts w:hAnsi="標楷體"/>
          <w:color w:val="000000"/>
          <w:sz w:val="28"/>
          <w:szCs w:val="28"/>
        </w:rPr>
        <w:t>該委員會內部議事運作之事項，尚不生法律或命令牴觸憲法之問題。」</w:t>
      </w:r>
      <w:r w:rsidR="001175B9" w:rsidRPr="004E344C">
        <w:rPr>
          <w:rFonts w:hAnsi="標楷體"/>
          <w:color w:val="000000"/>
          <w:sz w:val="28"/>
          <w:szCs w:val="28"/>
        </w:rPr>
        <w:t>遂以不受理駁回之（理由書第七段）。</w:t>
      </w:r>
    </w:p>
    <w:p w:rsidR="001175B9" w:rsidRPr="004E344C" w:rsidRDefault="001175B9" w:rsidP="005E362F">
      <w:pPr>
        <w:tabs>
          <w:tab w:val="left" w:pos="2127"/>
        </w:tabs>
        <w:spacing w:line="391" w:lineRule="exact"/>
        <w:ind w:left="480" w:firstLineChars="221" w:firstLine="619"/>
        <w:jc w:val="both"/>
        <w:rPr>
          <w:color w:val="000000"/>
          <w:sz w:val="28"/>
          <w:szCs w:val="28"/>
        </w:rPr>
      </w:pPr>
      <w:r w:rsidRPr="004E344C">
        <w:rPr>
          <w:rFonts w:hAnsi="標楷體"/>
          <w:color w:val="000000"/>
          <w:sz w:val="28"/>
          <w:szCs w:val="28"/>
        </w:rPr>
        <w:t>本席對此不表贊同。誠然，如果國會規範純粹內部組織（如委員會成立）、運作（如人員編制）或其他行使職權的相關內部事宜，則屬於國會自律與國會自治的範疇，基本上可納入「議事規則」（</w:t>
      </w:r>
      <w:r w:rsidRPr="004E344C">
        <w:rPr>
          <w:color w:val="000000"/>
          <w:sz w:val="28"/>
          <w:szCs w:val="28"/>
        </w:rPr>
        <w:t>Geschäftsordnung</w:t>
      </w:r>
      <w:r w:rsidRPr="004E344C">
        <w:rPr>
          <w:rFonts w:hAnsi="標楷體"/>
          <w:color w:val="000000"/>
          <w:sz w:val="28"/>
          <w:szCs w:val="28"/>
        </w:rPr>
        <w:t>），屬於內部規範，而不能限制人民的基本人權</w:t>
      </w:r>
      <w:r w:rsidRPr="004E344C">
        <w:rPr>
          <w:rFonts w:hAnsi="標楷體" w:hint="eastAsia"/>
          <w:color w:val="000000"/>
          <w:sz w:val="22"/>
          <w:szCs w:val="22"/>
        </w:rPr>
        <w:t>（註</w:t>
      </w:r>
      <w:r>
        <w:rPr>
          <w:rFonts w:hAnsi="標楷體" w:hint="eastAsia"/>
          <w:color w:val="000000"/>
          <w:sz w:val="22"/>
          <w:szCs w:val="22"/>
        </w:rPr>
        <w:t>十五</w:t>
      </w:r>
      <w:r w:rsidRPr="004E344C">
        <w:rPr>
          <w:rFonts w:hAnsi="標楷體" w:hint="eastAsia"/>
          <w:color w:val="000000"/>
          <w:sz w:val="22"/>
          <w:szCs w:val="22"/>
        </w:rPr>
        <w:t>）</w:t>
      </w:r>
      <w:r w:rsidRPr="004E344C">
        <w:rPr>
          <w:rFonts w:hAnsi="標楷體"/>
          <w:color w:val="000000"/>
          <w:sz w:val="28"/>
          <w:szCs w:val="28"/>
        </w:rPr>
        <w:t>。但國會既然享有自治權，則可在憲法所許可範圍內，享有一定之公權力，例如，國會建築內的秩序與管理權（</w:t>
      </w:r>
      <w:r w:rsidRPr="004E344C">
        <w:rPr>
          <w:color w:val="000000"/>
          <w:sz w:val="28"/>
          <w:szCs w:val="28"/>
        </w:rPr>
        <w:t>Hausrecht</w:t>
      </w:r>
      <w:r w:rsidRPr="004E344C">
        <w:rPr>
          <w:rFonts w:hAnsi="標楷體"/>
          <w:color w:val="000000"/>
          <w:sz w:val="28"/>
          <w:szCs w:val="28"/>
        </w:rPr>
        <w:t>），以及拘束人身與行動自由的警察權（</w:t>
      </w:r>
      <w:r w:rsidRPr="004E344C">
        <w:rPr>
          <w:color w:val="000000"/>
          <w:sz w:val="28"/>
          <w:szCs w:val="28"/>
        </w:rPr>
        <w:t>Polizeit</w:t>
      </w:r>
      <w:r w:rsidRPr="004E344C">
        <w:rPr>
          <w:rFonts w:hAnsi="標楷體"/>
          <w:color w:val="000000"/>
          <w:sz w:val="28"/>
          <w:szCs w:val="28"/>
        </w:rPr>
        <w:t>），同時這些公權力可和其他國會權力，包括調查權，以國會的「議會議事規則」，或是法律形式來規範之。就以德國聯邦眾議會行使的調查權而論，早於一九四九年公布的基本法第四十四條，已經明白賦予國會行使調查權的憲法基礎，但是如何透過法律方式來加以細部規劃，則一直無法獲得朝野共識。最後只能在一九六九年透過增訂議事規則（第七十四條之一）的方式，將此權力納入。不似巴伐利亞邦，早在一九七</w:t>
      </w:r>
      <w:r w:rsidR="001466FF" w:rsidRPr="008A5AB0">
        <w:rPr>
          <w:rFonts w:ascii="標楷體" w:hAnsi="標楷體" w:hint="eastAsia"/>
          <w:color w:val="000000"/>
          <w:sz w:val="28"/>
          <w:szCs w:val="28"/>
        </w:rPr>
        <w:t>○</w:t>
      </w:r>
      <w:r w:rsidR="009F0F14">
        <w:rPr>
          <w:rFonts w:hAnsi="標楷體"/>
          <w:color w:val="000000"/>
          <w:sz w:val="28"/>
          <w:szCs w:val="28"/>
        </w:rPr>
        <w:t>年，就透過立法的方式，將巴伐利亞邦議會的調查權用邦法明白</w:t>
      </w:r>
      <w:r w:rsidR="009F0F14">
        <w:rPr>
          <w:rFonts w:hAnsi="標楷體" w:hint="eastAsia"/>
          <w:color w:val="000000"/>
          <w:sz w:val="28"/>
          <w:szCs w:val="28"/>
        </w:rPr>
        <w:t>地</w:t>
      </w:r>
      <w:r w:rsidRPr="004E344C">
        <w:rPr>
          <w:rFonts w:hAnsi="標楷體"/>
          <w:color w:val="000000"/>
          <w:sz w:val="28"/>
          <w:szCs w:val="28"/>
        </w:rPr>
        <w:t>規定出來。德國聯邦眾議會則遲至二</w:t>
      </w:r>
      <w:r w:rsidR="001466FF" w:rsidRPr="008A5AB0">
        <w:rPr>
          <w:rFonts w:ascii="標楷體" w:hAnsi="標楷體" w:hint="eastAsia"/>
          <w:color w:val="000000"/>
          <w:sz w:val="28"/>
          <w:szCs w:val="28"/>
        </w:rPr>
        <w:t>○○</w:t>
      </w:r>
      <w:r w:rsidRPr="004E344C">
        <w:rPr>
          <w:rFonts w:hAnsi="標楷體"/>
          <w:color w:val="000000"/>
          <w:sz w:val="28"/>
          <w:szCs w:val="28"/>
        </w:rPr>
        <w:t>一年六月十九日才制</w:t>
      </w:r>
      <w:r w:rsidR="009F0F14">
        <w:rPr>
          <w:rFonts w:hAnsi="標楷體" w:hint="eastAsia"/>
          <w:color w:val="000000"/>
          <w:sz w:val="28"/>
          <w:szCs w:val="28"/>
        </w:rPr>
        <w:t>定</w:t>
      </w:r>
      <w:r w:rsidRPr="004E344C">
        <w:rPr>
          <w:rFonts w:hAnsi="標楷體"/>
          <w:color w:val="000000"/>
          <w:sz w:val="28"/>
          <w:szCs w:val="28"/>
        </w:rPr>
        <w:t>「聯邦眾議院調查委員會職權行使法」</w:t>
      </w:r>
      <w:r w:rsidRPr="004E344C">
        <w:rPr>
          <w:rFonts w:hAnsi="標楷體" w:hint="eastAsia"/>
          <w:color w:val="000000"/>
          <w:sz w:val="22"/>
          <w:szCs w:val="22"/>
        </w:rPr>
        <w:t>（註</w:t>
      </w:r>
      <w:r>
        <w:rPr>
          <w:rFonts w:hAnsi="標楷體" w:hint="eastAsia"/>
          <w:color w:val="000000"/>
          <w:sz w:val="22"/>
          <w:szCs w:val="22"/>
        </w:rPr>
        <w:t>十六</w:t>
      </w:r>
      <w:r w:rsidRPr="004E344C">
        <w:rPr>
          <w:rFonts w:hAnsi="標楷體" w:hint="eastAsia"/>
          <w:color w:val="000000"/>
          <w:sz w:val="22"/>
          <w:szCs w:val="22"/>
        </w:rPr>
        <w:t>）</w:t>
      </w:r>
      <w:r w:rsidRPr="004E344C">
        <w:rPr>
          <w:rFonts w:hAnsi="標楷體"/>
          <w:color w:val="000000"/>
          <w:sz w:val="28"/>
          <w:szCs w:val="28"/>
        </w:rPr>
        <w:t>。因此，這種屬於國會立法權限，可以出自議事規則，亦可透過制定專屬法，都不僅只是內部規則。同時，這些國會法的上位法規，亦可比照享有自治權的自治團體，亦可在法律授權的範圍頒布內部規章（</w:t>
      </w:r>
      <w:r w:rsidRPr="004E344C">
        <w:rPr>
          <w:color w:val="000000"/>
          <w:sz w:val="28"/>
          <w:szCs w:val="28"/>
        </w:rPr>
        <w:t>Satzung</w:t>
      </w:r>
      <w:r w:rsidRPr="004E344C">
        <w:rPr>
          <w:rFonts w:hAnsi="標楷體"/>
          <w:color w:val="000000"/>
          <w:sz w:val="28"/>
          <w:szCs w:val="28"/>
        </w:rPr>
        <w:t>），相當於行政機關的行政命令</w:t>
      </w:r>
      <w:r w:rsidR="00173265">
        <w:rPr>
          <w:color w:val="000000"/>
          <w:sz w:val="28"/>
          <w:szCs w:val="28"/>
        </w:rPr>
        <w:t>（</w:t>
      </w:r>
      <w:r w:rsidRPr="004E344C">
        <w:rPr>
          <w:rFonts w:hAnsi="標楷體"/>
          <w:color w:val="000000"/>
          <w:sz w:val="28"/>
          <w:szCs w:val="28"/>
        </w:rPr>
        <w:t>及行政規則，如多數意見認為該要點為「作業準則」</w:t>
      </w:r>
      <w:r w:rsidR="00173265">
        <w:rPr>
          <w:color w:val="000000"/>
          <w:sz w:val="28"/>
          <w:szCs w:val="28"/>
        </w:rPr>
        <w:t>）</w:t>
      </w:r>
      <w:r w:rsidRPr="004E344C">
        <w:rPr>
          <w:rFonts w:hAnsi="標楷體"/>
          <w:color w:val="000000"/>
          <w:sz w:val="28"/>
          <w:szCs w:val="28"/>
        </w:rPr>
        <w:t>。這種內部規章，不乏可見，如依大學法第三十二條的授權，大學在享有大學自治範圍內，可以自行頒訂管理學生學習與學籍有關的「學則」，便有可拘束人權、行使公權力的規範效果</w:t>
      </w:r>
      <w:r w:rsidRPr="004E344C">
        <w:rPr>
          <w:rFonts w:hAnsi="標楷體" w:hint="eastAsia"/>
          <w:color w:val="000000"/>
          <w:sz w:val="22"/>
          <w:szCs w:val="22"/>
        </w:rPr>
        <w:t>（註</w:t>
      </w:r>
      <w:r>
        <w:rPr>
          <w:rFonts w:hAnsi="標楷體" w:hint="eastAsia"/>
          <w:color w:val="000000"/>
          <w:sz w:val="22"/>
          <w:szCs w:val="22"/>
        </w:rPr>
        <w:t>十七</w:t>
      </w:r>
      <w:r w:rsidRPr="004E344C">
        <w:rPr>
          <w:rFonts w:hAnsi="標楷體" w:hint="eastAsia"/>
          <w:color w:val="000000"/>
          <w:sz w:val="22"/>
          <w:szCs w:val="22"/>
        </w:rPr>
        <w:t>）</w:t>
      </w:r>
      <w:r w:rsidRPr="004E344C">
        <w:rPr>
          <w:rFonts w:hAnsi="標楷體"/>
          <w:color w:val="000000"/>
          <w:sz w:val="28"/>
          <w:szCs w:val="28"/>
        </w:rPr>
        <w:t>。</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因此，多數意見認定立法院委員會的運作要點，純屬內部法規、議事規則，不無唐突與錯誤。須知該運作要點乃依立</w:t>
      </w:r>
      <w:r w:rsidR="009F0F14">
        <w:rPr>
          <w:rFonts w:hAnsi="標楷體"/>
          <w:color w:val="000000"/>
          <w:sz w:val="28"/>
          <w:szCs w:val="28"/>
        </w:rPr>
        <w:t>法院職權行使法第四十五條所</w:t>
      </w:r>
      <w:r w:rsidR="009F0F14">
        <w:rPr>
          <w:rFonts w:hAnsi="標楷體" w:hint="eastAsia"/>
          <w:color w:val="000000"/>
          <w:sz w:val="28"/>
          <w:szCs w:val="28"/>
        </w:rPr>
        <w:t>訂</w:t>
      </w:r>
      <w:r w:rsidRPr="004E344C">
        <w:rPr>
          <w:rFonts w:hAnsi="標楷體"/>
          <w:color w:val="000000"/>
          <w:sz w:val="28"/>
          <w:szCs w:val="28"/>
        </w:rPr>
        <w:t>定（立法院「得」設調閱委員會，或經委員會決議「得」設調閱專案小組），該條文</w:t>
      </w:r>
      <w:r w:rsidR="009F0F14">
        <w:rPr>
          <w:rFonts w:hAnsi="標楷體" w:hint="eastAsia"/>
          <w:color w:val="000000"/>
          <w:sz w:val="28"/>
          <w:szCs w:val="28"/>
        </w:rPr>
        <w:t>是</w:t>
      </w:r>
      <w:r w:rsidRPr="004E344C">
        <w:rPr>
          <w:rFonts w:hAnsi="標楷體"/>
          <w:color w:val="000000"/>
          <w:sz w:val="28"/>
          <w:szCs w:val="28"/>
        </w:rPr>
        <w:t>具有法律位階的法規，且可以作為運作之依據，具有外部約束之效力。</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此外，聲請人另外援引法院組織法第六十六條第十項之規定（檢察總長僅在年度預算及法律案，方須至立法院備詢），認定立法院司法委員會所援引的立法院職權行使法第四十五條，要求檢察總長赴院備詢，兩條規定很明顯語意上產生衝突，而要求本院統一解釋。持平而論，這是毫無疑義的語意矛盾，同時，檢察機關承認立法院具有可實施的法規範效力，本號解釋多數意見卻認為，檢察總長所提之釋憲不合法定程序，試問日後再發生類似的爭議，檢察總長是否應予拒絕？而檢察總長的憲法智識，竟會不明若此，豈</w:t>
      </w:r>
      <w:r w:rsidRPr="004E344C">
        <w:rPr>
          <w:rFonts w:hAnsi="標楷體"/>
          <w:color w:val="000000"/>
          <w:sz w:val="28"/>
          <w:szCs w:val="28"/>
        </w:rPr>
        <w:lastRenderedPageBreak/>
        <w:t>非不可思議乎？</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尤其是，造成本號解釋聲請的原因案件中，檢察總長拒絕立法院司法委員會三次要求調閱的決議。且該委員會係依照監聽調閱小組所議決的調閱文件內容，而作出的調閱決定。經最高檢察署三次拒絕後，司法委員會遂邀請檢察總長就此事到會報告備詢，檢察總長則援引法院組織法第六十六條第十項規定，婉拒出席。司法委員會遂援引立法院職權行使法第四十八條之規定移送監察院調查懲戒</w:t>
      </w:r>
      <w:r w:rsidRPr="004E344C">
        <w:rPr>
          <w:rFonts w:hAnsi="標楷體" w:hint="eastAsia"/>
          <w:color w:val="000000"/>
          <w:sz w:val="22"/>
          <w:szCs w:val="22"/>
        </w:rPr>
        <w:t>（註</w:t>
      </w:r>
      <w:r>
        <w:rPr>
          <w:rFonts w:hAnsi="標楷體" w:hint="eastAsia"/>
          <w:color w:val="000000"/>
          <w:sz w:val="22"/>
          <w:szCs w:val="22"/>
        </w:rPr>
        <w:t>十八</w:t>
      </w:r>
      <w:r w:rsidRPr="004E344C">
        <w:rPr>
          <w:rFonts w:hAnsi="標楷體" w:hint="eastAsia"/>
          <w:color w:val="000000"/>
          <w:sz w:val="22"/>
          <w:szCs w:val="22"/>
        </w:rPr>
        <w:t>）</w:t>
      </w:r>
      <w:r w:rsidRPr="004E344C">
        <w:rPr>
          <w:rFonts w:hAnsi="標楷體"/>
          <w:color w:val="000000"/>
          <w:sz w:val="28"/>
          <w:szCs w:val="28"/>
        </w:rPr>
        <w:t>。而監察院則函覆，將視大法官解釋後再行處理</w:t>
      </w:r>
      <w:r w:rsidRPr="004E344C">
        <w:rPr>
          <w:rFonts w:hAnsi="標楷體" w:hint="eastAsia"/>
          <w:color w:val="000000"/>
          <w:sz w:val="22"/>
          <w:szCs w:val="22"/>
        </w:rPr>
        <w:t>（註</w:t>
      </w:r>
      <w:r>
        <w:rPr>
          <w:rFonts w:hAnsi="標楷體" w:hint="eastAsia"/>
          <w:color w:val="000000"/>
          <w:sz w:val="22"/>
          <w:szCs w:val="22"/>
        </w:rPr>
        <w:t>十九</w:t>
      </w:r>
      <w:r w:rsidRPr="004E344C">
        <w:rPr>
          <w:rFonts w:hAnsi="標楷體" w:hint="eastAsia"/>
          <w:color w:val="000000"/>
          <w:sz w:val="22"/>
          <w:szCs w:val="22"/>
        </w:rPr>
        <w:t>）</w:t>
      </w:r>
      <w:r w:rsidRPr="004E344C">
        <w:rPr>
          <w:rFonts w:hAnsi="標楷體"/>
          <w:color w:val="000000"/>
          <w:sz w:val="28"/>
          <w:szCs w:val="28"/>
        </w:rPr>
        <w:t>。</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如果依多數意見，不僅該要點無拘束力，則監聽調閱小組依該要點召開會議、決定調閱內容及其範圍的決定，以及司法委員會根據此程序行文有關機關的效力，都不存在，試問今後立法院各委員會行使調查權時，將如何進行？而本號</w:t>
      </w:r>
      <w:r w:rsidR="009F0F14">
        <w:rPr>
          <w:rFonts w:hAnsi="標楷體" w:hint="eastAsia"/>
          <w:color w:val="000000"/>
          <w:sz w:val="28"/>
          <w:szCs w:val="28"/>
        </w:rPr>
        <w:t>解釋</w:t>
      </w:r>
      <w:r w:rsidRPr="004E344C">
        <w:rPr>
          <w:rFonts w:hAnsi="標楷體"/>
          <w:color w:val="000000"/>
          <w:sz w:val="28"/>
          <w:szCs w:val="28"/>
        </w:rPr>
        <w:t>原因案件，既然司法委員會之調閱函不具法律效果，則立法院的函送監察院調查懲戒，即應不發生移送效果？而監察院所為的受理（且待大法官解釋後才進行處理）是否也屬違法，而應退回之？</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本席認為，本號解釋應當針對此客觀的權限爭議，予以受理。究竟法院組織法在第六十六條第十項明白規定檢察總長僅在年度預算及法律案，方須至立法院備詢之規定，乃在民國九十五年二月三日修正增訂之修文。惟應注意者，當時修法，乃特重檢察總長的職權，不僅增設最高法院檢察署特別偵查組，職司總統</w:t>
      </w:r>
      <w:r w:rsidR="009F0F14">
        <w:rPr>
          <w:rFonts w:hAnsi="標楷體" w:hint="eastAsia"/>
          <w:color w:val="000000"/>
          <w:sz w:val="28"/>
          <w:szCs w:val="28"/>
        </w:rPr>
        <w:t>、</w:t>
      </w:r>
      <w:r w:rsidRPr="004E344C">
        <w:rPr>
          <w:rFonts w:hAnsi="標楷體"/>
          <w:color w:val="000000"/>
          <w:sz w:val="28"/>
          <w:szCs w:val="28"/>
        </w:rPr>
        <w:t>副總統等最高級文武官員的貪瀆、大選舞弊及重大案件（增訂第六十三條之一）。同時，提升檢察總長的產生過程，不再由總統直接任命，改為由總統提名，經立法院同意任命之，任期四年，不得連任（增訂第六十六條第八項）。這種對檢察總長制度的重新調整，且其任命程序之嚴謹，與大法官的程序無異，且將曾擔任大法官作為可擔任檢察總長的資格之一，顯示出立法院對檢察總長職位的期待與尊榮。故增訂第十項「最高法院檢察署檢察總長除年度預算案及法律案外，無須至立法院列席備詢。」的立法院「自我設限條款」。這種「設限條款」的解釋必須嚴格，惟有法律明白擴張時，才可增加其赴院備詢之種類。例如，法院組織法第六十三條之一第五項即明白規定：「立法院得於第一項第一款（總統及最高級文武官員貪瀆）、第二款（全國大選舞弊）之</w:t>
      </w:r>
      <w:r w:rsidR="009F0F14">
        <w:rPr>
          <w:rFonts w:hAnsi="標楷體"/>
          <w:color w:val="000000"/>
          <w:sz w:val="28"/>
          <w:szCs w:val="28"/>
        </w:rPr>
        <w:t>案件偵查終結後，決議要求最高法院檢察署檢察總長赴立法院報告。」</w:t>
      </w:r>
      <w:r w:rsidRPr="004E344C">
        <w:rPr>
          <w:rFonts w:hAnsi="標楷體"/>
          <w:color w:val="000000"/>
          <w:sz w:val="28"/>
          <w:szCs w:val="28"/>
        </w:rPr>
        <w:t>便是一例。值得注意的是上述赴院報告，不包括第三款的「重大貪瀆與經濟犯罪」之事項，顯見立法院對檢察總長職權是何等的尊重。</w:t>
      </w:r>
    </w:p>
    <w:p w:rsidR="001175B9" w:rsidRPr="004E344C" w:rsidRDefault="001175B9" w:rsidP="001175B9">
      <w:pPr>
        <w:spacing w:line="391" w:lineRule="exact"/>
        <w:ind w:left="480" w:firstLineChars="221" w:firstLine="619"/>
        <w:jc w:val="both"/>
        <w:rPr>
          <w:color w:val="000000"/>
          <w:sz w:val="28"/>
          <w:szCs w:val="28"/>
        </w:rPr>
      </w:pPr>
      <w:r w:rsidRPr="004E344C">
        <w:rPr>
          <w:rFonts w:hAnsi="標楷體"/>
          <w:color w:val="000000"/>
          <w:sz w:val="28"/>
          <w:szCs w:val="28"/>
        </w:rPr>
        <w:t>如今，檢察總長受國會尊崇的地位似乎不復從前，且特偵組降為高等法院檢察署管轄。但終究法院組織法第六十六條第十項的規定依舊存在，可否作為拒絕立法院文件調閱權的法律依據？本問題本號解釋既不受理，本席亦未便妄加臆論，避免有「未審先判」之慮。然而爭議必定繼續存在，本號</w:t>
      </w:r>
      <w:r w:rsidRPr="004E344C">
        <w:rPr>
          <w:rFonts w:hAnsi="標楷體"/>
          <w:color w:val="000000"/>
          <w:sz w:val="28"/>
          <w:szCs w:val="28"/>
        </w:rPr>
        <w:lastRenderedPageBreak/>
        <w:t>解釋為何不為之定紛止爭乎？</w:t>
      </w:r>
    </w:p>
    <w:p w:rsidR="001175B9" w:rsidRPr="004E344C" w:rsidRDefault="001175B9" w:rsidP="001175B9">
      <w:pPr>
        <w:spacing w:line="391" w:lineRule="exact"/>
        <w:ind w:left="482" w:hanging="482"/>
        <w:jc w:val="both"/>
        <w:rPr>
          <w:b/>
          <w:color w:val="000000"/>
          <w:sz w:val="28"/>
          <w:szCs w:val="28"/>
          <w:lang w:val="de-DE"/>
        </w:rPr>
      </w:pPr>
      <w:r>
        <w:rPr>
          <w:rFonts w:hAnsi="標楷體" w:hint="eastAsia"/>
          <w:b/>
          <w:color w:val="000000"/>
          <w:sz w:val="28"/>
          <w:szCs w:val="28"/>
        </w:rPr>
        <w:t>三、</w:t>
      </w:r>
      <w:r w:rsidRPr="004E344C">
        <w:rPr>
          <w:rFonts w:hAnsi="標楷體"/>
          <w:b/>
          <w:color w:val="000000"/>
          <w:sz w:val="28"/>
          <w:szCs w:val="28"/>
        </w:rPr>
        <w:t>結論</w:t>
      </w:r>
      <w:r w:rsidRPr="004E344C">
        <w:rPr>
          <w:b/>
          <w:color w:val="000000"/>
          <w:sz w:val="28"/>
          <w:szCs w:val="28"/>
        </w:rPr>
        <w:t>─</w:t>
      </w:r>
      <w:r w:rsidRPr="009608B9">
        <w:rPr>
          <w:b/>
          <w:color w:val="000000"/>
          <w:sz w:val="28"/>
          <w:szCs w:val="28"/>
        </w:rPr>
        <w:t>國會</w:t>
      </w:r>
      <w:r w:rsidRPr="004E344C">
        <w:rPr>
          <w:rFonts w:hAnsi="標楷體"/>
          <w:b/>
          <w:color w:val="000000"/>
          <w:sz w:val="28"/>
          <w:szCs w:val="28"/>
        </w:rPr>
        <w:t>調查權法制，應有「利刃」，也要「刀鞘」</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我國憲法原本對立法院並沒有賦予調查權的權限，本不足為奇，蓋乃繼承古典的立憲主義，將國會僅作為代表民意與政黨意志來辯論政策、質詢內閣的「議論殿堂」。但這種讓國會只有「夸夸其談」的制度設計，已經不能夠制約龐大的行政權力。</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德國在德意志帝國憲法（一八七一</w:t>
      </w:r>
      <w:r w:rsidRPr="004E344C">
        <w:rPr>
          <w:color w:val="000000"/>
          <w:sz w:val="28"/>
          <w:szCs w:val="28"/>
        </w:rPr>
        <w:t>─</w:t>
      </w:r>
      <w:r w:rsidRPr="004E344C">
        <w:rPr>
          <w:rFonts w:hAnsi="標楷體"/>
          <w:color w:val="000000"/>
          <w:sz w:val="28"/>
          <w:szCs w:val="28"/>
        </w:rPr>
        <w:t>一九一九年）實施時代，未賦予國會調查權，為此，德國偉大的社會學家馬克斯‧韋伯（</w:t>
      </w:r>
      <w:r w:rsidRPr="004E344C">
        <w:rPr>
          <w:color w:val="000000"/>
          <w:sz w:val="28"/>
          <w:szCs w:val="28"/>
        </w:rPr>
        <w:t>Max Weber</w:t>
      </w:r>
      <w:r w:rsidRPr="004E344C">
        <w:rPr>
          <w:rFonts w:hAnsi="標楷體"/>
          <w:color w:val="000000"/>
          <w:sz w:val="28"/>
          <w:szCs w:val="28"/>
        </w:rPr>
        <w:t>）便在一九一八年的夏天，以本人親歷了第一次世界大戰四年以來，國會對於執政當局所進行的諸多政策，包括「無限制潛艇政策」等，都無法進行有效的監督，故思起應對國家官僚體制與政黨角色、功能重新調整，因此撰寫出一篇極重要的論文「德國重整下的國會與政府」（</w:t>
      </w:r>
      <w:r w:rsidRPr="004E344C">
        <w:rPr>
          <w:color w:val="000000"/>
          <w:sz w:val="28"/>
          <w:szCs w:val="28"/>
        </w:rPr>
        <w:t>Parlament und Regierung im neugeordneten Deutschland</w:t>
      </w:r>
      <w:r w:rsidRPr="004E344C">
        <w:rPr>
          <w:rFonts w:hAnsi="標楷體"/>
          <w:color w:val="000000"/>
          <w:sz w:val="28"/>
          <w:szCs w:val="28"/>
        </w:rPr>
        <w:t>），對於國會的權限，作出極為深刻的檢驗與批評。韋伯認為，控制官僚體制已經成為國會的首要任務，相對於階級嚴整與具有專業智識的官僚體制，政治人物必須要有與之抗衡的「抗力」（</w:t>
      </w:r>
      <w:r w:rsidRPr="004E344C">
        <w:rPr>
          <w:color w:val="000000"/>
          <w:sz w:val="28"/>
          <w:szCs w:val="28"/>
        </w:rPr>
        <w:t>Gegengewicht</w:t>
      </w:r>
      <w:r w:rsidRPr="004E344C">
        <w:rPr>
          <w:rFonts w:hAnsi="標楷體"/>
          <w:color w:val="000000"/>
          <w:sz w:val="28"/>
          <w:szCs w:val="28"/>
        </w:rPr>
        <w:t>），故應該給予國會充</w:t>
      </w:r>
      <w:r w:rsidR="00A01C7D">
        <w:rPr>
          <w:rFonts w:hAnsi="標楷體" w:hint="eastAsia"/>
          <w:color w:val="000000"/>
          <w:sz w:val="28"/>
          <w:szCs w:val="28"/>
        </w:rPr>
        <w:t>分</w:t>
      </w:r>
      <w:r w:rsidRPr="004E344C">
        <w:rPr>
          <w:rFonts w:hAnsi="標楷體"/>
          <w:color w:val="000000"/>
          <w:sz w:val="28"/>
          <w:szCs w:val="28"/>
        </w:rPr>
        <w:t>的調查權，包括文件調閱、親自查看，</w:t>
      </w:r>
      <w:r w:rsidR="00A01C7D">
        <w:rPr>
          <w:rFonts w:hAnsi="標楷體"/>
          <w:color w:val="000000"/>
          <w:sz w:val="28"/>
          <w:szCs w:val="28"/>
        </w:rPr>
        <w:t>在特殊情形可在國會委員會中，召喚相關人員擔任證人，以獲得真相。</w:t>
      </w:r>
      <w:r w:rsidR="00A01C7D">
        <w:rPr>
          <w:rFonts w:hAnsi="標楷體" w:hint="eastAsia"/>
          <w:color w:val="000000"/>
          <w:sz w:val="28"/>
          <w:szCs w:val="28"/>
        </w:rPr>
        <w:t>唯</w:t>
      </w:r>
      <w:r w:rsidRPr="004E344C">
        <w:rPr>
          <w:rFonts w:hAnsi="標楷體"/>
          <w:color w:val="000000"/>
          <w:sz w:val="28"/>
          <w:szCs w:val="28"/>
        </w:rPr>
        <w:t>有如此，國會才能夠掌握事實與專業智識。德國國會因為欠缺此種權力，韋伯也</w:t>
      </w:r>
      <w:r w:rsidR="00A01C7D">
        <w:rPr>
          <w:rFonts w:hAnsi="標楷體" w:hint="eastAsia"/>
          <w:color w:val="000000"/>
          <w:sz w:val="28"/>
          <w:szCs w:val="28"/>
        </w:rPr>
        <w:t>因</w:t>
      </w:r>
      <w:r w:rsidRPr="004E344C">
        <w:rPr>
          <w:rFonts w:hAnsi="標楷體"/>
          <w:color w:val="000000"/>
          <w:sz w:val="28"/>
          <w:szCs w:val="28"/>
        </w:rPr>
        <w:t>此慨嘆，而說出了這一句名言：</w:t>
      </w:r>
    </w:p>
    <w:p w:rsidR="001175B9" w:rsidRPr="004E344C" w:rsidRDefault="001175B9" w:rsidP="001175B9">
      <w:pPr>
        <w:spacing w:line="391" w:lineRule="exact"/>
        <w:ind w:left="567" w:firstLineChars="200" w:firstLine="560"/>
        <w:jc w:val="both"/>
        <w:rPr>
          <w:b/>
          <w:color w:val="000000"/>
          <w:sz w:val="28"/>
          <w:szCs w:val="28"/>
          <w:lang w:val="de-DE"/>
        </w:rPr>
      </w:pPr>
      <w:r w:rsidRPr="004E344C">
        <w:rPr>
          <w:rFonts w:hAnsi="標楷體"/>
          <w:color w:val="000000"/>
          <w:sz w:val="28"/>
          <w:szCs w:val="28"/>
        </w:rPr>
        <w:t>「</w:t>
      </w:r>
      <w:r w:rsidRPr="004E344C">
        <w:rPr>
          <w:rFonts w:hAnsi="標楷體"/>
          <w:b/>
          <w:color w:val="000000"/>
          <w:sz w:val="28"/>
          <w:szCs w:val="28"/>
        </w:rPr>
        <w:t>國會若欠缺對事實的調查權，當導致其必會合憲地作出外行，且愚笨的判斷。</w:t>
      </w:r>
      <w:r w:rsidRPr="004E344C">
        <w:rPr>
          <w:rFonts w:hAnsi="標楷體" w:hint="eastAsia"/>
          <w:color w:val="000000"/>
          <w:sz w:val="22"/>
          <w:szCs w:val="22"/>
        </w:rPr>
        <w:t>（註</w:t>
      </w:r>
      <w:r>
        <w:rPr>
          <w:rFonts w:hAnsi="標楷體" w:hint="eastAsia"/>
          <w:color w:val="000000"/>
          <w:sz w:val="22"/>
          <w:szCs w:val="22"/>
        </w:rPr>
        <w:t>二十</w:t>
      </w:r>
      <w:r w:rsidRPr="004E344C">
        <w:rPr>
          <w:rFonts w:hAnsi="標楷體" w:hint="eastAsia"/>
          <w:color w:val="000000"/>
          <w:sz w:val="22"/>
          <w:szCs w:val="22"/>
        </w:rPr>
        <w:t>）</w:t>
      </w:r>
      <w:r w:rsidRPr="004E344C">
        <w:rPr>
          <w:rFonts w:hAnsi="標楷體"/>
          <w:b/>
          <w:color w:val="000000"/>
          <w:sz w:val="28"/>
          <w:szCs w:val="28"/>
        </w:rPr>
        <w:t>」</w:t>
      </w:r>
      <w:r w:rsidRPr="004E344C">
        <w:rPr>
          <w:rFonts w:hAnsi="標楷體"/>
          <w:color w:val="000000"/>
          <w:sz w:val="28"/>
          <w:szCs w:val="28"/>
          <w:lang w:val="de-DE"/>
        </w:rPr>
        <w:t>（</w:t>
      </w:r>
      <w:r w:rsidRPr="004E344C">
        <w:rPr>
          <w:color w:val="000000"/>
          <w:sz w:val="28"/>
          <w:szCs w:val="28"/>
          <w:lang w:val="de-DE"/>
        </w:rPr>
        <w:t>Dem Reichtag fehlt das Recht dazu: er ist verfassungsmäßig zur dilettantischen Dummheit verurteilt.</w:t>
      </w:r>
      <w:r w:rsidRPr="004E344C">
        <w:rPr>
          <w:rFonts w:hAnsi="標楷體"/>
          <w:color w:val="000000"/>
          <w:sz w:val="28"/>
          <w:szCs w:val="28"/>
          <w:lang w:val="de-DE"/>
        </w:rPr>
        <w:t>）</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國會擁有調查權，但如韋伯所言，並不是要國會長篇大論來調查與公布調查結果，只不過是要「偶而為之」，以鞭策行政首長說出實話，並透過媒體的公開及讀者的知曉，使得國家的「政治成熟度」因之提升。韋伯因此認為這種調查權的行使，不是為了政治目的的鬥爭（例如彈劾部長或是導致不信任內閣），而是持續地有效控制官僚政治使然。否則，國會必淪為不是「無知的民粹政治」（</w:t>
      </w:r>
      <w:r w:rsidRPr="004E344C">
        <w:rPr>
          <w:color w:val="000000"/>
          <w:sz w:val="28"/>
          <w:szCs w:val="28"/>
        </w:rPr>
        <w:t>kenntlose Demagogie</w:t>
      </w:r>
      <w:r w:rsidRPr="004E344C">
        <w:rPr>
          <w:rFonts w:hAnsi="標楷體"/>
          <w:color w:val="000000"/>
          <w:sz w:val="28"/>
          <w:szCs w:val="28"/>
        </w:rPr>
        <w:t>），就是「反覆式的無能」（</w:t>
      </w:r>
      <w:r w:rsidRPr="004E344C">
        <w:rPr>
          <w:color w:val="000000"/>
          <w:sz w:val="28"/>
          <w:szCs w:val="28"/>
        </w:rPr>
        <w:t>routinerte Impotenz</w:t>
      </w:r>
      <w:r w:rsidRPr="004E344C">
        <w:rPr>
          <w:rFonts w:hAnsi="標楷體"/>
          <w:color w:val="000000"/>
          <w:sz w:val="28"/>
          <w:szCs w:val="28"/>
        </w:rPr>
        <w:t>），甚至兩者兼備也</w:t>
      </w:r>
      <w:r w:rsidRPr="004E344C">
        <w:rPr>
          <w:rFonts w:hAnsi="標楷體" w:hint="eastAsia"/>
          <w:color w:val="000000"/>
          <w:sz w:val="22"/>
          <w:szCs w:val="22"/>
        </w:rPr>
        <w:t>（註</w:t>
      </w:r>
      <w:r>
        <w:rPr>
          <w:rFonts w:hAnsi="標楷體" w:hint="eastAsia"/>
          <w:color w:val="000000"/>
          <w:sz w:val="22"/>
          <w:szCs w:val="22"/>
        </w:rPr>
        <w:t>二十一</w:t>
      </w:r>
      <w:r w:rsidRPr="004E344C">
        <w:rPr>
          <w:rFonts w:hAnsi="標楷體" w:hint="eastAsia"/>
          <w:color w:val="000000"/>
          <w:sz w:val="22"/>
          <w:szCs w:val="22"/>
        </w:rPr>
        <w:t>）</w:t>
      </w:r>
      <w:r w:rsidRPr="004E344C">
        <w:rPr>
          <w:rFonts w:hAnsi="標楷體"/>
          <w:color w:val="000000"/>
          <w:sz w:val="28"/>
          <w:szCs w:val="28"/>
        </w:rPr>
        <w:t>。也正因為韋伯的大聲疾呼，一年後制定的威瑪憲法便在第三十四條中採納了韋伯的見解，明定國會擁有調查權力。</w:t>
      </w:r>
    </w:p>
    <w:p w:rsidR="001175B9" w:rsidRPr="004E344C" w:rsidRDefault="00A01C7D" w:rsidP="001175B9">
      <w:pPr>
        <w:spacing w:line="391" w:lineRule="exact"/>
        <w:ind w:left="567" w:firstLineChars="200" w:firstLine="560"/>
        <w:jc w:val="both"/>
        <w:rPr>
          <w:color w:val="000000"/>
          <w:sz w:val="28"/>
          <w:szCs w:val="28"/>
        </w:rPr>
      </w:pPr>
      <w:r>
        <w:rPr>
          <w:rFonts w:hAnsi="標楷體"/>
          <w:color w:val="000000"/>
          <w:sz w:val="28"/>
          <w:szCs w:val="28"/>
        </w:rPr>
        <w:t>的確，追究政治責任與監督行政權的有效性，必須給予國會充</w:t>
      </w:r>
      <w:r>
        <w:rPr>
          <w:rFonts w:hAnsi="標楷體" w:hint="eastAsia"/>
          <w:color w:val="000000"/>
          <w:sz w:val="28"/>
          <w:szCs w:val="28"/>
        </w:rPr>
        <w:t>分</w:t>
      </w:r>
      <w:r w:rsidR="001175B9" w:rsidRPr="004E344C">
        <w:rPr>
          <w:rFonts w:hAnsi="標楷體"/>
          <w:color w:val="000000"/>
          <w:sz w:val="28"/>
          <w:szCs w:val="28"/>
        </w:rPr>
        <w:t>的事實調查權力，吾人相信，國會藉此獲得嚴肅與客觀事實，而非靠著立法委員以訛傳訛，甚至臆造、拼湊枝節獲來的資訊，作為立法的動機與標的，更能夠提升立法的品質。</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但有利必有其弊，一路開綠燈的擴大國會資訊取得的權限，也應當同</w:t>
      </w:r>
      <w:r w:rsidRPr="004E344C">
        <w:rPr>
          <w:rFonts w:hAnsi="標楷體"/>
          <w:color w:val="000000"/>
          <w:sz w:val="28"/>
          <w:szCs w:val="28"/>
        </w:rPr>
        <w:lastRenderedPageBreak/>
        <w:t>時保障可能侵及國民的基本權利，例如隱私、通訊、人格權與人性尊嚴等，亦可能干涉國家司法權力與其他憲法機關的權限，破壞法治國家的權力分立原則。正如同賦予國會強有力的調查權限，有如給與「利刃」一把，但該利刃可以自傷傷人，仍應給與「刀鞘」。</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故本號解釋雖然已提出了立法院應注意維護關係人權益及尊重其他憲法機關權限的「警語」，但其效力仍極空泛而無力，有待立法院及朝野政黨，努力行使自制與填補憲政漏洞的職責。例如，德國聯邦憲法法院在一九八四年七月十七日公布著名的「弗立克案」（</w:t>
      </w:r>
      <w:r w:rsidRPr="004E344C">
        <w:rPr>
          <w:color w:val="000000"/>
          <w:sz w:val="28"/>
          <w:szCs w:val="28"/>
        </w:rPr>
        <w:t>Flick-Urteil</w:t>
      </w:r>
      <w:r w:rsidRPr="004E344C">
        <w:rPr>
          <w:rFonts w:hAnsi="標楷體"/>
          <w:color w:val="000000"/>
          <w:sz w:val="28"/>
          <w:szCs w:val="28"/>
        </w:rPr>
        <w:t>）</w:t>
      </w:r>
      <w:r w:rsidRPr="004E344C">
        <w:rPr>
          <w:rFonts w:hAnsi="標楷體" w:hint="eastAsia"/>
          <w:color w:val="000000"/>
          <w:sz w:val="22"/>
          <w:szCs w:val="22"/>
        </w:rPr>
        <w:t>（註</w:t>
      </w:r>
      <w:r>
        <w:rPr>
          <w:rFonts w:hAnsi="標楷體" w:hint="eastAsia"/>
          <w:color w:val="000000"/>
          <w:sz w:val="22"/>
          <w:szCs w:val="22"/>
        </w:rPr>
        <w:t>二十二</w:t>
      </w:r>
      <w:r w:rsidRPr="004E344C">
        <w:rPr>
          <w:rFonts w:hAnsi="標楷體" w:hint="eastAsia"/>
          <w:color w:val="000000"/>
          <w:sz w:val="22"/>
          <w:szCs w:val="22"/>
        </w:rPr>
        <w:t>）</w:t>
      </w:r>
      <w:r w:rsidRPr="004E344C">
        <w:rPr>
          <w:rFonts w:hAnsi="標楷體"/>
          <w:color w:val="000000"/>
          <w:sz w:val="28"/>
          <w:szCs w:val="28"/>
        </w:rPr>
        <w:t>中曾經提及者：要行政機關主動提供卷證，讓國會找出破綻與違法之處，供其追究責任，的確是強人所難，但這也是行政向立法負責的特徵所在。但在要求私人協助國會調查義務方面，則刑事訴訟法上強調「不自證己罪」（</w:t>
      </w:r>
      <w:r w:rsidRPr="004E344C">
        <w:rPr>
          <w:color w:val="000000"/>
          <w:sz w:val="28"/>
          <w:szCs w:val="28"/>
        </w:rPr>
        <w:t>nemo tenetur</w:t>
      </w:r>
      <w:r w:rsidRPr="004E344C">
        <w:rPr>
          <w:rFonts w:hAnsi="標楷體"/>
          <w:color w:val="000000"/>
          <w:sz w:val="28"/>
          <w:szCs w:val="28"/>
        </w:rPr>
        <w:t>）的原則，仍應當適用之。這也是將刑事訴訟法原則，一併適用到國會調查權行使之上，我國立法院調查權的法制對此仍極空泛，而有加強立法之必要</w:t>
      </w:r>
      <w:r w:rsidRPr="004E344C">
        <w:rPr>
          <w:rFonts w:hAnsi="標楷體" w:hint="eastAsia"/>
          <w:color w:val="000000"/>
          <w:sz w:val="22"/>
          <w:szCs w:val="22"/>
        </w:rPr>
        <w:t>（註</w:t>
      </w:r>
      <w:r>
        <w:rPr>
          <w:rFonts w:hAnsi="標楷體" w:hint="eastAsia"/>
          <w:color w:val="000000"/>
          <w:sz w:val="22"/>
          <w:szCs w:val="22"/>
        </w:rPr>
        <w:t>二十三</w:t>
      </w:r>
      <w:r w:rsidRPr="004E344C">
        <w:rPr>
          <w:rFonts w:hAnsi="標楷體" w:hint="eastAsia"/>
          <w:color w:val="000000"/>
          <w:sz w:val="22"/>
          <w:szCs w:val="22"/>
        </w:rPr>
        <w:t>）</w:t>
      </w:r>
      <w:r w:rsidRPr="004E344C">
        <w:rPr>
          <w:rFonts w:hAnsi="標楷體"/>
          <w:color w:val="000000"/>
          <w:sz w:val="28"/>
          <w:szCs w:val="28"/>
        </w:rPr>
        <w:t>。</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本號解釋多數意見在保障人權方面很睿智的踏出了一步，強調了立法院行使調查權亦應尊重正當程序，這是法治國家對所有實施公權力都課予的「程序正義」。也惟有靠著程序正義取得的真相，才有理由相信，基於該「真相」所採行的任何對策，才不致於欠缺正當性。為此，本席想起了曾經讀到美國著名的法學家亞倫‧德蕭維茲（</w:t>
      </w:r>
      <w:r w:rsidRPr="004E344C">
        <w:rPr>
          <w:color w:val="000000"/>
          <w:sz w:val="28"/>
          <w:szCs w:val="28"/>
        </w:rPr>
        <w:t>Alan Dershowitz</w:t>
      </w:r>
      <w:r w:rsidRPr="004E344C">
        <w:rPr>
          <w:rFonts w:hAnsi="標楷體"/>
          <w:color w:val="000000"/>
          <w:sz w:val="28"/>
          <w:szCs w:val="28"/>
        </w:rPr>
        <w:t>）在一本著名的大作「給年輕律師的信」一書中，所說出的一句名言：</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w:t>
      </w:r>
      <w:r w:rsidRPr="004E344C">
        <w:rPr>
          <w:rFonts w:hAnsi="標楷體"/>
          <w:b/>
          <w:color w:val="000000"/>
          <w:sz w:val="28"/>
          <w:szCs w:val="28"/>
        </w:rPr>
        <w:t>認為毋庸</w:t>
      </w:r>
      <w:r w:rsidRPr="009608B9">
        <w:rPr>
          <w:rFonts w:hAnsi="標楷體"/>
          <w:color w:val="000000"/>
          <w:sz w:val="28"/>
          <w:szCs w:val="28"/>
        </w:rPr>
        <w:t>透過</w:t>
      </w:r>
      <w:r w:rsidRPr="004E344C">
        <w:rPr>
          <w:rFonts w:hAnsi="標楷體"/>
          <w:b/>
          <w:color w:val="000000"/>
          <w:sz w:val="28"/>
          <w:szCs w:val="28"/>
        </w:rPr>
        <w:t>正當程序，即可揭露真相，乃最危險不過的想法。</w:t>
      </w:r>
      <w:r w:rsidRPr="004E344C">
        <w:rPr>
          <w:rFonts w:hAnsi="標楷體" w:hint="eastAsia"/>
          <w:color w:val="000000"/>
          <w:sz w:val="22"/>
          <w:szCs w:val="22"/>
        </w:rPr>
        <w:t>（註</w:t>
      </w:r>
      <w:r>
        <w:rPr>
          <w:rFonts w:hAnsi="標楷體" w:hint="eastAsia"/>
          <w:color w:val="000000"/>
          <w:sz w:val="22"/>
          <w:szCs w:val="22"/>
        </w:rPr>
        <w:t>二十四</w:t>
      </w:r>
      <w:r w:rsidRPr="004E344C">
        <w:rPr>
          <w:rFonts w:hAnsi="標楷體" w:hint="eastAsia"/>
          <w:color w:val="000000"/>
          <w:sz w:val="22"/>
          <w:szCs w:val="22"/>
        </w:rPr>
        <w:t>）</w:t>
      </w:r>
      <w:r w:rsidRPr="004E344C">
        <w:rPr>
          <w:rFonts w:hAnsi="標楷體"/>
          <w:b/>
          <w:color w:val="000000"/>
          <w:sz w:val="28"/>
          <w:szCs w:val="28"/>
        </w:rPr>
        <w:t>」</w:t>
      </w:r>
      <w:r w:rsidRPr="004E344C">
        <w:rPr>
          <w:rFonts w:hAnsi="標楷體"/>
          <w:color w:val="000000"/>
          <w:sz w:val="28"/>
          <w:szCs w:val="28"/>
        </w:rPr>
        <w:t>（</w:t>
      </w:r>
      <w:r w:rsidRPr="004E344C">
        <w:rPr>
          <w:color w:val="000000"/>
          <w:sz w:val="28"/>
          <w:szCs w:val="28"/>
        </w:rPr>
        <w:t>There are few more dangerous ideologues than those who believe that truth can be arrived at without process.</w:t>
      </w:r>
      <w:r w:rsidRPr="004E344C">
        <w:rPr>
          <w:rFonts w:hAnsi="標楷體"/>
          <w:color w:val="000000"/>
          <w:sz w:val="28"/>
          <w:szCs w:val="28"/>
        </w:rPr>
        <w:t>）</w:t>
      </w:r>
    </w:p>
    <w:p w:rsidR="001175B9" w:rsidRPr="004E344C" w:rsidRDefault="001175B9" w:rsidP="001175B9">
      <w:pPr>
        <w:spacing w:line="391" w:lineRule="exact"/>
        <w:ind w:left="567" w:firstLineChars="200" w:firstLine="560"/>
        <w:jc w:val="both"/>
        <w:rPr>
          <w:color w:val="000000"/>
          <w:sz w:val="28"/>
          <w:szCs w:val="28"/>
        </w:rPr>
      </w:pPr>
      <w:r w:rsidRPr="004E344C">
        <w:rPr>
          <w:rFonts w:hAnsi="標楷體"/>
          <w:color w:val="000000"/>
          <w:sz w:val="28"/>
          <w:szCs w:val="28"/>
        </w:rPr>
        <w:t>我們贊成立法院要有充分的調查權，包括文件的調閱權在內，但我們也同時堅持：國會必須依法治國的原則嚴肅且節制的行使此權力，決不可濫用之，以侵犯人權與分權之原則。亦即：必須以嚴整的法律程序規範此最有濫權之虞的權限，才能夠確保此制度不致於使此最高民意的「神聖機關殿堂」質變，淪為揭發、渲染與傳播國民隱私或抒發個人恩怨的是非之所。立法院應當從速完善構建此一法制：既要磨礪調查權這把利刃，同時要打造一個完善護衛刀鋒的刀鞘，兩者缺一不可，我國國會立法與國政監督的品質提升，即將有恃也。</w:t>
      </w:r>
    </w:p>
    <w:p w:rsidR="00EB17FC" w:rsidRPr="00EB17FC" w:rsidRDefault="00EB17FC" w:rsidP="00F362DC">
      <w:pPr>
        <w:overflowPunct w:val="0"/>
        <w:spacing w:line="391" w:lineRule="exact"/>
        <w:ind w:left="616" w:hangingChars="280" w:hanging="616"/>
        <w:jc w:val="both"/>
        <w:rPr>
          <w:rFonts w:ascii="標楷體" w:hAnsi="標楷體"/>
          <w:color w:val="000000"/>
          <w:sz w:val="22"/>
          <w:szCs w:val="22"/>
        </w:rPr>
      </w:pPr>
      <w:r w:rsidRPr="00EB17FC">
        <w:rPr>
          <w:rFonts w:ascii="標楷體" w:hAnsi="標楷體" w:hint="eastAsia"/>
          <w:color w:val="000000"/>
          <w:sz w:val="22"/>
          <w:szCs w:val="22"/>
        </w:rPr>
        <w:t>註一：</w:t>
      </w:r>
      <w:r w:rsidRPr="00EB17FC">
        <w:rPr>
          <w:rFonts w:hint="eastAsia"/>
          <w:sz w:val="22"/>
          <w:szCs w:val="22"/>
        </w:rPr>
        <w:t>大法官在釋字第</w:t>
      </w:r>
      <w:r w:rsidRPr="00EB17FC">
        <w:rPr>
          <w:sz w:val="22"/>
          <w:szCs w:val="22"/>
        </w:rPr>
        <w:t>633</w:t>
      </w:r>
      <w:r w:rsidRPr="00EB17FC">
        <w:rPr>
          <w:rFonts w:hint="eastAsia"/>
          <w:sz w:val="22"/>
          <w:szCs w:val="22"/>
        </w:rPr>
        <w:t>號解釋亦曾論及立法院調查權之問題，但未逾越釋字第</w:t>
      </w:r>
      <w:r w:rsidRPr="00EB17FC">
        <w:rPr>
          <w:sz w:val="22"/>
          <w:szCs w:val="22"/>
        </w:rPr>
        <w:t>585</w:t>
      </w:r>
      <w:r w:rsidRPr="00EB17FC">
        <w:rPr>
          <w:rFonts w:hint="eastAsia"/>
          <w:sz w:val="22"/>
          <w:szCs w:val="22"/>
        </w:rPr>
        <w:t>號解釋之範疇，故以下論述仍以釋字第</w:t>
      </w:r>
      <w:r w:rsidRPr="00EB17FC">
        <w:rPr>
          <w:sz w:val="22"/>
          <w:szCs w:val="22"/>
        </w:rPr>
        <w:t>585</w:t>
      </w:r>
      <w:r w:rsidRPr="00EB17FC">
        <w:rPr>
          <w:rFonts w:hint="eastAsia"/>
          <w:sz w:val="22"/>
          <w:szCs w:val="22"/>
        </w:rPr>
        <w:t>號解釋為主。</w:t>
      </w:r>
    </w:p>
    <w:p w:rsidR="00EB17FC" w:rsidRPr="00EB17FC" w:rsidRDefault="00EB17FC" w:rsidP="00F362DC">
      <w:pPr>
        <w:overflowPunct w:val="0"/>
        <w:spacing w:line="391" w:lineRule="exact"/>
        <w:ind w:left="660" w:hangingChars="300" w:hanging="660"/>
        <w:jc w:val="both"/>
        <w:rPr>
          <w:rFonts w:ascii="標楷體" w:hAnsi="標楷體"/>
          <w:sz w:val="22"/>
          <w:szCs w:val="22"/>
        </w:rPr>
      </w:pPr>
      <w:r w:rsidRPr="00EB17FC">
        <w:rPr>
          <w:rFonts w:ascii="標楷體" w:hAnsi="標楷體" w:hint="eastAsia"/>
          <w:color w:val="000000"/>
          <w:sz w:val="22"/>
          <w:szCs w:val="22"/>
        </w:rPr>
        <w:t>註二：</w:t>
      </w:r>
      <w:r w:rsidRPr="00EB17FC">
        <w:rPr>
          <w:rFonts w:ascii="標楷體" w:hAnsi="標楷體" w:hint="eastAsia"/>
          <w:sz w:val="22"/>
          <w:szCs w:val="22"/>
        </w:rPr>
        <w:t>按本院另在釋字第</w:t>
      </w:r>
      <w:r w:rsidRPr="00EB17FC">
        <w:rPr>
          <w:rFonts w:ascii="標楷體" w:hAnsi="標楷體"/>
          <w:sz w:val="22"/>
          <w:szCs w:val="22"/>
        </w:rPr>
        <w:t>627</w:t>
      </w:r>
      <w:r w:rsidRPr="00EB17FC">
        <w:rPr>
          <w:rFonts w:ascii="標楷體" w:hAnsi="標楷體" w:hint="eastAsia"/>
          <w:sz w:val="22"/>
          <w:szCs w:val="22"/>
        </w:rPr>
        <w:t>號解釋提及行政特權的理論，在該號解釋認為此特權為「行政權固有之權能」，有可能「影響或干預行政部門有效運作之資訊」都包括在內。但該號解釋意旨則顯然偏重在屬於國防、外交或其他國家機密等事項，方可包括在此特權的範圍。如果採此狹義的範</w:t>
      </w:r>
      <w:r w:rsidRPr="00EB17FC">
        <w:rPr>
          <w:rFonts w:ascii="標楷體" w:hAnsi="標楷體" w:hint="eastAsia"/>
          <w:sz w:val="22"/>
          <w:szCs w:val="22"/>
        </w:rPr>
        <w:lastRenderedPageBreak/>
        <w:t>圍論</w:t>
      </w:r>
      <w:r w:rsidR="00173265">
        <w:rPr>
          <w:rFonts w:ascii="標楷體" w:hAnsi="標楷體"/>
          <w:sz w:val="22"/>
          <w:szCs w:val="22"/>
        </w:rPr>
        <w:t>（</w:t>
      </w:r>
      <w:r w:rsidRPr="00EB17FC">
        <w:rPr>
          <w:rFonts w:ascii="標楷體" w:hAnsi="標楷體" w:hint="eastAsia"/>
          <w:sz w:val="22"/>
          <w:szCs w:val="22"/>
        </w:rPr>
        <w:t>行政特權無異於「機密特權」</w:t>
      </w:r>
      <w:r w:rsidR="00173265">
        <w:rPr>
          <w:rFonts w:ascii="標楷體" w:hAnsi="標楷體"/>
          <w:sz w:val="22"/>
          <w:szCs w:val="22"/>
        </w:rPr>
        <w:t>）</w:t>
      </w:r>
      <w:r w:rsidRPr="00EB17FC">
        <w:rPr>
          <w:rFonts w:ascii="標楷體" w:hAnsi="標楷體" w:hint="eastAsia"/>
          <w:sz w:val="22"/>
          <w:szCs w:val="22"/>
        </w:rPr>
        <w:t>，則除少數刑事案件會涉及機密外，其他絕大多數的刑事偵查案件，即不會涉及此，從而無法作為拒絕交付卷證的理由。本號解釋是否維持釋字第</w:t>
      </w:r>
      <w:r w:rsidRPr="00EB17FC">
        <w:rPr>
          <w:rFonts w:ascii="標楷體" w:hAnsi="標楷體"/>
          <w:sz w:val="22"/>
          <w:szCs w:val="22"/>
        </w:rPr>
        <w:t>585</w:t>
      </w:r>
      <w:r w:rsidRPr="00EB17FC">
        <w:rPr>
          <w:rFonts w:ascii="標楷體" w:hAnsi="標楷體" w:hint="eastAsia"/>
          <w:sz w:val="22"/>
          <w:szCs w:val="22"/>
        </w:rPr>
        <w:t>號或第</w:t>
      </w:r>
      <w:r w:rsidRPr="00EB17FC">
        <w:rPr>
          <w:rFonts w:ascii="標楷體" w:hAnsi="標楷體"/>
          <w:sz w:val="22"/>
          <w:szCs w:val="22"/>
        </w:rPr>
        <w:t>627</w:t>
      </w:r>
      <w:r w:rsidRPr="00EB17FC">
        <w:rPr>
          <w:rFonts w:ascii="標楷體" w:hAnsi="標楷體" w:hint="eastAsia"/>
          <w:sz w:val="22"/>
          <w:szCs w:val="22"/>
        </w:rPr>
        <w:t>號解釋的意旨？即有必要加以澄清。</w:t>
      </w:r>
    </w:p>
    <w:p w:rsidR="00EB17FC" w:rsidRPr="00EB17FC" w:rsidRDefault="00EB17FC" w:rsidP="00A01C7D">
      <w:pPr>
        <w:overflowPunct w:val="0"/>
        <w:spacing w:line="391" w:lineRule="exact"/>
        <w:ind w:left="680"/>
        <w:jc w:val="both"/>
        <w:rPr>
          <w:rFonts w:ascii="標楷體" w:hAnsi="標楷體"/>
          <w:color w:val="000000"/>
          <w:sz w:val="22"/>
          <w:szCs w:val="22"/>
        </w:rPr>
      </w:pPr>
      <w:r w:rsidRPr="00EB17FC">
        <w:rPr>
          <w:rFonts w:hint="eastAsia"/>
          <w:sz w:val="22"/>
          <w:szCs w:val="22"/>
        </w:rPr>
        <w:t>當然，就行政特權的理論是否完善而足以充分的引入調查權行使的實務之中？釋字第</w:t>
      </w:r>
      <w:r w:rsidRPr="00EB17FC">
        <w:rPr>
          <w:sz w:val="22"/>
          <w:szCs w:val="22"/>
        </w:rPr>
        <w:t>585</w:t>
      </w:r>
      <w:r w:rsidRPr="00EB17FC">
        <w:rPr>
          <w:rFonts w:hint="eastAsia"/>
          <w:sz w:val="22"/>
          <w:szCs w:val="22"/>
        </w:rPr>
        <w:t>號解釋引入時，並沒有詳加討論。實則，此理論雖產生在美國，但也並非可以作為行政權抗拒國會調查權的有效利器。就以喧騰一時的「水門案」為例，對國會與聯邦最高法院要求尼克森總統交出白宮所擁有的錄音帶，尼克森總統便祭出行政特權理論而拒交，但聯邦最高法院終究還是作出裁判，認定尼克森提出的行政特權無效，必須交出錄音帶。可參見美國訴尼克森案（</w:t>
      </w:r>
      <w:r w:rsidRPr="00EB17FC">
        <w:rPr>
          <w:sz w:val="22"/>
          <w:szCs w:val="22"/>
        </w:rPr>
        <w:t>United States v. Nixon</w:t>
      </w:r>
      <w:r w:rsidRPr="00EB17FC">
        <w:rPr>
          <w:rFonts w:hint="eastAsia"/>
          <w:sz w:val="22"/>
          <w:szCs w:val="22"/>
        </w:rPr>
        <w:t>，</w:t>
      </w:r>
      <w:r w:rsidRPr="00EB17FC">
        <w:rPr>
          <w:sz w:val="22"/>
          <w:szCs w:val="22"/>
        </w:rPr>
        <w:t xml:space="preserve">418 U.S. 683 </w:t>
      </w:r>
      <w:r w:rsidR="00173265">
        <w:rPr>
          <w:sz w:val="22"/>
          <w:szCs w:val="22"/>
        </w:rPr>
        <w:t>（</w:t>
      </w:r>
      <w:r w:rsidRPr="00EB17FC">
        <w:rPr>
          <w:sz w:val="22"/>
          <w:szCs w:val="22"/>
        </w:rPr>
        <w:t>1974</w:t>
      </w:r>
      <w:r w:rsidR="00173265">
        <w:rPr>
          <w:sz w:val="22"/>
          <w:szCs w:val="22"/>
        </w:rPr>
        <w:t>）</w:t>
      </w:r>
      <w:r w:rsidRPr="00EB17FC">
        <w:rPr>
          <w:rFonts w:hint="eastAsia"/>
          <w:sz w:val="22"/>
          <w:szCs w:val="22"/>
        </w:rPr>
        <w:t>）。</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註三：</w:t>
      </w:r>
      <w:r w:rsidRPr="00EB17FC">
        <w:rPr>
          <w:rFonts w:hint="eastAsia"/>
          <w:sz w:val="22"/>
          <w:szCs w:val="22"/>
          <w:lang w:val="de-DE"/>
        </w:rPr>
        <w:t>例如，日本憲法第</w:t>
      </w:r>
      <w:r w:rsidRPr="00EB17FC">
        <w:rPr>
          <w:sz w:val="22"/>
          <w:szCs w:val="22"/>
          <w:lang w:val="de-DE"/>
        </w:rPr>
        <w:t>62</w:t>
      </w:r>
      <w:r w:rsidR="007229C6">
        <w:rPr>
          <w:rFonts w:hint="eastAsia"/>
          <w:sz w:val="22"/>
          <w:szCs w:val="22"/>
          <w:lang w:val="de-DE"/>
        </w:rPr>
        <w:t>條及</w:t>
      </w:r>
      <w:r w:rsidRPr="00EB17FC">
        <w:rPr>
          <w:rFonts w:hint="eastAsia"/>
          <w:sz w:val="22"/>
          <w:szCs w:val="22"/>
          <w:lang w:val="de-DE"/>
        </w:rPr>
        <w:t>德國基本法第</w:t>
      </w:r>
      <w:r w:rsidRPr="00EB17FC">
        <w:rPr>
          <w:sz w:val="22"/>
          <w:szCs w:val="22"/>
          <w:lang w:val="de-DE"/>
        </w:rPr>
        <w:t>44</w:t>
      </w:r>
      <w:r w:rsidRPr="00EB17FC">
        <w:rPr>
          <w:rFonts w:hint="eastAsia"/>
          <w:sz w:val="22"/>
          <w:szCs w:val="22"/>
          <w:lang w:val="de-DE"/>
        </w:rPr>
        <w:t>條</w:t>
      </w:r>
      <w:r w:rsidR="007229C6">
        <w:rPr>
          <w:rFonts w:hint="eastAsia"/>
          <w:sz w:val="22"/>
          <w:szCs w:val="22"/>
          <w:lang w:val="de-DE"/>
        </w:rPr>
        <w:t>、</w:t>
      </w:r>
      <w:r w:rsidRPr="00EB17FC">
        <w:rPr>
          <w:rFonts w:hint="eastAsia"/>
          <w:sz w:val="22"/>
          <w:szCs w:val="22"/>
          <w:lang w:val="de-DE"/>
        </w:rPr>
        <w:t>威瑪憲法第</w:t>
      </w:r>
      <w:r w:rsidRPr="00EB17FC">
        <w:rPr>
          <w:sz w:val="22"/>
          <w:szCs w:val="22"/>
          <w:lang w:val="de-DE"/>
        </w:rPr>
        <w:t>34</w:t>
      </w:r>
      <w:r w:rsidRPr="00EB17FC">
        <w:rPr>
          <w:rFonts w:hint="eastAsia"/>
          <w:sz w:val="22"/>
          <w:szCs w:val="22"/>
          <w:lang w:val="de-DE"/>
        </w:rPr>
        <w:t>條。</w:t>
      </w:r>
    </w:p>
    <w:p w:rsidR="00EB17FC" w:rsidRPr="00EB17FC" w:rsidRDefault="00EB17FC" w:rsidP="00A01C7D">
      <w:pPr>
        <w:wordWrap w:val="0"/>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註四：</w:t>
      </w:r>
      <w:r w:rsidRPr="00EB17FC">
        <w:rPr>
          <w:rFonts w:hint="eastAsia"/>
          <w:sz w:val="22"/>
          <w:szCs w:val="22"/>
        </w:rPr>
        <w:t>例如德國聯邦憲法法院，在</w:t>
      </w:r>
      <w:smartTag w:uri="urn:schemas-microsoft-com:office:smarttags" w:element="chsdate">
        <w:smartTagPr>
          <w:attr w:name="Year" w:val="2009"/>
          <w:attr w:name="Month" w:val="6"/>
          <w:attr w:name="Day" w:val="17"/>
          <w:attr w:name="IsLunarDate" w:val="False"/>
          <w:attr w:name="IsROCDate" w:val="False"/>
        </w:smartTagPr>
        <w:r w:rsidRPr="00EB17FC">
          <w:rPr>
            <w:sz w:val="22"/>
            <w:szCs w:val="22"/>
          </w:rPr>
          <w:t>2009</w:t>
        </w:r>
        <w:r w:rsidRPr="00EB17FC">
          <w:rPr>
            <w:rFonts w:hint="eastAsia"/>
            <w:sz w:val="22"/>
            <w:szCs w:val="22"/>
          </w:rPr>
          <w:t>年</w:t>
        </w:r>
        <w:r w:rsidRPr="00EB17FC">
          <w:rPr>
            <w:sz w:val="22"/>
            <w:szCs w:val="22"/>
          </w:rPr>
          <w:t>6</w:t>
        </w:r>
        <w:r w:rsidRPr="00EB17FC">
          <w:rPr>
            <w:rFonts w:hint="eastAsia"/>
            <w:sz w:val="22"/>
            <w:szCs w:val="22"/>
          </w:rPr>
          <w:t>月</w:t>
        </w:r>
        <w:r w:rsidRPr="00EB17FC">
          <w:rPr>
            <w:sz w:val="22"/>
            <w:szCs w:val="22"/>
          </w:rPr>
          <w:t>17</w:t>
        </w:r>
        <w:r w:rsidRPr="00EB17FC">
          <w:rPr>
            <w:rFonts w:hint="eastAsia"/>
            <w:sz w:val="22"/>
            <w:szCs w:val="22"/>
          </w:rPr>
          <w:t>日</w:t>
        </w:r>
      </w:smartTag>
      <w:r w:rsidRPr="00EB17FC">
        <w:rPr>
          <w:rFonts w:hint="eastAsia"/>
          <w:sz w:val="22"/>
          <w:szCs w:val="22"/>
        </w:rPr>
        <w:t>作出了一個重要的「國家情報局」判決</w:t>
      </w:r>
      <w:r w:rsidR="00173265">
        <w:rPr>
          <w:sz w:val="22"/>
          <w:szCs w:val="22"/>
        </w:rPr>
        <w:t>（</w:t>
      </w:r>
      <w:r w:rsidRPr="00EB17FC">
        <w:rPr>
          <w:sz w:val="22"/>
          <w:szCs w:val="22"/>
        </w:rPr>
        <w:t>BND-Urteil, BVerfGE124, 78ff.</w:t>
      </w:r>
      <w:r w:rsidR="00173265">
        <w:rPr>
          <w:sz w:val="22"/>
          <w:szCs w:val="22"/>
        </w:rPr>
        <w:t>）</w:t>
      </w:r>
      <w:r w:rsidRPr="00EB17FC">
        <w:rPr>
          <w:rFonts w:hint="eastAsia"/>
          <w:sz w:val="22"/>
          <w:szCs w:val="22"/>
        </w:rPr>
        <w:t>便認為主管機關必須對於國會調查委員會所要求提供的文件，如基於類似我國釋字第</w:t>
      </w:r>
      <w:r w:rsidRPr="00EB17FC">
        <w:rPr>
          <w:sz w:val="22"/>
          <w:szCs w:val="22"/>
        </w:rPr>
        <w:t>585</w:t>
      </w:r>
      <w:r w:rsidRPr="00EB17FC">
        <w:rPr>
          <w:rFonts w:hint="eastAsia"/>
          <w:sz w:val="22"/>
          <w:szCs w:val="22"/>
        </w:rPr>
        <w:t>號解釋所提及的行政特權理論，例如，行政機關內部政策形成過程的文件，凡是政策的準備、參與部會人員的意見等等，屬於行政自我負責的核心領域，都可以拒絕提供。但主管機關必須要說明清楚。然而，德國聯邦憲法法院也對國會此種文件，以及要求相關人員作證的調查權限，提出五個強制的憲法界限：必須基於特定的提案程序；遵守分權的原則；如涉及到國家機密時要強調國家福祉的優先；應注重保障基本人權，特別是人性尊嚴；應遵守禁止權力濫用原則，一旦涉及權力濫用時，國會調查權即應消滅。見</w:t>
      </w:r>
      <w:r w:rsidRPr="00EB17FC">
        <w:rPr>
          <w:sz w:val="22"/>
          <w:szCs w:val="22"/>
        </w:rPr>
        <w:t>BVerfGE124, 118ff.</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註五：</w:t>
      </w:r>
      <w:r w:rsidRPr="00EB17FC">
        <w:rPr>
          <w:sz w:val="22"/>
          <w:szCs w:val="22"/>
          <w:lang w:val="de-DE"/>
        </w:rPr>
        <w:t xml:space="preserve">Peter Badura. </w:t>
      </w:r>
      <w:r w:rsidRPr="00EB17FC">
        <w:rPr>
          <w:sz w:val="22"/>
          <w:szCs w:val="22"/>
        </w:rPr>
        <w:t>Staatsrecht</w:t>
      </w:r>
      <w:r w:rsidRPr="00EB17FC">
        <w:rPr>
          <w:sz w:val="22"/>
          <w:szCs w:val="22"/>
          <w:lang w:val="de-DE"/>
        </w:rPr>
        <w:t>. 5.Aufl. 2012. E.47.</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註六：</w:t>
      </w:r>
      <w:r w:rsidRPr="00EB17FC">
        <w:rPr>
          <w:rFonts w:hint="eastAsia"/>
          <w:sz w:val="22"/>
          <w:szCs w:val="22"/>
        </w:rPr>
        <w:t>德國基本法第</w:t>
      </w:r>
      <w:r w:rsidRPr="00EB17FC">
        <w:rPr>
          <w:sz w:val="22"/>
          <w:szCs w:val="22"/>
        </w:rPr>
        <w:t>44</w:t>
      </w:r>
      <w:r w:rsidRPr="00EB17FC">
        <w:rPr>
          <w:rFonts w:hint="eastAsia"/>
          <w:sz w:val="22"/>
          <w:szCs w:val="22"/>
        </w:rPr>
        <w:t>條即明文提到：「國會調查委員會之決議不受司法審查」。從而即使人權因該決議而受有侵害，人民仍不得訴請法院就此決議加以審查，或追究國會議員之責任。</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註七：</w:t>
      </w:r>
      <w:r w:rsidRPr="00EB17FC">
        <w:rPr>
          <w:rFonts w:hint="eastAsia"/>
          <w:sz w:val="22"/>
          <w:szCs w:val="22"/>
          <w:lang w:val="de-DE"/>
        </w:rPr>
        <w:t>例如，德國聯邦眾議會調查委員會職權行使法第</w:t>
      </w:r>
      <w:r w:rsidRPr="00EB17FC">
        <w:rPr>
          <w:sz w:val="22"/>
          <w:szCs w:val="22"/>
          <w:lang w:val="de-DE"/>
        </w:rPr>
        <w:t>36</w:t>
      </w:r>
      <w:r w:rsidRPr="00EB17FC">
        <w:rPr>
          <w:rFonts w:hint="eastAsia"/>
          <w:sz w:val="22"/>
          <w:szCs w:val="22"/>
          <w:lang w:val="de-DE"/>
        </w:rPr>
        <w:t>條規定，涉及到隱私的案件，如作為證據，必須比照國防或外交機密等，以秘密會議的方式審議，同時，議員與工作人員即負有保密的義務。立法院職權行使法第</w:t>
      </w:r>
      <w:r w:rsidRPr="00EB17FC">
        <w:rPr>
          <w:sz w:val="22"/>
          <w:szCs w:val="22"/>
          <w:lang w:val="de-DE"/>
        </w:rPr>
        <w:t>52</w:t>
      </w:r>
      <w:r w:rsidRPr="00EB17FC">
        <w:rPr>
          <w:rFonts w:hint="eastAsia"/>
          <w:sz w:val="22"/>
          <w:szCs w:val="22"/>
          <w:lang w:val="de-DE"/>
        </w:rPr>
        <w:t>條亦有類似的規定：「文件調閱之調閱報告書及處理意見未提出前，其工作人員、專業人員、保管人員或查閱人員負有保密之義務，不得對文件內容或處理情形予以揭露。但涉及外交、國防或其他依法令應秘密事項者，於調閱報告及處理意見提出後，仍應依相關法令規定保密，並依秘密會議處理之。」該條文有必要再擴充其內容，將資訊涉及人民隱私、營業秘密、通訊自由等，一併比照秘密事項處理，且保密人的範圍應及於立法委員之上。可參見陳淑芳，德國之國會調查權，台灣本土法學雜誌，第</w:t>
      </w:r>
      <w:r w:rsidRPr="00EB17FC">
        <w:rPr>
          <w:sz w:val="22"/>
          <w:szCs w:val="22"/>
          <w:lang w:val="de-DE"/>
        </w:rPr>
        <w:t>78</w:t>
      </w:r>
      <w:r w:rsidRPr="00EB17FC">
        <w:rPr>
          <w:rFonts w:hint="eastAsia"/>
          <w:sz w:val="22"/>
          <w:szCs w:val="22"/>
          <w:lang w:val="de-DE"/>
        </w:rPr>
        <w:t>期，</w:t>
      </w:r>
      <w:r w:rsidRPr="00EB17FC">
        <w:rPr>
          <w:sz w:val="22"/>
          <w:szCs w:val="22"/>
          <w:lang w:val="de-DE"/>
        </w:rPr>
        <w:t>2006</w:t>
      </w:r>
      <w:r w:rsidRPr="00EB17FC">
        <w:rPr>
          <w:rFonts w:hint="eastAsia"/>
          <w:sz w:val="22"/>
          <w:szCs w:val="22"/>
          <w:lang w:val="de-DE"/>
        </w:rPr>
        <w:t>年</w:t>
      </w:r>
      <w:r w:rsidRPr="00EB17FC">
        <w:rPr>
          <w:sz w:val="22"/>
          <w:szCs w:val="22"/>
          <w:lang w:val="de-DE"/>
        </w:rPr>
        <w:t>1</w:t>
      </w:r>
      <w:r w:rsidRPr="00EB17FC">
        <w:rPr>
          <w:rFonts w:hint="eastAsia"/>
          <w:sz w:val="22"/>
          <w:szCs w:val="22"/>
          <w:lang w:val="de-DE"/>
        </w:rPr>
        <w:t>月，第</w:t>
      </w:r>
      <w:r w:rsidRPr="00EB17FC">
        <w:rPr>
          <w:sz w:val="22"/>
          <w:szCs w:val="22"/>
          <w:lang w:val="de-DE"/>
        </w:rPr>
        <w:t>53</w:t>
      </w:r>
      <w:r w:rsidRPr="00EB17FC">
        <w:rPr>
          <w:rFonts w:hint="eastAsia"/>
          <w:sz w:val="22"/>
          <w:szCs w:val="22"/>
          <w:lang w:val="de-DE"/>
        </w:rPr>
        <w:t>頁以下。</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註八：</w:t>
      </w:r>
      <w:r w:rsidRPr="00EB17FC">
        <w:rPr>
          <w:rFonts w:hint="eastAsia"/>
          <w:sz w:val="22"/>
          <w:szCs w:val="22"/>
        </w:rPr>
        <w:t>例如釋字第</w:t>
      </w:r>
      <w:r w:rsidRPr="00EB17FC">
        <w:rPr>
          <w:sz w:val="22"/>
          <w:szCs w:val="22"/>
        </w:rPr>
        <w:t>633</w:t>
      </w:r>
      <w:r w:rsidRPr="00EB17FC">
        <w:rPr>
          <w:rFonts w:hint="eastAsia"/>
          <w:sz w:val="22"/>
          <w:szCs w:val="22"/>
        </w:rPr>
        <w:t>號解釋論及三一九槍擊事件真相調查特別委員會條例中，於第</w:t>
      </w:r>
      <w:r w:rsidRPr="00EB17FC">
        <w:rPr>
          <w:sz w:val="22"/>
          <w:szCs w:val="22"/>
        </w:rPr>
        <w:t>8</w:t>
      </w:r>
      <w:r w:rsidR="00A01C7D" w:rsidRPr="00EB17FC">
        <w:rPr>
          <w:rFonts w:hint="eastAsia"/>
          <w:sz w:val="22"/>
          <w:szCs w:val="22"/>
        </w:rPr>
        <w:t>條</w:t>
      </w:r>
      <w:r w:rsidRPr="00EB17FC">
        <w:rPr>
          <w:rFonts w:hint="eastAsia"/>
          <w:sz w:val="22"/>
          <w:szCs w:val="22"/>
        </w:rPr>
        <w:t>之</w:t>
      </w:r>
      <w:r w:rsidRPr="00EB17FC">
        <w:rPr>
          <w:sz w:val="22"/>
          <w:szCs w:val="22"/>
        </w:rPr>
        <w:t>2</w:t>
      </w:r>
      <w:r w:rsidRPr="00EB17FC">
        <w:rPr>
          <w:rFonts w:hint="eastAsia"/>
          <w:sz w:val="22"/>
          <w:szCs w:val="22"/>
        </w:rPr>
        <w:t>第</w:t>
      </w:r>
      <w:r w:rsidRPr="00EB17FC">
        <w:rPr>
          <w:sz w:val="22"/>
          <w:szCs w:val="22"/>
        </w:rPr>
        <w:t>2</w:t>
      </w:r>
      <w:r w:rsidRPr="00EB17FC">
        <w:rPr>
          <w:rFonts w:hint="eastAsia"/>
          <w:sz w:val="22"/>
          <w:szCs w:val="22"/>
        </w:rPr>
        <w:t>項規定：「接受調查之有關機關、團體、事業或有關人員，不得以任何理由規避、拖延或拒絕。但經舉證證明確有妨害重大國家利益或因配合調查致本身有遭受刑事處罰或行政罰之虞者，不在此限」。同時同條第</w:t>
      </w:r>
      <w:r w:rsidRPr="00EB17FC">
        <w:rPr>
          <w:sz w:val="22"/>
          <w:szCs w:val="22"/>
        </w:rPr>
        <w:t>5</w:t>
      </w:r>
      <w:r w:rsidRPr="00EB17FC">
        <w:rPr>
          <w:rFonts w:hint="eastAsia"/>
          <w:sz w:val="22"/>
          <w:szCs w:val="22"/>
        </w:rPr>
        <w:t>項規定，對於第</w:t>
      </w:r>
      <w:r w:rsidRPr="00EB17FC">
        <w:rPr>
          <w:sz w:val="22"/>
          <w:szCs w:val="22"/>
        </w:rPr>
        <w:t>2</w:t>
      </w:r>
      <w:r w:rsidRPr="00EB17FC">
        <w:rPr>
          <w:rFonts w:hint="eastAsia"/>
          <w:sz w:val="22"/>
          <w:szCs w:val="22"/>
        </w:rPr>
        <w:t>項發生爭議時，交由行政法院審理。大法官在此號解釋宣告第</w:t>
      </w:r>
      <w:r w:rsidRPr="00EB17FC">
        <w:rPr>
          <w:sz w:val="22"/>
          <w:szCs w:val="22"/>
        </w:rPr>
        <w:t>5</w:t>
      </w:r>
      <w:r w:rsidRPr="00EB17FC">
        <w:rPr>
          <w:rFonts w:hint="eastAsia"/>
          <w:sz w:val="22"/>
          <w:szCs w:val="22"/>
        </w:rPr>
        <w:t>項規定並不違憲。應注意這是指一般行政機關之卷證，非專指偵查案件而言。故法院的管轄規應有不同。</w:t>
      </w:r>
    </w:p>
    <w:p w:rsidR="00EB17FC" w:rsidRPr="00EB17FC" w:rsidRDefault="00EB17FC" w:rsidP="00EB17FC">
      <w:pPr>
        <w:overflowPunct w:val="0"/>
        <w:spacing w:line="391"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lastRenderedPageBreak/>
        <w:t>註九：</w:t>
      </w:r>
      <w:r w:rsidRPr="00EB17FC">
        <w:rPr>
          <w:rFonts w:hint="eastAsia"/>
          <w:sz w:val="22"/>
          <w:szCs w:val="22"/>
          <w:lang w:val="de-DE"/>
        </w:rPr>
        <w:t>可參見吳庚，憲法解釋與適用，修訂三版，民國</w:t>
      </w:r>
      <w:r w:rsidRPr="00EB17FC">
        <w:rPr>
          <w:sz w:val="22"/>
          <w:szCs w:val="22"/>
          <w:lang w:val="de-DE"/>
        </w:rPr>
        <w:t>93</w:t>
      </w:r>
      <w:r w:rsidRPr="00EB17FC">
        <w:rPr>
          <w:rFonts w:hint="eastAsia"/>
          <w:sz w:val="22"/>
          <w:szCs w:val="22"/>
          <w:lang w:val="de-DE"/>
        </w:rPr>
        <w:t>年，第</w:t>
      </w:r>
      <w:r w:rsidRPr="00EB17FC">
        <w:rPr>
          <w:sz w:val="22"/>
          <w:szCs w:val="22"/>
          <w:lang w:val="de-DE"/>
        </w:rPr>
        <w:t>432</w:t>
      </w:r>
      <w:r w:rsidRPr="00EB17FC">
        <w:rPr>
          <w:rFonts w:hint="eastAsia"/>
          <w:sz w:val="22"/>
          <w:szCs w:val="22"/>
          <w:lang w:val="de-DE"/>
        </w:rPr>
        <w:t>頁。陳新民，憲法學釋論，第八版，民國</w:t>
      </w:r>
      <w:r w:rsidRPr="00EB17FC">
        <w:rPr>
          <w:sz w:val="22"/>
          <w:szCs w:val="22"/>
          <w:lang w:val="de-DE"/>
        </w:rPr>
        <w:t>104</w:t>
      </w:r>
      <w:r w:rsidRPr="00EB17FC">
        <w:rPr>
          <w:rFonts w:hint="eastAsia"/>
          <w:sz w:val="22"/>
          <w:szCs w:val="22"/>
          <w:lang w:val="de-DE"/>
        </w:rPr>
        <w:t>年</w:t>
      </w:r>
      <w:r w:rsidRPr="00EB17FC">
        <w:rPr>
          <w:sz w:val="22"/>
          <w:szCs w:val="22"/>
          <w:lang w:val="de-DE"/>
        </w:rPr>
        <w:t>5</w:t>
      </w:r>
      <w:r w:rsidRPr="00EB17FC">
        <w:rPr>
          <w:rFonts w:hint="eastAsia"/>
          <w:sz w:val="22"/>
          <w:szCs w:val="22"/>
          <w:lang w:val="de-DE"/>
        </w:rPr>
        <w:t>月，第</w:t>
      </w:r>
      <w:r w:rsidRPr="00EB17FC">
        <w:rPr>
          <w:sz w:val="22"/>
          <w:szCs w:val="22"/>
          <w:lang w:val="de-DE"/>
        </w:rPr>
        <w:t>844</w:t>
      </w:r>
      <w:r w:rsidRPr="00EB17FC">
        <w:rPr>
          <w:rFonts w:hint="eastAsia"/>
          <w:sz w:val="22"/>
          <w:szCs w:val="22"/>
          <w:lang w:val="de-DE"/>
        </w:rPr>
        <w:t>頁。</w:t>
      </w:r>
    </w:p>
    <w:p w:rsidR="00EB17FC" w:rsidRPr="00EB17FC" w:rsidRDefault="00EB17FC" w:rsidP="00287B0E">
      <w:pPr>
        <w:overflowPunct w:val="0"/>
        <w:spacing w:line="402" w:lineRule="exact"/>
        <w:ind w:left="682" w:hangingChars="310" w:hanging="682"/>
        <w:jc w:val="both"/>
        <w:rPr>
          <w:rFonts w:ascii="標楷體" w:hAnsi="標楷體"/>
          <w:color w:val="000000"/>
          <w:sz w:val="22"/>
          <w:szCs w:val="22"/>
        </w:rPr>
      </w:pPr>
      <w:r w:rsidRPr="00EB17FC">
        <w:rPr>
          <w:rFonts w:ascii="標楷體" w:hAnsi="標楷體" w:hint="eastAsia"/>
          <w:color w:val="000000"/>
          <w:sz w:val="22"/>
          <w:szCs w:val="22"/>
        </w:rPr>
        <w:t>註十：</w:t>
      </w:r>
      <w:r w:rsidRPr="00EB17FC">
        <w:rPr>
          <w:rFonts w:hint="eastAsia"/>
          <w:sz w:val="22"/>
          <w:szCs w:val="22"/>
        </w:rPr>
        <w:t>特別是我國立法院不似有些國家─例如，日本國會，可以享有「法官彈劾權」。國會針對法官的職務內外之行為可以組成彈劾委員會</w:t>
      </w:r>
      <w:r w:rsidR="00173265">
        <w:rPr>
          <w:sz w:val="22"/>
          <w:szCs w:val="22"/>
        </w:rPr>
        <w:t>（</w:t>
      </w:r>
      <w:r w:rsidRPr="00EB17FC">
        <w:rPr>
          <w:rFonts w:hint="eastAsia"/>
          <w:sz w:val="22"/>
          <w:szCs w:val="22"/>
        </w:rPr>
        <w:t>日本國會法第</w:t>
      </w:r>
      <w:r w:rsidRPr="00EB17FC">
        <w:rPr>
          <w:sz w:val="22"/>
          <w:szCs w:val="22"/>
        </w:rPr>
        <w:t>126</w:t>
      </w:r>
      <w:r w:rsidRPr="00EB17FC">
        <w:rPr>
          <w:rFonts w:hint="eastAsia"/>
          <w:sz w:val="22"/>
          <w:szCs w:val="22"/>
        </w:rPr>
        <w:t>至</w:t>
      </w:r>
      <w:r w:rsidRPr="00EB17FC">
        <w:rPr>
          <w:sz w:val="22"/>
          <w:szCs w:val="22"/>
        </w:rPr>
        <w:t>129</w:t>
      </w:r>
      <w:r w:rsidRPr="00EB17FC">
        <w:rPr>
          <w:rFonts w:hint="eastAsia"/>
          <w:sz w:val="22"/>
          <w:szCs w:val="22"/>
        </w:rPr>
        <w:t>條</w:t>
      </w:r>
      <w:r w:rsidR="00173265">
        <w:rPr>
          <w:sz w:val="22"/>
          <w:szCs w:val="22"/>
        </w:rPr>
        <w:t>）</w:t>
      </w:r>
      <w:r w:rsidRPr="00EB17FC">
        <w:rPr>
          <w:rFonts w:hint="eastAsia"/>
          <w:sz w:val="22"/>
          <w:szCs w:val="22"/>
        </w:rPr>
        <w:t>，則可能產生與調查權重疊與混合的危險。見劉志鵬，日本國會調查權與司法權界限之探討</w:t>
      </w:r>
      <w:r w:rsidR="00173265">
        <w:rPr>
          <w:sz w:val="22"/>
          <w:szCs w:val="22"/>
        </w:rPr>
        <w:t>（</w:t>
      </w:r>
      <w:r w:rsidRPr="00EB17FC">
        <w:rPr>
          <w:rFonts w:hint="eastAsia"/>
          <w:sz w:val="22"/>
          <w:szCs w:val="22"/>
        </w:rPr>
        <w:t>上</w:t>
      </w:r>
      <w:r w:rsidR="00173265">
        <w:rPr>
          <w:sz w:val="22"/>
          <w:szCs w:val="22"/>
        </w:rPr>
        <w:t>）</w:t>
      </w:r>
      <w:r w:rsidRPr="00EB17FC">
        <w:rPr>
          <w:rFonts w:hint="eastAsia"/>
          <w:sz w:val="22"/>
          <w:szCs w:val="22"/>
        </w:rPr>
        <w:t>，憲政時代，第九卷第四期，</w:t>
      </w:r>
      <w:r w:rsidRPr="00EB17FC">
        <w:rPr>
          <w:sz w:val="22"/>
          <w:szCs w:val="22"/>
        </w:rPr>
        <w:t>1984</w:t>
      </w:r>
      <w:r w:rsidRPr="00EB17FC">
        <w:rPr>
          <w:rFonts w:hint="eastAsia"/>
          <w:sz w:val="22"/>
          <w:szCs w:val="22"/>
        </w:rPr>
        <w:t>年</w:t>
      </w:r>
      <w:r w:rsidRPr="00EB17FC">
        <w:rPr>
          <w:sz w:val="22"/>
          <w:szCs w:val="22"/>
        </w:rPr>
        <w:t>4</w:t>
      </w:r>
      <w:r w:rsidRPr="00EB17FC">
        <w:rPr>
          <w:rFonts w:hint="eastAsia"/>
          <w:sz w:val="22"/>
          <w:szCs w:val="22"/>
        </w:rPr>
        <w:t>月，第</w:t>
      </w:r>
      <w:r w:rsidRPr="00EB17FC">
        <w:rPr>
          <w:sz w:val="22"/>
          <w:szCs w:val="22"/>
        </w:rPr>
        <w:t>66</w:t>
      </w:r>
      <w:r w:rsidRPr="00EB17FC">
        <w:rPr>
          <w:rFonts w:hint="eastAsia"/>
          <w:sz w:val="22"/>
          <w:szCs w:val="22"/>
        </w:rPr>
        <w:t>頁。儘管如此，日本學界也普遍認為兩種性質應有差別，法官的彈劾調查，不屬於國會的調查權範圍，見吳煜宗，日本國會調查權序說，</w:t>
      </w:r>
      <w:r w:rsidRPr="00EB17FC">
        <w:rPr>
          <w:rFonts w:hint="eastAsia"/>
          <w:sz w:val="22"/>
          <w:szCs w:val="22"/>
          <w:lang w:val="de-DE"/>
        </w:rPr>
        <w:t>台灣本土法學雜誌，第</w:t>
      </w:r>
      <w:r w:rsidRPr="00EB17FC">
        <w:rPr>
          <w:sz w:val="22"/>
          <w:szCs w:val="22"/>
          <w:lang w:val="de-DE"/>
        </w:rPr>
        <w:t>78</w:t>
      </w:r>
      <w:r w:rsidRPr="00EB17FC">
        <w:rPr>
          <w:rFonts w:hint="eastAsia"/>
          <w:sz w:val="22"/>
          <w:szCs w:val="22"/>
          <w:lang w:val="de-DE"/>
        </w:rPr>
        <w:t>期，</w:t>
      </w:r>
      <w:r w:rsidRPr="00EB17FC">
        <w:rPr>
          <w:sz w:val="22"/>
          <w:szCs w:val="22"/>
          <w:lang w:val="de-DE"/>
        </w:rPr>
        <w:t>2006</w:t>
      </w:r>
      <w:r w:rsidRPr="00EB17FC">
        <w:rPr>
          <w:rFonts w:hint="eastAsia"/>
          <w:sz w:val="22"/>
          <w:szCs w:val="22"/>
          <w:lang w:val="de-DE"/>
        </w:rPr>
        <w:t>年</w:t>
      </w:r>
      <w:r w:rsidRPr="00EB17FC">
        <w:rPr>
          <w:sz w:val="22"/>
          <w:szCs w:val="22"/>
          <w:lang w:val="de-DE"/>
        </w:rPr>
        <w:t>1</w:t>
      </w:r>
      <w:r w:rsidRPr="00EB17FC">
        <w:rPr>
          <w:rFonts w:hint="eastAsia"/>
          <w:sz w:val="22"/>
          <w:szCs w:val="22"/>
          <w:lang w:val="de-DE"/>
        </w:rPr>
        <w:t>月，第</w:t>
      </w:r>
      <w:r w:rsidRPr="00EB17FC">
        <w:rPr>
          <w:sz w:val="22"/>
          <w:szCs w:val="22"/>
          <w:lang w:val="de-DE"/>
        </w:rPr>
        <w:t>81</w:t>
      </w:r>
      <w:r w:rsidRPr="00EB17FC">
        <w:rPr>
          <w:rFonts w:hint="eastAsia"/>
          <w:sz w:val="22"/>
          <w:szCs w:val="22"/>
          <w:lang w:val="de-DE"/>
        </w:rPr>
        <w:t>頁。</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註十一：</w:t>
      </w:r>
      <w:r w:rsidRPr="00EB17FC">
        <w:rPr>
          <w:rFonts w:hint="eastAsia"/>
          <w:sz w:val="22"/>
          <w:szCs w:val="22"/>
        </w:rPr>
        <w:t>廖元豪教授亦認為，立法院的調查權與文件調閱權應有其界限，只限「司法、考試及監察院三權」方能免於立法院的調查。見廖元豪，論立法院調查權的界限與範圍─釋字第五八五號解釋與美國經驗的參照，</w:t>
      </w:r>
      <w:r w:rsidRPr="00EB17FC">
        <w:rPr>
          <w:rFonts w:hint="eastAsia"/>
          <w:sz w:val="22"/>
          <w:szCs w:val="22"/>
          <w:lang w:val="de-DE"/>
        </w:rPr>
        <w:t>台灣本土法學雜誌，第</w:t>
      </w:r>
      <w:r w:rsidRPr="00EB17FC">
        <w:rPr>
          <w:sz w:val="22"/>
          <w:szCs w:val="22"/>
          <w:lang w:val="de-DE"/>
        </w:rPr>
        <w:t>78</w:t>
      </w:r>
      <w:r w:rsidRPr="00EB17FC">
        <w:rPr>
          <w:rFonts w:hint="eastAsia"/>
          <w:sz w:val="22"/>
          <w:szCs w:val="22"/>
          <w:lang w:val="de-DE"/>
        </w:rPr>
        <w:t>期，</w:t>
      </w:r>
      <w:r w:rsidRPr="00EB17FC">
        <w:rPr>
          <w:sz w:val="22"/>
          <w:szCs w:val="22"/>
          <w:lang w:val="de-DE"/>
        </w:rPr>
        <w:t>2006</w:t>
      </w:r>
      <w:r w:rsidRPr="00EB17FC">
        <w:rPr>
          <w:rFonts w:hint="eastAsia"/>
          <w:sz w:val="22"/>
          <w:szCs w:val="22"/>
          <w:lang w:val="de-DE"/>
        </w:rPr>
        <w:t>年</w:t>
      </w:r>
      <w:r w:rsidRPr="00EB17FC">
        <w:rPr>
          <w:sz w:val="22"/>
          <w:szCs w:val="22"/>
          <w:lang w:val="de-DE"/>
        </w:rPr>
        <w:t>1</w:t>
      </w:r>
      <w:r w:rsidRPr="00EB17FC">
        <w:rPr>
          <w:rFonts w:hint="eastAsia"/>
          <w:sz w:val="22"/>
          <w:szCs w:val="22"/>
          <w:lang w:val="de-DE"/>
        </w:rPr>
        <w:t>月，第</w:t>
      </w:r>
      <w:r w:rsidRPr="00EB17FC">
        <w:rPr>
          <w:sz w:val="22"/>
          <w:szCs w:val="22"/>
          <w:lang w:val="de-DE"/>
        </w:rPr>
        <w:t>85</w:t>
      </w:r>
      <w:r w:rsidRPr="00EB17FC">
        <w:rPr>
          <w:rFonts w:hint="eastAsia"/>
          <w:sz w:val="22"/>
          <w:szCs w:val="22"/>
          <w:lang w:val="de-DE"/>
        </w:rPr>
        <w:t>頁。</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註十二：</w:t>
      </w:r>
      <w:r w:rsidRPr="00EB17FC">
        <w:rPr>
          <w:rFonts w:hint="eastAsia"/>
          <w:sz w:val="22"/>
          <w:szCs w:val="22"/>
        </w:rPr>
        <w:t>日本的學術界主流見解，可參見劉志鵬，日本國會調查權與司法權界限之探討─浦和事件之借鑑，憲政時代，第</w:t>
      </w:r>
      <w:r w:rsidRPr="00EB17FC">
        <w:rPr>
          <w:sz w:val="22"/>
          <w:szCs w:val="22"/>
        </w:rPr>
        <w:t>10</w:t>
      </w:r>
      <w:r w:rsidRPr="00EB17FC">
        <w:rPr>
          <w:rFonts w:hint="eastAsia"/>
          <w:sz w:val="22"/>
          <w:szCs w:val="22"/>
        </w:rPr>
        <w:t>卷第</w:t>
      </w:r>
      <w:r w:rsidRPr="00EB17FC">
        <w:rPr>
          <w:sz w:val="22"/>
          <w:szCs w:val="22"/>
        </w:rPr>
        <w:t>1</w:t>
      </w:r>
      <w:r w:rsidRPr="00EB17FC">
        <w:rPr>
          <w:rFonts w:hint="eastAsia"/>
          <w:sz w:val="22"/>
          <w:szCs w:val="22"/>
        </w:rPr>
        <w:t>期，</w:t>
      </w:r>
      <w:r w:rsidRPr="00EB17FC">
        <w:rPr>
          <w:sz w:val="22"/>
          <w:szCs w:val="22"/>
        </w:rPr>
        <w:t>1984</w:t>
      </w:r>
      <w:r w:rsidRPr="00EB17FC">
        <w:rPr>
          <w:rFonts w:hint="eastAsia"/>
          <w:sz w:val="22"/>
          <w:szCs w:val="22"/>
        </w:rPr>
        <w:t>年</w:t>
      </w:r>
      <w:r w:rsidRPr="00EB17FC">
        <w:rPr>
          <w:sz w:val="22"/>
          <w:szCs w:val="22"/>
        </w:rPr>
        <w:t>7</w:t>
      </w:r>
      <w:r w:rsidRPr="00EB17FC">
        <w:rPr>
          <w:rFonts w:hint="eastAsia"/>
          <w:sz w:val="22"/>
          <w:szCs w:val="22"/>
        </w:rPr>
        <w:t>月，第</w:t>
      </w:r>
      <w:r w:rsidRPr="00EB17FC">
        <w:rPr>
          <w:sz w:val="22"/>
          <w:szCs w:val="22"/>
        </w:rPr>
        <w:t>92</w:t>
      </w:r>
      <w:r w:rsidRPr="00EB17FC">
        <w:rPr>
          <w:rFonts w:hint="eastAsia"/>
          <w:sz w:val="22"/>
          <w:szCs w:val="22"/>
        </w:rPr>
        <w:t>頁。至於德國國會調查權行使的對象乃專對行政機關而言，便不涉及對法官的調閱與調查之上。而德國的法官彈劾，是交由聯邦憲法法院而非國會來行使。</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註十三：</w:t>
      </w:r>
      <w:r w:rsidRPr="00EB17FC">
        <w:rPr>
          <w:rFonts w:hint="eastAsia"/>
          <w:sz w:val="22"/>
          <w:szCs w:val="22"/>
        </w:rPr>
        <w:t>可參見李惠宗，立法院行使調查權應有的法制設計─從釋字第五八五號解釋出發，</w:t>
      </w:r>
      <w:r w:rsidRPr="00EB17FC">
        <w:rPr>
          <w:rFonts w:hint="eastAsia"/>
          <w:sz w:val="22"/>
          <w:szCs w:val="22"/>
          <w:lang w:val="de-DE"/>
        </w:rPr>
        <w:t>台灣本土法學雜誌，第</w:t>
      </w:r>
      <w:r w:rsidRPr="00EB17FC">
        <w:rPr>
          <w:sz w:val="22"/>
          <w:szCs w:val="22"/>
          <w:lang w:val="de-DE"/>
        </w:rPr>
        <w:t>78</w:t>
      </w:r>
      <w:r w:rsidRPr="00EB17FC">
        <w:rPr>
          <w:rFonts w:hint="eastAsia"/>
          <w:sz w:val="22"/>
          <w:szCs w:val="22"/>
          <w:lang w:val="de-DE"/>
        </w:rPr>
        <w:t>期，</w:t>
      </w:r>
      <w:r w:rsidRPr="00EB17FC">
        <w:rPr>
          <w:sz w:val="22"/>
          <w:szCs w:val="22"/>
          <w:lang w:val="de-DE"/>
        </w:rPr>
        <w:t>2006</w:t>
      </w:r>
      <w:r w:rsidRPr="00EB17FC">
        <w:rPr>
          <w:rFonts w:hint="eastAsia"/>
          <w:sz w:val="22"/>
          <w:szCs w:val="22"/>
          <w:lang w:val="de-DE"/>
        </w:rPr>
        <w:t>年</w:t>
      </w:r>
      <w:r w:rsidRPr="00EB17FC">
        <w:rPr>
          <w:sz w:val="22"/>
          <w:szCs w:val="22"/>
          <w:lang w:val="de-DE"/>
        </w:rPr>
        <w:t>1</w:t>
      </w:r>
      <w:r w:rsidRPr="00EB17FC">
        <w:rPr>
          <w:rFonts w:hint="eastAsia"/>
          <w:sz w:val="22"/>
          <w:szCs w:val="22"/>
          <w:lang w:val="de-DE"/>
        </w:rPr>
        <w:t>月，第</w:t>
      </w:r>
      <w:r w:rsidRPr="00EB17FC">
        <w:rPr>
          <w:sz w:val="22"/>
          <w:szCs w:val="22"/>
          <w:lang w:val="de-DE"/>
        </w:rPr>
        <w:t>100</w:t>
      </w:r>
      <w:r w:rsidRPr="00EB17FC">
        <w:rPr>
          <w:rFonts w:hint="eastAsia"/>
          <w:sz w:val="22"/>
          <w:szCs w:val="22"/>
          <w:lang w:val="de-DE"/>
        </w:rPr>
        <w:t>頁。</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註十四：</w:t>
      </w:r>
      <w:r w:rsidRPr="00EB17FC">
        <w:rPr>
          <w:rFonts w:hint="eastAsia"/>
          <w:sz w:val="22"/>
          <w:szCs w:val="22"/>
        </w:rPr>
        <w:t>就以日本國會調查權的運作實務以觀，這也是一個困難的議題。日本學界普遍承認檢察權為準司法權，應獲得國會高度的尊重，不管偵查終結與否，皆不得介入之。但普遍認為，這種界限並無法律效力，屬於國會自制，因此如有逾越亦不違憲也。見吳煜宗，日本國會調查權序說，</w:t>
      </w:r>
      <w:r w:rsidRPr="00EB17FC">
        <w:rPr>
          <w:rFonts w:hint="eastAsia"/>
          <w:sz w:val="22"/>
          <w:szCs w:val="22"/>
          <w:lang w:val="de-DE"/>
        </w:rPr>
        <w:t>台灣本土法學雜誌，第</w:t>
      </w:r>
      <w:r w:rsidRPr="00EB17FC">
        <w:rPr>
          <w:sz w:val="22"/>
          <w:szCs w:val="22"/>
          <w:lang w:val="de-DE"/>
        </w:rPr>
        <w:t>78</w:t>
      </w:r>
      <w:r w:rsidRPr="00EB17FC">
        <w:rPr>
          <w:rFonts w:hint="eastAsia"/>
          <w:sz w:val="22"/>
          <w:szCs w:val="22"/>
          <w:lang w:val="de-DE"/>
        </w:rPr>
        <w:t>期，</w:t>
      </w:r>
      <w:r w:rsidRPr="00EB17FC">
        <w:rPr>
          <w:sz w:val="22"/>
          <w:szCs w:val="22"/>
          <w:lang w:val="de-DE"/>
        </w:rPr>
        <w:t>2006</w:t>
      </w:r>
      <w:r w:rsidRPr="00EB17FC">
        <w:rPr>
          <w:rFonts w:hint="eastAsia"/>
          <w:sz w:val="22"/>
          <w:szCs w:val="22"/>
          <w:lang w:val="de-DE"/>
        </w:rPr>
        <w:t>年</w:t>
      </w:r>
      <w:r w:rsidRPr="00EB17FC">
        <w:rPr>
          <w:sz w:val="22"/>
          <w:szCs w:val="22"/>
          <w:lang w:val="de-DE"/>
        </w:rPr>
        <w:t>1</w:t>
      </w:r>
      <w:r w:rsidRPr="00EB17FC">
        <w:rPr>
          <w:rFonts w:hint="eastAsia"/>
          <w:sz w:val="22"/>
          <w:szCs w:val="22"/>
          <w:lang w:val="de-DE"/>
        </w:rPr>
        <w:t>月，第</w:t>
      </w:r>
      <w:r w:rsidRPr="00EB17FC">
        <w:rPr>
          <w:sz w:val="22"/>
          <w:szCs w:val="22"/>
          <w:lang w:val="de-DE"/>
        </w:rPr>
        <w:t>78</w:t>
      </w:r>
      <w:r w:rsidRPr="00EB17FC">
        <w:rPr>
          <w:rFonts w:hint="eastAsia"/>
          <w:sz w:val="22"/>
          <w:szCs w:val="22"/>
          <w:lang w:val="de-DE"/>
        </w:rPr>
        <w:t>頁。</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註十五：</w:t>
      </w:r>
      <w:r w:rsidRPr="00EB17FC">
        <w:rPr>
          <w:sz w:val="22"/>
          <w:szCs w:val="22"/>
          <w:lang w:val="de-DE"/>
        </w:rPr>
        <w:t xml:space="preserve">Peter </w:t>
      </w:r>
      <w:r w:rsidRPr="00EB17FC">
        <w:rPr>
          <w:color w:val="000000"/>
          <w:sz w:val="22"/>
          <w:szCs w:val="22"/>
        </w:rPr>
        <w:t>Badura</w:t>
      </w:r>
      <w:r w:rsidRPr="00EB17FC">
        <w:rPr>
          <w:sz w:val="22"/>
          <w:szCs w:val="22"/>
          <w:lang w:val="de-DE"/>
        </w:rPr>
        <w:t>. Staatsrecht. 5.Aufl. 2012. E.43.</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註十六：</w:t>
      </w:r>
      <w:r w:rsidRPr="00EB17FC">
        <w:rPr>
          <w:sz w:val="22"/>
          <w:szCs w:val="22"/>
          <w:lang w:val="de-DE"/>
        </w:rPr>
        <w:t>Peter Badura. Staatsrecht. 5.Aufl. 2012. E.47.</w:t>
      </w:r>
    </w:p>
    <w:p w:rsidR="00EB17FC" w:rsidRPr="00EB17FC" w:rsidRDefault="00EB17FC" w:rsidP="00287B0E">
      <w:pPr>
        <w:overflowPunct w:val="0"/>
        <w:autoSpaceDE w:val="0"/>
        <w:autoSpaceDN w:val="0"/>
        <w:spacing w:line="402"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註十七：</w:t>
      </w:r>
      <w:r w:rsidRPr="00EB17FC">
        <w:rPr>
          <w:rFonts w:hint="eastAsia"/>
          <w:sz w:val="22"/>
          <w:szCs w:val="22"/>
        </w:rPr>
        <w:t>大學法規定：「大學為確保學生學習效果，並建立學生行為規範，應訂定學則及獎懲規定，並報教育部備查。」</w:t>
      </w:r>
    </w:p>
    <w:p w:rsidR="00EB17FC" w:rsidRPr="00EB17FC" w:rsidRDefault="00EB17FC" w:rsidP="00EB17FC">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註十八：</w:t>
      </w:r>
      <w:r w:rsidRPr="00EB17FC">
        <w:rPr>
          <w:rFonts w:hint="eastAsia"/>
          <w:sz w:val="22"/>
          <w:szCs w:val="22"/>
          <w:lang w:val="de-DE"/>
        </w:rPr>
        <w:t>立法院司法及法制委員會</w:t>
      </w:r>
      <w:r w:rsidRPr="00EB17FC">
        <w:rPr>
          <w:sz w:val="22"/>
          <w:szCs w:val="22"/>
          <w:lang w:val="de-DE"/>
        </w:rPr>
        <w:t>102</w:t>
      </w:r>
      <w:r w:rsidRPr="00EB17FC">
        <w:rPr>
          <w:rFonts w:hint="eastAsia"/>
          <w:sz w:val="22"/>
          <w:szCs w:val="22"/>
          <w:lang w:val="de-DE"/>
        </w:rPr>
        <w:t>年</w:t>
      </w:r>
      <w:r w:rsidRPr="00EB17FC">
        <w:rPr>
          <w:sz w:val="22"/>
          <w:szCs w:val="22"/>
          <w:lang w:val="de-DE"/>
        </w:rPr>
        <w:t>11</w:t>
      </w:r>
      <w:r w:rsidRPr="00EB17FC">
        <w:rPr>
          <w:rFonts w:hint="eastAsia"/>
          <w:sz w:val="22"/>
          <w:szCs w:val="22"/>
          <w:lang w:val="de-DE"/>
        </w:rPr>
        <w:t>月</w:t>
      </w:r>
      <w:r w:rsidRPr="00EB17FC">
        <w:rPr>
          <w:sz w:val="22"/>
          <w:szCs w:val="22"/>
          <w:lang w:val="de-DE"/>
        </w:rPr>
        <w:t>4</w:t>
      </w:r>
      <w:r w:rsidRPr="00EB17FC">
        <w:rPr>
          <w:rFonts w:hint="eastAsia"/>
          <w:sz w:val="22"/>
          <w:szCs w:val="22"/>
          <w:lang w:val="de-DE"/>
        </w:rPr>
        <w:t>日台立司字第</w:t>
      </w:r>
      <w:r w:rsidRPr="00EB17FC">
        <w:rPr>
          <w:sz w:val="22"/>
          <w:szCs w:val="22"/>
          <w:lang w:val="de-DE"/>
        </w:rPr>
        <w:t>1024300727</w:t>
      </w:r>
      <w:r w:rsidRPr="00EB17FC">
        <w:rPr>
          <w:rFonts w:hint="eastAsia"/>
          <w:sz w:val="22"/>
          <w:szCs w:val="22"/>
          <w:lang w:val="de-DE"/>
        </w:rPr>
        <w:t>號、</w:t>
      </w:r>
      <w:r w:rsidRPr="00EB17FC">
        <w:rPr>
          <w:sz w:val="22"/>
          <w:szCs w:val="22"/>
          <w:lang w:val="de-DE"/>
        </w:rPr>
        <w:t>102</w:t>
      </w:r>
      <w:r w:rsidRPr="00EB17FC">
        <w:rPr>
          <w:rFonts w:hint="eastAsia"/>
          <w:sz w:val="22"/>
          <w:szCs w:val="22"/>
          <w:lang w:val="de-DE"/>
        </w:rPr>
        <w:t>年</w:t>
      </w:r>
      <w:r w:rsidRPr="00EB17FC">
        <w:rPr>
          <w:sz w:val="22"/>
          <w:szCs w:val="22"/>
          <w:lang w:val="de-DE"/>
        </w:rPr>
        <w:t>10</w:t>
      </w:r>
      <w:r w:rsidRPr="00EB17FC">
        <w:rPr>
          <w:rFonts w:hint="eastAsia"/>
          <w:sz w:val="22"/>
          <w:szCs w:val="22"/>
          <w:lang w:val="de-DE"/>
        </w:rPr>
        <w:t>月</w:t>
      </w:r>
      <w:r w:rsidRPr="00EB17FC">
        <w:rPr>
          <w:sz w:val="22"/>
          <w:szCs w:val="22"/>
          <w:lang w:val="de-DE"/>
        </w:rPr>
        <w:t>14</w:t>
      </w:r>
      <w:r w:rsidRPr="00EB17FC">
        <w:rPr>
          <w:rFonts w:hint="eastAsia"/>
          <w:sz w:val="22"/>
          <w:szCs w:val="22"/>
          <w:lang w:val="de-DE"/>
        </w:rPr>
        <w:t>日台立司字第</w:t>
      </w:r>
      <w:r w:rsidRPr="00EB17FC">
        <w:rPr>
          <w:sz w:val="22"/>
          <w:szCs w:val="22"/>
          <w:lang w:val="de-DE"/>
        </w:rPr>
        <w:t>1024300762</w:t>
      </w:r>
      <w:r w:rsidRPr="00EB17FC">
        <w:rPr>
          <w:rFonts w:hint="eastAsia"/>
          <w:sz w:val="22"/>
          <w:szCs w:val="22"/>
          <w:lang w:val="de-DE"/>
        </w:rPr>
        <w:t>號、</w:t>
      </w:r>
      <w:r w:rsidRPr="00EB17FC">
        <w:rPr>
          <w:sz w:val="22"/>
          <w:szCs w:val="22"/>
          <w:lang w:val="de-DE"/>
        </w:rPr>
        <w:t>102</w:t>
      </w:r>
      <w:r w:rsidRPr="00EB17FC">
        <w:rPr>
          <w:rFonts w:hint="eastAsia"/>
          <w:sz w:val="22"/>
          <w:szCs w:val="22"/>
          <w:lang w:val="de-DE"/>
        </w:rPr>
        <w:t>年</w:t>
      </w:r>
      <w:r w:rsidRPr="00EB17FC">
        <w:rPr>
          <w:sz w:val="22"/>
          <w:szCs w:val="22"/>
          <w:lang w:val="de-DE"/>
        </w:rPr>
        <w:t>11</w:t>
      </w:r>
      <w:r w:rsidRPr="00EB17FC">
        <w:rPr>
          <w:rFonts w:hint="eastAsia"/>
          <w:sz w:val="22"/>
          <w:szCs w:val="22"/>
          <w:lang w:val="de-DE"/>
        </w:rPr>
        <w:t>月</w:t>
      </w:r>
      <w:r w:rsidRPr="00EB17FC">
        <w:rPr>
          <w:sz w:val="22"/>
          <w:szCs w:val="22"/>
          <w:lang w:val="de-DE"/>
        </w:rPr>
        <w:t>29</w:t>
      </w:r>
      <w:r w:rsidRPr="00EB17FC">
        <w:rPr>
          <w:rFonts w:hint="eastAsia"/>
          <w:sz w:val="22"/>
          <w:szCs w:val="22"/>
          <w:lang w:val="de-DE"/>
        </w:rPr>
        <w:t>日台立司字第</w:t>
      </w:r>
      <w:r w:rsidRPr="00EB17FC">
        <w:rPr>
          <w:sz w:val="22"/>
          <w:szCs w:val="22"/>
          <w:lang w:val="de-DE"/>
        </w:rPr>
        <w:t>1024300819</w:t>
      </w:r>
      <w:r w:rsidR="00A01C7D">
        <w:rPr>
          <w:rFonts w:hint="eastAsia"/>
          <w:sz w:val="22"/>
          <w:szCs w:val="22"/>
          <w:lang w:val="de-DE"/>
        </w:rPr>
        <w:t>號</w:t>
      </w:r>
      <w:r w:rsidRPr="00EB17FC">
        <w:rPr>
          <w:rFonts w:hint="eastAsia"/>
          <w:sz w:val="22"/>
          <w:szCs w:val="22"/>
          <w:lang w:val="de-DE"/>
        </w:rPr>
        <w:t>、</w:t>
      </w:r>
      <w:r w:rsidRPr="00EB17FC">
        <w:rPr>
          <w:sz w:val="22"/>
          <w:szCs w:val="22"/>
          <w:lang w:val="de-DE"/>
        </w:rPr>
        <w:t>102</w:t>
      </w:r>
      <w:r w:rsidRPr="00EB17FC">
        <w:rPr>
          <w:rFonts w:hint="eastAsia"/>
          <w:sz w:val="22"/>
          <w:szCs w:val="22"/>
          <w:lang w:val="de-DE"/>
        </w:rPr>
        <w:t>年</w:t>
      </w:r>
      <w:r w:rsidRPr="00EB17FC">
        <w:rPr>
          <w:sz w:val="22"/>
          <w:szCs w:val="22"/>
          <w:lang w:val="de-DE"/>
        </w:rPr>
        <w:t>12</w:t>
      </w:r>
      <w:r w:rsidRPr="00EB17FC">
        <w:rPr>
          <w:rFonts w:hint="eastAsia"/>
          <w:sz w:val="22"/>
          <w:szCs w:val="22"/>
          <w:lang w:val="de-DE"/>
        </w:rPr>
        <w:t>月</w:t>
      </w:r>
      <w:r w:rsidRPr="00EB17FC">
        <w:rPr>
          <w:sz w:val="22"/>
          <w:szCs w:val="22"/>
          <w:lang w:val="de-DE"/>
        </w:rPr>
        <w:t>10</w:t>
      </w:r>
      <w:r w:rsidRPr="00EB17FC">
        <w:rPr>
          <w:rFonts w:hint="eastAsia"/>
          <w:sz w:val="22"/>
          <w:szCs w:val="22"/>
          <w:lang w:val="de-DE"/>
        </w:rPr>
        <w:t>日台立</w:t>
      </w:r>
      <w:r w:rsidR="00A01C7D">
        <w:rPr>
          <w:rFonts w:hint="eastAsia"/>
          <w:sz w:val="22"/>
          <w:szCs w:val="22"/>
          <w:lang w:val="de-DE"/>
        </w:rPr>
        <w:t>司</w:t>
      </w:r>
      <w:r w:rsidRPr="00EB17FC">
        <w:rPr>
          <w:rFonts w:hint="eastAsia"/>
          <w:sz w:val="22"/>
          <w:szCs w:val="22"/>
          <w:lang w:val="de-DE"/>
        </w:rPr>
        <w:t>字第</w:t>
      </w:r>
      <w:r w:rsidRPr="00EB17FC">
        <w:rPr>
          <w:sz w:val="22"/>
          <w:szCs w:val="22"/>
          <w:lang w:val="de-DE"/>
        </w:rPr>
        <w:t>1024300888</w:t>
      </w:r>
      <w:r w:rsidRPr="00EB17FC">
        <w:rPr>
          <w:rFonts w:hint="eastAsia"/>
          <w:sz w:val="22"/>
          <w:szCs w:val="22"/>
          <w:lang w:val="de-DE"/>
        </w:rPr>
        <w:t>號函參照。</w:t>
      </w:r>
    </w:p>
    <w:p w:rsidR="00EB17FC" w:rsidRPr="00EB17FC" w:rsidRDefault="00EB17FC" w:rsidP="00EB17FC">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註十九：</w:t>
      </w:r>
      <w:r w:rsidRPr="00EB17FC">
        <w:rPr>
          <w:rFonts w:hint="eastAsia"/>
          <w:sz w:val="22"/>
          <w:szCs w:val="22"/>
          <w:lang w:val="de-DE"/>
        </w:rPr>
        <w:t>監察院</w:t>
      </w:r>
      <w:r w:rsidRPr="00EB17FC">
        <w:rPr>
          <w:sz w:val="22"/>
          <w:szCs w:val="22"/>
          <w:lang w:val="de-DE"/>
        </w:rPr>
        <w:t>103</w:t>
      </w:r>
      <w:r w:rsidRPr="00EB17FC">
        <w:rPr>
          <w:rFonts w:hint="eastAsia"/>
          <w:sz w:val="22"/>
          <w:szCs w:val="22"/>
          <w:lang w:val="de-DE"/>
        </w:rPr>
        <w:t>年</w:t>
      </w:r>
      <w:r w:rsidRPr="00EB17FC">
        <w:rPr>
          <w:sz w:val="22"/>
          <w:szCs w:val="22"/>
          <w:lang w:val="de-DE"/>
        </w:rPr>
        <w:t>2</w:t>
      </w:r>
      <w:r w:rsidRPr="00EB17FC">
        <w:rPr>
          <w:rFonts w:hint="eastAsia"/>
          <w:sz w:val="22"/>
          <w:szCs w:val="22"/>
          <w:lang w:val="de-DE"/>
        </w:rPr>
        <w:t>月</w:t>
      </w:r>
      <w:r w:rsidRPr="00EB17FC">
        <w:rPr>
          <w:sz w:val="22"/>
          <w:szCs w:val="22"/>
          <w:lang w:val="de-DE"/>
        </w:rPr>
        <w:t>18</w:t>
      </w:r>
      <w:r w:rsidRPr="00EB17FC">
        <w:rPr>
          <w:rFonts w:hint="eastAsia"/>
          <w:sz w:val="22"/>
          <w:szCs w:val="22"/>
          <w:lang w:val="de-DE"/>
        </w:rPr>
        <w:t>日院台司字第</w:t>
      </w:r>
      <w:r w:rsidRPr="00EB17FC">
        <w:rPr>
          <w:sz w:val="22"/>
          <w:szCs w:val="22"/>
          <w:lang w:val="de-DE"/>
        </w:rPr>
        <w:t>1032630095</w:t>
      </w:r>
      <w:r w:rsidRPr="00EB17FC">
        <w:rPr>
          <w:rFonts w:hint="eastAsia"/>
          <w:sz w:val="22"/>
          <w:szCs w:val="22"/>
          <w:lang w:val="de-DE"/>
        </w:rPr>
        <w:t>號函參照。</w:t>
      </w:r>
    </w:p>
    <w:p w:rsidR="00EB17FC" w:rsidRPr="00EB17FC" w:rsidRDefault="00EB17FC" w:rsidP="00EB17FC">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EB17FC">
        <w:rPr>
          <w:rFonts w:ascii="標楷體" w:hAnsi="標楷體" w:hint="eastAsia"/>
          <w:color w:val="000000"/>
          <w:sz w:val="22"/>
          <w:szCs w:val="22"/>
        </w:rPr>
        <w:t>註二十：</w:t>
      </w:r>
      <w:r w:rsidRPr="00EB17FC">
        <w:rPr>
          <w:sz w:val="22"/>
          <w:szCs w:val="22"/>
          <w:lang w:val="de-DE"/>
        </w:rPr>
        <w:t>In: Hergb. J. Winckelmann, Max Weber, Gesammelte Politische Schriften, 4.Aufl., 1980. SS.352, 353.</w:t>
      </w:r>
    </w:p>
    <w:p w:rsidR="00EB17FC" w:rsidRPr="00EB17FC" w:rsidRDefault="00EB17FC" w:rsidP="00EB17FC">
      <w:pPr>
        <w:overflowPunct w:val="0"/>
        <w:spacing w:line="391" w:lineRule="exact"/>
        <w:ind w:left="1100" w:hangingChars="500" w:hanging="1100"/>
        <w:jc w:val="both"/>
        <w:rPr>
          <w:rFonts w:ascii="標楷體" w:hAnsi="標楷體"/>
          <w:color w:val="000000"/>
          <w:sz w:val="22"/>
          <w:szCs w:val="22"/>
        </w:rPr>
      </w:pPr>
      <w:r w:rsidRPr="00EB17FC">
        <w:rPr>
          <w:rFonts w:ascii="標楷體" w:hAnsi="標楷體" w:hint="eastAsia"/>
          <w:color w:val="000000"/>
          <w:sz w:val="22"/>
          <w:szCs w:val="22"/>
        </w:rPr>
        <w:t>註二十一：</w:t>
      </w:r>
      <w:r w:rsidRPr="00EB17FC">
        <w:rPr>
          <w:sz w:val="22"/>
          <w:szCs w:val="22"/>
          <w:lang w:val="de-DE"/>
        </w:rPr>
        <w:t xml:space="preserve">Max </w:t>
      </w:r>
      <w:r w:rsidRPr="00EB17FC">
        <w:rPr>
          <w:rFonts w:hAnsi="標楷體"/>
          <w:color w:val="000000"/>
          <w:sz w:val="22"/>
          <w:szCs w:val="22"/>
        </w:rPr>
        <w:t>Weber</w:t>
      </w:r>
      <w:r w:rsidRPr="00EB17FC">
        <w:rPr>
          <w:sz w:val="22"/>
          <w:szCs w:val="22"/>
          <w:lang w:val="de-DE"/>
        </w:rPr>
        <w:t>, aaO. S355.</w:t>
      </w:r>
    </w:p>
    <w:p w:rsidR="00EB17FC" w:rsidRPr="00EB17FC" w:rsidRDefault="00EB17FC" w:rsidP="00EB17FC">
      <w:pPr>
        <w:overflowPunct w:val="0"/>
        <w:spacing w:line="391" w:lineRule="exact"/>
        <w:ind w:left="1100" w:hangingChars="500" w:hanging="1100"/>
        <w:jc w:val="both"/>
        <w:rPr>
          <w:rFonts w:ascii="標楷體" w:hAnsi="標楷體"/>
          <w:color w:val="000000"/>
          <w:sz w:val="22"/>
          <w:szCs w:val="22"/>
        </w:rPr>
      </w:pPr>
      <w:r w:rsidRPr="00EB17FC">
        <w:rPr>
          <w:rFonts w:ascii="標楷體" w:hAnsi="標楷體" w:hint="eastAsia"/>
          <w:color w:val="000000"/>
          <w:sz w:val="22"/>
          <w:szCs w:val="22"/>
        </w:rPr>
        <w:t>註二十二：</w:t>
      </w:r>
      <w:r w:rsidRPr="00EB17FC">
        <w:rPr>
          <w:rFonts w:hAnsi="標楷體"/>
          <w:color w:val="000000"/>
          <w:sz w:val="22"/>
          <w:szCs w:val="22"/>
        </w:rPr>
        <w:t>BVerfGE67</w:t>
      </w:r>
      <w:r w:rsidRPr="00EB17FC">
        <w:rPr>
          <w:sz w:val="22"/>
          <w:szCs w:val="22"/>
          <w:lang w:val="de-DE"/>
        </w:rPr>
        <w:t>,100.</w:t>
      </w:r>
      <w:r w:rsidRPr="00EB17FC">
        <w:rPr>
          <w:rFonts w:hint="eastAsia"/>
          <w:sz w:val="22"/>
          <w:szCs w:val="22"/>
        </w:rPr>
        <w:t>這也是本院釋字第五八五號解釋中</w:t>
      </w:r>
      <w:r w:rsidRPr="00EB17FC">
        <w:rPr>
          <w:rFonts w:hint="eastAsia"/>
          <w:sz w:val="22"/>
          <w:szCs w:val="22"/>
          <w:lang w:val="de-DE"/>
        </w:rPr>
        <w:t>，</w:t>
      </w:r>
      <w:r w:rsidRPr="00EB17FC">
        <w:rPr>
          <w:rFonts w:hint="eastAsia"/>
          <w:sz w:val="22"/>
          <w:szCs w:val="22"/>
        </w:rPr>
        <w:t>所援引之「行政特權」理論的來源之處。可參見陳新民，憲法學釋論，第</w:t>
      </w:r>
      <w:r w:rsidRPr="00EB17FC">
        <w:rPr>
          <w:sz w:val="22"/>
          <w:szCs w:val="22"/>
        </w:rPr>
        <w:t>633</w:t>
      </w:r>
      <w:r w:rsidRPr="00EB17FC">
        <w:rPr>
          <w:rFonts w:hint="eastAsia"/>
          <w:sz w:val="22"/>
          <w:szCs w:val="22"/>
        </w:rPr>
        <w:t>頁，註十八處。</w:t>
      </w:r>
    </w:p>
    <w:p w:rsidR="00EB17FC" w:rsidRPr="00EB17FC" w:rsidRDefault="00EB17FC" w:rsidP="00EB17FC">
      <w:pPr>
        <w:overflowPunct w:val="0"/>
        <w:spacing w:line="391" w:lineRule="exact"/>
        <w:ind w:left="1100" w:hangingChars="500" w:hanging="1100"/>
        <w:jc w:val="both"/>
        <w:rPr>
          <w:rFonts w:ascii="標楷體" w:hAnsi="標楷體"/>
          <w:color w:val="000000"/>
          <w:sz w:val="22"/>
          <w:szCs w:val="22"/>
        </w:rPr>
      </w:pPr>
      <w:r w:rsidRPr="00EB17FC">
        <w:rPr>
          <w:rFonts w:ascii="標楷體" w:hAnsi="標楷體" w:hint="eastAsia"/>
          <w:color w:val="000000"/>
          <w:sz w:val="22"/>
          <w:szCs w:val="22"/>
        </w:rPr>
        <w:t>註二十三：</w:t>
      </w:r>
      <w:r w:rsidRPr="00EB17FC">
        <w:rPr>
          <w:rFonts w:hint="eastAsia"/>
          <w:sz w:val="22"/>
          <w:szCs w:val="22"/>
        </w:rPr>
        <w:t>可參見</w:t>
      </w:r>
      <w:r w:rsidRPr="00EB17FC">
        <w:rPr>
          <w:rFonts w:hAnsi="標楷體" w:hint="eastAsia"/>
          <w:color w:val="000000"/>
          <w:sz w:val="22"/>
          <w:szCs w:val="22"/>
        </w:rPr>
        <w:t>陳淑芳</w:t>
      </w:r>
      <w:r w:rsidRPr="00EB17FC">
        <w:rPr>
          <w:rFonts w:hint="eastAsia"/>
          <w:sz w:val="22"/>
          <w:szCs w:val="22"/>
        </w:rPr>
        <w:t>，前述文，第</w:t>
      </w:r>
      <w:r w:rsidRPr="00EB17FC">
        <w:rPr>
          <w:sz w:val="22"/>
          <w:szCs w:val="22"/>
        </w:rPr>
        <w:t>58</w:t>
      </w:r>
      <w:r w:rsidRPr="00EB17FC">
        <w:rPr>
          <w:rFonts w:hint="eastAsia"/>
          <w:sz w:val="22"/>
          <w:szCs w:val="22"/>
        </w:rPr>
        <w:t>頁。</w:t>
      </w:r>
    </w:p>
    <w:p w:rsidR="00EB17FC" w:rsidRPr="00EB17FC" w:rsidRDefault="00EB17FC" w:rsidP="00EB17FC">
      <w:pPr>
        <w:overflowPunct w:val="0"/>
        <w:spacing w:line="391" w:lineRule="exact"/>
        <w:ind w:left="1100" w:hangingChars="500" w:hanging="1100"/>
        <w:jc w:val="both"/>
        <w:rPr>
          <w:rFonts w:ascii="標楷體" w:hAnsi="標楷體"/>
          <w:color w:val="000000"/>
          <w:sz w:val="22"/>
          <w:szCs w:val="22"/>
        </w:rPr>
      </w:pPr>
      <w:r w:rsidRPr="00EB17FC">
        <w:rPr>
          <w:rFonts w:ascii="標楷體" w:hAnsi="標楷體" w:hint="eastAsia"/>
          <w:color w:val="000000"/>
          <w:sz w:val="22"/>
          <w:szCs w:val="22"/>
        </w:rPr>
        <w:lastRenderedPageBreak/>
        <w:t>註二十四：</w:t>
      </w:r>
      <w:r w:rsidRPr="00EB17FC">
        <w:rPr>
          <w:sz w:val="22"/>
          <w:szCs w:val="22"/>
        </w:rPr>
        <w:t xml:space="preserve">see Alan </w:t>
      </w:r>
      <w:r w:rsidRPr="00EB17FC">
        <w:rPr>
          <w:rFonts w:hAnsi="標楷體"/>
          <w:color w:val="000000"/>
          <w:sz w:val="22"/>
          <w:szCs w:val="22"/>
        </w:rPr>
        <w:t>Dershowitz</w:t>
      </w:r>
      <w:r w:rsidRPr="00EB17FC">
        <w:rPr>
          <w:sz w:val="22"/>
          <w:szCs w:val="22"/>
        </w:rPr>
        <w:t>, Letters to a young lawyer, 2001, Basic Books, P.60.</w:t>
      </w:r>
    </w:p>
    <w:p w:rsidR="00C23706" w:rsidRPr="00EB17FC" w:rsidRDefault="00C23706" w:rsidP="00EB17FC">
      <w:pPr>
        <w:overflowPunct w:val="0"/>
        <w:spacing w:line="391" w:lineRule="exact"/>
        <w:ind w:left="682" w:hangingChars="310" w:hanging="682"/>
        <w:jc w:val="both"/>
        <w:rPr>
          <w:rFonts w:hAnsi="標楷體" w:hint="eastAsia"/>
          <w:sz w:val="22"/>
          <w:szCs w:val="22"/>
        </w:rPr>
      </w:pPr>
    </w:p>
    <w:p w:rsidR="00645589" w:rsidRPr="00F65695" w:rsidRDefault="00645589" w:rsidP="00BC288B">
      <w:pPr>
        <w:overflowPunct w:val="0"/>
        <w:spacing w:line="391" w:lineRule="exact"/>
        <w:ind w:left="964" w:right="567"/>
        <w:jc w:val="distribute"/>
        <w:rPr>
          <w:color w:val="000000"/>
          <w:sz w:val="28"/>
          <w:szCs w:val="28"/>
        </w:rPr>
      </w:pPr>
      <w:r w:rsidRPr="00F65695">
        <w:rPr>
          <w:rFonts w:ascii="華康粗黑體" w:eastAsia="華康粗黑體" w:hAnsi="標楷體" w:hint="eastAsia"/>
          <w:color w:val="000000"/>
          <w:sz w:val="28"/>
          <w:szCs w:val="28"/>
        </w:rPr>
        <w:t>部分協同部分不同意見書</w:t>
      </w:r>
      <w:r w:rsidRPr="00F65695">
        <w:rPr>
          <w:rFonts w:hAnsi="標楷體" w:hint="eastAsia"/>
          <w:color w:val="000000"/>
          <w:sz w:val="28"/>
          <w:szCs w:val="28"/>
        </w:rPr>
        <w:t xml:space="preserve">　　　　　　　　</w:t>
      </w:r>
      <w:r w:rsidRPr="00F65695">
        <w:rPr>
          <w:rFonts w:hAnsi="標楷體"/>
          <w:color w:val="000000"/>
          <w:sz w:val="28"/>
          <w:szCs w:val="28"/>
        </w:rPr>
        <w:t>羅昌發大法官</w:t>
      </w:r>
      <w:r w:rsidRPr="00F65695">
        <w:rPr>
          <w:rFonts w:hAnsi="標楷體" w:hint="eastAsia"/>
          <w:color w:val="000000"/>
          <w:sz w:val="28"/>
          <w:szCs w:val="28"/>
        </w:rPr>
        <w:t xml:space="preserve">　</w:t>
      </w:r>
      <w:r w:rsidRPr="00F65695">
        <w:rPr>
          <w:rFonts w:hAnsi="標楷體"/>
          <w:color w:val="000000"/>
          <w:sz w:val="28"/>
          <w:szCs w:val="28"/>
        </w:rPr>
        <w:t>提出</w:t>
      </w:r>
    </w:p>
    <w:p w:rsidR="00645589" w:rsidRPr="00EB4236" w:rsidRDefault="00645589" w:rsidP="00645589">
      <w:pPr>
        <w:spacing w:line="391" w:lineRule="exact"/>
        <w:ind w:firstLine="480"/>
        <w:jc w:val="both"/>
        <w:rPr>
          <w:color w:val="000000"/>
          <w:kern w:val="0"/>
          <w:sz w:val="28"/>
          <w:szCs w:val="28"/>
        </w:rPr>
      </w:pPr>
      <w:r w:rsidRPr="00EB4236">
        <w:rPr>
          <w:rFonts w:hAnsi="標楷體"/>
          <w:color w:val="000000"/>
          <w:sz w:val="28"/>
          <w:szCs w:val="28"/>
        </w:rPr>
        <w:t>本件涉及職司國家立法之立法院與職司犯罪偵查之最高法院檢察署間之權限爭議。如何確保國家兩項重要權力互動之平衡與兩者職權之完整行使，對國家發展及憲法原則之確保，至為重要。本號解釋多數意見兩項主旨，包括立法院不得調閱偵查中案件之卷證，但得在一定條件下調閱已結案之偵查卷證。本席對此敬表同意。然本席對於多數意見就有關立法院調閱已結案偵查卷證所設條件，認為尚有全盤思考及補充之必要；對於不受理部分，亦認仍有討論之餘地。</w:t>
      </w:r>
      <w:r w:rsidRPr="00EB4236">
        <w:rPr>
          <w:rFonts w:hAnsi="標楷體"/>
          <w:color w:val="000000"/>
          <w:kern w:val="0"/>
          <w:sz w:val="28"/>
          <w:szCs w:val="28"/>
        </w:rPr>
        <w:t>爰提出本部分協同部分不同意見書，期有助於立法院及檢察機關之合理互動及未來制定或修改相關法律之參考。</w:t>
      </w:r>
    </w:p>
    <w:p w:rsidR="00645589" w:rsidRPr="00EB4236" w:rsidRDefault="00645589" w:rsidP="00645589">
      <w:pPr>
        <w:spacing w:line="391" w:lineRule="exact"/>
        <w:jc w:val="both"/>
        <w:rPr>
          <w:b/>
          <w:color w:val="000000"/>
          <w:sz w:val="28"/>
          <w:szCs w:val="28"/>
        </w:rPr>
      </w:pPr>
      <w:r w:rsidRPr="00EB4236">
        <w:rPr>
          <w:rFonts w:hAnsi="標楷體"/>
          <w:b/>
          <w:color w:val="000000"/>
          <w:sz w:val="28"/>
          <w:szCs w:val="28"/>
        </w:rPr>
        <w:t>壹、立法院調閱權之性質及其憲法界線</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一、立法院調閱權係國會行使其職權所當然附隨之權力，為輔助其憲法職權之重要工具。立法院透過向其他機關行使要求資訊之權（</w:t>
      </w:r>
      <w:r w:rsidRPr="00EB4236">
        <w:rPr>
          <w:color w:val="000000"/>
          <w:kern w:val="0"/>
          <w:sz w:val="28"/>
          <w:szCs w:val="28"/>
        </w:rPr>
        <w:t xml:space="preserve">power to seek </w:t>
      </w:r>
      <w:r w:rsidRPr="00EB4236">
        <w:rPr>
          <w:rFonts w:hAnsi="標楷體"/>
          <w:sz w:val="28"/>
          <w:szCs w:val="28"/>
        </w:rPr>
        <w:t>information</w:t>
      </w:r>
      <w:r w:rsidRPr="00EB4236">
        <w:rPr>
          <w:rFonts w:hAnsi="標楷體"/>
          <w:color w:val="000000"/>
          <w:kern w:val="0"/>
          <w:sz w:val="28"/>
          <w:szCs w:val="28"/>
        </w:rPr>
        <w:t>），獲取相關文件、資訊，使其行使職權更為妥適周延。為達此目的，受調閱機關，自有在符合憲法原則之條件下，充分配合之義務。然受調閱機關亦有其憲法或法律上之固有權能，且有正常行使其職權之義務。由於立法院與受調閱機關各有憲法或法律上權限，兩者不免發生衝突。基於憲法原則釐清此等界限，關乎機關間之合理運作及憲法之妥適適用。</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二、多數意見認為，立法院調閱權之界線，係基於權力分立（</w:t>
      </w:r>
      <w:r w:rsidRPr="00EB4236">
        <w:rPr>
          <w:color w:val="000000"/>
          <w:kern w:val="0"/>
          <w:sz w:val="28"/>
          <w:szCs w:val="28"/>
        </w:rPr>
        <w:t>separation of powers</w:t>
      </w:r>
      <w:r w:rsidRPr="00EB4236">
        <w:rPr>
          <w:rFonts w:hAnsi="標楷體"/>
          <w:color w:val="000000"/>
          <w:kern w:val="0"/>
          <w:sz w:val="28"/>
          <w:szCs w:val="28"/>
        </w:rPr>
        <w:t>）與相互制衡（</w:t>
      </w:r>
      <w:r w:rsidRPr="00EB4236">
        <w:rPr>
          <w:color w:val="000000"/>
          <w:kern w:val="0"/>
          <w:sz w:val="28"/>
          <w:szCs w:val="28"/>
        </w:rPr>
        <w:t>check and balance</w:t>
      </w:r>
      <w:r w:rsidRPr="00EB4236">
        <w:rPr>
          <w:rFonts w:hAnsi="標楷體"/>
          <w:color w:val="000000"/>
          <w:kern w:val="0"/>
          <w:sz w:val="28"/>
          <w:szCs w:val="28"/>
        </w:rPr>
        <w:t>）之原理。本席同意分權之下五院間之互動與運作，應受此原則之規範。權力分立與相互制衡之目的在透過國家行政、立法、</w:t>
      </w:r>
      <w:r w:rsidRPr="00EB4236">
        <w:rPr>
          <w:rFonts w:hAnsi="標楷體"/>
          <w:sz w:val="28"/>
          <w:szCs w:val="28"/>
        </w:rPr>
        <w:t>司法</w:t>
      </w:r>
      <w:r w:rsidRPr="00EB4236">
        <w:rPr>
          <w:rFonts w:hAnsi="標楷體"/>
          <w:color w:val="000000"/>
          <w:kern w:val="0"/>
          <w:sz w:val="28"/>
          <w:szCs w:val="28"/>
        </w:rPr>
        <w:t>等權力之相互牽制與制約，而達到防止機關濫權之目的。故有關立法院行使文件調閱權界線之釐清，亦應由此原理出發。立法院對國家其他機關行使調閱權，自對其他機關產生制衡效果；而其他機關在嚴格條件下（如已影響其獨立行使職權時）得拒絕調閱文件，亦屬對立法院之制衡。</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三、惟權力分立與相互制衡係抽象之憲法原理，無法自行運作而解決實際爭議。本院自須提供完整而可資操作之判斷準則，協助釐清國家不同權力（特別是立法院與國家其他權力）間之合理互動關係。</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四、本席認為，立法院得否對其他機關行使文件調閱權，應以二階段方式判斷。第一階段應判斷所欲調閱之文件是否屬於豁免調閱之事項；亦即，應先確認調閱文件是否屬於受調閱機關依憲法或法律獨立行使職權或屬行政特權之範圍。第二階段則應權衡相關因素；亦即，立法院所擬調閱之文件如非屬於受調閱機關獨立行使職權或行政特權之事項，則應考量</w:t>
      </w:r>
      <w:r w:rsidRPr="00EB4236">
        <w:rPr>
          <w:rFonts w:hAnsi="標楷體"/>
          <w:color w:val="000000"/>
          <w:kern w:val="0"/>
          <w:sz w:val="28"/>
          <w:szCs w:val="28"/>
        </w:rPr>
        <w:lastRenderedPageBreak/>
        <w:t>文件之調閱與立法院整體及個別立法委員行使職權關聯性之高低、對保障人民基本權利或促進公共利益程度高低、對人民基本權利負面影響之程度、調閱之範圍及對受調閱機關正常行使職權之影響、立法院之決議情形等因素，以決定立法院得否行使調閱權；而在綜合判斷此等因素時，應朝有利於允許立法院行使調閱權之方向思考。故就第二階段而言，立法院是否得就特定事項行使調閱權，並非有簡易且機械式之答案；而應係整體衡酌相關因素之結果（其操作方式見後述）。</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五、多數意見所提供之判斷因素包括：目的與範圍明確之特定議案、與立法院憲法職權有重大關聯、非法</w:t>
      </w:r>
      <w:r w:rsidR="006411E2">
        <w:rPr>
          <w:rFonts w:hAnsi="標楷體"/>
          <w:color w:val="000000"/>
          <w:kern w:val="0"/>
          <w:sz w:val="28"/>
          <w:szCs w:val="28"/>
        </w:rPr>
        <w:t>律所禁止等實體要件（見本號解釋</w:t>
      </w:r>
      <w:r w:rsidRPr="00EB4236">
        <w:rPr>
          <w:rFonts w:hAnsi="標楷體"/>
          <w:color w:val="000000"/>
          <w:kern w:val="0"/>
          <w:sz w:val="28"/>
          <w:szCs w:val="28"/>
        </w:rPr>
        <w:t>文及理由書第二段與第三段）。雖較為簡易，但未能考量所欲行使調閱文件之權對公益、人民權利、受調閱機關正常行使權力等之正面與負面影響，完整性自有不足而有補充必要。</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六、立法院調閱權與其行使調查權之關係：</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（一）如前所述，立法院調閱權係國會行使職權所當然附隨之權力，為輔助其職權之重要</w:t>
      </w:r>
      <w:r w:rsidRPr="00EB4236">
        <w:rPr>
          <w:rFonts w:hAnsi="標楷體"/>
          <w:color w:val="000000"/>
          <w:sz w:val="28"/>
          <w:szCs w:val="28"/>
        </w:rPr>
        <w:t>工具</w:t>
      </w:r>
      <w:r w:rsidRPr="00EB4236">
        <w:rPr>
          <w:rFonts w:hAnsi="標楷體"/>
          <w:color w:val="000000"/>
          <w:kern w:val="0"/>
          <w:sz w:val="28"/>
          <w:szCs w:val="28"/>
        </w:rPr>
        <w:t>。而依本院釋字第五八五號解釋，立法院調查權亦係「立法院行使其憲法職權所必要之輔助性權力」，使其得以「有效行使憲法所賦予之立法職權」。立法院行使調查權之方法並非特定，其可能以調閱文件之方式行使調查權；然其調閱權之行使，亦可能與立法院行使調查權毫無關係。故立法院調閱權與其調查權，在行使時可能有重疊之處；然兩者並無必然之隸屬關係。</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二）由於本號解釋與本院釋字第五八五號解釋所規定之要件並非完全相同（例如釋字第五八五號解釋規定，調查權之程序，如調查權之發動及行使調查權之組織、個案調查事項之範圍、各項調查方法所應遵守之程序與司法救濟程序等，應以法律為適當之規範；如因特殊例外情形，就特定事項之調查有委任非立法委員之人士協助調查之必要時，則須制定特別法。此為本號解釋所無）。故如立法院有因行使調查權而必須調閱文件時，究應依釋字第五八五號解釋抑或本號解釋所揭示之原則為之，不無疑問。本席認為，立法院如有行使國會調查權時，自應「整套」適用釋字第五八五號解釋所定之原則；亦即因行使國會調查權所附帶進行之調閱文件措施，屬於調查權的一環，自應一體適用該號解釋。</w:t>
      </w:r>
    </w:p>
    <w:p w:rsidR="00645589" w:rsidRPr="00EB4236" w:rsidRDefault="00645589" w:rsidP="00645589">
      <w:pPr>
        <w:spacing w:line="391" w:lineRule="exact"/>
        <w:ind w:left="496" w:hangingChars="177" w:hanging="496"/>
        <w:jc w:val="both"/>
        <w:rPr>
          <w:b/>
          <w:color w:val="000000"/>
          <w:sz w:val="28"/>
          <w:szCs w:val="28"/>
        </w:rPr>
      </w:pPr>
      <w:r w:rsidRPr="00EB4236">
        <w:rPr>
          <w:rFonts w:hAnsi="標楷體"/>
          <w:b/>
          <w:color w:val="000000"/>
          <w:sz w:val="28"/>
          <w:szCs w:val="28"/>
        </w:rPr>
        <w:t>貳、第一階段之判斷：所擬調閱文件是否獨立行使職權或行政特權之範圍</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一、立法院對他機關獨立行使職權之事項不得行使調閱權：</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（一）「受憲法保障獨立行使職權」與「受法律保障獨立行使職權」：國家機關獨立行使職權，有受憲法層次保障及受法律層次保障之差異。前者如憲法第八十條所規定法官依據法律獨立審判、憲法第八</w:t>
      </w:r>
      <w:r w:rsidRPr="00EB4236">
        <w:rPr>
          <w:rFonts w:hAnsi="標楷體"/>
          <w:color w:val="000000"/>
          <w:kern w:val="0"/>
          <w:sz w:val="28"/>
          <w:szCs w:val="28"/>
        </w:rPr>
        <w:lastRenderedPageBreak/>
        <w:t>十八條所規定考試委員依據法律獨立行使職權、憲法增修條文第七條第五項所規定監察委員依據法律獨立行使職權。此等獨立行使職權，不僅為各該機關或人員之義務，亦屬其憲法上之保障。本院釋字第三二五號解釋即載謂：「國家機關獨立行使職權受憲法之保障者，如司法機關審理案件所表示之法律見解、考試機關對於應考人成績之評定、監察委員為糾彈或糾正與否之判斷」。後者（受法律層次保障者）如公平交易委員會組織法第八條所規定公平交易委員會委員依法獨立行使職權。</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二）立法院對「受法律保障獨立行使職權」之機關行使調閱權同受限制：釋字第三二五號解釋僅宣示立法院對於「受憲法保障獨立行使職權」之國家機關及其人員行使調閱文件之權，受有限制；但未宣示立法院對於「受法律保障獨立行使職權」之國家機關及其人員行使調閱文件之權，是否亦受相同之限制。本席認為，以法律保障國家機關及其人員獨立行使職權者，係因其職權在性質上必須以客觀中立方式行使，始能達成法律賦予之任務並實現立法目的；故在立法院調閱權問題上，與「受憲法保障獨立行使職權」之情形並無實質上差異。立法院對之行使調閱權，自亦有本質上之限制，而不應導致影響其依據法律獨立行使職權之結果。</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三）行使文件調閱權之限制，僅包括確有影響「獨立行使職權」之事項：前述本院釋字第三二五號解釋已明確宣示，受獨立行使職權保障之機關，並非所有事項均得排除立法院調閱權。該號解釋就獨立行使職權之事項舉例謂：「如司法機關審理案件所表示之法律見解」、「考試機關對於應考人成績之評定」、「監察委員為糾彈或糾正與否之判斷」等。故倘此等機關受立法院調閱之事項並非獨立行使職權之範圍（例如此等機關之預算執行等事項），自仍屬立法院調閱權行使之對象。</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四）檢察機關屬「受憲法保障獨立行使職權」之機關：檢察機關屬於廣義司法之一環。雖檢察機關在行政體系上係歸於行政權之下，然其行使職權之獨立性，已明定於法律（即法院組織法第六十一條所規定「檢察官對於法院，獨立行使職權」）。且本院釋字第三二五號解釋更進一步宣示：「檢察官之偵查與法官之刑事審判，同為國家刑罰權行使之重要程序，兩者具有密切關係</w:t>
      </w:r>
      <w:r w:rsidRPr="00EB4236">
        <w:rPr>
          <w:rFonts w:hAnsi="Cambria Math"/>
          <w:color w:val="000000"/>
          <w:kern w:val="0"/>
          <w:sz w:val="28"/>
          <w:szCs w:val="28"/>
        </w:rPr>
        <w:t>⋯⋯</w:t>
      </w:r>
      <w:r w:rsidRPr="00EB4236">
        <w:rPr>
          <w:rFonts w:hAnsi="標楷體"/>
          <w:color w:val="000000"/>
          <w:kern w:val="0"/>
          <w:sz w:val="28"/>
          <w:szCs w:val="28"/>
        </w:rPr>
        <w:t>，其對外行使職權，亦應同受保障」。釋字第三九二號解釋亦謂：「檢察機關行使之職權當屬廣義司法之一」。故檢察官行使職權之獨立性，在憲法原理上，亦屬「受憲法保障獨立行使職權」之範圍。在其獨立行使職權之範圍內，立法院對之自不得行使文件調閱權。</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lastRenderedPageBreak/>
        <w:t>（五）檢察機關獨立行使職權之範圍：檢察官獨立行使職權之範圍，包括犯罪偵查與追訴。案件偵查進行中，立法院自不得調閱偵查卷證。偵查終結後，如已起訴而在法院審理程序中，因法院亦屬憲法保障獨立行使職權之機關，故立法院亦不得調閱其卷證；此部分亦屬明確。有疑問者，在不起訴處分確定後，檢察機關是否得以有另案偵查為由，拒絕立法院調閱卷證。多數意見以立法院在此情形進行調閱卷證，須非「有妨害另案偵查追訴之虞」之情形（見本號解釋文及理由書第三段）。本席認為，允許以另案偵查為理由拒絕調閱文件，可能造成檢察機關以另案偵查作為規避立法院行使文件調閱權之藉口。故在個案認定檢察機關是否有因獨立行使職權之事由而得拒絕立法院行使調閱權時，自應嚴格檢視是否確有另案偵查在進行中，且調閱文件是否對另案之偵查確有妨害。</w:t>
      </w:r>
    </w:p>
    <w:p w:rsidR="00645589" w:rsidRPr="00EB4236" w:rsidRDefault="006411E2" w:rsidP="005E362F">
      <w:pPr>
        <w:tabs>
          <w:tab w:val="left" w:pos="2127"/>
        </w:tabs>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Pr>
          <w:rFonts w:hAnsi="標楷體"/>
          <w:color w:val="000000"/>
          <w:kern w:val="0"/>
          <w:sz w:val="28"/>
          <w:szCs w:val="28"/>
        </w:rPr>
        <w:t>（六）「簽結」之問題：本號解釋</w:t>
      </w:r>
      <w:r w:rsidR="00645589" w:rsidRPr="00EB4236">
        <w:rPr>
          <w:rFonts w:hAnsi="標楷體"/>
          <w:color w:val="000000"/>
          <w:kern w:val="0"/>
          <w:sz w:val="28"/>
          <w:szCs w:val="28"/>
        </w:rPr>
        <w:t>文提及「未經起訴而以其他方式結案」（未使用「簽結」之語）；解釋理由書則提及「檢察實務上之簽結」（見理由書第三段）。由於「簽結」（或稱「行政簽結」）並非刑事訴訟法所明文承認，與法律保留原則尚有扞格；且簽結程序又不受任何法律規範，易使犯罪偵查過程受不當影響，且可能剝奪或減損關係人應有之權益。制度上，實有檢討及法制化之必要。監察院亦曾通過糾正案（糾正案文號為一</w:t>
      </w:r>
      <w:r w:rsidR="001466FF" w:rsidRPr="00B13071">
        <w:rPr>
          <w:rFonts w:ascii="標楷體" w:hAnsi="標楷體" w:hint="eastAsia"/>
          <w:color w:val="000000"/>
          <w:kern w:val="0"/>
          <w:sz w:val="28"/>
          <w:szCs w:val="28"/>
        </w:rPr>
        <w:t>○</w:t>
      </w:r>
      <w:r w:rsidR="00645589" w:rsidRPr="00EB4236">
        <w:rPr>
          <w:rFonts w:hAnsi="標楷體"/>
          <w:color w:val="000000"/>
          <w:kern w:val="0"/>
          <w:sz w:val="28"/>
          <w:szCs w:val="28"/>
        </w:rPr>
        <w:t>一年八月十六日院台司字第</w:t>
      </w:r>
      <w:r w:rsidR="00645589" w:rsidRPr="00EB4236">
        <w:rPr>
          <w:color w:val="000000"/>
          <w:kern w:val="0"/>
          <w:sz w:val="28"/>
          <w:szCs w:val="28"/>
        </w:rPr>
        <w:t>1012630324</w:t>
      </w:r>
      <w:r w:rsidR="00645589" w:rsidRPr="00EB4236">
        <w:rPr>
          <w:rFonts w:hAnsi="標楷體"/>
          <w:color w:val="000000"/>
          <w:kern w:val="0"/>
          <w:sz w:val="28"/>
          <w:szCs w:val="28"/>
        </w:rPr>
        <w:t>號函）指出，法務部逕以行政規則准「他字案件」行政簽結，欠缺法律授權依據，且難以完全排除影響人民權益的可能，不符法律保留原則，有違法治國積極依法行政原則。本件多數意見將法制上有疑義之「簽結」納入解釋理由書，不啻係本院以憲法高度，肯定此種有法制疑義之實務作法。本席認為甚不妥適。</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二、立法院對行政特權之事項應予尊重：</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kern w:val="0"/>
          <w:sz w:val="28"/>
          <w:szCs w:val="28"/>
        </w:rPr>
        <w:t>（一）行政特權（</w:t>
      </w:r>
      <w:r w:rsidRPr="00EB4236">
        <w:rPr>
          <w:color w:val="000000"/>
          <w:kern w:val="0"/>
          <w:sz w:val="28"/>
          <w:szCs w:val="28"/>
        </w:rPr>
        <w:t>executive privilege</w:t>
      </w:r>
      <w:r w:rsidRPr="00EB4236">
        <w:rPr>
          <w:rFonts w:hAnsi="標楷體"/>
          <w:color w:val="000000"/>
          <w:kern w:val="0"/>
          <w:sz w:val="28"/>
          <w:szCs w:val="28"/>
        </w:rPr>
        <w:t>）之概念及其範圍：本院於</w:t>
      </w:r>
      <w:r w:rsidRPr="00EB4236">
        <w:rPr>
          <w:rFonts w:hAnsi="標楷體"/>
          <w:color w:val="000000"/>
          <w:sz w:val="28"/>
          <w:szCs w:val="28"/>
        </w:rPr>
        <w:t>釋字第六二七號解釋曾表示：「依權力分立與制衡原則，行政首長依其固有之權能，就有關國家安全、國防及外交之國家機密事項，有決定不予公開之權力，屬行政首長行政特權之一部分，本院釋字第五八五號解釋足資參照，此即我國憲法上所承認行政首長之國家機密特權。」故我國憲法上應承認行政特權之概念，作為拒絕立法院調閱文件之原因；而其範圍，應限於國家安全、國防及外交等國家機密事項。本院釋字第</w:t>
      </w:r>
      <w:r w:rsidRPr="00EB4236">
        <w:rPr>
          <w:rFonts w:hAnsi="標楷體"/>
          <w:color w:val="000000"/>
          <w:kern w:val="0"/>
          <w:sz w:val="28"/>
          <w:szCs w:val="28"/>
        </w:rPr>
        <w:t>五八五號解釋則謂：「</w:t>
      </w:r>
      <w:r w:rsidRPr="00EB4236">
        <w:rPr>
          <w:rFonts w:hAnsi="標楷體"/>
          <w:color w:val="000000"/>
          <w:sz w:val="28"/>
          <w:szCs w:val="28"/>
        </w:rPr>
        <w:t>行政首長依其行政權固有之權能，對於可能影響或干預行政部門有效運作之資訊，均有決定不予公開之權力，乃屬行政權本質所具有之行政特權。立法院行使調查權如涉及此類事項，即應予以適當之尊重。」其</w:t>
      </w:r>
      <w:r w:rsidRPr="00EB4236">
        <w:rPr>
          <w:rFonts w:hAnsi="標楷體"/>
          <w:color w:val="000000"/>
          <w:kern w:val="0"/>
          <w:sz w:val="28"/>
          <w:szCs w:val="28"/>
        </w:rPr>
        <w:t>對行政特權之界定，包</w:t>
      </w:r>
      <w:r w:rsidRPr="00EB4236">
        <w:rPr>
          <w:rFonts w:hAnsi="標楷體"/>
          <w:color w:val="000000"/>
          <w:kern w:val="0"/>
          <w:sz w:val="28"/>
          <w:szCs w:val="28"/>
        </w:rPr>
        <w:lastRenderedPageBreak/>
        <w:t>括「</w:t>
      </w:r>
      <w:r w:rsidRPr="00EB4236">
        <w:rPr>
          <w:rFonts w:hAnsi="標楷體"/>
          <w:color w:val="000000"/>
          <w:sz w:val="28"/>
          <w:szCs w:val="28"/>
        </w:rPr>
        <w:t>依其行政權固有之權能，對於可能影響或干預行政部門有效運作之資訊」。按行政特權固在避免國會藉由調閱文件而干預行政部門之有效運作；然不應擴張至凡足以干預行政部門有效運作者，均屬行政特權之範圍。故釋字第五八五號解釋對行政特權之界定，顯然</w:t>
      </w:r>
      <w:r w:rsidRPr="00EB4236">
        <w:rPr>
          <w:rFonts w:hAnsi="標楷體"/>
          <w:color w:val="000000"/>
          <w:kern w:val="0"/>
          <w:sz w:val="28"/>
          <w:szCs w:val="28"/>
        </w:rPr>
        <w:t>過度廣泛。</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kern w:val="0"/>
          <w:sz w:val="28"/>
          <w:szCs w:val="28"/>
        </w:rPr>
        <w:t>（二）</w:t>
      </w:r>
      <w:r w:rsidRPr="00EB4236">
        <w:rPr>
          <w:rFonts w:hAnsi="標楷體"/>
          <w:color w:val="000000"/>
          <w:sz w:val="28"/>
          <w:szCs w:val="28"/>
        </w:rPr>
        <w:t>本席認為，行政特權係憲法原理所推衍而來，目的在界定專屬於行政機關而得不與立法機關分享之特殊行政領域。為使國會有效行使職權，自不宜過度限制其要求資訊之權；故國家機關如欲以行政特權為由排除立法院所行使之調閱權，實不應過於氾濫。應限於個案有合理基礎可信調閱該文件將影響國家安全（例如國防、外交及其他國家機密事項）時，始許行政機關以行政特權為由拒絕立法院調閱文件。故行政特權之範圍，應以釋字第六二七號解釋所列者為準。</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kern w:val="0"/>
          <w:sz w:val="28"/>
          <w:szCs w:val="28"/>
        </w:rPr>
        <w:t>（三）</w:t>
      </w:r>
      <w:r w:rsidRPr="00EB4236">
        <w:rPr>
          <w:rFonts w:hAnsi="標楷體"/>
          <w:color w:val="000000"/>
          <w:sz w:val="28"/>
          <w:szCs w:val="28"/>
        </w:rPr>
        <w:t>檢察機關職司犯罪之偵查與追訴，而非主管國家安全事項，故應無本於其職權而生之行政特權。有關立法院對檢察機關行使文件調閱權之限制，主要應在確認是否影響檢察機關獨立行使職權；檢察機關並無拒絕立法院調閱卷證之行政特權。然如個案有合理基礎可信所調閱之偵查卷證涉及國家安全，且如所涉之行政機關（如國家安全、國防、外交之主管機關）明確要求檢察機關拒絕立法院之調閱時，檢察機關在有關國家安全機密事項範圍內，仍應尊重行政機關之行政特權，而拒絕立法院對偵查卷證之調閱。多數意見未處理此部分，自有補充之必要。</w:t>
      </w:r>
    </w:p>
    <w:p w:rsidR="00645589" w:rsidRPr="00EB4236" w:rsidRDefault="00645589" w:rsidP="00645589">
      <w:pPr>
        <w:spacing w:line="391" w:lineRule="exact"/>
        <w:ind w:left="619" w:hangingChars="221" w:hanging="619"/>
        <w:jc w:val="both"/>
        <w:rPr>
          <w:b/>
          <w:color w:val="000000"/>
          <w:kern w:val="0"/>
          <w:sz w:val="28"/>
          <w:szCs w:val="28"/>
        </w:rPr>
      </w:pPr>
      <w:r w:rsidRPr="00EB4236">
        <w:rPr>
          <w:rFonts w:hAnsi="標楷體"/>
          <w:b/>
          <w:color w:val="000000"/>
          <w:kern w:val="0"/>
          <w:sz w:val="28"/>
          <w:szCs w:val="28"/>
        </w:rPr>
        <w:t>叁、第二階段之判斷：是否允許調閱權應衡酌之因素</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一、如前所述，立法院行使文件調閱權，如屬於受調閱機關獨立行使職權或屬行政特權之事項，自不應許其調閱。如非屬此等事項，則應考量文件之調閱與立法院整體及個別立法委員行使職權關聯性之高低、對保障人民基本權利或促進公益程度高低、對人民基本權利負面影響之程度、對受調閱機關正常行使職權之影響、立法院決議情形等因素，以決定立法院得否行使調閱權以及其行使調閱權之範圍；且在綜合判</w:t>
      </w:r>
      <w:r w:rsidR="006411E2">
        <w:rPr>
          <w:rFonts w:hAnsi="標楷體"/>
          <w:color w:val="000000"/>
          <w:kern w:val="0"/>
          <w:sz w:val="28"/>
          <w:szCs w:val="28"/>
        </w:rPr>
        <w:t>斷上述因素時，應朝有利於允許調閱之方向思考。本件情形，涉及調閱</w:t>
      </w:r>
      <w:r w:rsidR="006411E2">
        <w:rPr>
          <w:rFonts w:hAnsi="標楷體" w:hint="eastAsia"/>
          <w:color w:val="000000"/>
          <w:kern w:val="0"/>
          <w:sz w:val="28"/>
          <w:szCs w:val="28"/>
        </w:rPr>
        <w:t>檢</w:t>
      </w:r>
      <w:r w:rsidRPr="00EB4236">
        <w:rPr>
          <w:rFonts w:hAnsi="標楷體"/>
          <w:color w:val="000000"/>
          <w:kern w:val="0"/>
          <w:sz w:val="28"/>
          <w:szCs w:val="28"/>
        </w:rPr>
        <w:t>察機關偵查卷證；如偵查終結而不起訴確定後，已不屬於</w:t>
      </w:r>
      <w:r w:rsidR="006411E2">
        <w:rPr>
          <w:rFonts w:hAnsi="標楷體" w:hint="eastAsia"/>
          <w:color w:val="000000"/>
          <w:kern w:val="0"/>
          <w:sz w:val="28"/>
          <w:szCs w:val="28"/>
        </w:rPr>
        <w:t>檢</w:t>
      </w:r>
      <w:r w:rsidRPr="00EB4236">
        <w:rPr>
          <w:rFonts w:hAnsi="標楷體"/>
          <w:color w:val="000000"/>
          <w:kern w:val="0"/>
          <w:sz w:val="28"/>
          <w:szCs w:val="28"/>
        </w:rPr>
        <w:t>察機關獨立行使職權之範疇，自應依此等因素判斷立法院是否得對</w:t>
      </w:r>
      <w:r w:rsidR="006411E2">
        <w:rPr>
          <w:rFonts w:hAnsi="標楷體" w:hint="eastAsia"/>
          <w:color w:val="000000"/>
          <w:kern w:val="0"/>
          <w:sz w:val="28"/>
          <w:szCs w:val="28"/>
        </w:rPr>
        <w:t>檢</w:t>
      </w:r>
      <w:r w:rsidRPr="00EB4236">
        <w:rPr>
          <w:rFonts w:hAnsi="標楷體"/>
          <w:color w:val="000000"/>
          <w:kern w:val="0"/>
          <w:sz w:val="28"/>
          <w:szCs w:val="28"/>
        </w:rPr>
        <w:t>察機關行使調閱權。</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二、相關</w:t>
      </w:r>
      <w:r w:rsidRPr="00EB4236">
        <w:rPr>
          <w:rFonts w:hAnsi="標楷體"/>
          <w:sz w:val="28"/>
          <w:szCs w:val="28"/>
        </w:rPr>
        <w:t>因素</w:t>
      </w:r>
      <w:r w:rsidRPr="00EB4236">
        <w:rPr>
          <w:rFonts w:hAnsi="標楷體"/>
          <w:color w:val="000000"/>
          <w:kern w:val="0"/>
          <w:sz w:val="28"/>
          <w:szCs w:val="28"/>
        </w:rPr>
        <w:t>之衡酌：</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一）調閱文件與立法委員行使職權關聯性之高低：多數意見認為所欲調閱之文件必須與立法院行使其憲法上職權有「重大關聯」（見本號解釋文及理由書第二段）。本席認為，不宜以通案之方式設置過高之調閱門檻。調閱文件與立法院或立法委員行使職權關聯程度高</w:t>
      </w:r>
      <w:r w:rsidRPr="00EB4236">
        <w:rPr>
          <w:rFonts w:hAnsi="標楷體"/>
          <w:color w:val="000000"/>
          <w:kern w:val="0"/>
          <w:sz w:val="28"/>
          <w:szCs w:val="28"/>
        </w:rPr>
        <w:lastRenderedPageBreak/>
        <w:t>低，應僅為衡量因素之一。例如，倘立法院所擬制定之法律或立法委員所擬行使之職權與保障人民基本權利或促進重要公共利益關係甚為密切，縱使尚未能明確證明所調閱之文件與其法案或職權之關聯達重大之程度，仍應許立法院行使調閱權。</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二）對保障人民基本權利或促進公共利益程度高低：權力制衡之最原始功能在於避免國家機關濫權，並使人民權利得以確保。故在衡量立法機關在個案得否行使調閱權時，自應考量調閱之目的所保障人民基本權利或促進公共利益程度之高低。倘若立法事項屬於較為技術性之法規，而與人民基本權利及公共利益關係較不密切者，則調閱權之行使，自應較為審慎。倘涉及保障人民基本權利或促進公共利益之程度甚高，則應對立法院調閱權之行使給予有利之考量。</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三）對人民基本權利影響之程度：立法院對行政機關行使文件調閱權，固可能積極促進人民權利及公益之保障，然其亦有可能造成部分關係人權益受損害。例如本件多數意見所提及個人名譽、隱私及營業秘密等事項，可能因調閱而受侵害。如所擬調閱之文件涉及影響人民基本權利之事項，自應較為審慎；然倘立法院在調閱時明確宣示其在調閱過程中設有保護此等名譽、隱私及營業秘密等之具體方法，則應予以有利之考量。</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sidRPr="00EB4236">
        <w:rPr>
          <w:rFonts w:hAnsi="標楷體"/>
          <w:color w:val="000000"/>
          <w:kern w:val="0"/>
          <w:sz w:val="28"/>
          <w:szCs w:val="28"/>
        </w:rPr>
        <w:t>（四）調閱之範圍及對受調閱機關正常行使職權之影響：如所欲調閱文件之範圍甚廣，以較審慎之態度決定調閱權之行使，較為適當；如調閱之內容較為限定，則應朝較有利於調閱權行使之方向考量。另如調閱權之行使將影響受調閱機關正常行使職權（例如行政機關必須耗費大規模人力、物力準備受調閱文件；或調閱文件原本將影響其行政程序之進行；或調閱文件將對行政機關人員合法行使職權造成不當之寒蟬效應等），應以較為謹慎之方式決定調閱權之行使。</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kern w:val="0"/>
          <w:sz w:val="28"/>
          <w:szCs w:val="28"/>
        </w:rPr>
      </w:pPr>
      <w:r>
        <w:rPr>
          <w:rFonts w:hAnsi="標楷體"/>
          <w:color w:val="000000"/>
          <w:kern w:val="0"/>
          <w:sz w:val="28"/>
          <w:szCs w:val="28"/>
        </w:rPr>
        <w:t>（</w:t>
      </w:r>
      <w:r>
        <w:rPr>
          <w:rFonts w:hAnsi="標楷體" w:hint="eastAsia"/>
          <w:color w:val="000000"/>
          <w:kern w:val="0"/>
          <w:sz w:val="28"/>
          <w:szCs w:val="28"/>
        </w:rPr>
        <w:t>五</w:t>
      </w:r>
      <w:r w:rsidRPr="00EB4236">
        <w:rPr>
          <w:rFonts w:hAnsi="標楷體"/>
          <w:color w:val="000000"/>
          <w:kern w:val="0"/>
          <w:sz w:val="28"/>
          <w:szCs w:val="28"/>
        </w:rPr>
        <w:t>）立法院決議情形：倘立法院係由院會決議調閱某項文件，則其正當性甚高；在衡酌是否允許調閱及決定調閱範圍時，應給予最大的空間。倘立法院係由委員會作成調閱文件之決議，則對所欲調閱之文件與其職權行使間關聯性，應有較高的要求；就其調閱是否對機關之正常行使職權產生影響，亦應以較為謹慎之態度判斷。多數意見認為，有關偵查終結後調閱偵查卷證原本及與原本內容相同之影本者，應經立法院院會同意；要求提供參考資料者，由院會或其委員會決議為之。其係以機械性公式決定立法院內部決議程序，似過度介入立法機關之運作方式，並非適當。立法院內部之決議過程，應僅為考量其得否行使調閱權之因素之一。</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三、立法院對所調閱文件之使用，屬於其自律範圍，且可能涉及立法委員言</w:t>
      </w:r>
      <w:r w:rsidRPr="00EB4236">
        <w:rPr>
          <w:rFonts w:hAnsi="標楷體"/>
          <w:color w:val="000000"/>
          <w:kern w:val="0"/>
          <w:sz w:val="28"/>
          <w:szCs w:val="28"/>
        </w:rPr>
        <w:lastRenderedPageBreak/>
        <w:t>論免責權之事項，本院應無過度置喙之餘地。多數意見認為，立法院及其委員對於因調閱文件而知悉之資訊，「不得就個案偵查之過程、不起訴處分或以其他方式結案而未經起訴（例如簽結）之結論及內容，為與行使憲法上職權無關之評論或決議」（見本號解釋理由書第四段）。本席認為，此項限制有過度干涉立法院及其委員職權行使方式之嫌；本席無法同意。</w:t>
      </w:r>
    </w:p>
    <w:p w:rsidR="00645589" w:rsidRPr="00EB4236" w:rsidRDefault="00645589" w:rsidP="00645589">
      <w:pPr>
        <w:spacing w:line="391" w:lineRule="exact"/>
        <w:ind w:left="619" w:hangingChars="221" w:hanging="619"/>
        <w:jc w:val="both"/>
        <w:rPr>
          <w:b/>
          <w:color w:val="000000"/>
          <w:kern w:val="0"/>
          <w:sz w:val="28"/>
          <w:szCs w:val="28"/>
        </w:rPr>
      </w:pPr>
      <w:r w:rsidRPr="00EB4236">
        <w:rPr>
          <w:rFonts w:hAnsi="標楷體"/>
          <w:b/>
          <w:color w:val="000000"/>
          <w:kern w:val="0"/>
          <w:sz w:val="28"/>
          <w:szCs w:val="28"/>
        </w:rPr>
        <w:t>肆、解決爭議之機制</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一、多數意見認為，立法院行使文件調閱權而與受調閱機關發生之個案爭議，宜由雙方循協商途徑合理解決，或以法律明定由司法機關審理解決之法律機制（見本號解釋理由書第六段）。本席敬表同意。</w:t>
      </w:r>
    </w:p>
    <w:p w:rsidR="00645589" w:rsidRPr="00EB4236" w:rsidRDefault="00645589" w:rsidP="00645589">
      <w:pPr>
        <w:kinsoku w:val="0"/>
        <w:overflowPunct w:val="0"/>
        <w:spacing w:line="391" w:lineRule="exact"/>
        <w:ind w:leftChars="100" w:left="880" w:hangingChars="200" w:hanging="560"/>
        <w:jc w:val="both"/>
        <w:rPr>
          <w:color w:val="000000"/>
          <w:kern w:val="0"/>
          <w:sz w:val="28"/>
          <w:szCs w:val="28"/>
        </w:rPr>
      </w:pPr>
      <w:r w:rsidRPr="00EB4236">
        <w:rPr>
          <w:rFonts w:hAnsi="標楷體"/>
          <w:color w:val="000000"/>
          <w:kern w:val="0"/>
          <w:sz w:val="28"/>
          <w:szCs w:val="28"/>
        </w:rPr>
        <w:t>二、本席認為，由於立法院為國家最高立法機構，受調閱之機關多予尊重，故其與國家其他機關產生之個案爭議，並不常見。且調閱所生之爭議，常與憲法之解釋與適用有密切關係。本院大法官對解決此種個案爭議，應責無旁貸。將來立法時，自宜以本院大法官為審理此種爭議之機關。由於本號解釋已宣示處理此種爭議案件之憲法原則，所欠缺者僅為司法機關審理程序之依據。立法院現階段正審查司法院大法官審理案件法（下稱大審法）修正草案；本席認為，在大審法中增列立法院文件調閱權之個案爭議由大法官組成憲法法</w:t>
      </w:r>
      <w:r w:rsidR="006411E2">
        <w:rPr>
          <w:rFonts w:hAnsi="標楷體" w:hint="eastAsia"/>
          <w:color w:val="000000"/>
          <w:kern w:val="0"/>
          <w:sz w:val="28"/>
          <w:szCs w:val="28"/>
        </w:rPr>
        <w:t>庭</w:t>
      </w:r>
      <w:r w:rsidRPr="00EB4236">
        <w:rPr>
          <w:rFonts w:hAnsi="標楷體"/>
          <w:color w:val="000000"/>
          <w:kern w:val="0"/>
          <w:sz w:val="28"/>
          <w:szCs w:val="28"/>
        </w:rPr>
        <w:t>審理之規定，最為可行。另本院釋字第五八五號解釋謂：「如於具體案件，就所調查事項是否屬於國家機關獨立行使職權或行政特權之範疇，或就屬於行政特權之資訊應否接受調查或公開而有爭執時，立法院與其他國家機關宜循合理之途徑協商解決，或以法律明定相關要件與程序，由司法機關審理解決之。」故在增列立法院調閱權個案爭議之處理機制時，自應就立法院調查權個案爭議之處理，一併納入。</w:t>
      </w:r>
    </w:p>
    <w:p w:rsidR="00645589" w:rsidRPr="00EB4236" w:rsidRDefault="00645589" w:rsidP="00645589">
      <w:pPr>
        <w:spacing w:line="391" w:lineRule="exact"/>
        <w:jc w:val="both"/>
        <w:rPr>
          <w:b/>
          <w:color w:val="000000"/>
          <w:sz w:val="28"/>
          <w:szCs w:val="28"/>
        </w:rPr>
      </w:pPr>
      <w:r w:rsidRPr="00EB4236">
        <w:rPr>
          <w:rFonts w:hAnsi="標楷體"/>
          <w:b/>
          <w:color w:val="000000"/>
          <w:sz w:val="28"/>
          <w:szCs w:val="28"/>
        </w:rPr>
        <w:t>伍、有關不受理部分之不同意見</w:t>
      </w:r>
    </w:p>
    <w:p w:rsidR="00645589" w:rsidRPr="00EB4236" w:rsidRDefault="00645589" w:rsidP="00645589">
      <w:pPr>
        <w:kinsoku w:val="0"/>
        <w:overflowPunct w:val="0"/>
        <w:spacing w:line="391" w:lineRule="exact"/>
        <w:ind w:leftChars="100" w:left="880" w:hangingChars="200" w:hanging="560"/>
        <w:jc w:val="both"/>
        <w:rPr>
          <w:color w:val="000000"/>
          <w:sz w:val="28"/>
          <w:szCs w:val="28"/>
        </w:rPr>
      </w:pPr>
      <w:r w:rsidRPr="00EB4236">
        <w:rPr>
          <w:rFonts w:hAnsi="標楷體"/>
          <w:color w:val="000000"/>
          <w:sz w:val="28"/>
          <w:szCs w:val="28"/>
        </w:rPr>
        <w:t>一、「監聽調閱專案小組運作要點」第十一點及第十二點應得為解釋憲法之客體：</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sz w:val="28"/>
          <w:szCs w:val="28"/>
        </w:rPr>
        <w:t>（一）依大審法第五條第一項第一款規定，「中央或地方機關</w:t>
      </w:r>
      <w:r>
        <w:rPr>
          <w:rFonts w:hint="eastAsia"/>
          <w:color w:val="000000"/>
          <w:sz w:val="28"/>
          <w:szCs w:val="28"/>
        </w:rPr>
        <w:t>……</w:t>
      </w:r>
      <w:r w:rsidRPr="00EB4236">
        <w:rPr>
          <w:rFonts w:hAnsi="標楷體"/>
          <w:color w:val="000000"/>
          <w:sz w:val="28"/>
          <w:szCs w:val="28"/>
        </w:rPr>
        <w:t>因行使職權與其他機關之職權，</w:t>
      </w:r>
      <w:r>
        <w:rPr>
          <w:rFonts w:hint="eastAsia"/>
          <w:color w:val="000000"/>
          <w:sz w:val="28"/>
          <w:szCs w:val="28"/>
        </w:rPr>
        <w:t>……</w:t>
      </w:r>
      <w:r w:rsidRPr="00EB4236">
        <w:rPr>
          <w:rFonts w:hAnsi="標楷體"/>
          <w:color w:val="000000"/>
          <w:sz w:val="28"/>
          <w:szCs w:val="28"/>
        </w:rPr>
        <w:t>適用法律與命令發生有牴觸憲法之疑義者」，得聲請解釋憲法。本件聲請機關係主張立法院司法及法制委員會決議通過之「監聽調閱專案小組運作要點」（下稱運作要點）第十一點（「本小組會議召開時，得邀請被調閱文件之機關首長率同有關人員列席說明。」）及第十二點（「本小組為應調閱文件需要，得赴調閱對象之所在地或相關單位查訪；及訪談相關人士。」）之規定，逾越立法院職權行使法第四十五條之範圍，牴觸憲法第六十三條及本院釋字第三二五號解釋。多數意見係以該運作要點性質上屬立法</w:t>
      </w:r>
      <w:r w:rsidRPr="00EB4236">
        <w:rPr>
          <w:rFonts w:hAnsi="標楷體"/>
          <w:color w:val="000000"/>
          <w:sz w:val="28"/>
          <w:szCs w:val="28"/>
        </w:rPr>
        <w:lastRenderedPageBreak/>
        <w:t>院司法及法制委員會內部議事運作之事項，而不生法律或命令牴觸憲法之問題（見本號解釋理由書末段）。</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sz w:val="28"/>
          <w:szCs w:val="28"/>
        </w:rPr>
        <w:t>（二）本席認為，多數意見對於大審法第五條第一項第一款所規定「命令」涵義之解釋過於狹隘。本院以往曾多次將無直接拘束外部效力之行政規則納為解釋對象（例如以諸多行政機關內部之函釋作為本院解釋客體）。某一規範究竟是否得為本院解釋客體，關鍵在於其規定內容以及實際適用上，是否可能或已經「溢出」內部規範之效力，而產生外部之效果。倘某一規範，可能或已經產生外部效果，而影響人民基本權利或其他機關職權之行使，</w:t>
      </w:r>
      <w:r w:rsidRPr="00EB4236">
        <w:rPr>
          <w:rFonts w:hAnsi="標楷體"/>
          <w:color w:val="000000"/>
          <w:kern w:val="0"/>
          <w:sz w:val="28"/>
          <w:szCs w:val="28"/>
        </w:rPr>
        <w:t>自有檢視</w:t>
      </w:r>
      <w:r w:rsidRPr="00EB4236">
        <w:rPr>
          <w:rFonts w:hAnsi="標楷體"/>
          <w:color w:val="000000"/>
          <w:sz w:val="28"/>
          <w:szCs w:val="28"/>
        </w:rPr>
        <w:t>其是否符合憲法規範之必要，而不能純以機關之內部規則或事項視之。運作要點之目的固在於協助調閱專案小組之內部運作，然其第十一點及第十二點不僅規範內部運作，且分別規定邀請被調閱文件之機關首長率同有關人員列席，及赴調閱機關之所在地或相關單位查訪及訪談相關人士等。此係規範立法機關與受調閱機關之互動關係。故此等規定已發生規範受調閱機關及其人員之效果。本院對此種規範，自有予以解釋之正當性與必要性。多數意見未能藉此釐清行使調閱權之方法是否得包括邀請被調閱機關人員列席及赴被調閱機關查訪及訪談，以及邀請列席、查訪、訪談有無一定憲法上界線，甚為可惜。本席無法同意。</w:t>
      </w:r>
    </w:p>
    <w:p w:rsidR="00645589" w:rsidRPr="00EB4236" w:rsidRDefault="00645589" w:rsidP="00645589">
      <w:pPr>
        <w:kinsoku w:val="0"/>
        <w:overflowPunct w:val="0"/>
        <w:spacing w:line="391" w:lineRule="exact"/>
        <w:ind w:leftChars="100" w:left="880" w:hangingChars="200" w:hanging="560"/>
        <w:jc w:val="both"/>
        <w:rPr>
          <w:color w:val="000000"/>
          <w:sz w:val="28"/>
          <w:szCs w:val="28"/>
        </w:rPr>
      </w:pPr>
      <w:r w:rsidRPr="00EB4236">
        <w:rPr>
          <w:rFonts w:hAnsi="標楷體"/>
          <w:color w:val="000000"/>
          <w:sz w:val="28"/>
          <w:szCs w:val="28"/>
        </w:rPr>
        <w:t>二、本件亦應有中央機關</w:t>
      </w:r>
      <w:r w:rsidRPr="00F65695">
        <w:rPr>
          <w:rFonts w:hAnsi="標楷體"/>
          <w:color w:val="000000"/>
          <w:kern w:val="0"/>
          <w:sz w:val="28"/>
          <w:szCs w:val="28"/>
        </w:rPr>
        <w:t>適用</w:t>
      </w:r>
      <w:r w:rsidRPr="00EB4236">
        <w:rPr>
          <w:rFonts w:hAnsi="標楷體"/>
          <w:color w:val="000000"/>
          <w:sz w:val="28"/>
          <w:szCs w:val="28"/>
        </w:rPr>
        <w:t>法律見解歧異之情形，而應予以統一解釋：</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sz w:val="28"/>
          <w:szCs w:val="28"/>
        </w:rPr>
        <w:t>（一）大審法第七條第一項第一款係規定，「中央或地方機關，就其職權上適用法律或命令所持見解，與本機關或他機關適用同一法律或命令時所已表示之見解有異者」，得聲請統一解釋。本件聲請機關係主張立法院司法及法制委員會依立法院職權行使法第四十五條第一項向聲請機關調閱偵查卷證；惟聲請機關依本院釋字第五八五號、第六三三號解釋意旨及政府資訊公開法等法律規定，並無提供給閱之義務；且依法院組織法第六十六條第十項規定，檢察總長除年度預算案及法律案外，無須至立法院列席備詢；此與運作要點第十一點規定調閱專案小組會議召開時得邀請被調閱文件之機關首長含檢察總長率同有關人員列席說明之見解亦屬有異。多數意見則認為聲請機關並未敘明其與他機關就同一法律或命令所已表示之見解有異（見本號解釋理由書末段）。</w:t>
      </w:r>
    </w:p>
    <w:p w:rsidR="00645589" w:rsidRPr="00EB4236" w:rsidRDefault="00645589" w:rsidP="00645589">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EB4236">
        <w:rPr>
          <w:rFonts w:hAnsi="標楷體"/>
          <w:color w:val="000000"/>
          <w:sz w:val="28"/>
          <w:szCs w:val="28"/>
        </w:rPr>
        <w:t>（二）本席認為，大審法第七條第一項第一款規定「所持見解」及「所已表示之見解」，與同條項第二款規定「所表示之見解」及「所已表示之見解」應有不同之解釋。大審法第七條第一項第二款係規定「人民、法人或政黨於其權利遭受不法侵害，認確定終局裁判適用法律</w:t>
      </w:r>
      <w:r w:rsidRPr="00EB4236">
        <w:rPr>
          <w:rFonts w:hAnsi="標楷體"/>
          <w:color w:val="000000"/>
          <w:sz w:val="28"/>
          <w:szCs w:val="28"/>
        </w:rPr>
        <w:lastRenderedPageBreak/>
        <w:t>或命令所表示之見解，與其他審判機關之確定終局裁判，適用同一法律或命令時所已表示之見解有異者」，而聲請解釋。自必須有不同審判系統之二法院所為之確定終局裁判見解有異。且其見解必定已經表示於確定終局裁判之裁判書中。然同條項第一款係處理二機關之見解歧異；多數情形，機關產生歧異，係呈現於表現在外之明確措施或作為，而非先以文字明示其見解於已經對外發布之文件，再依據此種見解作成決定。倘若本條項第一款所謂「表示之見解」限於以往已經發布之文件，則該款適用之機會將甚為有限。本院以往依大審法第七條第一項第一款規定作成統一解釋者甚為罕見；本院釋字第三三四號解釋為唯一在此條款之下所作成之解釋。該解釋係因立法院不同意行政院於計算各級政府發行公債未償還餘額時，皆將一年以上之賒借數額排除，以向銀行及勞工退休基金等單位長期借款，規避公債發行上限，而向本院聲請解釋（見該解釋所附立法院聲請書）。該案聲請書並未指稱行政院在何種「文件」曾經記載其「見解」；而係因行政院計算各級政府發行公債未償還餘額之「作法」，作為行政院所已表示之「見解」；而將立法院對行政院之作法不予同意，作為自己所持之見解。本院釋字第三三四號解釋並未要求必須先有記載於文件之見解作為前提。該解釋認為，此種情形屬於立法院與行政院間，就其職權上適用中央政府建設公債發行條例第二條所持之見解，彼此有異；故立法院聲請本院統一解釋，符合大審法第七條第一項第一款之規定，應予受理（見該號解釋理由書第一段）。本席認為，機關依照某一法令所採行之措施、作為或所為之決定，如已經表現在外，自構成大審法第七條第一項第一款所稱之該機關已表示之見解。本件情形立法院既已向聲請機關要求調閱卷證，而聲請機關則認為不應給予調閱，依照前述說明，自屬於兩機關就立法院職權行使法第四十五條調閱文件之界線，以及該條有關調閱文件權是否包含得邀請被調閱文件之機關首長率同有關人員列席說明等，產生見解歧異。多數意見以狹隘之方式解釋大審法第七條第一項第一款所規定之「所持見解」及「所已表示之見解」，本席未能同意。</w:t>
      </w:r>
    </w:p>
    <w:p w:rsidR="00C23706" w:rsidRPr="00645589" w:rsidRDefault="00C23706" w:rsidP="00EB17FC">
      <w:pPr>
        <w:overflowPunct w:val="0"/>
        <w:spacing w:line="391" w:lineRule="exact"/>
        <w:ind w:left="682" w:hangingChars="310" w:hanging="682"/>
        <w:jc w:val="both"/>
        <w:rPr>
          <w:rFonts w:hAnsi="標楷體" w:hint="eastAsia"/>
          <w:sz w:val="22"/>
          <w:szCs w:val="22"/>
        </w:rPr>
      </w:pPr>
    </w:p>
    <w:p w:rsidR="00D138CD" w:rsidRPr="007A2B2F" w:rsidRDefault="00D138CD" w:rsidP="006411E2">
      <w:pPr>
        <w:overflowPunct w:val="0"/>
        <w:spacing w:line="391" w:lineRule="exact"/>
        <w:ind w:left="964" w:right="567"/>
        <w:jc w:val="distribute"/>
        <w:rPr>
          <w:sz w:val="28"/>
          <w:szCs w:val="28"/>
        </w:rPr>
      </w:pPr>
      <w:r w:rsidRPr="007A2B2F">
        <w:rPr>
          <w:rFonts w:ascii="華康粗黑體" w:eastAsia="華康粗黑體" w:hAnsi="標楷體" w:hint="eastAsia"/>
          <w:sz w:val="28"/>
          <w:szCs w:val="28"/>
        </w:rPr>
        <w:t>部分協同</w:t>
      </w:r>
      <w:r w:rsidR="006411E2" w:rsidRPr="006411E2">
        <w:rPr>
          <w:rFonts w:ascii="華康粗黑體" w:eastAsia="華康粗黑體" w:hAnsi="標楷體" w:hint="eastAsia"/>
          <w:sz w:val="28"/>
          <w:szCs w:val="28"/>
        </w:rPr>
        <w:t>暨</w:t>
      </w:r>
      <w:r w:rsidRPr="007A2B2F">
        <w:rPr>
          <w:rFonts w:ascii="華康粗黑體" w:eastAsia="華康粗黑體" w:hAnsi="標楷體" w:hint="eastAsia"/>
          <w:sz w:val="28"/>
          <w:szCs w:val="28"/>
        </w:rPr>
        <w:t>部分不同意見書</w:t>
      </w:r>
      <w:r w:rsidR="006411E2">
        <w:rPr>
          <w:rFonts w:hAnsi="標楷體" w:hint="eastAsia"/>
          <w:b/>
          <w:sz w:val="28"/>
          <w:szCs w:val="28"/>
        </w:rPr>
        <w:t xml:space="preserve">　　　　　　</w:t>
      </w:r>
      <w:r>
        <w:rPr>
          <w:rFonts w:hAnsi="標楷體" w:hint="eastAsia"/>
          <w:b/>
          <w:sz w:val="28"/>
          <w:szCs w:val="28"/>
        </w:rPr>
        <w:t xml:space="preserve">　</w:t>
      </w:r>
      <w:r w:rsidRPr="007A2B2F">
        <w:rPr>
          <w:rFonts w:hAnsi="標楷體"/>
          <w:sz w:val="28"/>
          <w:szCs w:val="28"/>
        </w:rPr>
        <w:t>湯德宗大法官</w:t>
      </w:r>
      <w:r>
        <w:rPr>
          <w:rFonts w:hAnsi="標楷體" w:hint="eastAsia"/>
          <w:sz w:val="28"/>
          <w:szCs w:val="28"/>
        </w:rPr>
        <w:t xml:space="preserve">　</w:t>
      </w:r>
      <w:r w:rsidRPr="00BC288B">
        <w:rPr>
          <w:rFonts w:hAnsi="標楷體"/>
          <w:kern w:val="0"/>
          <w:sz w:val="28"/>
          <w:szCs w:val="28"/>
        </w:rPr>
        <w:t>提出</w:t>
      </w:r>
    </w:p>
    <w:p w:rsidR="00D138CD" w:rsidRPr="007A2B2F" w:rsidRDefault="00D138CD" w:rsidP="005E362F">
      <w:pPr>
        <w:tabs>
          <w:tab w:val="left" w:pos="2127"/>
        </w:tabs>
        <w:spacing w:line="391" w:lineRule="exact"/>
        <w:ind w:firstLineChars="200" w:firstLine="560"/>
        <w:jc w:val="both"/>
        <w:rPr>
          <w:sz w:val="28"/>
          <w:szCs w:val="28"/>
        </w:rPr>
      </w:pPr>
      <w:r w:rsidRPr="007A2B2F">
        <w:rPr>
          <w:rFonts w:hAnsi="標楷體"/>
          <w:sz w:val="28"/>
          <w:szCs w:val="28"/>
        </w:rPr>
        <w:t>立法院司法及法制委員會（下稱「司法委員會」）為調查聲請人最高法院檢察署（下稱「最高檢察署」）所屬特別偵察組（下稱「特偵組」）有無違法監聽，俾審議通訊保障及監察法修正草案及法院組織法第六十三條之一（特偵組職掌）等法律案，依立法院職權行使法第四十五條</w:t>
      </w:r>
      <w:r w:rsidRPr="007A2B2F">
        <w:rPr>
          <w:rFonts w:hAnsi="標楷體" w:hint="eastAsia"/>
          <w:sz w:val="22"/>
          <w:szCs w:val="22"/>
        </w:rPr>
        <w:t>（註一）</w:t>
      </w:r>
      <w:r w:rsidRPr="007A2B2F">
        <w:rPr>
          <w:rFonts w:hAnsi="標楷體"/>
          <w:sz w:val="28"/>
          <w:szCs w:val="28"/>
        </w:rPr>
        <w:t>之規定，於一</w:t>
      </w:r>
      <w:r w:rsidR="001466FF" w:rsidRPr="00C87171">
        <w:rPr>
          <w:rFonts w:ascii="標楷體" w:hAnsi="標楷體" w:hint="eastAsia"/>
          <w:sz w:val="28"/>
          <w:szCs w:val="28"/>
        </w:rPr>
        <w:t>○</w:t>
      </w:r>
      <w:r w:rsidRPr="007A2B2F">
        <w:rPr>
          <w:rFonts w:hAnsi="標楷體"/>
          <w:sz w:val="28"/>
          <w:szCs w:val="28"/>
        </w:rPr>
        <w:t>二年九月三</w:t>
      </w:r>
      <w:r w:rsidRPr="007A2B2F">
        <w:rPr>
          <w:rFonts w:hAnsi="標楷體"/>
          <w:sz w:val="28"/>
          <w:szCs w:val="28"/>
        </w:rPr>
        <w:lastRenderedPageBreak/>
        <w:t>十日決議成立立法院司法及法制委員會監聽調閱專案小組（下稱「專案小組」），並於同年</w:t>
      </w:r>
      <w:smartTag w:uri="urn:schemas-microsoft-com:office:smarttags" w:element="chsdate">
        <w:smartTagPr>
          <w:attr w:name="IsROCDate" w:val="False"/>
          <w:attr w:name="IsLunarDate" w:val="False"/>
          <w:attr w:name="Day" w:val="23"/>
          <w:attr w:name="Month" w:val="10"/>
          <w:attr w:name="Year" w:val="2015"/>
        </w:smartTagPr>
        <w:r w:rsidRPr="007A2B2F">
          <w:rPr>
            <w:rFonts w:hAnsi="標楷體"/>
            <w:sz w:val="28"/>
            <w:szCs w:val="28"/>
          </w:rPr>
          <w:t>十月二十三日</w:t>
        </w:r>
      </w:smartTag>
      <w:r w:rsidRPr="007A2B2F">
        <w:rPr>
          <w:rFonts w:hAnsi="標楷體"/>
          <w:sz w:val="28"/>
          <w:szCs w:val="28"/>
        </w:rPr>
        <w:t>上午議決訂定「立法院司法及法制委員會監聽調閱專案小組運作要點」（下稱「運作要點」）。同日下午專案小組召開第一次委員會，議決通過「立法院司法及法制委員會監聽調閱專案小組調閱文件內容及範圍」（下稱「調閱文件清單」）。</w:t>
      </w:r>
    </w:p>
    <w:p w:rsidR="00D138CD" w:rsidRPr="007A2B2F" w:rsidRDefault="00D138CD" w:rsidP="005E362F">
      <w:pPr>
        <w:tabs>
          <w:tab w:val="left" w:pos="2127"/>
        </w:tabs>
        <w:spacing w:line="391" w:lineRule="exact"/>
        <w:ind w:firstLineChars="200" w:firstLine="560"/>
        <w:jc w:val="both"/>
        <w:rPr>
          <w:sz w:val="28"/>
          <w:szCs w:val="28"/>
        </w:rPr>
      </w:pPr>
      <w:r w:rsidRPr="007A2B2F">
        <w:rPr>
          <w:rFonts w:hAnsi="標楷體"/>
          <w:sz w:val="28"/>
          <w:szCs w:val="28"/>
        </w:rPr>
        <w:t>司法</w:t>
      </w:r>
      <w:r w:rsidRPr="00E65908">
        <w:rPr>
          <w:rFonts w:hAnsi="標楷體"/>
          <w:color w:val="000000"/>
          <w:sz w:val="28"/>
          <w:szCs w:val="28"/>
        </w:rPr>
        <w:t>委員會</w:t>
      </w:r>
      <w:r w:rsidRPr="007A2B2F">
        <w:rPr>
          <w:rFonts w:hAnsi="標楷體"/>
          <w:sz w:val="28"/>
          <w:szCs w:val="28"/>
        </w:rPr>
        <w:t>旋於一</w:t>
      </w:r>
      <w:r w:rsidR="001466FF" w:rsidRPr="00925D98">
        <w:rPr>
          <w:rFonts w:ascii="標楷體" w:hAnsi="標楷體" w:hint="eastAsia"/>
          <w:sz w:val="28"/>
          <w:szCs w:val="28"/>
        </w:rPr>
        <w:t>○</w:t>
      </w:r>
      <w:r w:rsidRPr="007A2B2F">
        <w:rPr>
          <w:rFonts w:hAnsi="標楷體"/>
          <w:sz w:val="28"/>
          <w:szCs w:val="28"/>
        </w:rPr>
        <w:t>二年十月二十九日以台立司字第一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七</w:t>
      </w:r>
      <w:r w:rsidR="001466FF" w:rsidRPr="00925D98">
        <w:rPr>
          <w:rFonts w:ascii="標楷體" w:hAnsi="標楷體" w:hint="eastAsia"/>
          <w:sz w:val="28"/>
          <w:szCs w:val="28"/>
        </w:rPr>
        <w:t>○</w:t>
      </w:r>
      <w:r w:rsidRPr="007A2B2F">
        <w:rPr>
          <w:rFonts w:hAnsi="標楷體"/>
          <w:sz w:val="28"/>
          <w:szCs w:val="28"/>
        </w:rPr>
        <w:t>八號函，要求法務部於一週內將「調閱文件清單」所列以下各項送達立法院指定場所：</w:t>
      </w:r>
    </w:p>
    <w:p w:rsidR="00D138CD" w:rsidRPr="007A2B2F" w:rsidRDefault="00D138CD" w:rsidP="006411E2">
      <w:pPr>
        <w:spacing w:line="391" w:lineRule="exact"/>
        <w:ind w:left="227"/>
        <w:jc w:val="both"/>
        <w:rPr>
          <w:sz w:val="28"/>
          <w:szCs w:val="28"/>
        </w:rPr>
      </w:pPr>
      <w:r w:rsidRPr="007A2B2F">
        <w:rPr>
          <w:sz w:val="28"/>
          <w:szCs w:val="28"/>
        </w:rPr>
        <w:t>1</w:t>
      </w:r>
      <w:r w:rsidRPr="007A2B2F">
        <w:rPr>
          <w:rFonts w:hAnsi="標楷體"/>
          <w:sz w:val="28"/>
          <w:szCs w:val="28"/>
        </w:rPr>
        <w:t>）特偵組特他字第六一號偵查卷證（下稱「系爭偵查卷證」），內含：</w:t>
      </w:r>
    </w:p>
    <w:p w:rsidR="00D138CD" w:rsidRPr="007A2B2F" w:rsidRDefault="00D138CD" w:rsidP="00D138CD">
      <w:pPr>
        <w:spacing w:line="391" w:lineRule="exact"/>
        <w:ind w:firstLineChars="100" w:firstLine="280"/>
        <w:jc w:val="both"/>
        <w:rPr>
          <w:sz w:val="28"/>
          <w:szCs w:val="28"/>
        </w:rPr>
      </w:pPr>
      <w:r w:rsidRPr="007A2B2F">
        <w:rPr>
          <w:sz w:val="28"/>
          <w:szCs w:val="28"/>
        </w:rPr>
        <w:t>1.1</w:t>
      </w:r>
      <w:r w:rsidRPr="007A2B2F">
        <w:rPr>
          <w:rFonts w:hAnsi="標楷體"/>
          <w:sz w:val="28"/>
          <w:szCs w:val="28"/>
        </w:rPr>
        <w:t>通訊監察聲請書及附件偵查計畫書（含事證資料）。</w:t>
      </w:r>
    </w:p>
    <w:p w:rsidR="00D138CD" w:rsidRPr="007A2B2F" w:rsidRDefault="0034678D" w:rsidP="00D138CD">
      <w:pPr>
        <w:spacing w:line="391" w:lineRule="exact"/>
        <w:ind w:firstLineChars="100" w:firstLine="280"/>
        <w:jc w:val="both"/>
        <w:rPr>
          <w:sz w:val="28"/>
          <w:szCs w:val="28"/>
        </w:rPr>
      </w:pPr>
      <w:r>
        <w:rPr>
          <w:sz w:val="28"/>
          <w:szCs w:val="28"/>
        </w:rPr>
        <w:t>1.2</w:t>
      </w:r>
      <w:r w:rsidR="00D138CD" w:rsidRPr="007A2B2F">
        <w:rPr>
          <w:rFonts w:hAnsi="標楷體"/>
          <w:sz w:val="28"/>
          <w:szCs w:val="28"/>
        </w:rPr>
        <w:t>通訊監察書（監聽票）。</w:t>
      </w:r>
    </w:p>
    <w:p w:rsidR="00D138CD" w:rsidRPr="007A2B2F" w:rsidRDefault="0034678D" w:rsidP="00D138CD">
      <w:pPr>
        <w:spacing w:line="391" w:lineRule="exact"/>
        <w:ind w:firstLineChars="100" w:firstLine="280"/>
        <w:jc w:val="both"/>
        <w:rPr>
          <w:sz w:val="28"/>
          <w:szCs w:val="28"/>
        </w:rPr>
      </w:pPr>
      <w:r>
        <w:rPr>
          <w:sz w:val="28"/>
          <w:szCs w:val="28"/>
        </w:rPr>
        <w:t>1.3</w:t>
      </w:r>
      <w:r w:rsidR="00D138CD" w:rsidRPr="007A2B2F">
        <w:rPr>
          <w:rFonts w:hAnsi="標楷體"/>
          <w:sz w:val="28"/>
          <w:szCs w:val="28"/>
        </w:rPr>
        <w:t>執行單位期中報告書（通保法第五條第四項）。</w:t>
      </w:r>
    </w:p>
    <w:p w:rsidR="00D138CD" w:rsidRPr="007A2B2F" w:rsidRDefault="0034678D" w:rsidP="00D138CD">
      <w:pPr>
        <w:spacing w:line="391" w:lineRule="exact"/>
        <w:ind w:firstLineChars="100" w:firstLine="280"/>
        <w:jc w:val="both"/>
        <w:rPr>
          <w:sz w:val="28"/>
          <w:szCs w:val="28"/>
        </w:rPr>
      </w:pPr>
      <w:r>
        <w:rPr>
          <w:sz w:val="28"/>
          <w:szCs w:val="28"/>
        </w:rPr>
        <w:t>1.4</w:t>
      </w:r>
      <w:r w:rsidR="00D138CD" w:rsidRPr="007A2B2F">
        <w:rPr>
          <w:rFonts w:hAnsi="標楷體"/>
          <w:sz w:val="28"/>
          <w:szCs w:val="28"/>
        </w:rPr>
        <w:t>通訊監察續監聲請書（續監監聽票，含事證資料）。</w:t>
      </w:r>
    </w:p>
    <w:p w:rsidR="00D138CD" w:rsidRPr="007A2B2F" w:rsidRDefault="0034678D" w:rsidP="00D138CD">
      <w:pPr>
        <w:spacing w:line="391" w:lineRule="exact"/>
        <w:ind w:firstLineChars="100" w:firstLine="280"/>
        <w:jc w:val="both"/>
        <w:rPr>
          <w:sz w:val="28"/>
          <w:szCs w:val="28"/>
        </w:rPr>
      </w:pPr>
      <w:r>
        <w:rPr>
          <w:sz w:val="28"/>
          <w:szCs w:val="28"/>
        </w:rPr>
        <w:t>1.5</w:t>
      </w:r>
      <w:r w:rsidR="00D138CD" w:rsidRPr="007A2B2F">
        <w:rPr>
          <w:rFonts w:hAnsi="標楷體"/>
          <w:sz w:val="28"/>
          <w:szCs w:val="28"/>
        </w:rPr>
        <w:t>陳報通知書（通保法第十五條）。</w:t>
      </w:r>
    </w:p>
    <w:p w:rsidR="00D138CD" w:rsidRPr="007A2B2F" w:rsidRDefault="0034678D" w:rsidP="00D138CD">
      <w:pPr>
        <w:spacing w:line="391" w:lineRule="exact"/>
        <w:ind w:firstLineChars="100" w:firstLine="280"/>
        <w:jc w:val="both"/>
        <w:rPr>
          <w:sz w:val="28"/>
          <w:szCs w:val="28"/>
        </w:rPr>
      </w:pPr>
      <w:r>
        <w:rPr>
          <w:sz w:val="28"/>
          <w:szCs w:val="28"/>
        </w:rPr>
        <w:t>1.6</w:t>
      </w:r>
      <w:r w:rsidR="00D138CD" w:rsidRPr="007A2B2F">
        <w:rPr>
          <w:rFonts w:hAnsi="標楷體"/>
          <w:sz w:val="28"/>
          <w:szCs w:val="28"/>
        </w:rPr>
        <w:t>約詢計畫及卷內所有全文筆錄、完整監聽譯文。</w:t>
      </w:r>
    </w:p>
    <w:p w:rsidR="00D138CD" w:rsidRPr="007A2B2F" w:rsidRDefault="0034678D" w:rsidP="0034678D">
      <w:pPr>
        <w:spacing w:line="391" w:lineRule="exact"/>
        <w:ind w:firstLineChars="100" w:firstLine="280"/>
        <w:jc w:val="both"/>
        <w:rPr>
          <w:sz w:val="28"/>
          <w:szCs w:val="28"/>
        </w:rPr>
      </w:pPr>
      <w:r>
        <w:rPr>
          <w:sz w:val="28"/>
          <w:szCs w:val="28"/>
        </w:rPr>
        <w:t>1.7</w:t>
      </w:r>
      <w:r w:rsidR="00D138CD" w:rsidRPr="007A2B2F">
        <w:rPr>
          <w:rFonts w:hAnsi="標楷體"/>
          <w:sz w:val="28"/>
          <w:szCs w:val="28"/>
        </w:rPr>
        <w:t>簽結公文（含內簽）以及發交地檢署偵辦之公文（含內簽）。</w:t>
      </w:r>
    </w:p>
    <w:p w:rsidR="00D138CD" w:rsidRPr="007A2B2F" w:rsidRDefault="0034678D" w:rsidP="00D138CD">
      <w:pPr>
        <w:spacing w:line="391" w:lineRule="exact"/>
        <w:ind w:firstLineChars="100" w:firstLine="280"/>
        <w:jc w:val="both"/>
        <w:rPr>
          <w:sz w:val="28"/>
          <w:szCs w:val="28"/>
        </w:rPr>
      </w:pPr>
      <w:r>
        <w:rPr>
          <w:sz w:val="28"/>
          <w:szCs w:val="28"/>
        </w:rPr>
        <w:t>1.8</w:t>
      </w:r>
      <w:r w:rsidR="00D138CD" w:rsidRPr="007A2B2F">
        <w:rPr>
          <w:rFonts w:hAnsi="標楷體"/>
          <w:sz w:val="28"/>
          <w:szCs w:val="28"/>
        </w:rPr>
        <w:t>申請通聯記錄之公文及文件。</w:t>
      </w:r>
    </w:p>
    <w:p w:rsidR="00D138CD" w:rsidRPr="007A2B2F" w:rsidRDefault="0034678D" w:rsidP="00D138CD">
      <w:pPr>
        <w:spacing w:line="391" w:lineRule="exact"/>
        <w:ind w:firstLineChars="100" w:firstLine="280"/>
        <w:jc w:val="both"/>
        <w:rPr>
          <w:sz w:val="28"/>
          <w:szCs w:val="28"/>
        </w:rPr>
      </w:pPr>
      <w:r>
        <w:rPr>
          <w:sz w:val="28"/>
          <w:szCs w:val="28"/>
        </w:rPr>
        <w:t>1.9</w:t>
      </w:r>
      <w:r w:rsidR="00D138CD" w:rsidRPr="007A2B2F">
        <w:rPr>
          <w:rFonts w:hAnsi="標楷體"/>
          <w:sz w:val="28"/>
          <w:szCs w:val="28"/>
        </w:rPr>
        <w:t>監聽之所有原始光碟。</w:t>
      </w:r>
    </w:p>
    <w:p w:rsidR="00D138CD" w:rsidRPr="007A2B2F" w:rsidRDefault="00D138CD" w:rsidP="006411E2">
      <w:pPr>
        <w:spacing w:line="391" w:lineRule="exact"/>
        <w:ind w:left="227"/>
        <w:jc w:val="both"/>
        <w:rPr>
          <w:sz w:val="28"/>
          <w:szCs w:val="28"/>
        </w:rPr>
      </w:pPr>
      <w:r w:rsidRPr="007A2B2F">
        <w:rPr>
          <w:sz w:val="28"/>
          <w:szCs w:val="28"/>
        </w:rPr>
        <w:t>2</w:t>
      </w:r>
      <w:r w:rsidRPr="007A2B2F">
        <w:rPr>
          <w:rFonts w:hAnsi="標楷體"/>
          <w:sz w:val="28"/>
          <w:szCs w:val="28"/>
        </w:rPr>
        <w:t>）台灣台北地方法院一</w:t>
      </w:r>
      <w:r w:rsidR="001466FF" w:rsidRPr="00925D98">
        <w:rPr>
          <w:rFonts w:ascii="標楷體" w:hAnsi="標楷體" w:hint="eastAsia"/>
          <w:sz w:val="28"/>
          <w:szCs w:val="28"/>
        </w:rPr>
        <w:t>○</w:t>
      </w:r>
      <w:r w:rsidRPr="007A2B2F">
        <w:rPr>
          <w:rFonts w:hAnsi="標楷體"/>
          <w:sz w:val="28"/>
          <w:szCs w:val="28"/>
        </w:rPr>
        <w:t>二年監通字第</w:t>
      </w:r>
      <w:r w:rsidR="001466FF" w:rsidRPr="00925D98">
        <w:rPr>
          <w:rFonts w:ascii="標楷體" w:hAnsi="標楷體" w:hint="eastAsia"/>
          <w:sz w:val="28"/>
          <w:szCs w:val="28"/>
        </w:rPr>
        <w:t>○○○</w:t>
      </w:r>
      <w:r w:rsidRPr="007A2B2F">
        <w:rPr>
          <w:rFonts w:hAnsi="標楷體"/>
          <w:sz w:val="28"/>
          <w:szCs w:val="28"/>
        </w:rPr>
        <w:t>一九九號卷宗所有資料；</w:t>
      </w:r>
    </w:p>
    <w:p w:rsidR="00D138CD" w:rsidRPr="007A2B2F" w:rsidRDefault="00D138CD" w:rsidP="006411E2">
      <w:pPr>
        <w:spacing w:line="391" w:lineRule="exact"/>
        <w:ind w:left="227"/>
        <w:jc w:val="both"/>
        <w:rPr>
          <w:sz w:val="28"/>
          <w:szCs w:val="28"/>
        </w:rPr>
      </w:pPr>
      <w:r w:rsidRPr="007A2B2F">
        <w:rPr>
          <w:sz w:val="28"/>
          <w:szCs w:val="28"/>
        </w:rPr>
        <w:t>3</w:t>
      </w:r>
      <w:r w:rsidRPr="007A2B2F">
        <w:rPr>
          <w:rFonts w:hAnsi="標楷體"/>
          <w:sz w:val="28"/>
          <w:szCs w:val="28"/>
        </w:rPr>
        <w:t>）柯建銘委員受監聽後應發之通訊監察結束通知書；</w:t>
      </w:r>
    </w:p>
    <w:p w:rsidR="00D138CD" w:rsidRPr="007A2B2F" w:rsidRDefault="00D138CD" w:rsidP="006411E2">
      <w:pPr>
        <w:spacing w:line="391" w:lineRule="exact"/>
        <w:ind w:left="652" w:hanging="425"/>
        <w:jc w:val="both"/>
        <w:rPr>
          <w:sz w:val="28"/>
          <w:szCs w:val="28"/>
        </w:rPr>
      </w:pPr>
      <w:r w:rsidRPr="007A2B2F">
        <w:rPr>
          <w:sz w:val="28"/>
          <w:szCs w:val="28"/>
        </w:rPr>
        <w:t>4</w:t>
      </w:r>
      <w:r w:rsidRPr="007A2B2F">
        <w:rPr>
          <w:rFonts w:hAnsi="標楷體"/>
          <w:sz w:val="28"/>
          <w:szCs w:val="28"/>
        </w:rPr>
        <w:t>）九十六年至一</w:t>
      </w:r>
      <w:r w:rsidR="001466FF" w:rsidRPr="00925D98">
        <w:rPr>
          <w:rFonts w:ascii="標楷體" w:hAnsi="標楷體" w:hint="eastAsia"/>
          <w:sz w:val="28"/>
          <w:szCs w:val="28"/>
        </w:rPr>
        <w:t>○</w:t>
      </w:r>
      <w:r w:rsidRPr="007A2B2F">
        <w:rPr>
          <w:rFonts w:hAnsi="標楷體"/>
          <w:sz w:val="28"/>
          <w:szCs w:val="28"/>
        </w:rPr>
        <w:t>二年間檢察機關（含特偵組）監聽立法院</w:t>
      </w:r>
      <w:r w:rsidR="001466FF" w:rsidRPr="00925D98">
        <w:rPr>
          <w:rFonts w:ascii="標楷體" w:hAnsi="標楷體" w:hint="eastAsia"/>
          <w:sz w:val="28"/>
          <w:szCs w:val="28"/>
        </w:rPr>
        <w:t>○</w:t>
      </w:r>
      <w:r w:rsidRPr="007A2B2F">
        <w:rPr>
          <w:rFonts w:hAnsi="標楷體"/>
          <w:sz w:val="28"/>
          <w:szCs w:val="28"/>
        </w:rPr>
        <w:t>九七二節費電話之相關資料；</w:t>
      </w:r>
    </w:p>
    <w:p w:rsidR="00D138CD" w:rsidRPr="007A2B2F" w:rsidRDefault="00D138CD" w:rsidP="006411E2">
      <w:pPr>
        <w:spacing w:line="391" w:lineRule="exact"/>
        <w:ind w:left="652" w:hanging="425"/>
        <w:jc w:val="both"/>
        <w:rPr>
          <w:sz w:val="28"/>
          <w:szCs w:val="28"/>
        </w:rPr>
      </w:pPr>
      <w:r w:rsidRPr="007A2B2F">
        <w:rPr>
          <w:sz w:val="28"/>
          <w:szCs w:val="28"/>
        </w:rPr>
        <w:t>5</w:t>
      </w:r>
      <w:r w:rsidRPr="007A2B2F">
        <w:rPr>
          <w:rFonts w:hAnsi="標楷體"/>
          <w:sz w:val="28"/>
          <w:szCs w:val="28"/>
        </w:rPr>
        <w:t>）九十六年至一</w:t>
      </w:r>
      <w:r w:rsidR="001466FF" w:rsidRPr="00925D98">
        <w:rPr>
          <w:rFonts w:ascii="標楷體" w:hAnsi="標楷體" w:hint="eastAsia"/>
          <w:sz w:val="28"/>
          <w:szCs w:val="28"/>
        </w:rPr>
        <w:t>○</w:t>
      </w:r>
      <w:r w:rsidRPr="007A2B2F">
        <w:rPr>
          <w:rFonts w:hAnsi="標楷體"/>
          <w:sz w:val="28"/>
          <w:szCs w:val="28"/>
        </w:rPr>
        <w:t>二年各地地方法院視察通訊監察執行報告書；</w:t>
      </w:r>
    </w:p>
    <w:p w:rsidR="00D138CD" w:rsidRPr="007A2B2F" w:rsidRDefault="00D138CD" w:rsidP="006F7247">
      <w:pPr>
        <w:wordWrap w:val="0"/>
        <w:spacing w:line="391" w:lineRule="exact"/>
        <w:ind w:left="652" w:hanging="425"/>
        <w:jc w:val="both"/>
        <w:rPr>
          <w:sz w:val="28"/>
          <w:szCs w:val="28"/>
        </w:rPr>
      </w:pPr>
      <w:r w:rsidRPr="007A2B2F">
        <w:rPr>
          <w:sz w:val="28"/>
          <w:szCs w:val="28"/>
        </w:rPr>
        <w:t>6</w:t>
      </w:r>
      <w:r w:rsidRPr="007A2B2F">
        <w:rPr>
          <w:rFonts w:hAnsi="標楷體"/>
          <w:sz w:val="28"/>
          <w:szCs w:val="28"/>
        </w:rPr>
        <w:t>）特偵組成立以來，</w:t>
      </w:r>
      <w:r w:rsidRPr="006F7247">
        <w:rPr>
          <w:rFonts w:hAnsi="標楷體"/>
          <w:spacing w:val="4"/>
          <w:sz w:val="28"/>
          <w:szCs w:val="28"/>
        </w:rPr>
        <w:t>監聽柯建銘委員使用立法院</w:t>
      </w:r>
      <w:r w:rsidR="001466FF" w:rsidRPr="00925D98">
        <w:rPr>
          <w:rFonts w:ascii="標楷體" w:hAnsi="標楷體" w:hint="eastAsia"/>
          <w:spacing w:val="4"/>
          <w:sz w:val="28"/>
          <w:szCs w:val="28"/>
        </w:rPr>
        <w:t>○</w:t>
      </w:r>
      <w:r w:rsidRPr="006F7247">
        <w:rPr>
          <w:rFonts w:hAnsi="標楷體"/>
          <w:spacing w:val="4"/>
          <w:sz w:val="28"/>
          <w:szCs w:val="28"/>
        </w:rPr>
        <w:t>九七二節費</w:t>
      </w:r>
      <w:r w:rsidRPr="007A2B2F">
        <w:rPr>
          <w:rFonts w:hAnsi="標楷體"/>
          <w:sz w:val="28"/>
          <w:szCs w:val="28"/>
        </w:rPr>
        <w:t>電話之監聽票、電信通信紀錄</w:t>
      </w:r>
      <w:r w:rsidR="00173265">
        <w:rPr>
          <w:sz w:val="28"/>
          <w:szCs w:val="28"/>
        </w:rPr>
        <w:t>（</w:t>
      </w:r>
      <w:r w:rsidRPr="007A2B2F">
        <w:rPr>
          <w:sz w:val="28"/>
          <w:szCs w:val="28"/>
        </w:rPr>
        <w:t>CDR</w:t>
      </w:r>
      <w:r w:rsidR="00173265">
        <w:rPr>
          <w:sz w:val="28"/>
          <w:szCs w:val="28"/>
        </w:rPr>
        <w:t>）</w:t>
      </w:r>
      <w:r w:rsidRPr="007A2B2F">
        <w:rPr>
          <w:rFonts w:hAnsi="標楷體"/>
          <w:sz w:val="28"/>
          <w:szCs w:val="28"/>
        </w:rPr>
        <w:t>之電子檔、及立法院七支節費電話之各通聯總數；</w:t>
      </w:r>
    </w:p>
    <w:p w:rsidR="00D138CD" w:rsidRPr="007A2B2F" w:rsidRDefault="00D138CD" w:rsidP="006411E2">
      <w:pPr>
        <w:spacing w:line="391" w:lineRule="exact"/>
        <w:ind w:left="227"/>
        <w:jc w:val="both"/>
        <w:rPr>
          <w:sz w:val="28"/>
          <w:szCs w:val="28"/>
        </w:rPr>
      </w:pPr>
      <w:r w:rsidRPr="007A2B2F">
        <w:rPr>
          <w:sz w:val="28"/>
          <w:szCs w:val="28"/>
        </w:rPr>
        <w:t>7</w:t>
      </w:r>
      <w:r w:rsidRPr="007A2B2F">
        <w:rPr>
          <w:rFonts w:hAnsi="標楷體"/>
          <w:sz w:val="28"/>
          <w:szCs w:val="28"/>
        </w:rPr>
        <w:t>）黃世銘檢察總長自九十九年上任後進入總統府及官邸之會客記錄；</w:t>
      </w:r>
    </w:p>
    <w:p w:rsidR="00D138CD" w:rsidRPr="007A2B2F" w:rsidRDefault="00D138CD" w:rsidP="006411E2">
      <w:pPr>
        <w:spacing w:line="391" w:lineRule="exact"/>
        <w:ind w:left="652" w:hanging="425"/>
        <w:jc w:val="both"/>
        <w:rPr>
          <w:sz w:val="28"/>
          <w:szCs w:val="28"/>
        </w:rPr>
      </w:pPr>
      <w:r w:rsidRPr="007A2B2F">
        <w:rPr>
          <w:sz w:val="28"/>
          <w:szCs w:val="28"/>
        </w:rPr>
        <w:t>8</w:t>
      </w:r>
      <w:r w:rsidRPr="007A2B2F">
        <w:rPr>
          <w:rFonts w:hAnsi="標楷體"/>
          <w:sz w:val="28"/>
          <w:szCs w:val="28"/>
        </w:rPr>
        <w:t>）特偵組自成立以來，特偵組總機、黃世銘總長及楊榮宗檢察官等人之通聯紀錄；</w:t>
      </w:r>
    </w:p>
    <w:p w:rsidR="00D138CD" w:rsidRPr="007A2B2F" w:rsidRDefault="00D138CD" w:rsidP="006411E2">
      <w:pPr>
        <w:spacing w:line="391" w:lineRule="exact"/>
        <w:ind w:left="652" w:hanging="425"/>
        <w:jc w:val="both"/>
        <w:rPr>
          <w:sz w:val="28"/>
          <w:szCs w:val="28"/>
        </w:rPr>
      </w:pPr>
      <w:r w:rsidRPr="007A2B2F">
        <w:rPr>
          <w:sz w:val="28"/>
          <w:szCs w:val="28"/>
        </w:rPr>
        <w:t>9</w:t>
      </w:r>
      <w:r w:rsidRPr="007A2B2F">
        <w:rPr>
          <w:rFonts w:hAnsi="標楷體"/>
          <w:sz w:val="28"/>
          <w:szCs w:val="28"/>
        </w:rPr>
        <w:t>）法務部遴選「監聽事件調查小組」之遴選過程、決定、歷次開會紀錄、報告內引用之物證、書證等資料。</w:t>
      </w:r>
    </w:p>
    <w:p w:rsidR="00D138CD" w:rsidRPr="007A2B2F" w:rsidRDefault="00D138CD" w:rsidP="005E362F">
      <w:pPr>
        <w:tabs>
          <w:tab w:val="left" w:pos="2127"/>
        </w:tabs>
        <w:spacing w:line="391" w:lineRule="exact"/>
        <w:ind w:firstLineChars="200" w:firstLine="560"/>
        <w:jc w:val="both"/>
        <w:rPr>
          <w:sz w:val="28"/>
          <w:szCs w:val="28"/>
        </w:rPr>
      </w:pPr>
      <w:r w:rsidRPr="007A2B2F">
        <w:rPr>
          <w:rFonts w:hAnsi="標楷體"/>
          <w:sz w:val="28"/>
          <w:szCs w:val="28"/>
        </w:rPr>
        <w:t>因請求未果，司法委員會復於一</w:t>
      </w:r>
      <w:r w:rsidR="001466FF" w:rsidRPr="00925D98">
        <w:rPr>
          <w:rFonts w:ascii="標楷體" w:hAnsi="標楷體" w:hint="eastAsia"/>
          <w:sz w:val="28"/>
          <w:szCs w:val="28"/>
        </w:rPr>
        <w:t>○</w:t>
      </w:r>
      <w:r w:rsidRPr="007A2B2F">
        <w:rPr>
          <w:rFonts w:hAnsi="標楷體"/>
          <w:sz w:val="28"/>
          <w:szCs w:val="28"/>
        </w:rPr>
        <w:t>二年十一月十五日以台立司字第一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七七八號函，要求最高檢察署於同月十九日前提供與前揭「調閱文件清單」所列第</w:t>
      </w:r>
      <w:r w:rsidRPr="007A2B2F">
        <w:rPr>
          <w:sz w:val="28"/>
          <w:szCs w:val="28"/>
        </w:rPr>
        <w:t>1</w:t>
      </w:r>
      <w:r w:rsidRPr="007A2B2F">
        <w:rPr>
          <w:rFonts w:hAnsi="標楷體"/>
          <w:sz w:val="28"/>
          <w:szCs w:val="28"/>
        </w:rPr>
        <w:t>點資料（即系爭偵查卷證）之</w:t>
      </w:r>
      <w:r w:rsidRPr="007A2B2F">
        <w:rPr>
          <w:rFonts w:hAnsi="標楷體"/>
          <w:b/>
          <w:sz w:val="28"/>
          <w:szCs w:val="28"/>
        </w:rPr>
        <w:t>正本相符之影本</w:t>
      </w:r>
      <w:r w:rsidRPr="007A2B2F">
        <w:rPr>
          <w:rFonts w:hAnsi="標楷體"/>
          <w:sz w:val="28"/>
          <w:szCs w:val="28"/>
        </w:rPr>
        <w:t>資料（含光碟）。嗣因最高檢察署拒絕提供，司法委員會乃於同年</w:t>
      </w:r>
      <w:smartTag w:uri="urn:schemas-microsoft-com:office:smarttags" w:element="chsdate">
        <w:smartTagPr>
          <w:attr w:name="IsROCDate" w:val="False"/>
          <w:attr w:name="IsLunarDate" w:val="False"/>
          <w:attr w:name="Day" w:val="2"/>
          <w:attr w:name="Month" w:val="12"/>
          <w:attr w:name="Year" w:val="2015"/>
        </w:smartTagPr>
        <w:r w:rsidRPr="007A2B2F">
          <w:rPr>
            <w:rFonts w:hAnsi="標楷體"/>
            <w:sz w:val="28"/>
            <w:szCs w:val="28"/>
          </w:rPr>
          <w:t>十二月二日</w:t>
        </w:r>
      </w:smartTag>
      <w:r w:rsidRPr="007A2B2F">
        <w:rPr>
          <w:rFonts w:hAnsi="標楷體"/>
          <w:sz w:val="28"/>
          <w:szCs w:val="28"/>
        </w:rPr>
        <w:t>再次以台立司字第一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八四六號函，要求最高檢察署於同月四日檢送「調閱文件內容</w:t>
      </w:r>
      <w:r w:rsidRPr="007A2B2F">
        <w:rPr>
          <w:rFonts w:hAnsi="標楷體"/>
          <w:sz w:val="28"/>
          <w:szCs w:val="28"/>
        </w:rPr>
        <w:lastRenderedPageBreak/>
        <w:t>及範圍」所載第</w:t>
      </w:r>
      <w:r w:rsidRPr="007A2B2F">
        <w:rPr>
          <w:sz w:val="28"/>
          <w:szCs w:val="28"/>
        </w:rPr>
        <w:t>1</w:t>
      </w:r>
      <w:r w:rsidRPr="007A2B2F">
        <w:rPr>
          <w:rFonts w:hAnsi="標楷體"/>
          <w:sz w:val="28"/>
          <w:szCs w:val="28"/>
        </w:rPr>
        <w:t>、</w:t>
      </w:r>
      <w:r w:rsidRPr="007A2B2F">
        <w:rPr>
          <w:sz w:val="28"/>
          <w:szCs w:val="28"/>
        </w:rPr>
        <w:t>3</w:t>
      </w:r>
      <w:r w:rsidRPr="007A2B2F">
        <w:rPr>
          <w:rFonts w:hAnsi="標楷體"/>
          <w:sz w:val="28"/>
          <w:szCs w:val="28"/>
        </w:rPr>
        <w:t>、</w:t>
      </w:r>
      <w:r w:rsidRPr="007A2B2F">
        <w:rPr>
          <w:sz w:val="28"/>
          <w:szCs w:val="28"/>
        </w:rPr>
        <w:t>4</w:t>
      </w:r>
      <w:r w:rsidRPr="007A2B2F">
        <w:rPr>
          <w:rFonts w:hAnsi="標楷體"/>
          <w:sz w:val="28"/>
          <w:szCs w:val="28"/>
        </w:rPr>
        <w:t>、</w:t>
      </w:r>
      <w:r w:rsidRPr="007A2B2F">
        <w:rPr>
          <w:sz w:val="28"/>
          <w:szCs w:val="28"/>
        </w:rPr>
        <w:t>6</w:t>
      </w:r>
      <w:r w:rsidRPr="007A2B2F">
        <w:rPr>
          <w:rFonts w:hAnsi="標楷體"/>
          <w:sz w:val="28"/>
          <w:szCs w:val="28"/>
        </w:rPr>
        <w:t>、</w:t>
      </w:r>
      <w:r w:rsidRPr="007A2B2F">
        <w:rPr>
          <w:sz w:val="28"/>
          <w:szCs w:val="28"/>
        </w:rPr>
        <w:t>8</w:t>
      </w:r>
      <w:r w:rsidRPr="007A2B2F">
        <w:rPr>
          <w:rFonts w:hAnsi="標楷體"/>
          <w:sz w:val="28"/>
          <w:szCs w:val="28"/>
        </w:rPr>
        <w:t>點等資料。嗣司法委員會於同年月二十四日復以台立司字第一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九七</w:t>
      </w:r>
      <w:r w:rsidR="001466FF" w:rsidRPr="00925D98">
        <w:rPr>
          <w:rFonts w:ascii="標楷體" w:hAnsi="標楷體" w:hint="eastAsia"/>
          <w:sz w:val="28"/>
          <w:szCs w:val="28"/>
        </w:rPr>
        <w:t>○</w:t>
      </w:r>
      <w:r w:rsidRPr="007A2B2F">
        <w:rPr>
          <w:rFonts w:hAnsi="標楷體"/>
          <w:sz w:val="28"/>
          <w:szCs w:val="28"/>
        </w:rPr>
        <w:t>號函，要求最高檢察署提供「勘驗最高法院檢察署監聽立法院</w:t>
      </w:r>
      <w:r w:rsidR="001466FF" w:rsidRPr="00925D98">
        <w:rPr>
          <w:rFonts w:ascii="標楷體" w:hAnsi="標楷體" w:hint="eastAsia"/>
          <w:sz w:val="28"/>
          <w:szCs w:val="28"/>
        </w:rPr>
        <w:t>○</w:t>
      </w:r>
      <w:r w:rsidRPr="007A2B2F">
        <w:rPr>
          <w:rFonts w:hAnsi="標楷體"/>
          <w:sz w:val="28"/>
          <w:szCs w:val="28"/>
        </w:rPr>
        <w:t>九七二節費電話之</w:t>
      </w:r>
      <w:r w:rsidRPr="007A2B2F">
        <w:rPr>
          <w:sz w:val="28"/>
          <w:szCs w:val="28"/>
        </w:rPr>
        <w:t>21</w:t>
      </w:r>
      <w:r w:rsidRPr="007A2B2F">
        <w:rPr>
          <w:rFonts w:hAnsi="標楷體"/>
          <w:sz w:val="28"/>
          <w:szCs w:val="28"/>
        </w:rPr>
        <w:t>片光碟片」。</w:t>
      </w:r>
    </w:p>
    <w:p w:rsidR="00D138CD" w:rsidRPr="007A2B2F" w:rsidRDefault="00D138CD" w:rsidP="005E362F">
      <w:pPr>
        <w:tabs>
          <w:tab w:val="left" w:pos="2127"/>
        </w:tabs>
        <w:spacing w:line="391" w:lineRule="exact"/>
        <w:ind w:firstLineChars="200" w:firstLine="560"/>
        <w:jc w:val="both"/>
        <w:rPr>
          <w:sz w:val="28"/>
          <w:szCs w:val="28"/>
        </w:rPr>
      </w:pPr>
      <w:r w:rsidRPr="007A2B2F">
        <w:rPr>
          <w:rFonts w:hAnsi="標楷體"/>
          <w:sz w:val="28"/>
          <w:szCs w:val="28"/>
        </w:rPr>
        <w:t>最高檢察署始終以檢察官之偵查係依據憲法獨立行使職權，立法院之調查權與文件調閱權不應及於檢察官偵辦之個案為由，拒絕提供前開資料予立法院。其間司法委員會曾於一</w:t>
      </w:r>
      <w:r w:rsidR="001466FF" w:rsidRPr="00925D98">
        <w:rPr>
          <w:rFonts w:ascii="標楷體" w:hAnsi="標楷體" w:hint="eastAsia"/>
          <w:sz w:val="28"/>
          <w:szCs w:val="28"/>
        </w:rPr>
        <w:t>○</w:t>
      </w:r>
      <w:r w:rsidRPr="007A2B2F">
        <w:rPr>
          <w:rFonts w:hAnsi="標楷體"/>
          <w:sz w:val="28"/>
          <w:szCs w:val="28"/>
        </w:rPr>
        <w:t>二年十一月十八日以台立司字第一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七八三號函及同年月十七日以台立司字第一</w:t>
      </w:r>
      <w:r w:rsidR="001466FF" w:rsidRPr="00925D98">
        <w:rPr>
          <w:rFonts w:ascii="標楷體" w:hAnsi="標楷體" w:hint="eastAsia"/>
          <w:sz w:val="28"/>
          <w:szCs w:val="28"/>
        </w:rPr>
        <w:t>○</w:t>
      </w:r>
      <w:r w:rsidRPr="007A2B2F">
        <w:rPr>
          <w:rFonts w:hAnsi="標楷體"/>
          <w:sz w:val="28"/>
          <w:szCs w:val="28"/>
        </w:rPr>
        <w:t>二四三</w:t>
      </w:r>
      <w:r w:rsidR="001466FF" w:rsidRPr="00925D98">
        <w:rPr>
          <w:rFonts w:ascii="標楷體" w:hAnsi="標楷體" w:hint="eastAsia"/>
          <w:sz w:val="28"/>
          <w:szCs w:val="28"/>
        </w:rPr>
        <w:t>○○</w:t>
      </w:r>
      <w:r w:rsidRPr="007A2B2F">
        <w:rPr>
          <w:rFonts w:hAnsi="標楷體"/>
          <w:sz w:val="28"/>
          <w:szCs w:val="28"/>
        </w:rPr>
        <w:t>九三八號函，兩度通知檢察總長就調閱卷證一事</w:t>
      </w:r>
      <w:r w:rsidRPr="007A2B2F">
        <w:rPr>
          <w:rFonts w:hAnsi="標楷體"/>
          <w:b/>
          <w:sz w:val="28"/>
          <w:szCs w:val="28"/>
        </w:rPr>
        <w:t>到會報告、備詢</w:t>
      </w:r>
      <w:r w:rsidRPr="007A2B2F">
        <w:rPr>
          <w:rFonts w:hAnsi="標楷體"/>
          <w:sz w:val="28"/>
          <w:szCs w:val="28"/>
        </w:rPr>
        <w:t>。最高檢察署率以法院組織法第六十六條第十項之規定</w:t>
      </w:r>
      <w:r w:rsidRPr="007A2B2F">
        <w:rPr>
          <w:rFonts w:hAnsi="標楷體" w:hint="eastAsia"/>
          <w:sz w:val="22"/>
          <w:szCs w:val="22"/>
        </w:rPr>
        <w:t>（註</w:t>
      </w:r>
      <w:r>
        <w:rPr>
          <w:rFonts w:hAnsi="標楷體" w:hint="eastAsia"/>
          <w:sz w:val="22"/>
          <w:szCs w:val="22"/>
        </w:rPr>
        <w:t>二</w:t>
      </w:r>
      <w:r w:rsidRPr="007A2B2F">
        <w:rPr>
          <w:rFonts w:hAnsi="標楷體" w:hint="eastAsia"/>
          <w:sz w:val="22"/>
          <w:szCs w:val="22"/>
        </w:rPr>
        <w:t>）</w:t>
      </w:r>
      <w:r w:rsidRPr="007A2B2F">
        <w:rPr>
          <w:rFonts w:hAnsi="標楷體"/>
          <w:sz w:val="28"/>
          <w:szCs w:val="28"/>
        </w:rPr>
        <w:t>為由，婉拒出席。司法委員會遂以聲請人迴避監督、藐視國會為由，四度將檢察總長函送監察院調查懲處。</w:t>
      </w:r>
      <w:r w:rsidRPr="007A2B2F">
        <w:rPr>
          <w:rFonts w:hAnsi="標楷體" w:hint="eastAsia"/>
          <w:sz w:val="22"/>
          <w:szCs w:val="22"/>
        </w:rPr>
        <w:t>（註</w:t>
      </w:r>
      <w:r>
        <w:rPr>
          <w:rFonts w:hAnsi="標楷體" w:hint="eastAsia"/>
          <w:sz w:val="22"/>
          <w:szCs w:val="22"/>
        </w:rPr>
        <w:t>三</w:t>
      </w:r>
      <w:r w:rsidRPr="007A2B2F">
        <w:rPr>
          <w:rFonts w:hAnsi="標楷體" w:hint="eastAsia"/>
          <w:sz w:val="22"/>
          <w:szCs w:val="22"/>
        </w:rPr>
        <w:t>）</w:t>
      </w:r>
      <w:r w:rsidRPr="007A2B2F">
        <w:rPr>
          <w:rFonts w:hAnsi="標楷體"/>
          <w:sz w:val="28"/>
          <w:szCs w:val="28"/>
        </w:rPr>
        <w:t>監察院於一</w:t>
      </w:r>
      <w:r w:rsidR="001466FF" w:rsidRPr="00925D98">
        <w:rPr>
          <w:rFonts w:ascii="標楷體" w:hAnsi="標楷體" w:hint="eastAsia"/>
          <w:sz w:val="28"/>
          <w:szCs w:val="28"/>
        </w:rPr>
        <w:t>○</w:t>
      </w:r>
      <w:r w:rsidRPr="007A2B2F">
        <w:rPr>
          <w:rFonts w:hAnsi="標楷體"/>
          <w:sz w:val="28"/>
          <w:szCs w:val="28"/>
        </w:rPr>
        <w:t>三年二月十八日函復司法委員會，略謂將俟司法院大法官解釋後，處理本案。</w:t>
      </w:r>
    </w:p>
    <w:p w:rsidR="00D138CD" w:rsidRPr="007A2B2F" w:rsidRDefault="00D138CD" w:rsidP="0034678D">
      <w:pPr>
        <w:spacing w:line="391" w:lineRule="exact"/>
        <w:ind w:firstLineChars="200" w:firstLine="560"/>
        <w:jc w:val="both"/>
        <w:rPr>
          <w:sz w:val="28"/>
          <w:szCs w:val="28"/>
        </w:rPr>
      </w:pPr>
      <w:r w:rsidRPr="007A2B2F">
        <w:rPr>
          <w:rFonts w:hAnsi="標楷體"/>
          <w:sz w:val="28"/>
          <w:szCs w:val="28"/>
        </w:rPr>
        <w:t>聲請人認為偵查卷證係檢察官依據憲法獨立行使職權所為偵查行為之一部，依司法院大法官釋字第三二五號、第五八五號解釋意旨，應非立法院所得調閱之事物範圍。至案件偵查終結後，偵查卷證之調閱及檢察官有無違法偵查之情事，亦應專屬監察院行使調查權之範圍。詎立法院以聲請人拒絕提供系爭調閱文件（含系爭偵查卷證），乃迴避監督、藐視國會，將聲請人函送監察院調查。聲請人爰以其行使（偵查）職權與立法院行使（調閱文件）職權，發生適用憲法之爭議為由，報請法務部，層轉行政院，聲請本院解釋憲法。</w:t>
      </w:r>
    </w:p>
    <w:p w:rsidR="00D138CD" w:rsidRPr="007A2B2F" w:rsidRDefault="00D138CD" w:rsidP="0034678D">
      <w:pPr>
        <w:spacing w:line="391" w:lineRule="exact"/>
        <w:ind w:firstLineChars="200" w:firstLine="560"/>
        <w:jc w:val="both"/>
        <w:rPr>
          <w:sz w:val="28"/>
          <w:szCs w:val="28"/>
        </w:rPr>
      </w:pPr>
      <w:r w:rsidRPr="007A2B2F">
        <w:rPr>
          <w:rFonts w:hAnsi="標楷體"/>
          <w:sz w:val="28"/>
          <w:szCs w:val="28"/>
        </w:rPr>
        <w:t>經審議後，多數大法官認為：本件聲請符合司法院大法官審理案件法（下稱「案件法」）所定「機關權限爭議」之要件</w:t>
      </w:r>
      <w:r w:rsidRPr="007A2B2F">
        <w:rPr>
          <w:rFonts w:hAnsi="標楷體" w:hint="eastAsia"/>
          <w:sz w:val="22"/>
          <w:szCs w:val="22"/>
        </w:rPr>
        <w:t>（註</w:t>
      </w:r>
      <w:r>
        <w:rPr>
          <w:rFonts w:hAnsi="標楷體" w:hint="eastAsia"/>
          <w:sz w:val="22"/>
          <w:szCs w:val="22"/>
        </w:rPr>
        <w:t>四</w:t>
      </w:r>
      <w:r w:rsidRPr="007A2B2F">
        <w:rPr>
          <w:rFonts w:hAnsi="標楷體" w:hint="eastAsia"/>
          <w:sz w:val="22"/>
          <w:szCs w:val="22"/>
        </w:rPr>
        <w:t>）</w:t>
      </w:r>
      <w:r w:rsidRPr="007A2B2F">
        <w:rPr>
          <w:rFonts w:hAnsi="標楷體"/>
          <w:sz w:val="28"/>
          <w:szCs w:val="28"/>
        </w:rPr>
        <w:t>，決議受理聲請（解釋理由書第一段參見），並釋示四項基本原則如解釋文：</w:t>
      </w:r>
    </w:p>
    <w:p w:rsidR="00D138CD" w:rsidRPr="007A2B2F" w:rsidRDefault="00D138CD" w:rsidP="009001A9">
      <w:pPr>
        <w:kinsoku w:val="0"/>
        <w:overflowPunct w:val="0"/>
        <w:spacing w:line="391" w:lineRule="exact"/>
        <w:ind w:left="560" w:hangingChars="200" w:hanging="560"/>
        <w:jc w:val="both"/>
        <w:rPr>
          <w:sz w:val="28"/>
          <w:szCs w:val="28"/>
        </w:rPr>
      </w:pPr>
      <w:r w:rsidRPr="007A2B2F">
        <w:rPr>
          <w:rFonts w:hAnsi="標楷體"/>
          <w:sz w:val="28"/>
          <w:szCs w:val="28"/>
        </w:rPr>
        <w:t>一、關於偵查中之案件，立法院不得調閱卷證；</w:t>
      </w:r>
    </w:p>
    <w:p w:rsidR="00D138CD" w:rsidRPr="007A2B2F" w:rsidRDefault="00D138CD" w:rsidP="009001A9">
      <w:pPr>
        <w:kinsoku w:val="0"/>
        <w:overflowPunct w:val="0"/>
        <w:spacing w:line="391" w:lineRule="exact"/>
        <w:ind w:left="560" w:hangingChars="200" w:hanging="560"/>
        <w:jc w:val="both"/>
        <w:rPr>
          <w:sz w:val="28"/>
          <w:szCs w:val="28"/>
        </w:rPr>
      </w:pPr>
      <w:r w:rsidRPr="007A2B2F">
        <w:rPr>
          <w:rFonts w:hAnsi="標楷體"/>
          <w:sz w:val="28"/>
          <w:szCs w:val="28"/>
        </w:rPr>
        <w:t>二、偵查終結而未起訴之案件（含不起訴處分確定或以其他方式結案者），立法院調閱卷證應以與其行使憲法上職權有重大關聯，且非屬法律所禁止或不妨害另案偵查者為限；</w:t>
      </w:r>
      <w:r w:rsidRPr="007A2B2F">
        <w:rPr>
          <w:rFonts w:hAnsi="標楷體" w:hint="eastAsia"/>
          <w:sz w:val="22"/>
          <w:szCs w:val="22"/>
        </w:rPr>
        <w:t>（註</w:t>
      </w:r>
      <w:r>
        <w:rPr>
          <w:rFonts w:hAnsi="標楷體" w:hint="eastAsia"/>
          <w:sz w:val="22"/>
          <w:szCs w:val="22"/>
        </w:rPr>
        <w:t>五</w:t>
      </w:r>
      <w:r w:rsidRPr="007A2B2F">
        <w:rPr>
          <w:rFonts w:hAnsi="標楷體" w:hint="eastAsia"/>
          <w:sz w:val="22"/>
          <w:szCs w:val="22"/>
        </w:rPr>
        <w:t>）</w:t>
      </w:r>
    </w:p>
    <w:p w:rsidR="00D138CD" w:rsidRPr="007A2B2F" w:rsidRDefault="00D138CD" w:rsidP="009001A9">
      <w:pPr>
        <w:kinsoku w:val="0"/>
        <w:overflowPunct w:val="0"/>
        <w:spacing w:line="391" w:lineRule="exact"/>
        <w:ind w:left="560" w:hangingChars="200" w:hanging="560"/>
        <w:jc w:val="both"/>
        <w:rPr>
          <w:sz w:val="28"/>
          <w:szCs w:val="28"/>
        </w:rPr>
      </w:pPr>
      <w:r w:rsidRPr="007A2B2F">
        <w:rPr>
          <w:rFonts w:hAnsi="標楷體"/>
          <w:sz w:val="28"/>
          <w:szCs w:val="28"/>
        </w:rPr>
        <w:t>三、立法院調閱偵查卷證之原本或</w:t>
      </w:r>
      <w:r w:rsidRPr="007A2B2F">
        <w:rPr>
          <w:rFonts w:hAnsi="標楷體"/>
          <w:b/>
          <w:sz w:val="28"/>
          <w:szCs w:val="28"/>
        </w:rPr>
        <w:t>與原本內容相同之影本</w:t>
      </w:r>
      <w:r w:rsidRPr="007A2B2F">
        <w:rPr>
          <w:rFonts w:hAnsi="標楷體"/>
          <w:sz w:val="28"/>
          <w:szCs w:val="28"/>
        </w:rPr>
        <w:t>，應經立法院院會之決議；</w:t>
      </w:r>
    </w:p>
    <w:p w:rsidR="00D138CD" w:rsidRPr="007A2B2F" w:rsidRDefault="00D138CD" w:rsidP="009001A9">
      <w:pPr>
        <w:kinsoku w:val="0"/>
        <w:overflowPunct w:val="0"/>
        <w:spacing w:line="391" w:lineRule="exact"/>
        <w:ind w:left="560" w:hangingChars="200" w:hanging="560"/>
        <w:jc w:val="both"/>
        <w:rPr>
          <w:sz w:val="28"/>
          <w:szCs w:val="28"/>
        </w:rPr>
      </w:pPr>
      <w:r w:rsidRPr="007A2B2F">
        <w:rPr>
          <w:rFonts w:hAnsi="標楷體"/>
          <w:sz w:val="28"/>
          <w:szCs w:val="28"/>
        </w:rPr>
        <w:t>四、</w:t>
      </w:r>
      <w:r w:rsidRPr="009001A9">
        <w:rPr>
          <w:rFonts w:hAnsi="標楷體"/>
          <w:sz w:val="28"/>
          <w:szCs w:val="28"/>
        </w:rPr>
        <w:t>立法委員</w:t>
      </w:r>
      <w:r w:rsidRPr="007A2B2F">
        <w:rPr>
          <w:rFonts w:hAnsi="標楷體"/>
          <w:sz w:val="28"/>
          <w:szCs w:val="28"/>
        </w:rPr>
        <w:t>及相關人員因調閱卷證獲悉之資訊，應注意維護關係人之權益（如名譽、隱私、營業秘密等）。</w:t>
      </w:r>
    </w:p>
    <w:p w:rsidR="00D138CD" w:rsidRPr="007A2B2F" w:rsidRDefault="00D138CD" w:rsidP="0034678D">
      <w:pPr>
        <w:spacing w:line="391" w:lineRule="exact"/>
        <w:ind w:firstLineChars="200" w:firstLine="560"/>
        <w:jc w:val="both"/>
        <w:rPr>
          <w:sz w:val="28"/>
          <w:szCs w:val="28"/>
        </w:rPr>
      </w:pPr>
      <w:r w:rsidRPr="007A2B2F">
        <w:rPr>
          <w:rFonts w:hAnsi="標楷體"/>
          <w:sz w:val="28"/>
          <w:szCs w:val="28"/>
        </w:rPr>
        <w:t>關於上述四項解釋原則，本席敬表同意，僅於其表述方式或細部內容不盡贊同；至多數意見刻意</w:t>
      </w:r>
      <w:r w:rsidRPr="007A2B2F">
        <w:rPr>
          <w:rFonts w:hAnsi="標楷體"/>
          <w:b/>
          <w:sz w:val="28"/>
          <w:szCs w:val="28"/>
        </w:rPr>
        <w:t>規避</w:t>
      </w:r>
      <w:r w:rsidRPr="007A2B2F">
        <w:rPr>
          <w:rFonts w:hAnsi="標楷體"/>
          <w:sz w:val="28"/>
          <w:szCs w:val="28"/>
        </w:rPr>
        <w:t>前揭兩機關間諸多具體權限</w:t>
      </w:r>
      <w:r w:rsidRPr="007A2B2F">
        <w:rPr>
          <w:rFonts w:hAnsi="標楷體"/>
          <w:b/>
          <w:sz w:val="28"/>
          <w:szCs w:val="28"/>
        </w:rPr>
        <w:t>爭議</w:t>
      </w:r>
      <w:r w:rsidRPr="007A2B2F">
        <w:rPr>
          <w:rFonts w:hAnsi="標楷體"/>
          <w:sz w:val="28"/>
          <w:szCs w:val="28"/>
        </w:rPr>
        <w:t>，</w:t>
      </w:r>
      <w:r w:rsidRPr="007A2B2F">
        <w:rPr>
          <w:rFonts w:hAnsi="標楷體"/>
          <w:b/>
          <w:sz w:val="28"/>
          <w:szCs w:val="28"/>
        </w:rPr>
        <w:t>不為裁決</w:t>
      </w:r>
      <w:r w:rsidRPr="007A2B2F">
        <w:rPr>
          <w:rFonts w:hAnsi="標楷體"/>
          <w:sz w:val="28"/>
          <w:szCs w:val="28"/>
        </w:rPr>
        <w:t>，而</w:t>
      </w:r>
      <w:r w:rsidRPr="007A2B2F">
        <w:rPr>
          <w:rFonts w:hAnsi="標楷體"/>
          <w:b/>
          <w:sz w:val="28"/>
          <w:szCs w:val="28"/>
        </w:rPr>
        <w:t>僅就</w:t>
      </w:r>
      <w:r w:rsidRPr="007A2B2F">
        <w:rPr>
          <w:rFonts w:hAnsi="標楷體"/>
          <w:sz w:val="28"/>
          <w:szCs w:val="28"/>
        </w:rPr>
        <w:t>「立法院委員會得否調閱偵查卷證」之</w:t>
      </w:r>
      <w:r w:rsidRPr="007A2B2F">
        <w:rPr>
          <w:rFonts w:hAnsi="標楷體"/>
          <w:b/>
          <w:sz w:val="28"/>
          <w:szCs w:val="28"/>
        </w:rPr>
        <w:t>疑義</w:t>
      </w:r>
      <w:r w:rsidRPr="007A2B2F">
        <w:rPr>
          <w:rFonts w:hAnsi="標楷體"/>
          <w:sz w:val="28"/>
          <w:szCs w:val="28"/>
        </w:rPr>
        <w:t>，</w:t>
      </w:r>
      <w:r w:rsidRPr="007A2B2F">
        <w:rPr>
          <w:rFonts w:hAnsi="標楷體"/>
          <w:b/>
          <w:sz w:val="28"/>
          <w:szCs w:val="28"/>
        </w:rPr>
        <w:t>作成</w:t>
      </w:r>
      <w:r w:rsidRPr="007A2B2F">
        <w:rPr>
          <w:rFonts w:hAnsi="標楷體"/>
          <w:sz w:val="28"/>
          <w:szCs w:val="28"/>
        </w:rPr>
        <w:t>一般性之</w:t>
      </w:r>
      <w:r w:rsidRPr="007A2B2F">
        <w:rPr>
          <w:rFonts w:hAnsi="標楷體"/>
          <w:b/>
          <w:sz w:val="28"/>
          <w:szCs w:val="28"/>
        </w:rPr>
        <w:t>闡釋</w:t>
      </w:r>
      <w:r w:rsidRPr="007A2B2F">
        <w:rPr>
          <w:rFonts w:hAnsi="標楷體"/>
          <w:sz w:val="28"/>
          <w:szCs w:val="28"/>
        </w:rPr>
        <w:t>，本席則歉難贊同。懍於守護憲法之職責，爰提出部分協同暨部分不同意見書如后。</w:t>
      </w:r>
    </w:p>
    <w:p w:rsidR="00D138CD" w:rsidRPr="007A2B2F" w:rsidRDefault="00D138CD" w:rsidP="00D138CD">
      <w:pPr>
        <w:kinsoku w:val="0"/>
        <w:overflowPunct w:val="0"/>
        <w:spacing w:line="391" w:lineRule="exact"/>
        <w:ind w:leftChars="100" w:left="881" w:hangingChars="200" w:hanging="561"/>
        <w:jc w:val="both"/>
        <w:rPr>
          <w:b/>
          <w:sz w:val="28"/>
          <w:szCs w:val="28"/>
        </w:rPr>
      </w:pPr>
      <w:r>
        <w:rPr>
          <w:rFonts w:hAnsi="標楷體" w:hint="eastAsia"/>
          <w:b/>
          <w:sz w:val="28"/>
          <w:szCs w:val="28"/>
        </w:rPr>
        <w:t>一、</w:t>
      </w:r>
      <w:r w:rsidRPr="007A2B2F">
        <w:rPr>
          <w:rFonts w:hAnsi="標楷體"/>
          <w:b/>
          <w:sz w:val="28"/>
          <w:szCs w:val="28"/>
        </w:rPr>
        <w:t>協同意見部分</w:t>
      </w:r>
    </w:p>
    <w:p w:rsidR="00D138CD" w:rsidRPr="007A2B2F" w:rsidRDefault="00D138CD" w:rsidP="0034678D">
      <w:pPr>
        <w:spacing w:line="391" w:lineRule="exact"/>
        <w:ind w:left="907" w:firstLine="567"/>
        <w:rPr>
          <w:sz w:val="28"/>
          <w:szCs w:val="28"/>
        </w:rPr>
      </w:pPr>
      <w:r w:rsidRPr="007A2B2F">
        <w:rPr>
          <w:rFonts w:hAnsi="標楷體"/>
          <w:sz w:val="28"/>
          <w:szCs w:val="28"/>
        </w:rPr>
        <w:t>就前揭解釋文所釋示之四項原則，本席有四點補充（修正）意見。</w:t>
      </w:r>
    </w:p>
    <w:p w:rsidR="00D138CD" w:rsidRPr="007A2B2F" w:rsidRDefault="00D138CD" w:rsidP="00D138CD">
      <w:pPr>
        <w:spacing w:line="391" w:lineRule="exact"/>
        <w:ind w:left="918" w:hanging="198"/>
        <w:rPr>
          <w:b/>
          <w:sz w:val="28"/>
          <w:szCs w:val="28"/>
        </w:rPr>
      </w:pPr>
      <w:r w:rsidRPr="007A2B2F">
        <w:rPr>
          <w:b/>
          <w:sz w:val="28"/>
          <w:szCs w:val="28"/>
        </w:rPr>
        <w:t>1.</w:t>
      </w:r>
      <w:r w:rsidRPr="007A2B2F">
        <w:rPr>
          <w:rFonts w:hAnsi="標楷體"/>
          <w:b/>
          <w:sz w:val="28"/>
          <w:szCs w:val="28"/>
        </w:rPr>
        <w:t>「保障檢察機關獨立行使職權」乃「權力分立原則」之部分內涵，兩者</w:t>
      </w:r>
      <w:r w:rsidRPr="007A2B2F">
        <w:rPr>
          <w:rFonts w:hAnsi="標楷體"/>
          <w:b/>
          <w:sz w:val="28"/>
          <w:szCs w:val="28"/>
        </w:rPr>
        <w:lastRenderedPageBreak/>
        <w:t>非為並立關係</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關於偵查中之案件，立法院所以不得調閱卷證，乃因檢察機關代表國家進行犯罪之偵查與追訴，係屬依據憲法獨立行使職權之行為，基於權力分立、相互制衡並相互尊重之原則，應免於其他權力部門之干涉（參見本院釋字第五八五號解釋</w:t>
      </w:r>
      <w:r w:rsidRPr="007A2B2F">
        <w:rPr>
          <w:rFonts w:hAnsi="標楷體" w:hint="eastAsia"/>
          <w:sz w:val="22"/>
          <w:szCs w:val="22"/>
        </w:rPr>
        <w:t>（註</w:t>
      </w:r>
      <w:r>
        <w:rPr>
          <w:rFonts w:hAnsi="標楷體" w:hint="eastAsia"/>
          <w:sz w:val="22"/>
          <w:szCs w:val="22"/>
        </w:rPr>
        <w:t>六</w:t>
      </w:r>
      <w:r w:rsidRPr="007A2B2F">
        <w:rPr>
          <w:rFonts w:hAnsi="標楷體" w:hint="eastAsia"/>
          <w:sz w:val="22"/>
          <w:szCs w:val="22"/>
        </w:rPr>
        <w:t>）</w:t>
      </w:r>
      <w:r w:rsidRPr="007A2B2F">
        <w:rPr>
          <w:rFonts w:hAnsi="標楷體"/>
          <w:sz w:val="28"/>
          <w:szCs w:val="28"/>
        </w:rPr>
        <w:t>）。亦即，「保障檢察機關獨立行使職權」乃「權力分立原則」之部分內涵，兩者所言僅為一理；非謂「基於權力分立與制衡原則」之外，另「為保障檢察機關獨立行使職權」。準此，解釋文第一句所稱「基於權力分立與制衡原則，</w:t>
      </w:r>
      <w:r w:rsidRPr="007A2B2F">
        <w:rPr>
          <w:rFonts w:hAnsi="標楷體"/>
          <w:b/>
          <w:sz w:val="28"/>
          <w:szCs w:val="28"/>
        </w:rPr>
        <w:t>且</w:t>
      </w:r>
      <w:r w:rsidRPr="007A2B2F">
        <w:rPr>
          <w:rFonts w:hAnsi="標楷體"/>
          <w:sz w:val="28"/>
          <w:szCs w:val="28"/>
        </w:rPr>
        <w:t>為保障檢察機關獨立行使職權」，顯有語病。該「且」字應予刪除，免滋誤會。</w:t>
      </w:r>
    </w:p>
    <w:p w:rsidR="00D138CD" w:rsidRPr="007A2B2F" w:rsidRDefault="00D138CD" w:rsidP="00D138CD">
      <w:pPr>
        <w:spacing w:line="391" w:lineRule="exact"/>
        <w:ind w:left="918" w:hanging="198"/>
        <w:rPr>
          <w:b/>
          <w:sz w:val="28"/>
          <w:szCs w:val="28"/>
        </w:rPr>
      </w:pPr>
      <w:r w:rsidRPr="007A2B2F">
        <w:rPr>
          <w:b/>
          <w:sz w:val="28"/>
          <w:szCs w:val="28"/>
        </w:rPr>
        <w:t>2.</w:t>
      </w:r>
      <w:r w:rsidRPr="007A2B2F">
        <w:rPr>
          <w:rFonts w:hAnsi="標楷體"/>
          <w:b/>
          <w:sz w:val="28"/>
          <w:szCs w:val="28"/>
        </w:rPr>
        <w:t>限制立法院調閱</w:t>
      </w:r>
      <w:r w:rsidRPr="00DB6D1C">
        <w:rPr>
          <w:b/>
          <w:sz w:val="28"/>
          <w:szCs w:val="28"/>
        </w:rPr>
        <w:t>偵查</w:t>
      </w:r>
      <w:r w:rsidRPr="007A2B2F">
        <w:rPr>
          <w:rFonts w:hAnsi="標楷體"/>
          <w:b/>
          <w:sz w:val="28"/>
          <w:szCs w:val="28"/>
        </w:rPr>
        <w:t>卷證「須基於目的與範圍均屬明確之特定議案」，有違事理，勢難執行</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關於偵查終結而未起訴之案件（含不起訴處分確定或以其他方式結案者），立法院調閱卷證固應有所限制，然多數意見於「須與其行使憲法上職權有重大關聯」</w:t>
      </w:r>
      <w:r w:rsidRPr="007A2B2F">
        <w:rPr>
          <w:rFonts w:hAnsi="標楷體" w:hint="eastAsia"/>
          <w:sz w:val="22"/>
          <w:szCs w:val="22"/>
        </w:rPr>
        <w:t>（註</w:t>
      </w:r>
      <w:r>
        <w:rPr>
          <w:rFonts w:hAnsi="標楷體" w:hint="eastAsia"/>
          <w:sz w:val="22"/>
          <w:szCs w:val="22"/>
        </w:rPr>
        <w:t>七</w:t>
      </w:r>
      <w:r w:rsidRPr="007A2B2F">
        <w:rPr>
          <w:rFonts w:hAnsi="標楷體" w:hint="eastAsia"/>
          <w:sz w:val="22"/>
          <w:szCs w:val="22"/>
        </w:rPr>
        <w:t>）</w:t>
      </w:r>
      <w:r w:rsidRPr="007A2B2F">
        <w:rPr>
          <w:rFonts w:hAnsi="標楷體"/>
          <w:sz w:val="28"/>
          <w:szCs w:val="28"/>
        </w:rPr>
        <w:t>、「非屬法律所禁止」</w:t>
      </w:r>
      <w:r w:rsidRPr="007A2B2F">
        <w:rPr>
          <w:rFonts w:hAnsi="標楷體" w:hint="eastAsia"/>
          <w:sz w:val="22"/>
          <w:szCs w:val="22"/>
        </w:rPr>
        <w:t>（註</w:t>
      </w:r>
      <w:r>
        <w:rPr>
          <w:rFonts w:hAnsi="標楷體" w:hint="eastAsia"/>
          <w:sz w:val="22"/>
          <w:szCs w:val="22"/>
        </w:rPr>
        <w:t>八</w:t>
      </w:r>
      <w:r w:rsidRPr="007A2B2F">
        <w:rPr>
          <w:rFonts w:hAnsi="標楷體" w:hint="eastAsia"/>
          <w:sz w:val="22"/>
          <w:szCs w:val="22"/>
        </w:rPr>
        <w:t>）</w:t>
      </w:r>
      <w:r w:rsidRPr="007A2B2F">
        <w:rPr>
          <w:rFonts w:hAnsi="標楷體"/>
          <w:sz w:val="28"/>
          <w:szCs w:val="28"/>
        </w:rPr>
        <w:t>及「不妨害另案偵查」等三項限制外，更要求「須基於目的與範圍均屬明確之特定議案」始得為之（解釋文第二及第三句參見）。對此，解釋理由書第二段說明：「</w:t>
      </w:r>
      <w:r w:rsidRPr="007A2B2F">
        <w:rPr>
          <w:rFonts w:hAnsi="標楷體"/>
          <w:b/>
          <w:sz w:val="28"/>
          <w:szCs w:val="28"/>
        </w:rPr>
        <w:t>為判斷</w:t>
      </w:r>
      <w:r w:rsidRPr="007A2B2F">
        <w:rPr>
          <w:rFonts w:hAnsi="標楷體"/>
          <w:sz w:val="28"/>
          <w:szCs w:val="28"/>
        </w:rPr>
        <w:t>文件調閱權之行使是否與立法院職權之行使有</w:t>
      </w:r>
      <w:r w:rsidRPr="007A2B2F">
        <w:rPr>
          <w:rFonts w:hAnsi="標楷體"/>
          <w:b/>
          <w:sz w:val="28"/>
          <w:szCs w:val="28"/>
        </w:rPr>
        <w:t>重大關聯</w:t>
      </w:r>
      <w:r w:rsidRPr="007A2B2F">
        <w:rPr>
          <w:rFonts w:hAnsi="標楷體"/>
          <w:sz w:val="28"/>
          <w:szCs w:val="28"/>
        </w:rPr>
        <w:t>，上開立法院職權行使法第四十五條第一項所稱</w:t>
      </w:r>
      <w:r w:rsidRPr="007A2B2F">
        <w:rPr>
          <w:rFonts w:hAnsi="標楷體"/>
          <w:b/>
          <w:sz w:val="28"/>
          <w:szCs w:val="28"/>
        </w:rPr>
        <w:t>特定議案，其目的及範圍均應明確</w:t>
      </w:r>
      <w:r w:rsidRPr="007A2B2F">
        <w:rPr>
          <w:rFonts w:hAnsi="標楷體"/>
          <w:sz w:val="28"/>
          <w:szCs w:val="28"/>
        </w:rPr>
        <w:t>」。</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查</w:t>
      </w:r>
      <w:r w:rsidRPr="007A2B2F">
        <w:rPr>
          <w:rFonts w:hAnsi="標楷體"/>
          <w:b/>
          <w:sz w:val="28"/>
          <w:szCs w:val="28"/>
        </w:rPr>
        <w:t>此一限制實際係將</w:t>
      </w:r>
      <w:r w:rsidRPr="007A2B2F">
        <w:rPr>
          <w:rFonts w:hAnsi="標楷體"/>
          <w:sz w:val="28"/>
          <w:szCs w:val="28"/>
        </w:rPr>
        <w:t>原為落實「層級化法律保留原則」</w:t>
      </w:r>
      <w:r w:rsidRPr="007A2B2F">
        <w:rPr>
          <w:rFonts w:hAnsi="標楷體" w:hint="eastAsia"/>
          <w:sz w:val="22"/>
          <w:szCs w:val="22"/>
        </w:rPr>
        <w:t>（註</w:t>
      </w:r>
      <w:r>
        <w:rPr>
          <w:rFonts w:hAnsi="標楷體" w:hint="eastAsia"/>
          <w:sz w:val="22"/>
          <w:szCs w:val="22"/>
        </w:rPr>
        <w:t>九</w:t>
      </w:r>
      <w:r w:rsidRPr="007A2B2F">
        <w:rPr>
          <w:rFonts w:hAnsi="標楷體" w:hint="eastAsia"/>
          <w:sz w:val="22"/>
          <w:szCs w:val="22"/>
        </w:rPr>
        <w:t>）</w:t>
      </w:r>
      <w:r w:rsidRPr="007A2B2F">
        <w:rPr>
          <w:rFonts w:hAnsi="標楷體"/>
          <w:sz w:val="28"/>
          <w:szCs w:val="28"/>
        </w:rPr>
        <w:t>，以保障人民權利，而課予立法者於授權行政機關訂定法規命令以限制人民權利時，應遵守之</w:t>
      </w:r>
      <w:r w:rsidRPr="007A2B2F">
        <w:rPr>
          <w:rFonts w:hAnsi="標楷體"/>
          <w:b/>
          <w:sz w:val="28"/>
          <w:szCs w:val="28"/>
        </w:rPr>
        <w:t>「授權明確性」要求</w:t>
      </w:r>
      <w:r w:rsidR="00173265">
        <w:rPr>
          <w:sz w:val="28"/>
          <w:szCs w:val="28"/>
        </w:rPr>
        <w:t>（</w:t>
      </w:r>
      <w:r w:rsidRPr="007A2B2F">
        <w:rPr>
          <w:sz w:val="28"/>
          <w:szCs w:val="28"/>
        </w:rPr>
        <w:t>Bestimmtheitgebot</w:t>
      </w:r>
      <w:r w:rsidR="00173265">
        <w:rPr>
          <w:sz w:val="28"/>
          <w:szCs w:val="28"/>
        </w:rPr>
        <w:t>）</w:t>
      </w:r>
      <w:r w:rsidRPr="007A2B2F">
        <w:rPr>
          <w:rFonts w:hAnsi="標楷體" w:hint="eastAsia"/>
          <w:sz w:val="22"/>
          <w:szCs w:val="22"/>
        </w:rPr>
        <w:t xml:space="preserve"> </w:t>
      </w:r>
      <w:r w:rsidRPr="007A2B2F">
        <w:rPr>
          <w:rFonts w:hAnsi="標楷體" w:hint="eastAsia"/>
          <w:sz w:val="22"/>
          <w:szCs w:val="22"/>
        </w:rPr>
        <w:t>（註</w:t>
      </w:r>
      <w:r>
        <w:rPr>
          <w:rFonts w:hAnsi="標楷體" w:hint="eastAsia"/>
          <w:sz w:val="22"/>
          <w:szCs w:val="22"/>
        </w:rPr>
        <w:t>十</w:t>
      </w:r>
      <w:r w:rsidRPr="007A2B2F">
        <w:rPr>
          <w:rFonts w:hAnsi="標楷體" w:hint="eastAsia"/>
          <w:sz w:val="22"/>
          <w:szCs w:val="22"/>
        </w:rPr>
        <w:t>）</w:t>
      </w:r>
      <w:r w:rsidRPr="007A2B2F">
        <w:rPr>
          <w:rFonts w:hAnsi="標楷體"/>
          <w:sz w:val="28"/>
          <w:szCs w:val="28"/>
        </w:rPr>
        <w:t>，</w:t>
      </w:r>
      <w:r w:rsidRPr="007A2B2F">
        <w:rPr>
          <w:rFonts w:hAnsi="標楷體"/>
          <w:b/>
          <w:sz w:val="28"/>
          <w:szCs w:val="28"/>
        </w:rPr>
        <w:t>強行套用於立法機關與其他平行憲法機關間之權力互動關係</w:t>
      </w:r>
      <w:r w:rsidRPr="007A2B2F">
        <w:rPr>
          <w:rFonts w:hAnsi="標楷體"/>
          <w:sz w:val="28"/>
          <w:szCs w:val="28"/>
        </w:rPr>
        <w:t>。此舉恰如坊間所謂「張飛打岳飛」，牛頭不對馬嘴！因全然眛於事理，勢必窒礙難行。試問：立法院倘因弊案傳聞而向有關機關調閱文件以便修法，該修法議案之目的與範圍豈為自始全然明確？抑或必隨弊案之發展而時常調整？</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其實本院釋字第三二五號</w:t>
      </w:r>
      <w:r w:rsidR="009001A9">
        <w:rPr>
          <w:rFonts w:hAnsi="標楷體" w:hint="eastAsia"/>
          <w:sz w:val="28"/>
          <w:szCs w:val="28"/>
        </w:rPr>
        <w:t>解釋</w:t>
      </w:r>
      <w:r w:rsidRPr="007A2B2F">
        <w:rPr>
          <w:rFonts w:hAnsi="標楷體"/>
          <w:sz w:val="28"/>
          <w:szCs w:val="28"/>
        </w:rPr>
        <w:t>肯認立法院有「文件調閱權」，釋字第五八五號</w:t>
      </w:r>
      <w:r w:rsidR="009001A9">
        <w:rPr>
          <w:rFonts w:hAnsi="標楷體" w:hint="eastAsia"/>
          <w:sz w:val="28"/>
          <w:szCs w:val="28"/>
        </w:rPr>
        <w:t>解釋</w:t>
      </w:r>
      <w:r w:rsidRPr="007A2B2F">
        <w:rPr>
          <w:rFonts w:hAnsi="標楷體"/>
          <w:sz w:val="28"/>
          <w:szCs w:val="28"/>
        </w:rPr>
        <w:t>進一步肯認立法院有「調查權」，其前提始終為「為使立法院有效行使其憲法所賦予之立法職權」。而其指導原則（前決之憲法結構認知）乃「五權憲法架構迄未變更」。是監察院為行使糾彈權應有個案調查權，立法院為行使立法權應有調查權（含文件調閱權）。前揭兩號解釋並為立法院調查權之行使設定兩道界限：「凡國家機關獨立行使職權受憲法之保障者，即非立法院所得調查之事物範圍」，及「所欲調查之事項須與其行使憲法所賦予之職權有重大關聯者」。究本號解釋多數意見所以執意增設「須基於目的與範圍均屬明確之特定議案」之限</w:t>
      </w:r>
      <w:r w:rsidRPr="007A2B2F">
        <w:rPr>
          <w:rFonts w:hAnsi="標楷體"/>
          <w:sz w:val="28"/>
          <w:szCs w:val="28"/>
        </w:rPr>
        <w:lastRenderedPageBreak/>
        <w:t>制，實為避免「裁決」機關間具體之權限「爭議」（詳後二、</w:t>
      </w:r>
      <w:r w:rsidRPr="007A2B2F">
        <w:rPr>
          <w:sz w:val="28"/>
          <w:szCs w:val="28"/>
        </w:rPr>
        <w:t>2</w:t>
      </w:r>
      <w:r w:rsidRPr="007A2B2F">
        <w:rPr>
          <w:rFonts w:hAnsi="標楷體"/>
          <w:sz w:val="28"/>
          <w:szCs w:val="28"/>
        </w:rPr>
        <w:t>）。</w:t>
      </w:r>
    </w:p>
    <w:p w:rsidR="00D138CD" w:rsidRPr="007A2B2F" w:rsidRDefault="00D138CD" w:rsidP="00D138CD">
      <w:pPr>
        <w:spacing w:line="391" w:lineRule="exact"/>
        <w:ind w:left="918" w:hanging="198"/>
        <w:rPr>
          <w:b/>
          <w:sz w:val="28"/>
          <w:szCs w:val="28"/>
        </w:rPr>
      </w:pPr>
      <w:r w:rsidRPr="007A2B2F">
        <w:rPr>
          <w:b/>
          <w:sz w:val="28"/>
          <w:szCs w:val="28"/>
        </w:rPr>
        <w:t>3.</w:t>
      </w:r>
      <w:r w:rsidRPr="007A2B2F">
        <w:rPr>
          <w:rFonts w:hAnsi="標楷體"/>
          <w:b/>
          <w:sz w:val="28"/>
          <w:szCs w:val="28"/>
        </w:rPr>
        <w:t>立法院調閱「與文件原本內容相同之影本」，亦應經院會之決議，乃本號解釋對釋字第三二五號解釋之補充</w:t>
      </w:r>
    </w:p>
    <w:p w:rsidR="00D138CD" w:rsidRPr="007A2B2F" w:rsidRDefault="00D138CD" w:rsidP="00D138CD">
      <w:pPr>
        <w:spacing w:line="391" w:lineRule="exact"/>
        <w:ind w:left="1021" w:firstLine="482"/>
        <w:rPr>
          <w:sz w:val="28"/>
          <w:szCs w:val="28"/>
        </w:rPr>
      </w:pPr>
      <w:r w:rsidRPr="007A2B2F">
        <w:rPr>
          <w:rFonts w:hAnsi="標楷體"/>
          <w:sz w:val="28"/>
          <w:szCs w:val="28"/>
        </w:rPr>
        <w:t>為期慎重，立法院調閱文件（含偵查卷證）之「原本」應經院會之決議，業經本院釋字第三二五號解釋釋示在案。該號解釋固未論及「影本」之調閱程序，然就調閱文件之目的乃為</w:t>
      </w:r>
      <w:r w:rsidRPr="007A2B2F">
        <w:rPr>
          <w:rFonts w:hAnsi="標楷體"/>
          <w:b/>
          <w:sz w:val="28"/>
          <w:szCs w:val="28"/>
        </w:rPr>
        <w:t>獲悉</w:t>
      </w:r>
      <w:r w:rsidRPr="007A2B2F">
        <w:rPr>
          <w:rFonts w:hAnsi="標楷體"/>
          <w:sz w:val="28"/>
          <w:szCs w:val="28"/>
        </w:rPr>
        <w:t>（其中所載之）</w:t>
      </w:r>
      <w:r w:rsidRPr="007A2B2F">
        <w:rPr>
          <w:rFonts w:hAnsi="標楷體"/>
          <w:b/>
          <w:sz w:val="28"/>
          <w:szCs w:val="28"/>
        </w:rPr>
        <w:t>資訊</w:t>
      </w:r>
      <w:r w:rsidRPr="007A2B2F">
        <w:rPr>
          <w:rFonts w:hAnsi="標楷體"/>
          <w:sz w:val="28"/>
          <w:szCs w:val="28"/>
        </w:rPr>
        <w:t>而言，調閱「</w:t>
      </w:r>
      <w:r w:rsidRPr="007A2B2F">
        <w:rPr>
          <w:rFonts w:hAnsi="標楷體"/>
          <w:b/>
          <w:sz w:val="28"/>
          <w:szCs w:val="28"/>
        </w:rPr>
        <w:t>與原本內容相同之影本」</w:t>
      </w:r>
      <w:r w:rsidRPr="007A2B2F">
        <w:rPr>
          <w:rFonts w:hAnsi="標楷體"/>
          <w:sz w:val="28"/>
          <w:szCs w:val="28"/>
        </w:rPr>
        <w:t>實與調閱「原本」無殊。故立法院調閱之文件，除係得由受調閱機關自行審酌提出之「節本」或「參考資料」，而僅須有委員會之決議外，凡與原本內容相同之「影本」（如本件原因案件之情形），自亦須經院會之決議，始得為之。在此範圍，本號解釋對本院釋字第三二五號解釋確有補充。</w:t>
      </w:r>
    </w:p>
    <w:p w:rsidR="00D138CD" w:rsidRPr="007A2B2F" w:rsidRDefault="00D138CD" w:rsidP="00D138CD">
      <w:pPr>
        <w:spacing w:line="391" w:lineRule="exact"/>
        <w:ind w:left="918" w:hanging="198"/>
        <w:rPr>
          <w:b/>
          <w:sz w:val="28"/>
          <w:szCs w:val="28"/>
        </w:rPr>
      </w:pPr>
      <w:r>
        <w:rPr>
          <w:b/>
          <w:sz w:val="28"/>
          <w:szCs w:val="28"/>
        </w:rPr>
        <w:t>4.</w:t>
      </w:r>
      <w:r w:rsidRPr="007A2B2F">
        <w:rPr>
          <w:rFonts w:hAnsi="標楷體"/>
          <w:b/>
          <w:sz w:val="28"/>
          <w:szCs w:val="28"/>
        </w:rPr>
        <w:t>因調閱文件而獲悉之資訊應注意維護公益及私益，然不限於「使用」一端</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立法委員及相關人員因調閱文件（含偵查卷證）而獲悉之資訊，應注意維護公共利益及關係人之權益（如名譽、隱私、營業秘密等），揆諸相關法令</w:t>
      </w:r>
      <w:r w:rsidRPr="007A2B2F">
        <w:rPr>
          <w:rFonts w:hAnsi="標楷體" w:hint="eastAsia"/>
          <w:sz w:val="22"/>
          <w:szCs w:val="22"/>
        </w:rPr>
        <w:t>（註</w:t>
      </w:r>
      <w:r>
        <w:rPr>
          <w:rFonts w:hAnsi="標楷體" w:hint="eastAsia"/>
          <w:sz w:val="22"/>
          <w:szCs w:val="22"/>
        </w:rPr>
        <w:t>十一</w:t>
      </w:r>
      <w:r w:rsidRPr="007A2B2F">
        <w:rPr>
          <w:rFonts w:hAnsi="標楷體" w:hint="eastAsia"/>
          <w:sz w:val="22"/>
          <w:szCs w:val="22"/>
        </w:rPr>
        <w:t>）</w:t>
      </w:r>
      <w:r w:rsidRPr="007A2B2F">
        <w:rPr>
          <w:rFonts w:hAnsi="標楷體"/>
          <w:sz w:val="28"/>
          <w:szCs w:val="28"/>
        </w:rPr>
        <w:t>，本屬當然。多數意見（解釋文第四句）再次提醒原無不可，惟其措辭「因調閱卷證而知悉之資訊，其</w:t>
      </w:r>
      <w:r w:rsidRPr="007A2B2F">
        <w:rPr>
          <w:rFonts w:hAnsi="標楷體"/>
          <w:b/>
          <w:sz w:val="28"/>
          <w:szCs w:val="28"/>
        </w:rPr>
        <w:t>使用</w:t>
      </w:r>
      <w:r w:rsidRPr="007A2B2F">
        <w:rPr>
          <w:rFonts w:hAnsi="標楷體"/>
          <w:sz w:val="28"/>
          <w:szCs w:val="28"/>
        </w:rPr>
        <w:t>應限於行使憲法上職權所必要，並注意維護關係人之權益（如名譽、隱私、營業秘密等）」，因強調資訊之「使用」應受限制，乃有語病，易滋誤會。</w:t>
      </w:r>
    </w:p>
    <w:p w:rsidR="00D138CD" w:rsidRPr="007A2B2F" w:rsidRDefault="00D138CD" w:rsidP="009001A9">
      <w:pPr>
        <w:spacing w:line="391" w:lineRule="exact"/>
        <w:ind w:left="1021" w:firstLine="482"/>
        <w:jc w:val="both"/>
        <w:rPr>
          <w:sz w:val="28"/>
          <w:szCs w:val="28"/>
        </w:rPr>
      </w:pPr>
      <w:r w:rsidRPr="007A2B2F">
        <w:rPr>
          <w:rFonts w:hAnsi="標楷體"/>
          <w:sz w:val="28"/>
          <w:szCs w:val="28"/>
        </w:rPr>
        <w:t>按資訊</w:t>
      </w:r>
      <w:r w:rsidR="00173265">
        <w:rPr>
          <w:sz w:val="28"/>
          <w:szCs w:val="28"/>
        </w:rPr>
        <w:t>（</w:t>
      </w:r>
      <w:r w:rsidRPr="007A2B2F">
        <w:rPr>
          <w:sz w:val="28"/>
          <w:szCs w:val="28"/>
        </w:rPr>
        <w:t>information, data</w:t>
      </w:r>
      <w:r w:rsidR="00173265">
        <w:rPr>
          <w:sz w:val="28"/>
          <w:szCs w:val="28"/>
        </w:rPr>
        <w:t>）</w:t>
      </w:r>
      <w:r w:rsidRPr="007A2B2F">
        <w:rPr>
          <w:rFonts w:hAnsi="標楷體"/>
          <w:sz w:val="28"/>
          <w:szCs w:val="28"/>
        </w:rPr>
        <w:t>之管理可大別為三個階段：「蒐集」</w:t>
      </w:r>
      <w:r w:rsidR="00173265">
        <w:rPr>
          <w:sz w:val="28"/>
          <w:szCs w:val="28"/>
        </w:rPr>
        <w:t>（</w:t>
      </w:r>
      <w:r w:rsidRPr="007A2B2F">
        <w:rPr>
          <w:sz w:val="28"/>
          <w:szCs w:val="28"/>
        </w:rPr>
        <w:t>collection</w:t>
      </w:r>
      <w:r w:rsidR="00173265">
        <w:rPr>
          <w:sz w:val="28"/>
          <w:szCs w:val="28"/>
        </w:rPr>
        <w:t>）</w:t>
      </w:r>
      <w:r w:rsidRPr="007A2B2F">
        <w:rPr>
          <w:rFonts w:hAnsi="標楷體"/>
          <w:sz w:val="28"/>
          <w:szCs w:val="28"/>
        </w:rPr>
        <w:t>、「處理」</w:t>
      </w:r>
      <w:r w:rsidR="00173265">
        <w:rPr>
          <w:sz w:val="28"/>
          <w:szCs w:val="28"/>
        </w:rPr>
        <w:t>（</w:t>
      </w:r>
      <w:r w:rsidRPr="007A2B2F">
        <w:rPr>
          <w:sz w:val="28"/>
          <w:szCs w:val="28"/>
        </w:rPr>
        <w:t>processing</w:t>
      </w:r>
      <w:r w:rsidR="00173265">
        <w:rPr>
          <w:sz w:val="28"/>
          <w:szCs w:val="28"/>
        </w:rPr>
        <w:t>）</w:t>
      </w:r>
      <w:r w:rsidRPr="007A2B2F">
        <w:rPr>
          <w:rFonts w:hAnsi="標楷體"/>
          <w:sz w:val="28"/>
          <w:szCs w:val="28"/>
        </w:rPr>
        <w:t>與「使用」（</w:t>
      </w:r>
      <w:r w:rsidRPr="007A2B2F">
        <w:rPr>
          <w:sz w:val="28"/>
          <w:szCs w:val="28"/>
        </w:rPr>
        <w:t>use,</w:t>
      </w:r>
      <w:r w:rsidRPr="007A2B2F">
        <w:rPr>
          <w:rFonts w:hAnsi="標楷體"/>
          <w:sz w:val="28"/>
          <w:szCs w:val="28"/>
        </w:rPr>
        <w:t>一稱「利用），包含「公開／揭露」</w:t>
      </w:r>
      <w:r w:rsidR="00173265">
        <w:rPr>
          <w:sz w:val="28"/>
          <w:szCs w:val="28"/>
        </w:rPr>
        <w:t>（</w:t>
      </w:r>
      <w:r w:rsidRPr="007A2B2F">
        <w:rPr>
          <w:sz w:val="28"/>
          <w:szCs w:val="28"/>
        </w:rPr>
        <w:t>disclosure</w:t>
      </w:r>
      <w:r w:rsidR="00173265">
        <w:rPr>
          <w:sz w:val="28"/>
          <w:szCs w:val="28"/>
        </w:rPr>
        <w:t>）</w:t>
      </w:r>
      <w:r w:rsidRPr="007A2B2F">
        <w:rPr>
          <w:rFonts w:hAnsi="標楷體"/>
          <w:sz w:val="28"/>
          <w:szCs w:val="28"/>
        </w:rPr>
        <w:t>）。前揭「注意義務」（因調閱文件而知悉之資訊，應注意維護公共利益及關係人之權益）實際兼指上述三個資訊管理階段。立法委員及相關人員因調閱文件而獲悉之資訊，固不得任意「公開」（使用），而損及公益或私益；然亦不得任意「蒐集」（如攜出指定處所自行保管）或「處理」（如掃瞄鍵入電腦以備他日之用），而損及公益或私益。</w:t>
      </w:r>
      <w:r w:rsidRPr="007A2B2F">
        <w:rPr>
          <w:rFonts w:hAnsi="標楷體" w:hint="eastAsia"/>
          <w:sz w:val="22"/>
          <w:szCs w:val="22"/>
        </w:rPr>
        <w:t>（註</w:t>
      </w:r>
      <w:r>
        <w:rPr>
          <w:rFonts w:hAnsi="標楷體" w:hint="eastAsia"/>
          <w:sz w:val="22"/>
          <w:szCs w:val="22"/>
        </w:rPr>
        <w:t>十二</w:t>
      </w:r>
      <w:r w:rsidRPr="007A2B2F">
        <w:rPr>
          <w:rFonts w:hAnsi="標楷體" w:hint="eastAsia"/>
          <w:sz w:val="22"/>
          <w:szCs w:val="22"/>
        </w:rPr>
        <w:t>）</w:t>
      </w:r>
    </w:p>
    <w:p w:rsidR="00D138CD" w:rsidRPr="007A2B2F" w:rsidRDefault="00D138CD" w:rsidP="00D138CD">
      <w:pPr>
        <w:kinsoku w:val="0"/>
        <w:overflowPunct w:val="0"/>
        <w:spacing w:line="391" w:lineRule="exact"/>
        <w:ind w:leftChars="100" w:left="881" w:hangingChars="200" w:hanging="561"/>
        <w:jc w:val="both"/>
        <w:rPr>
          <w:b/>
          <w:sz w:val="28"/>
          <w:szCs w:val="28"/>
        </w:rPr>
      </w:pPr>
      <w:r w:rsidRPr="007A2B2F">
        <w:rPr>
          <w:rFonts w:hAnsi="標楷體"/>
          <w:b/>
          <w:sz w:val="28"/>
          <w:szCs w:val="28"/>
        </w:rPr>
        <w:t>二、不同意見部分</w:t>
      </w:r>
    </w:p>
    <w:p w:rsidR="00D138CD" w:rsidRPr="007A2B2F" w:rsidRDefault="00D138CD" w:rsidP="009001A9">
      <w:pPr>
        <w:spacing w:line="391" w:lineRule="exact"/>
        <w:ind w:left="907" w:firstLine="567"/>
        <w:jc w:val="both"/>
        <w:rPr>
          <w:sz w:val="28"/>
          <w:szCs w:val="28"/>
        </w:rPr>
      </w:pPr>
      <w:r w:rsidRPr="007A2B2F">
        <w:rPr>
          <w:rFonts w:hAnsi="標楷體"/>
          <w:sz w:val="28"/>
          <w:szCs w:val="28"/>
        </w:rPr>
        <w:t>多數意見明知本件為機關間之憲法權限爭議案件，與本院為闡明系爭法令有無牴觸憲法，而為之抽象法規疑義解釋案件迥不相同；卻一意規避就前揭「調閱文件清單」所列各項文件得否調閱之爭執，作成具有拘束力之裁判。如此「處理」機關權限爭議，本席礙難贊同，主要理由有二：</w:t>
      </w:r>
    </w:p>
    <w:p w:rsidR="00D138CD" w:rsidRPr="007A2B2F" w:rsidRDefault="00D138CD" w:rsidP="00D138CD">
      <w:pPr>
        <w:spacing w:line="391" w:lineRule="exact"/>
        <w:ind w:left="918" w:hanging="198"/>
        <w:rPr>
          <w:b/>
          <w:sz w:val="28"/>
          <w:szCs w:val="28"/>
        </w:rPr>
      </w:pPr>
      <w:r w:rsidRPr="007A2B2F">
        <w:rPr>
          <w:b/>
          <w:sz w:val="28"/>
          <w:szCs w:val="28"/>
        </w:rPr>
        <w:t>1.</w:t>
      </w:r>
      <w:r w:rsidRPr="007A2B2F">
        <w:rPr>
          <w:rFonts w:hAnsi="標楷體"/>
          <w:b/>
          <w:sz w:val="28"/>
          <w:szCs w:val="28"/>
        </w:rPr>
        <w:t>我國憲法建構之違憲審查制度兼具「具體審查」（爭議裁判）與「抽象審查」（疑義闡明），不容偏廢</w:t>
      </w:r>
    </w:p>
    <w:p w:rsidR="00D138CD" w:rsidRPr="007A2B2F" w:rsidRDefault="00D138CD" w:rsidP="00B079E4">
      <w:pPr>
        <w:spacing w:line="391" w:lineRule="exact"/>
        <w:ind w:left="936" w:firstLine="567"/>
        <w:rPr>
          <w:sz w:val="28"/>
          <w:szCs w:val="28"/>
        </w:rPr>
      </w:pPr>
      <w:r w:rsidRPr="007A2B2F">
        <w:rPr>
          <w:rFonts w:hAnsi="標楷體"/>
          <w:sz w:val="28"/>
          <w:szCs w:val="28"/>
        </w:rPr>
        <w:t>憲法第七十八條明定：「司法院解釋憲法，並有統一解釋法律及命令</w:t>
      </w:r>
      <w:r w:rsidRPr="007A2B2F">
        <w:rPr>
          <w:rFonts w:hAnsi="標楷體"/>
          <w:sz w:val="28"/>
          <w:szCs w:val="28"/>
        </w:rPr>
        <w:lastRenderedPageBreak/>
        <w:t>之權」。並於第一百七十一條第二項規定：「法律與憲法有無牴觸發生疑義時，由司法院解釋之」，以確保經立</w:t>
      </w:r>
      <w:r w:rsidR="009001A9">
        <w:rPr>
          <w:rFonts w:hAnsi="標楷體"/>
          <w:sz w:val="28"/>
          <w:szCs w:val="28"/>
        </w:rPr>
        <w:t>法院通過且總統所公布之法律不得牴觸憲法；第一百</w:t>
      </w:r>
      <w:r w:rsidRPr="007A2B2F">
        <w:rPr>
          <w:rFonts w:hAnsi="標楷體"/>
          <w:sz w:val="28"/>
          <w:szCs w:val="28"/>
        </w:rPr>
        <w:t>十四條規定：「省自治法制定後，須即送司法院。司法院如認為有違憲之處，應將違憲條文宣布無效」，以確保省自治法不得牴觸憲法。凡此俱為制憲者欲使司法院大法官職司「抽象審查」（或稱「規範控制」）之明證。惟憲法第一百七十三條復明定：「憲法之解釋，由司法院為之」，足見司法院大法官之憲法解釋權絕不限於「抽象審查」（規範控制）。</w:t>
      </w:r>
    </w:p>
    <w:p w:rsidR="00D138CD" w:rsidRPr="007A2B2F" w:rsidRDefault="00A90D69" w:rsidP="009001A9">
      <w:pPr>
        <w:spacing w:line="391" w:lineRule="exact"/>
        <w:ind w:left="936" w:firstLine="567"/>
        <w:jc w:val="both"/>
        <w:rPr>
          <w:sz w:val="28"/>
          <w:szCs w:val="28"/>
        </w:rPr>
      </w:pPr>
      <w:r>
        <w:rPr>
          <w:rFonts w:hAnsi="標楷體"/>
          <w:sz w:val="28"/>
          <w:szCs w:val="28"/>
        </w:rPr>
        <w:t>嗣立法院</w:t>
      </w:r>
      <w:r>
        <w:rPr>
          <w:rFonts w:hAnsi="標楷體" w:hint="eastAsia"/>
          <w:sz w:val="28"/>
          <w:szCs w:val="28"/>
        </w:rPr>
        <w:t>秉</w:t>
      </w:r>
      <w:r w:rsidR="00D138CD" w:rsidRPr="007A2B2F">
        <w:rPr>
          <w:rFonts w:hAnsi="標楷體"/>
          <w:sz w:val="28"/>
          <w:szCs w:val="28"/>
        </w:rPr>
        <w:t>承憲法意旨，制定「案件法」以規範司法院大法官解釋權之行使。該法第五條詳細規定得聲請大法官解釋憲法之各種「疑義」（含法令有無違憲之疑義及憲法本身之疑義）與「爭議」（含中央機關相互間之權限爭議及中央地方機關間之權限爭議）。另，憲法增修條文更賦予大法官組成憲法法庭，審理「政黨違憲解散案件」及「總統、副總統彈劾案件」之權。此兩項新增職權，核其性質，亦屬具體行為有無違憲之「爭議」審查，而非抽象法規有無違憲之「疑義」審查。積多年之實作經驗，本院釋字第五八五號解釋（理由書）嘗成功地歸納違憲審查制度之立意：「憲法解釋之目的，在於確保民主憲政國家憲法之最高法規範地位，就人民基本權利保障及自由民主憲政秩序等憲法基本價值之維護，作成有拘束力之司法判斷」。</w:t>
      </w:r>
    </w:p>
    <w:p w:rsidR="00D138CD" w:rsidRPr="007A2B2F" w:rsidRDefault="00D138CD" w:rsidP="009001A9">
      <w:pPr>
        <w:spacing w:line="391" w:lineRule="exact"/>
        <w:ind w:left="936" w:firstLine="567"/>
        <w:jc w:val="both"/>
        <w:rPr>
          <w:sz w:val="28"/>
          <w:szCs w:val="28"/>
        </w:rPr>
      </w:pPr>
      <w:r w:rsidRPr="007A2B2F">
        <w:rPr>
          <w:rFonts w:hAnsi="標楷體"/>
          <w:sz w:val="28"/>
          <w:szCs w:val="28"/>
        </w:rPr>
        <w:t>是</w:t>
      </w:r>
      <w:r w:rsidRPr="007A2B2F">
        <w:rPr>
          <w:rFonts w:hAnsi="標楷體"/>
          <w:b/>
          <w:sz w:val="28"/>
          <w:szCs w:val="28"/>
        </w:rPr>
        <w:t>為忠於憲法之付託，貫徹憲法解釋之目的，司法院大法官不僅應維護憲法之至高性，而進行抽象審查，確保各種法規不得牴觸憲法；並應勇於面對「機關權限爭議」，依據憲法意旨定分止爭，以維護憲法結構（政府體制）於不墜</w:t>
      </w:r>
      <w:r w:rsidRPr="007A2B2F">
        <w:rPr>
          <w:rFonts w:hAnsi="標楷體"/>
          <w:sz w:val="28"/>
          <w:szCs w:val="28"/>
        </w:rPr>
        <w:t>。抽象審查與具體審查，猶車之兩輪，鳥之雙翼，同屬制憲之原意，不可偏廢。</w:t>
      </w:r>
    </w:p>
    <w:p w:rsidR="00D138CD" w:rsidRPr="007A2B2F" w:rsidRDefault="00D138CD" w:rsidP="00D138CD">
      <w:pPr>
        <w:spacing w:line="391" w:lineRule="exact"/>
        <w:ind w:left="918" w:hanging="198"/>
        <w:rPr>
          <w:b/>
          <w:sz w:val="28"/>
          <w:szCs w:val="28"/>
        </w:rPr>
      </w:pPr>
      <w:r>
        <w:rPr>
          <w:b/>
          <w:sz w:val="28"/>
          <w:szCs w:val="28"/>
        </w:rPr>
        <w:t>2.</w:t>
      </w:r>
      <w:r w:rsidRPr="007A2B2F">
        <w:rPr>
          <w:rFonts w:hAnsi="標楷體"/>
          <w:b/>
          <w:sz w:val="28"/>
          <w:szCs w:val="28"/>
        </w:rPr>
        <w:t>本號解釋僅宣示立法院調閱偵查卷證之處理原則，避不裁決立法院與最高檢間之具體爭議，未善盡司法權「定分止爭」之天職</w:t>
      </w:r>
    </w:p>
    <w:p w:rsidR="00D138CD" w:rsidRPr="007A2B2F" w:rsidRDefault="00D138CD" w:rsidP="009001A9">
      <w:pPr>
        <w:spacing w:line="391" w:lineRule="exact"/>
        <w:ind w:left="936" w:firstLine="567"/>
        <w:jc w:val="both"/>
        <w:rPr>
          <w:sz w:val="28"/>
          <w:szCs w:val="28"/>
        </w:rPr>
      </w:pPr>
      <w:r w:rsidRPr="007A2B2F">
        <w:rPr>
          <w:rFonts w:hAnsi="標楷體"/>
          <w:sz w:val="28"/>
          <w:szCs w:val="28"/>
        </w:rPr>
        <w:t>我國憲法第七章（司法），開宗明義首先於第七十七條明定：「司法院為國家</w:t>
      </w:r>
      <w:r w:rsidRPr="007A2B2F">
        <w:rPr>
          <w:rFonts w:hAnsi="標楷體"/>
          <w:b/>
          <w:sz w:val="28"/>
          <w:szCs w:val="28"/>
        </w:rPr>
        <w:t>最高司法機關</w:t>
      </w:r>
      <w:r w:rsidRPr="007A2B2F">
        <w:rPr>
          <w:rFonts w:hAnsi="標楷體"/>
          <w:sz w:val="28"/>
          <w:szCs w:val="28"/>
        </w:rPr>
        <w:t>，掌理民事、刑事、行政訴訟之審判及公務員之懲戒」；次於第七十八條規定：「司法院</w:t>
      </w:r>
      <w:r w:rsidRPr="007A2B2F">
        <w:rPr>
          <w:rFonts w:hAnsi="標楷體"/>
          <w:b/>
          <w:sz w:val="28"/>
          <w:szCs w:val="28"/>
        </w:rPr>
        <w:t>解釋憲法</w:t>
      </w:r>
      <w:r w:rsidRPr="007A2B2F">
        <w:rPr>
          <w:rFonts w:hAnsi="標楷體"/>
          <w:sz w:val="28"/>
          <w:szCs w:val="28"/>
        </w:rPr>
        <w:t>，並有統一解釋法律及命令之權」。足徵制憲先賢肯認「個案裁判、定分止爭」乃司法權之本質（核心），與其他法治先進國家並無不同。雖我國釋憲制度（憲法所稱「解釋憲法」）或受歐陸思潮影響，並不限於「個案或爭議」</w:t>
      </w:r>
      <w:r w:rsidR="00173265">
        <w:rPr>
          <w:sz w:val="28"/>
          <w:szCs w:val="28"/>
        </w:rPr>
        <w:t>（</w:t>
      </w:r>
      <w:r w:rsidRPr="007A2B2F">
        <w:rPr>
          <w:sz w:val="28"/>
          <w:szCs w:val="28"/>
        </w:rPr>
        <w:t>cases and/or controversies</w:t>
      </w:r>
      <w:r w:rsidR="00173265">
        <w:rPr>
          <w:sz w:val="28"/>
          <w:szCs w:val="28"/>
        </w:rPr>
        <w:t>）</w:t>
      </w:r>
      <w:r w:rsidRPr="007A2B2F">
        <w:rPr>
          <w:rFonts w:hAnsi="標楷體"/>
          <w:sz w:val="28"/>
          <w:szCs w:val="28"/>
        </w:rPr>
        <w:t>，</w:t>
      </w:r>
      <w:r w:rsidRPr="007A2B2F">
        <w:rPr>
          <w:rFonts w:hAnsi="標楷體" w:hint="eastAsia"/>
          <w:sz w:val="22"/>
          <w:szCs w:val="22"/>
        </w:rPr>
        <w:t>（註</w:t>
      </w:r>
      <w:r>
        <w:rPr>
          <w:rFonts w:hAnsi="標楷體" w:hint="eastAsia"/>
          <w:sz w:val="22"/>
          <w:szCs w:val="22"/>
        </w:rPr>
        <w:t>十三</w:t>
      </w:r>
      <w:r w:rsidRPr="007A2B2F">
        <w:rPr>
          <w:rFonts w:hAnsi="標楷體" w:hint="eastAsia"/>
          <w:sz w:val="22"/>
          <w:szCs w:val="22"/>
        </w:rPr>
        <w:t>）</w:t>
      </w:r>
      <w:r w:rsidRPr="007A2B2F">
        <w:rPr>
          <w:rFonts w:hAnsi="標楷體"/>
          <w:sz w:val="28"/>
          <w:szCs w:val="28"/>
        </w:rPr>
        <w:t>並及於（法規有無牴觸憲法之）「疑義」</w:t>
      </w:r>
      <w:r w:rsidR="00173265">
        <w:rPr>
          <w:sz w:val="28"/>
          <w:szCs w:val="28"/>
        </w:rPr>
        <w:t>（</w:t>
      </w:r>
      <w:r w:rsidRPr="007A2B2F">
        <w:rPr>
          <w:sz w:val="28"/>
          <w:szCs w:val="28"/>
        </w:rPr>
        <w:t>doubts, Zweifel</w:t>
      </w:r>
      <w:r w:rsidR="00173265">
        <w:rPr>
          <w:sz w:val="28"/>
          <w:szCs w:val="28"/>
        </w:rPr>
        <w:t>）</w:t>
      </w:r>
      <w:r w:rsidRPr="007A2B2F">
        <w:rPr>
          <w:rFonts w:hAnsi="標楷體"/>
          <w:sz w:val="28"/>
          <w:szCs w:val="28"/>
        </w:rPr>
        <w:t>，</w:t>
      </w:r>
      <w:r w:rsidRPr="007A2B2F">
        <w:rPr>
          <w:rFonts w:hAnsi="標楷體" w:hint="eastAsia"/>
          <w:sz w:val="22"/>
          <w:szCs w:val="22"/>
        </w:rPr>
        <w:t>（註</w:t>
      </w:r>
      <w:r>
        <w:rPr>
          <w:rFonts w:hAnsi="標楷體" w:hint="eastAsia"/>
          <w:sz w:val="22"/>
          <w:szCs w:val="22"/>
        </w:rPr>
        <w:t>十四</w:t>
      </w:r>
      <w:r w:rsidRPr="007A2B2F">
        <w:rPr>
          <w:rFonts w:hAnsi="標楷體" w:hint="eastAsia"/>
          <w:sz w:val="22"/>
          <w:szCs w:val="22"/>
        </w:rPr>
        <w:t>）</w:t>
      </w:r>
      <w:r w:rsidRPr="007A2B2F">
        <w:rPr>
          <w:rFonts w:hAnsi="標楷體"/>
          <w:sz w:val="28"/>
          <w:szCs w:val="28"/>
        </w:rPr>
        <w:t>然無論學理上、現行法（「案件法」）或釋憲實務，皆未禁止大法官審理機關憲法權限爭議得作成具有拘束力之判決！</w:t>
      </w:r>
      <w:r w:rsidRPr="007A2B2F">
        <w:rPr>
          <w:rFonts w:hAnsi="標楷體" w:hint="eastAsia"/>
          <w:sz w:val="22"/>
          <w:szCs w:val="22"/>
        </w:rPr>
        <w:t>（註</w:t>
      </w:r>
      <w:r>
        <w:rPr>
          <w:rFonts w:hAnsi="標楷體" w:hint="eastAsia"/>
          <w:sz w:val="22"/>
          <w:szCs w:val="22"/>
        </w:rPr>
        <w:t>十五</w:t>
      </w:r>
      <w:r w:rsidRPr="007A2B2F">
        <w:rPr>
          <w:rFonts w:hAnsi="標楷體" w:hint="eastAsia"/>
          <w:sz w:val="22"/>
          <w:szCs w:val="22"/>
        </w:rPr>
        <w:t>）</w:t>
      </w:r>
      <w:r w:rsidRPr="007A2B2F">
        <w:rPr>
          <w:rFonts w:hAnsi="標楷體"/>
          <w:sz w:val="28"/>
          <w:szCs w:val="28"/>
        </w:rPr>
        <w:t>大法官既為司法權之一環，斷難否認「定分止爭」乃司法之天職，猶</w:t>
      </w:r>
      <w:r w:rsidRPr="007A2B2F">
        <w:rPr>
          <w:rFonts w:hAnsi="標楷體"/>
          <w:sz w:val="28"/>
          <w:szCs w:val="28"/>
        </w:rPr>
        <w:lastRenderedPageBreak/>
        <w:t>如「保家衛國」乃軍人之天職一般。</w:t>
      </w:r>
    </w:p>
    <w:p w:rsidR="00D138CD" w:rsidRPr="007A2B2F" w:rsidRDefault="00D138CD" w:rsidP="009001A9">
      <w:pPr>
        <w:spacing w:line="391" w:lineRule="exact"/>
        <w:ind w:left="936" w:firstLine="567"/>
        <w:jc w:val="both"/>
        <w:rPr>
          <w:sz w:val="28"/>
          <w:szCs w:val="28"/>
        </w:rPr>
      </w:pPr>
      <w:r w:rsidRPr="007A2B2F">
        <w:rPr>
          <w:rFonts w:hAnsi="標楷體"/>
          <w:sz w:val="28"/>
          <w:szCs w:val="28"/>
        </w:rPr>
        <w:t>多數意見既知本件為機關權限爭議，並援引「權力分立」原則，釋示處理本件爭議之原則，何不順理成章，並就各項爭議（「調閱文件清單」所列各項文件）作成具有拘束力之裁判？解釋理由書第六段提出說明：「立法院行使文件調閱權，如與受調閱之機關發生諸如：所調閱之事項是否屬於國家機關獨立行使職權受憲法保障之範疇、是否基於與立法院憲法上職權之特定議案有重大關聯者、是否屬於法律所禁止調閱之範圍、是否依法定組織及程序調閱、以及拒絕調閱是否有正當理由等爭議時，立法院與受調閱之機關，</w:t>
      </w:r>
      <w:r w:rsidRPr="007A2B2F">
        <w:rPr>
          <w:rFonts w:hAnsi="標楷體"/>
          <w:b/>
          <w:sz w:val="28"/>
          <w:szCs w:val="28"/>
        </w:rPr>
        <w:t>宜循協商途徑</w:t>
      </w:r>
      <w:r w:rsidRPr="007A2B2F">
        <w:rPr>
          <w:rFonts w:hAnsi="標楷體"/>
          <w:sz w:val="28"/>
          <w:szCs w:val="28"/>
        </w:rPr>
        <w:t>合理</w:t>
      </w:r>
      <w:r w:rsidRPr="007A2B2F">
        <w:rPr>
          <w:rFonts w:hAnsi="標楷體"/>
          <w:b/>
          <w:sz w:val="28"/>
          <w:szCs w:val="28"/>
        </w:rPr>
        <w:t>解決</w:t>
      </w:r>
      <w:r w:rsidRPr="007A2B2F">
        <w:rPr>
          <w:rFonts w:hAnsi="標楷體"/>
          <w:sz w:val="28"/>
          <w:szCs w:val="28"/>
        </w:rPr>
        <w:t>，</w:t>
      </w:r>
      <w:r w:rsidRPr="007A2B2F">
        <w:rPr>
          <w:rFonts w:hAnsi="標楷體"/>
          <w:b/>
          <w:sz w:val="28"/>
          <w:szCs w:val="28"/>
        </w:rPr>
        <w:t>或以法律明定</w:t>
      </w:r>
      <w:r w:rsidRPr="007A2B2F">
        <w:rPr>
          <w:rFonts w:hAnsi="標楷體"/>
          <w:sz w:val="28"/>
          <w:szCs w:val="28"/>
        </w:rPr>
        <w:t>相關</w:t>
      </w:r>
      <w:r w:rsidRPr="007A2B2F">
        <w:rPr>
          <w:rFonts w:hAnsi="標楷體"/>
          <w:b/>
          <w:sz w:val="28"/>
          <w:szCs w:val="28"/>
        </w:rPr>
        <w:t>要件與程序，由司法機關審理解決之</w:t>
      </w:r>
      <w:r w:rsidRPr="007A2B2F">
        <w:rPr>
          <w:rFonts w:hAnsi="標楷體"/>
          <w:sz w:val="28"/>
          <w:szCs w:val="28"/>
        </w:rPr>
        <w:t>。主管機關應儘速建立解決機關爭議之法律機制，併此指明」。</w:t>
      </w:r>
    </w:p>
    <w:p w:rsidR="00D138CD" w:rsidRPr="007A2B2F" w:rsidRDefault="00D138CD" w:rsidP="00B079E4">
      <w:pPr>
        <w:spacing w:line="391" w:lineRule="exact"/>
        <w:ind w:left="936" w:firstLine="567"/>
        <w:rPr>
          <w:sz w:val="28"/>
          <w:szCs w:val="28"/>
        </w:rPr>
      </w:pPr>
      <w:r w:rsidRPr="007A2B2F">
        <w:rPr>
          <w:rFonts w:hAnsi="標楷體"/>
          <w:sz w:val="28"/>
          <w:szCs w:val="28"/>
        </w:rPr>
        <w:t>然所謂「所調閱之事項</w:t>
      </w:r>
      <w:r w:rsidRPr="007A2B2F">
        <w:rPr>
          <w:rFonts w:hAnsi="標楷體"/>
          <w:b/>
          <w:sz w:val="28"/>
          <w:szCs w:val="28"/>
        </w:rPr>
        <w:t>是否屬於國家機關獨立行使職權受憲法保障之範疇</w:t>
      </w:r>
      <w:r w:rsidRPr="007A2B2F">
        <w:rPr>
          <w:rFonts w:hAnsi="標楷體"/>
          <w:sz w:val="28"/>
          <w:szCs w:val="28"/>
        </w:rPr>
        <w:t>、</w:t>
      </w:r>
      <w:r w:rsidRPr="007A2B2F">
        <w:rPr>
          <w:rFonts w:hAnsi="標楷體"/>
          <w:b/>
          <w:sz w:val="28"/>
          <w:szCs w:val="28"/>
        </w:rPr>
        <w:t>是否</w:t>
      </w:r>
      <w:r w:rsidRPr="007A2B2F">
        <w:rPr>
          <w:rFonts w:hAnsi="標楷體"/>
          <w:sz w:val="28"/>
          <w:szCs w:val="28"/>
        </w:rPr>
        <w:t>基於</w:t>
      </w:r>
      <w:r w:rsidRPr="007A2B2F">
        <w:rPr>
          <w:rFonts w:hAnsi="標楷體"/>
          <w:b/>
          <w:sz w:val="28"/>
          <w:szCs w:val="28"/>
        </w:rPr>
        <w:t>與立法院憲法上職權之特定議案有重大關聯者</w:t>
      </w:r>
      <w:r w:rsidRPr="007A2B2F">
        <w:rPr>
          <w:rFonts w:hAnsi="標楷體"/>
          <w:sz w:val="28"/>
          <w:szCs w:val="28"/>
        </w:rPr>
        <w:t>、及</w:t>
      </w:r>
      <w:r w:rsidRPr="007A2B2F">
        <w:rPr>
          <w:rFonts w:hAnsi="標楷體"/>
          <w:b/>
          <w:sz w:val="28"/>
          <w:szCs w:val="28"/>
        </w:rPr>
        <w:t>拒絕調閱是否有正當理由</w:t>
      </w:r>
      <w:r w:rsidRPr="007A2B2F">
        <w:rPr>
          <w:rFonts w:hAnsi="標楷體"/>
          <w:sz w:val="28"/>
          <w:szCs w:val="28"/>
        </w:rPr>
        <w:t>等」，無一不涉及我國「憲法結構」</w:t>
      </w:r>
      <w:r w:rsidR="00173265">
        <w:rPr>
          <w:sz w:val="28"/>
          <w:szCs w:val="28"/>
        </w:rPr>
        <w:t>（</w:t>
      </w:r>
      <w:r w:rsidRPr="007A2B2F">
        <w:rPr>
          <w:sz w:val="28"/>
          <w:szCs w:val="28"/>
        </w:rPr>
        <w:t>constitutional structure</w:t>
      </w:r>
      <w:r w:rsidR="00173265">
        <w:rPr>
          <w:sz w:val="28"/>
          <w:szCs w:val="28"/>
        </w:rPr>
        <w:t>）</w:t>
      </w:r>
      <w:r w:rsidRPr="007A2B2F">
        <w:rPr>
          <w:rFonts w:hAnsi="標楷體"/>
          <w:sz w:val="28"/>
          <w:szCs w:val="28"/>
        </w:rPr>
        <w:t>之認定（究為內閣制、總統制、半總統制、抑或五權憲法制？），並連帶關係「權力分立、相互制衡並相互尊重之原則」</w:t>
      </w:r>
      <w:r w:rsidR="00173265">
        <w:rPr>
          <w:sz w:val="28"/>
          <w:szCs w:val="28"/>
        </w:rPr>
        <w:t>（</w:t>
      </w:r>
      <w:r w:rsidRPr="007A2B2F">
        <w:rPr>
          <w:sz w:val="28"/>
          <w:szCs w:val="28"/>
        </w:rPr>
        <w:t>doctrine of separation of powers</w:t>
      </w:r>
      <w:r w:rsidR="00173265">
        <w:rPr>
          <w:sz w:val="28"/>
          <w:szCs w:val="28"/>
        </w:rPr>
        <w:t>）</w:t>
      </w:r>
      <w:r w:rsidRPr="007A2B2F">
        <w:rPr>
          <w:rFonts w:hAnsi="標楷體"/>
          <w:sz w:val="28"/>
          <w:szCs w:val="28"/>
        </w:rPr>
        <w:t>之詮釋。試問：這不正是前述憲法設置大法官以解釋憲法之初衷？不亦正是「案件法」規定「機關權限爭議」得聲請大法官解釋憲法之目的？大法官何不訂定必要之審理程序，自為裁決？而指望法律規定交由（其他哪個）「司法機關」審理解決此類爭議？！</w:t>
      </w:r>
      <w:r w:rsidRPr="007A2B2F">
        <w:rPr>
          <w:rFonts w:hAnsi="標楷體" w:hint="eastAsia"/>
          <w:sz w:val="22"/>
          <w:szCs w:val="22"/>
        </w:rPr>
        <w:t>（註</w:t>
      </w:r>
      <w:r>
        <w:rPr>
          <w:rFonts w:hAnsi="標楷體" w:hint="eastAsia"/>
          <w:sz w:val="22"/>
          <w:szCs w:val="22"/>
        </w:rPr>
        <w:t>十六</w:t>
      </w:r>
      <w:r w:rsidRPr="007A2B2F">
        <w:rPr>
          <w:rFonts w:hAnsi="標楷體" w:hint="eastAsia"/>
          <w:sz w:val="22"/>
          <w:szCs w:val="22"/>
        </w:rPr>
        <w:t>）</w:t>
      </w:r>
    </w:p>
    <w:p w:rsidR="00D138CD" w:rsidRPr="007A2B2F" w:rsidRDefault="00D138CD" w:rsidP="00D138CD">
      <w:pPr>
        <w:kinsoku w:val="0"/>
        <w:overflowPunct w:val="0"/>
        <w:spacing w:line="391" w:lineRule="exact"/>
        <w:ind w:leftChars="100" w:left="881" w:hangingChars="200" w:hanging="561"/>
        <w:jc w:val="both"/>
        <w:rPr>
          <w:b/>
          <w:sz w:val="28"/>
          <w:szCs w:val="28"/>
        </w:rPr>
      </w:pPr>
      <w:r w:rsidRPr="007A2B2F">
        <w:rPr>
          <w:rFonts w:hAnsi="標楷體"/>
          <w:b/>
          <w:sz w:val="28"/>
          <w:szCs w:val="28"/>
        </w:rPr>
        <w:t>三、結語</w:t>
      </w:r>
    </w:p>
    <w:p w:rsidR="00D138CD" w:rsidRPr="007A2B2F" w:rsidRDefault="00D138CD" w:rsidP="00B079E4">
      <w:pPr>
        <w:spacing w:line="391" w:lineRule="exact"/>
        <w:ind w:left="936" w:firstLine="567"/>
        <w:rPr>
          <w:sz w:val="28"/>
          <w:szCs w:val="28"/>
        </w:rPr>
      </w:pPr>
      <w:r w:rsidRPr="007A2B2F">
        <w:rPr>
          <w:rFonts w:hAnsi="標楷體"/>
          <w:sz w:val="28"/>
          <w:szCs w:val="28"/>
        </w:rPr>
        <w:t>本案乃本席就任大法官三年半以來首件受理之機關權限爭議。</w:t>
      </w:r>
      <w:r w:rsidRPr="007A2B2F">
        <w:rPr>
          <w:rFonts w:hAnsi="標楷體" w:hint="eastAsia"/>
          <w:sz w:val="22"/>
          <w:szCs w:val="22"/>
        </w:rPr>
        <w:t>（註</w:t>
      </w:r>
      <w:r>
        <w:rPr>
          <w:rFonts w:hAnsi="標楷體" w:hint="eastAsia"/>
          <w:sz w:val="22"/>
          <w:szCs w:val="22"/>
        </w:rPr>
        <w:t>十七</w:t>
      </w:r>
      <w:r w:rsidRPr="007A2B2F">
        <w:rPr>
          <w:rFonts w:hAnsi="標楷體" w:hint="eastAsia"/>
          <w:sz w:val="22"/>
          <w:szCs w:val="22"/>
        </w:rPr>
        <w:t>）</w:t>
      </w:r>
      <w:r w:rsidRPr="007A2B2F">
        <w:rPr>
          <w:rFonts w:hAnsi="標楷體"/>
          <w:sz w:val="28"/>
          <w:szCs w:val="28"/>
        </w:rPr>
        <w:t>詎多數意見僅願就「疑義」作成抽象之「解釋」，不願就「爭議」進行具體之「判決」，形同實質棄權。此與一般「有權力者恆樂於行使權力以保持權力」之認知迥異，能無省思？</w:t>
      </w:r>
    </w:p>
    <w:p w:rsidR="002527FE" w:rsidRDefault="00D138CD" w:rsidP="009001A9">
      <w:pPr>
        <w:spacing w:line="391" w:lineRule="exact"/>
        <w:ind w:left="936" w:firstLine="567"/>
        <w:jc w:val="both"/>
        <w:rPr>
          <w:rFonts w:hAnsi="標楷體" w:hint="eastAsia"/>
          <w:sz w:val="28"/>
          <w:szCs w:val="28"/>
        </w:rPr>
      </w:pPr>
      <w:r w:rsidRPr="007A2B2F">
        <w:rPr>
          <w:rFonts w:hAnsi="標楷體"/>
          <w:sz w:val="28"/>
          <w:szCs w:val="28"/>
        </w:rPr>
        <w:t>當政黨輪替已然成為常態，社會發展日趨多元時，司法部門如何保持獨立，贏得人民信賴，從而能夠發揮定分止爭，維持社會安定之功能，實為國人之殷切期盼。我國違憲審查始於烽火漫天之際，幾經艱難</w:t>
      </w:r>
      <w:r w:rsidRPr="007A2B2F">
        <w:rPr>
          <w:rFonts w:hAnsi="標楷體" w:hint="eastAsia"/>
          <w:sz w:val="22"/>
          <w:szCs w:val="22"/>
        </w:rPr>
        <w:t>（註</w:t>
      </w:r>
      <w:r>
        <w:rPr>
          <w:rFonts w:hAnsi="標楷體" w:hint="eastAsia"/>
          <w:sz w:val="22"/>
          <w:szCs w:val="22"/>
        </w:rPr>
        <w:t>十八</w:t>
      </w:r>
      <w:r w:rsidRPr="007A2B2F">
        <w:rPr>
          <w:rFonts w:hAnsi="標楷體" w:hint="eastAsia"/>
          <w:sz w:val="22"/>
          <w:szCs w:val="22"/>
        </w:rPr>
        <w:t>）</w:t>
      </w:r>
      <w:r w:rsidRPr="007A2B2F">
        <w:rPr>
          <w:rFonts w:hAnsi="標楷體"/>
          <w:sz w:val="28"/>
          <w:szCs w:val="28"/>
        </w:rPr>
        <w:t>，幸賴全體大法官群策群力垂七十載，累計作成解釋七百二十九件（含本號），勉力維繫憲政體制、保障人民權利。惟刻正面臨「解釋效率遞減」</w:t>
      </w:r>
    </w:p>
    <w:p w:rsidR="00D138CD" w:rsidRPr="007A2B2F" w:rsidRDefault="00D138CD" w:rsidP="002527FE">
      <w:pPr>
        <w:spacing w:line="391" w:lineRule="exact"/>
        <w:ind w:left="908" w:hanging="57"/>
        <w:jc w:val="both"/>
        <w:rPr>
          <w:sz w:val="28"/>
          <w:szCs w:val="28"/>
        </w:rPr>
      </w:pPr>
      <w:r w:rsidRPr="007A2B2F">
        <w:rPr>
          <w:rFonts w:hAnsi="標楷體"/>
          <w:sz w:val="28"/>
          <w:szCs w:val="28"/>
        </w:rPr>
        <w:t>（參見表一）及「意見分歧日增」（參見表二）之瓶頸，非大刀闊斧改革</w:t>
      </w:r>
      <w:r w:rsidRPr="007A2B2F">
        <w:rPr>
          <w:rFonts w:hAnsi="標楷體" w:hint="eastAsia"/>
          <w:sz w:val="22"/>
          <w:szCs w:val="22"/>
        </w:rPr>
        <w:t>（註</w:t>
      </w:r>
      <w:r>
        <w:rPr>
          <w:rFonts w:hAnsi="標楷體" w:hint="eastAsia"/>
          <w:sz w:val="22"/>
          <w:szCs w:val="22"/>
        </w:rPr>
        <w:t>十九</w:t>
      </w:r>
      <w:r w:rsidRPr="007A2B2F">
        <w:rPr>
          <w:rFonts w:hAnsi="標楷體" w:hint="eastAsia"/>
          <w:sz w:val="22"/>
          <w:szCs w:val="22"/>
        </w:rPr>
        <w:t>）</w:t>
      </w:r>
      <w:r w:rsidRPr="007A2B2F">
        <w:rPr>
          <w:rFonts w:hAnsi="標楷體"/>
          <w:sz w:val="28"/>
          <w:szCs w:val="28"/>
        </w:rPr>
        <w:t>，恐難符人民期許。</w:t>
      </w:r>
    </w:p>
    <w:p w:rsidR="00BD40E3" w:rsidRPr="00BD40E3" w:rsidRDefault="00D138CD" w:rsidP="00BD40E3">
      <w:pPr>
        <w:spacing w:afterLines="25" w:after="60" w:line="520" w:lineRule="exact"/>
        <w:jc w:val="center"/>
        <w:rPr>
          <w:rFonts w:ascii="標楷體" w:hAnsi="標楷體"/>
          <w:sz w:val="30"/>
          <w:szCs w:val="30"/>
        </w:rPr>
      </w:pPr>
      <w:r w:rsidRPr="007A2B2F">
        <w:rPr>
          <w:sz w:val="28"/>
          <w:szCs w:val="28"/>
        </w:rPr>
        <w:br w:type="page"/>
      </w:r>
      <w:r w:rsidR="00BD40E3" w:rsidRPr="00BD40E3">
        <w:rPr>
          <w:rFonts w:hint="eastAsia"/>
          <w:sz w:val="28"/>
          <w:szCs w:val="28"/>
        </w:rPr>
        <w:lastRenderedPageBreak/>
        <w:t>【表一】</w:t>
      </w:r>
      <w:r w:rsidR="00BD40E3" w:rsidRPr="00BD40E3">
        <w:rPr>
          <w:rFonts w:ascii="標楷體" w:hAnsi="標楷體" w:hint="eastAsia"/>
          <w:sz w:val="30"/>
          <w:szCs w:val="30"/>
        </w:rPr>
        <w:t>大法官作成解釋速率</w:t>
      </w:r>
    </w:p>
    <w:p w:rsidR="00BD40E3" w:rsidRPr="00BD40E3" w:rsidRDefault="00BD40E3" w:rsidP="00357EC6">
      <w:pPr>
        <w:spacing w:afterLines="25" w:after="60" w:line="520" w:lineRule="exact"/>
        <w:ind w:left="6521"/>
        <w:jc w:val="both"/>
        <w:rPr>
          <w:sz w:val="28"/>
          <w:szCs w:val="28"/>
        </w:rPr>
      </w:pPr>
      <w:r w:rsidRPr="00BD40E3">
        <w:rPr>
          <w:rFonts w:hint="eastAsia"/>
          <w:sz w:val="24"/>
          <w:szCs w:val="24"/>
        </w:rPr>
        <w:t>統計至</w:t>
      </w:r>
      <w:r w:rsidRPr="00BD40E3">
        <w:rPr>
          <w:sz w:val="24"/>
          <w:szCs w:val="24"/>
        </w:rPr>
        <w:t>104</w:t>
      </w:r>
      <w:r w:rsidRPr="00BD40E3">
        <w:rPr>
          <w:rFonts w:hint="eastAsia"/>
          <w:sz w:val="24"/>
          <w:szCs w:val="24"/>
        </w:rPr>
        <w:t>年</w:t>
      </w:r>
      <w:r w:rsidRPr="00BD40E3">
        <w:rPr>
          <w:sz w:val="24"/>
          <w:szCs w:val="24"/>
        </w:rPr>
        <w:t>4</w:t>
      </w:r>
      <w:r w:rsidRPr="00BD40E3">
        <w:rPr>
          <w:rFonts w:hint="eastAsia"/>
          <w:sz w:val="24"/>
          <w:szCs w:val="24"/>
        </w:rPr>
        <w:t>月</w:t>
      </w:r>
      <w:r w:rsidRPr="00BD40E3">
        <w:rPr>
          <w:sz w:val="24"/>
          <w:szCs w:val="24"/>
        </w:rPr>
        <w:t>30</w:t>
      </w:r>
      <w:r w:rsidRPr="00BD40E3">
        <w:rPr>
          <w:rFonts w:hint="eastAsia"/>
          <w:sz w:val="24"/>
          <w:szCs w:val="24"/>
        </w:rPr>
        <w:t>日</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2080"/>
        <w:gridCol w:w="2080"/>
        <w:gridCol w:w="1748"/>
      </w:tblGrid>
      <w:tr w:rsidR="00BD40E3" w:rsidRPr="00BD40E3" w:rsidTr="00BD40E3">
        <w:trPr>
          <w:jc w:val="center"/>
        </w:trPr>
        <w:tc>
          <w:tcPr>
            <w:tcW w:w="2456" w:type="dxa"/>
            <w:tcBorders>
              <w:top w:val="single" w:sz="24" w:space="0" w:color="auto"/>
              <w:left w:val="single" w:sz="24" w:space="0" w:color="auto"/>
              <w:right w:val="single" w:sz="24" w:space="0" w:color="auto"/>
              <w:tl2br w:val="single" w:sz="4" w:space="0" w:color="auto"/>
            </w:tcBorders>
            <w:vAlign w:val="center"/>
          </w:tcPr>
          <w:p w:rsidR="00BD40E3" w:rsidRPr="00BD40E3" w:rsidRDefault="00BD40E3" w:rsidP="00BD40E3">
            <w:pPr>
              <w:spacing w:line="400" w:lineRule="exact"/>
              <w:rPr>
                <w:sz w:val="26"/>
                <w:szCs w:val="26"/>
              </w:rPr>
            </w:pPr>
            <w:r w:rsidRPr="00BD40E3">
              <w:rPr>
                <w:sz w:val="26"/>
                <w:szCs w:val="26"/>
              </w:rPr>
              <w:t xml:space="preserve">            </w:t>
            </w:r>
            <w:r w:rsidRPr="00BD40E3">
              <w:rPr>
                <w:rFonts w:hint="eastAsia"/>
                <w:sz w:val="26"/>
                <w:szCs w:val="26"/>
              </w:rPr>
              <w:t>解釋</w:t>
            </w:r>
          </w:p>
          <w:p w:rsidR="00BD40E3" w:rsidRPr="00BD40E3" w:rsidRDefault="00BD40E3" w:rsidP="00BD40E3">
            <w:pPr>
              <w:spacing w:line="400" w:lineRule="exact"/>
              <w:rPr>
                <w:sz w:val="26"/>
                <w:szCs w:val="26"/>
              </w:rPr>
            </w:pPr>
          </w:p>
          <w:p w:rsidR="00BD40E3" w:rsidRPr="00BD40E3" w:rsidRDefault="00BD40E3" w:rsidP="00BD40E3">
            <w:pPr>
              <w:spacing w:line="400" w:lineRule="exact"/>
              <w:rPr>
                <w:sz w:val="26"/>
                <w:szCs w:val="26"/>
              </w:rPr>
            </w:pPr>
            <w:r w:rsidRPr="00BD40E3">
              <w:rPr>
                <w:rFonts w:hAnsi="標楷體" w:hint="eastAsia"/>
                <w:sz w:val="26"/>
                <w:szCs w:val="26"/>
              </w:rPr>
              <w:t>屆別</w:t>
            </w:r>
            <w:r w:rsidRPr="00BD40E3">
              <w:rPr>
                <w:sz w:val="26"/>
                <w:szCs w:val="26"/>
              </w:rPr>
              <w:t>(</w:t>
            </w:r>
            <w:r w:rsidRPr="00BD40E3">
              <w:rPr>
                <w:rFonts w:hAnsi="標楷體" w:hint="eastAsia"/>
                <w:sz w:val="26"/>
                <w:szCs w:val="26"/>
              </w:rPr>
              <w:t>任期</w:t>
            </w:r>
            <w:r w:rsidRPr="00BD40E3">
              <w:rPr>
                <w:sz w:val="26"/>
                <w:szCs w:val="26"/>
              </w:rPr>
              <w:t>)</w:t>
            </w:r>
          </w:p>
        </w:tc>
        <w:tc>
          <w:tcPr>
            <w:tcW w:w="2080" w:type="dxa"/>
            <w:tcBorders>
              <w:top w:val="single" w:sz="24" w:space="0" w:color="auto"/>
              <w:left w:val="single" w:sz="24" w:space="0" w:color="auto"/>
              <w:right w:val="single" w:sz="24" w:space="0" w:color="auto"/>
            </w:tcBorders>
            <w:vAlign w:val="center"/>
          </w:tcPr>
          <w:p w:rsidR="00BD40E3" w:rsidRPr="00BD40E3" w:rsidRDefault="00BD40E3" w:rsidP="00BD40E3">
            <w:pPr>
              <w:spacing w:line="400" w:lineRule="exact"/>
              <w:jc w:val="center"/>
              <w:rPr>
                <w:rFonts w:hAnsi="標楷體"/>
                <w:sz w:val="26"/>
                <w:szCs w:val="26"/>
              </w:rPr>
            </w:pPr>
            <w:r w:rsidRPr="00BD40E3">
              <w:rPr>
                <w:rFonts w:hAnsi="標楷體" w:hint="eastAsia"/>
                <w:sz w:val="26"/>
                <w:szCs w:val="26"/>
              </w:rPr>
              <w:t>公布解釋案件數</w:t>
            </w:r>
          </w:p>
          <w:p w:rsidR="00BD40E3" w:rsidRPr="00BD40E3" w:rsidRDefault="00BD40E3" w:rsidP="00BD40E3">
            <w:pPr>
              <w:spacing w:line="400" w:lineRule="exact"/>
              <w:jc w:val="center"/>
              <w:rPr>
                <w:sz w:val="26"/>
                <w:szCs w:val="26"/>
              </w:rPr>
            </w:pPr>
            <w:r w:rsidRPr="00BD40E3">
              <w:rPr>
                <w:sz w:val="26"/>
                <w:szCs w:val="26"/>
              </w:rPr>
              <w:t>(</w:t>
            </w:r>
            <w:r w:rsidRPr="00BD40E3">
              <w:rPr>
                <w:rFonts w:hAnsi="標楷體" w:hint="eastAsia"/>
                <w:sz w:val="26"/>
                <w:szCs w:val="26"/>
              </w:rPr>
              <w:t>起訖案號</w:t>
            </w:r>
            <w:r w:rsidRPr="00BD40E3">
              <w:rPr>
                <w:sz w:val="26"/>
                <w:szCs w:val="26"/>
              </w:rPr>
              <w:t>)</w:t>
            </w:r>
          </w:p>
        </w:tc>
        <w:tc>
          <w:tcPr>
            <w:tcW w:w="2080" w:type="dxa"/>
            <w:tcBorders>
              <w:top w:val="single" w:sz="24"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rFonts w:hAnsi="標楷體"/>
                <w:sz w:val="26"/>
                <w:szCs w:val="26"/>
              </w:rPr>
            </w:pPr>
            <w:r w:rsidRPr="00BD40E3">
              <w:rPr>
                <w:rFonts w:hAnsi="標楷體" w:hint="eastAsia"/>
                <w:sz w:val="26"/>
                <w:szCs w:val="26"/>
              </w:rPr>
              <w:t>解釋件數</w:t>
            </w:r>
          </w:p>
          <w:p w:rsidR="00BD40E3" w:rsidRPr="00BD40E3" w:rsidRDefault="00BD40E3" w:rsidP="00BD40E3">
            <w:pPr>
              <w:spacing w:line="400" w:lineRule="exact"/>
              <w:jc w:val="center"/>
              <w:rPr>
                <w:sz w:val="26"/>
                <w:szCs w:val="26"/>
              </w:rPr>
            </w:pPr>
            <w:r w:rsidRPr="00BD40E3">
              <w:rPr>
                <w:rFonts w:hAnsi="標楷體"/>
                <w:sz w:val="26"/>
                <w:szCs w:val="26"/>
              </w:rPr>
              <w:t>/</w:t>
            </w:r>
            <w:r w:rsidRPr="00BD40E3">
              <w:rPr>
                <w:rFonts w:hAnsi="標楷體" w:hint="eastAsia"/>
                <w:sz w:val="26"/>
                <w:szCs w:val="26"/>
              </w:rPr>
              <w:t>任期</w:t>
            </w:r>
            <w:r w:rsidRPr="00BD40E3">
              <w:rPr>
                <w:rFonts w:hAnsi="標楷體"/>
                <w:sz w:val="26"/>
                <w:szCs w:val="26"/>
              </w:rPr>
              <w:t>(</w:t>
            </w:r>
            <w:r w:rsidRPr="00BD40E3">
              <w:rPr>
                <w:rFonts w:hAnsi="標楷體" w:hint="eastAsia"/>
                <w:sz w:val="26"/>
                <w:szCs w:val="26"/>
              </w:rPr>
              <w:t>年</w:t>
            </w:r>
            <w:r w:rsidRPr="00BD40E3">
              <w:rPr>
                <w:rFonts w:hAnsi="標楷體"/>
                <w:sz w:val="26"/>
                <w:szCs w:val="26"/>
              </w:rPr>
              <w:t>)</w:t>
            </w:r>
          </w:p>
        </w:tc>
        <w:tc>
          <w:tcPr>
            <w:tcW w:w="1748" w:type="dxa"/>
            <w:tcBorders>
              <w:top w:val="single" w:sz="24" w:space="0" w:color="auto"/>
              <w:left w:val="single" w:sz="24" w:space="0" w:color="auto"/>
              <w:bottom w:val="single" w:sz="2" w:space="0" w:color="auto"/>
              <w:right w:val="single" w:sz="24" w:space="0" w:color="auto"/>
            </w:tcBorders>
            <w:vAlign w:val="center"/>
          </w:tcPr>
          <w:p w:rsidR="00BD40E3" w:rsidRPr="00357EC6" w:rsidRDefault="00BD40E3" w:rsidP="00357EC6">
            <w:pPr>
              <w:spacing w:line="400" w:lineRule="exact"/>
              <w:ind w:left="28" w:right="28"/>
              <w:jc w:val="distribute"/>
              <w:rPr>
                <w:rFonts w:hAnsi="標楷體"/>
                <w:spacing w:val="-8"/>
                <w:kern w:val="0"/>
                <w:sz w:val="26"/>
                <w:szCs w:val="26"/>
              </w:rPr>
            </w:pPr>
            <w:r w:rsidRPr="00357EC6">
              <w:rPr>
                <w:rFonts w:hAnsi="標楷體" w:hint="eastAsia"/>
                <w:spacing w:val="-8"/>
                <w:kern w:val="0"/>
                <w:sz w:val="26"/>
                <w:szCs w:val="26"/>
              </w:rPr>
              <w:t>每年平均作成</w:t>
            </w:r>
          </w:p>
          <w:p w:rsidR="00BD40E3" w:rsidRPr="00BD40E3" w:rsidRDefault="00BD40E3" w:rsidP="00357EC6">
            <w:pPr>
              <w:spacing w:line="400" w:lineRule="exact"/>
              <w:ind w:left="28" w:right="28"/>
              <w:jc w:val="distribute"/>
              <w:rPr>
                <w:rFonts w:hAnsi="標楷體"/>
                <w:sz w:val="26"/>
                <w:szCs w:val="26"/>
              </w:rPr>
            </w:pPr>
            <w:r w:rsidRPr="00357EC6">
              <w:rPr>
                <w:rFonts w:hAnsi="標楷體" w:hint="eastAsia"/>
                <w:spacing w:val="-8"/>
                <w:kern w:val="0"/>
                <w:sz w:val="26"/>
                <w:szCs w:val="26"/>
              </w:rPr>
              <w:t>解釋案件數</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第一屆</w:t>
            </w:r>
          </w:p>
          <w:p w:rsidR="00BD40E3" w:rsidRPr="00BD40E3" w:rsidRDefault="00BD40E3" w:rsidP="00BD40E3">
            <w:pPr>
              <w:spacing w:line="400" w:lineRule="exact"/>
              <w:jc w:val="center"/>
              <w:rPr>
                <w:sz w:val="26"/>
                <w:szCs w:val="26"/>
              </w:rPr>
            </w:pPr>
            <w:r w:rsidRPr="00BD40E3">
              <w:rPr>
                <w:sz w:val="26"/>
                <w:szCs w:val="26"/>
              </w:rPr>
              <w:t>(37/07</w:t>
            </w:r>
            <w:r w:rsidRPr="00BD40E3">
              <w:rPr>
                <w:rFonts w:hint="eastAsia"/>
                <w:sz w:val="26"/>
                <w:szCs w:val="26"/>
              </w:rPr>
              <w:t>～</w:t>
            </w:r>
            <w:r w:rsidRPr="00BD40E3">
              <w:rPr>
                <w:sz w:val="26"/>
                <w:szCs w:val="26"/>
              </w:rPr>
              <w:t>47/08)</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79</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1~</w:t>
            </w:r>
            <w:r w:rsidRPr="00BD40E3">
              <w:rPr>
                <w:rFonts w:hint="eastAsia"/>
                <w:sz w:val="26"/>
                <w:szCs w:val="26"/>
              </w:rPr>
              <w:t>釋</w:t>
            </w:r>
            <w:r w:rsidRPr="00BD40E3">
              <w:rPr>
                <w:sz w:val="26"/>
                <w:szCs w:val="26"/>
              </w:rPr>
              <w:t>79)</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79 / 9</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8.78</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第二屆</w:t>
            </w:r>
          </w:p>
          <w:p w:rsidR="00BD40E3" w:rsidRPr="00BD40E3" w:rsidRDefault="00BD40E3" w:rsidP="00BD40E3">
            <w:pPr>
              <w:spacing w:line="400" w:lineRule="exact"/>
              <w:jc w:val="center"/>
              <w:rPr>
                <w:sz w:val="26"/>
                <w:szCs w:val="26"/>
              </w:rPr>
            </w:pPr>
            <w:r w:rsidRPr="00BD40E3">
              <w:rPr>
                <w:sz w:val="26"/>
                <w:szCs w:val="26"/>
              </w:rPr>
              <w:t>(47/09</w:t>
            </w:r>
            <w:r w:rsidRPr="00BD40E3">
              <w:rPr>
                <w:rFonts w:hint="eastAsia"/>
                <w:sz w:val="26"/>
                <w:szCs w:val="26"/>
              </w:rPr>
              <w:t>～</w:t>
            </w:r>
            <w:r w:rsidRPr="00BD40E3">
              <w:rPr>
                <w:sz w:val="26"/>
                <w:szCs w:val="26"/>
              </w:rPr>
              <w:t>56/08)</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43</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80~</w:t>
            </w:r>
            <w:r w:rsidRPr="00BD40E3">
              <w:rPr>
                <w:rFonts w:hint="eastAsia"/>
                <w:sz w:val="26"/>
                <w:szCs w:val="26"/>
              </w:rPr>
              <w:t>釋</w:t>
            </w:r>
            <w:r w:rsidRPr="00BD40E3">
              <w:rPr>
                <w:sz w:val="26"/>
                <w:szCs w:val="26"/>
              </w:rPr>
              <w:t>122)</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43 / 9</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4.78</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第三屆</w:t>
            </w:r>
          </w:p>
          <w:p w:rsidR="00BD40E3" w:rsidRPr="00BD40E3" w:rsidRDefault="00BD40E3" w:rsidP="00BD40E3">
            <w:pPr>
              <w:spacing w:line="400" w:lineRule="exact"/>
              <w:jc w:val="center"/>
              <w:rPr>
                <w:sz w:val="26"/>
                <w:szCs w:val="26"/>
              </w:rPr>
            </w:pPr>
            <w:r w:rsidRPr="00BD40E3">
              <w:rPr>
                <w:sz w:val="26"/>
                <w:szCs w:val="26"/>
              </w:rPr>
              <w:t>(56/09</w:t>
            </w:r>
            <w:r w:rsidRPr="00BD40E3">
              <w:rPr>
                <w:rFonts w:hint="eastAsia"/>
                <w:sz w:val="26"/>
                <w:szCs w:val="26"/>
              </w:rPr>
              <w:t>～</w:t>
            </w:r>
            <w:r w:rsidRPr="00BD40E3">
              <w:rPr>
                <w:sz w:val="26"/>
                <w:szCs w:val="26"/>
              </w:rPr>
              <w:t>65/09)</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24</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123~</w:t>
            </w:r>
            <w:r w:rsidRPr="00BD40E3">
              <w:rPr>
                <w:rFonts w:hint="eastAsia"/>
                <w:sz w:val="26"/>
                <w:szCs w:val="26"/>
              </w:rPr>
              <w:t>釋</w:t>
            </w:r>
            <w:r w:rsidRPr="00BD40E3">
              <w:rPr>
                <w:sz w:val="26"/>
                <w:szCs w:val="26"/>
              </w:rPr>
              <w:t>146)</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24 / 9</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2.67</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第四屆</w:t>
            </w:r>
          </w:p>
          <w:p w:rsidR="00BD40E3" w:rsidRPr="00BD40E3" w:rsidRDefault="00BD40E3" w:rsidP="00BD40E3">
            <w:pPr>
              <w:spacing w:line="400" w:lineRule="exact"/>
              <w:jc w:val="center"/>
              <w:rPr>
                <w:sz w:val="26"/>
                <w:szCs w:val="26"/>
              </w:rPr>
            </w:pPr>
            <w:r w:rsidRPr="00BD40E3">
              <w:rPr>
                <w:sz w:val="26"/>
                <w:szCs w:val="26"/>
              </w:rPr>
              <w:t>(65/10</w:t>
            </w:r>
            <w:r w:rsidRPr="00BD40E3">
              <w:rPr>
                <w:rFonts w:hint="eastAsia"/>
                <w:sz w:val="26"/>
                <w:szCs w:val="26"/>
              </w:rPr>
              <w:t>～</w:t>
            </w:r>
            <w:r w:rsidRPr="00BD40E3">
              <w:rPr>
                <w:sz w:val="26"/>
                <w:szCs w:val="26"/>
              </w:rPr>
              <w:t>74/09)</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53</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147~</w:t>
            </w:r>
            <w:r w:rsidRPr="00BD40E3">
              <w:rPr>
                <w:rFonts w:hint="eastAsia"/>
                <w:sz w:val="26"/>
                <w:szCs w:val="26"/>
              </w:rPr>
              <w:t>釋</w:t>
            </w:r>
            <w:r w:rsidRPr="00BD40E3">
              <w:rPr>
                <w:sz w:val="26"/>
                <w:szCs w:val="26"/>
              </w:rPr>
              <w:t>199)</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53 / 9</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5.89</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第五屆</w:t>
            </w:r>
          </w:p>
          <w:p w:rsidR="00BD40E3" w:rsidRPr="00BD40E3" w:rsidRDefault="00BD40E3" w:rsidP="00BD40E3">
            <w:pPr>
              <w:spacing w:line="400" w:lineRule="exact"/>
              <w:jc w:val="center"/>
              <w:rPr>
                <w:sz w:val="26"/>
                <w:szCs w:val="26"/>
              </w:rPr>
            </w:pPr>
            <w:r w:rsidRPr="00BD40E3">
              <w:rPr>
                <w:sz w:val="26"/>
                <w:szCs w:val="26"/>
              </w:rPr>
              <w:t>(74/10</w:t>
            </w:r>
            <w:r w:rsidRPr="00BD40E3">
              <w:rPr>
                <w:rFonts w:hint="eastAsia"/>
                <w:sz w:val="26"/>
                <w:szCs w:val="26"/>
              </w:rPr>
              <w:t>～</w:t>
            </w:r>
            <w:r w:rsidRPr="00BD40E3">
              <w:rPr>
                <w:sz w:val="26"/>
                <w:szCs w:val="26"/>
              </w:rPr>
              <w:t>83/09)</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167</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200~</w:t>
            </w:r>
            <w:r w:rsidRPr="00BD40E3">
              <w:rPr>
                <w:rFonts w:hint="eastAsia"/>
                <w:sz w:val="26"/>
                <w:szCs w:val="26"/>
              </w:rPr>
              <w:t>釋</w:t>
            </w:r>
            <w:r w:rsidRPr="00BD40E3">
              <w:rPr>
                <w:sz w:val="26"/>
                <w:szCs w:val="26"/>
              </w:rPr>
              <w:t>366)</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167 / 9</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18.56</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第六屆</w:t>
            </w:r>
          </w:p>
          <w:p w:rsidR="00BD40E3" w:rsidRPr="00BD40E3" w:rsidRDefault="00BD40E3" w:rsidP="00BD40E3">
            <w:pPr>
              <w:spacing w:line="400" w:lineRule="exact"/>
              <w:jc w:val="center"/>
              <w:rPr>
                <w:sz w:val="26"/>
                <w:szCs w:val="26"/>
              </w:rPr>
            </w:pPr>
            <w:r w:rsidRPr="00BD40E3">
              <w:rPr>
                <w:sz w:val="26"/>
                <w:szCs w:val="26"/>
              </w:rPr>
              <w:t>(83/10</w:t>
            </w:r>
            <w:r w:rsidRPr="00BD40E3">
              <w:rPr>
                <w:rFonts w:hint="eastAsia"/>
                <w:sz w:val="26"/>
                <w:szCs w:val="26"/>
              </w:rPr>
              <w:t>～</w:t>
            </w:r>
            <w:r w:rsidRPr="00BD40E3">
              <w:rPr>
                <w:sz w:val="26"/>
                <w:szCs w:val="26"/>
              </w:rPr>
              <w:t>92/09)</w:t>
            </w:r>
          </w:p>
        </w:tc>
        <w:tc>
          <w:tcPr>
            <w:tcW w:w="2080" w:type="dxa"/>
            <w:tcBorders>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200</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367~</w:t>
            </w:r>
            <w:r w:rsidRPr="00BD40E3">
              <w:rPr>
                <w:rFonts w:hint="eastAsia"/>
                <w:sz w:val="26"/>
                <w:szCs w:val="26"/>
              </w:rPr>
              <w:t>釋</w:t>
            </w:r>
            <w:r w:rsidRPr="00BD40E3">
              <w:rPr>
                <w:sz w:val="26"/>
                <w:szCs w:val="26"/>
              </w:rPr>
              <w:t>566)</w:t>
            </w:r>
          </w:p>
        </w:tc>
        <w:tc>
          <w:tcPr>
            <w:tcW w:w="2080" w:type="dxa"/>
            <w:tcBorders>
              <w:top w:val="single" w:sz="2"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200 / 9</w:t>
            </w:r>
            <w:r w:rsidRPr="00BD40E3">
              <w:rPr>
                <w:rFonts w:hint="eastAsia"/>
                <w:sz w:val="26"/>
                <w:szCs w:val="26"/>
              </w:rPr>
              <w:t>年</w:t>
            </w:r>
          </w:p>
        </w:tc>
        <w:tc>
          <w:tcPr>
            <w:tcW w:w="1748" w:type="dxa"/>
            <w:tcBorders>
              <w:top w:val="single" w:sz="2"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22.22</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top w:val="single" w:sz="24" w:space="0" w:color="auto"/>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不分屆次</w:t>
            </w:r>
          </w:p>
          <w:p w:rsidR="00BD40E3" w:rsidRPr="00BD40E3" w:rsidRDefault="00BD40E3" w:rsidP="00BD40E3">
            <w:pPr>
              <w:spacing w:line="400" w:lineRule="exact"/>
              <w:jc w:val="center"/>
              <w:rPr>
                <w:sz w:val="26"/>
                <w:szCs w:val="26"/>
              </w:rPr>
            </w:pPr>
            <w:r w:rsidRPr="00BD40E3">
              <w:rPr>
                <w:sz w:val="26"/>
                <w:szCs w:val="26"/>
              </w:rPr>
              <w:t>(92/10</w:t>
            </w:r>
            <w:r w:rsidRPr="00BD40E3">
              <w:rPr>
                <w:rFonts w:hint="eastAsia"/>
                <w:sz w:val="26"/>
                <w:szCs w:val="26"/>
              </w:rPr>
              <w:t>～</w:t>
            </w:r>
            <w:r w:rsidRPr="00BD40E3">
              <w:rPr>
                <w:sz w:val="26"/>
                <w:szCs w:val="26"/>
              </w:rPr>
              <w:t>104/04)</w:t>
            </w:r>
          </w:p>
        </w:tc>
        <w:tc>
          <w:tcPr>
            <w:tcW w:w="2080" w:type="dxa"/>
            <w:tcBorders>
              <w:top w:val="single" w:sz="24" w:space="0" w:color="auto"/>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162</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567~</w:t>
            </w:r>
            <w:r w:rsidRPr="00BD40E3">
              <w:rPr>
                <w:rFonts w:hint="eastAsia"/>
                <w:sz w:val="26"/>
                <w:szCs w:val="26"/>
              </w:rPr>
              <w:t>釋</w:t>
            </w:r>
            <w:r w:rsidRPr="00BD40E3">
              <w:rPr>
                <w:sz w:val="26"/>
                <w:szCs w:val="26"/>
              </w:rPr>
              <w:t>728)</w:t>
            </w:r>
          </w:p>
        </w:tc>
        <w:tc>
          <w:tcPr>
            <w:tcW w:w="2080" w:type="dxa"/>
            <w:tcBorders>
              <w:top w:val="single" w:sz="24"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162 / 11.56</w:t>
            </w:r>
            <w:r w:rsidRPr="00BD40E3">
              <w:rPr>
                <w:rFonts w:hint="eastAsia"/>
                <w:sz w:val="26"/>
                <w:szCs w:val="26"/>
              </w:rPr>
              <w:t>年</w:t>
            </w:r>
          </w:p>
        </w:tc>
        <w:tc>
          <w:tcPr>
            <w:tcW w:w="1748" w:type="dxa"/>
            <w:tcBorders>
              <w:top w:val="single" w:sz="24"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14.01</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top w:val="single" w:sz="24" w:space="0" w:color="auto"/>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翁岳生法庭</w:t>
            </w:r>
          </w:p>
          <w:p w:rsidR="00BD40E3" w:rsidRPr="00BD40E3" w:rsidRDefault="00BD40E3" w:rsidP="00BD40E3">
            <w:pPr>
              <w:spacing w:line="400" w:lineRule="exact"/>
              <w:jc w:val="center"/>
              <w:rPr>
                <w:sz w:val="26"/>
                <w:szCs w:val="26"/>
              </w:rPr>
            </w:pPr>
            <w:r w:rsidRPr="00BD40E3">
              <w:rPr>
                <w:sz w:val="26"/>
                <w:szCs w:val="26"/>
              </w:rPr>
              <w:t>(92/10</w:t>
            </w:r>
            <w:r w:rsidRPr="00BD40E3">
              <w:rPr>
                <w:rFonts w:hint="eastAsia"/>
                <w:sz w:val="26"/>
                <w:szCs w:val="26"/>
              </w:rPr>
              <w:t>～</w:t>
            </w:r>
            <w:smartTag w:uri="urn:schemas-microsoft-com:office:smarttags" w:element="chsdate">
              <w:smartTagPr>
                <w:attr w:name="IsROCDate" w:val="False"/>
                <w:attr w:name="IsLunarDate" w:val="False"/>
                <w:attr w:name="Day" w:val="30"/>
                <w:attr w:name="Month" w:val="9"/>
                <w:attr w:name="Year" w:val="1996"/>
              </w:smartTagPr>
              <w:r w:rsidRPr="00BD40E3">
                <w:rPr>
                  <w:sz w:val="26"/>
                  <w:szCs w:val="26"/>
                </w:rPr>
                <w:t>96/09/30</w:t>
              </w:r>
            </w:smartTag>
            <w:r w:rsidRPr="00BD40E3">
              <w:rPr>
                <w:sz w:val="26"/>
                <w:szCs w:val="26"/>
              </w:rPr>
              <w:t>)</w:t>
            </w:r>
          </w:p>
        </w:tc>
        <w:tc>
          <w:tcPr>
            <w:tcW w:w="2080" w:type="dxa"/>
            <w:tcBorders>
              <w:top w:val="single" w:sz="24" w:space="0" w:color="auto"/>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67</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567~</w:t>
            </w:r>
            <w:r w:rsidRPr="00BD40E3">
              <w:rPr>
                <w:rFonts w:hint="eastAsia"/>
                <w:sz w:val="26"/>
                <w:szCs w:val="26"/>
              </w:rPr>
              <w:t>釋</w:t>
            </w:r>
            <w:r w:rsidRPr="00BD40E3">
              <w:rPr>
                <w:sz w:val="26"/>
                <w:szCs w:val="26"/>
              </w:rPr>
              <w:t>633)</w:t>
            </w:r>
          </w:p>
        </w:tc>
        <w:tc>
          <w:tcPr>
            <w:tcW w:w="2080" w:type="dxa"/>
            <w:tcBorders>
              <w:top w:val="single" w:sz="24"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67 / 4</w:t>
            </w:r>
            <w:r w:rsidRPr="00BD40E3">
              <w:rPr>
                <w:rFonts w:hint="eastAsia"/>
                <w:sz w:val="26"/>
                <w:szCs w:val="26"/>
              </w:rPr>
              <w:t>年</w:t>
            </w:r>
          </w:p>
        </w:tc>
        <w:tc>
          <w:tcPr>
            <w:tcW w:w="1748" w:type="dxa"/>
            <w:tcBorders>
              <w:top w:val="single" w:sz="24"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16.75</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賴英照法庭</w:t>
            </w:r>
          </w:p>
          <w:p w:rsidR="00BD40E3" w:rsidRPr="00BD40E3" w:rsidRDefault="00BD40E3" w:rsidP="00BD40E3">
            <w:pPr>
              <w:spacing w:line="400" w:lineRule="exact"/>
              <w:jc w:val="distribute"/>
              <w:rPr>
                <w:spacing w:val="-4"/>
                <w:kern w:val="0"/>
                <w:sz w:val="26"/>
                <w:szCs w:val="26"/>
              </w:rPr>
            </w:pPr>
            <w:r w:rsidRPr="00BD40E3">
              <w:rPr>
                <w:spacing w:val="-4"/>
                <w:kern w:val="0"/>
                <w:sz w:val="26"/>
                <w:szCs w:val="26"/>
              </w:rPr>
              <w:t>(</w:t>
            </w:r>
            <w:smartTag w:uri="urn:schemas-microsoft-com:office:smarttags" w:element="chsdate">
              <w:smartTagPr>
                <w:attr w:name="IsROCDate" w:val="False"/>
                <w:attr w:name="IsLunarDate" w:val="False"/>
                <w:attr w:name="Day" w:val="1"/>
                <w:attr w:name="Month" w:val="10"/>
                <w:attr w:name="Year" w:val="1996"/>
              </w:smartTagPr>
              <w:r w:rsidRPr="00BD40E3">
                <w:rPr>
                  <w:spacing w:val="-4"/>
                  <w:kern w:val="0"/>
                  <w:sz w:val="26"/>
                  <w:szCs w:val="26"/>
                </w:rPr>
                <w:t>96/10/01</w:t>
              </w:r>
            </w:smartTag>
            <w:r w:rsidRPr="00BD40E3">
              <w:rPr>
                <w:rFonts w:hint="eastAsia"/>
                <w:spacing w:val="-4"/>
                <w:kern w:val="0"/>
                <w:sz w:val="26"/>
                <w:szCs w:val="26"/>
              </w:rPr>
              <w:t>～</w:t>
            </w:r>
            <w:r w:rsidRPr="00BD40E3">
              <w:rPr>
                <w:spacing w:val="-4"/>
                <w:kern w:val="0"/>
                <w:sz w:val="26"/>
                <w:szCs w:val="26"/>
              </w:rPr>
              <w:t>99/10/08)</w:t>
            </w:r>
          </w:p>
        </w:tc>
        <w:tc>
          <w:tcPr>
            <w:tcW w:w="2080" w:type="dxa"/>
            <w:tcBorders>
              <w:left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48</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634~</w:t>
            </w:r>
            <w:r w:rsidRPr="00BD40E3">
              <w:rPr>
                <w:rFonts w:hint="eastAsia"/>
                <w:sz w:val="26"/>
                <w:szCs w:val="26"/>
              </w:rPr>
              <w:t>釋</w:t>
            </w:r>
            <w:r w:rsidRPr="00BD40E3">
              <w:rPr>
                <w:sz w:val="26"/>
                <w:szCs w:val="26"/>
              </w:rPr>
              <w:t>681)</w:t>
            </w:r>
          </w:p>
        </w:tc>
        <w:tc>
          <w:tcPr>
            <w:tcW w:w="2080"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48 / 3.08</w:t>
            </w:r>
            <w:r w:rsidRPr="00BD40E3">
              <w:rPr>
                <w:rFonts w:hint="eastAsia"/>
                <w:sz w:val="26"/>
                <w:szCs w:val="26"/>
              </w:rPr>
              <w:t>年</w:t>
            </w:r>
          </w:p>
        </w:tc>
        <w:tc>
          <w:tcPr>
            <w:tcW w:w="1748" w:type="dxa"/>
            <w:tcBorders>
              <w:top w:val="single" w:sz="2" w:space="0" w:color="auto"/>
              <w:left w:val="single" w:sz="24" w:space="0" w:color="auto"/>
              <w:bottom w:val="single" w:sz="2"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15.58</w:t>
            </w:r>
            <w:r w:rsidRPr="00BD40E3">
              <w:rPr>
                <w:rFonts w:hint="eastAsia"/>
                <w:sz w:val="26"/>
                <w:szCs w:val="26"/>
              </w:rPr>
              <w:t>件</w:t>
            </w:r>
            <w:r w:rsidRPr="00BD40E3">
              <w:rPr>
                <w:sz w:val="26"/>
                <w:szCs w:val="26"/>
              </w:rPr>
              <w:t>/</w:t>
            </w:r>
            <w:r w:rsidRPr="00BD40E3">
              <w:rPr>
                <w:rFonts w:hint="eastAsia"/>
                <w:sz w:val="26"/>
                <w:szCs w:val="26"/>
              </w:rPr>
              <w:t>年</w:t>
            </w:r>
          </w:p>
        </w:tc>
      </w:tr>
      <w:tr w:rsidR="00BD40E3" w:rsidRPr="00BD40E3" w:rsidTr="00BD40E3">
        <w:trPr>
          <w:jc w:val="center"/>
        </w:trPr>
        <w:tc>
          <w:tcPr>
            <w:tcW w:w="2456" w:type="dxa"/>
            <w:tcBorders>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rFonts w:hint="eastAsia"/>
                <w:sz w:val="26"/>
                <w:szCs w:val="26"/>
              </w:rPr>
              <w:t>賴浩敏法庭</w:t>
            </w:r>
          </w:p>
          <w:p w:rsidR="00BD40E3" w:rsidRPr="00BD40E3" w:rsidRDefault="00BD40E3" w:rsidP="00BD40E3">
            <w:pPr>
              <w:spacing w:line="400" w:lineRule="exact"/>
              <w:jc w:val="center"/>
              <w:rPr>
                <w:sz w:val="26"/>
                <w:szCs w:val="26"/>
              </w:rPr>
            </w:pPr>
            <w:r w:rsidRPr="00BD40E3">
              <w:rPr>
                <w:sz w:val="26"/>
                <w:szCs w:val="26"/>
              </w:rPr>
              <w:t>(</w:t>
            </w:r>
            <w:smartTag w:uri="urn:schemas-microsoft-com:office:smarttags" w:element="chsdate">
              <w:smartTagPr>
                <w:attr w:name="IsROCDate" w:val="False"/>
                <w:attr w:name="IsLunarDate" w:val="False"/>
                <w:attr w:name="Day" w:val="13"/>
                <w:attr w:name="Month" w:val="10"/>
                <w:attr w:name="Year" w:val="1999"/>
              </w:smartTagPr>
              <w:r w:rsidRPr="00BD40E3">
                <w:rPr>
                  <w:sz w:val="26"/>
                  <w:szCs w:val="26"/>
                </w:rPr>
                <w:t>99/10/13</w:t>
              </w:r>
            </w:smartTag>
            <w:r w:rsidRPr="00BD40E3">
              <w:rPr>
                <w:rFonts w:hint="eastAsia"/>
                <w:sz w:val="26"/>
                <w:szCs w:val="26"/>
              </w:rPr>
              <w:t>～</w:t>
            </w:r>
            <w:r w:rsidRPr="00BD40E3">
              <w:rPr>
                <w:sz w:val="26"/>
                <w:szCs w:val="26"/>
              </w:rPr>
              <w:t>104/04)</w:t>
            </w:r>
          </w:p>
        </w:tc>
        <w:tc>
          <w:tcPr>
            <w:tcW w:w="2080" w:type="dxa"/>
            <w:tcBorders>
              <w:left w:val="single" w:sz="24" w:space="0" w:color="auto"/>
              <w:bottom w:val="single" w:sz="24" w:space="0" w:color="auto"/>
              <w:right w:val="single" w:sz="24" w:space="0" w:color="auto"/>
            </w:tcBorders>
          </w:tcPr>
          <w:p w:rsidR="00BD40E3" w:rsidRPr="00BD40E3" w:rsidRDefault="00BD40E3" w:rsidP="00BD40E3">
            <w:pPr>
              <w:spacing w:line="400" w:lineRule="exact"/>
              <w:jc w:val="center"/>
              <w:rPr>
                <w:sz w:val="26"/>
                <w:szCs w:val="26"/>
              </w:rPr>
            </w:pPr>
            <w:r w:rsidRPr="00BD40E3">
              <w:rPr>
                <w:sz w:val="26"/>
                <w:szCs w:val="26"/>
              </w:rPr>
              <w:t>47</w:t>
            </w:r>
          </w:p>
          <w:p w:rsidR="00BD40E3" w:rsidRPr="00BD40E3" w:rsidRDefault="00BD40E3" w:rsidP="00BD40E3">
            <w:pPr>
              <w:spacing w:line="400" w:lineRule="exact"/>
              <w:jc w:val="center"/>
              <w:rPr>
                <w:sz w:val="26"/>
                <w:szCs w:val="26"/>
              </w:rPr>
            </w:pPr>
            <w:r w:rsidRPr="00BD40E3">
              <w:rPr>
                <w:sz w:val="26"/>
                <w:szCs w:val="26"/>
              </w:rPr>
              <w:t>(</w:t>
            </w:r>
            <w:r w:rsidRPr="00BD40E3">
              <w:rPr>
                <w:rFonts w:hint="eastAsia"/>
                <w:sz w:val="26"/>
                <w:szCs w:val="26"/>
              </w:rPr>
              <w:t>釋</w:t>
            </w:r>
            <w:r w:rsidRPr="00BD40E3">
              <w:rPr>
                <w:sz w:val="26"/>
                <w:szCs w:val="26"/>
              </w:rPr>
              <w:t>682~</w:t>
            </w:r>
            <w:r w:rsidRPr="00BD40E3">
              <w:rPr>
                <w:rFonts w:hint="eastAsia"/>
                <w:sz w:val="26"/>
                <w:szCs w:val="26"/>
              </w:rPr>
              <w:t>釋</w:t>
            </w:r>
            <w:r w:rsidRPr="00BD40E3">
              <w:rPr>
                <w:sz w:val="26"/>
                <w:szCs w:val="26"/>
              </w:rPr>
              <w:t>728)</w:t>
            </w:r>
          </w:p>
        </w:tc>
        <w:tc>
          <w:tcPr>
            <w:tcW w:w="2080" w:type="dxa"/>
            <w:tcBorders>
              <w:top w:val="single" w:sz="2"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47 / 4.48</w:t>
            </w:r>
            <w:r w:rsidRPr="00BD40E3">
              <w:rPr>
                <w:rFonts w:hint="eastAsia"/>
                <w:sz w:val="26"/>
                <w:szCs w:val="26"/>
              </w:rPr>
              <w:t>年</w:t>
            </w:r>
          </w:p>
        </w:tc>
        <w:tc>
          <w:tcPr>
            <w:tcW w:w="1748" w:type="dxa"/>
            <w:tcBorders>
              <w:top w:val="single" w:sz="2" w:space="0" w:color="auto"/>
              <w:left w:val="single" w:sz="24" w:space="0" w:color="auto"/>
              <w:bottom w:val="single" w:sz="24" w:space="0" w:color="auto"/>
              <w:right w:val="single" w:sz="24" w:space="0" w:color="auto"/>
            </w:tcBorders>
            <w:vAlign w:val="center"/>
          </w:tcPr>
          <w:p w:rsidR="00BD40E3" w:rsidRPr="00BD40E3" w:rsidRDefault="00BD40E3" w:rsidP="00BD40E3">
            <w:pPr>
              <w:spacing w:line="400" w:lineRule="exact"/>
              <w:jc w:val="center"/>
              <w:rPr>
                <w:sz w:val="26"/>
                <w:szCs w:val="26"/>
              </w:rPr>
            </w:pPr>
            <w:r w:rsidRPr="00BD40E3">
              <w:rPr>
                <w:sz w:val="26"/>
                <w:szCs w:val="26"/>
              </w:rPr>
              <w:t>10.49</w:t>
            </w:r>
            <w:r w:rsidRPr="00BD40E3">
              <w:rPr>
                <w:rFonts w:hint="eastAsia"/>
                <w:sz w:val="26"/>
                <w:szCs w:val="26"/>
              </w:rPr>
              <w:t>件</w:t>
            </w:r>
            <w:r w:rsidRPr="00BD40E3">
              <w:rPr>
                <w:sz w:val="26"/>
                <w:szCs w:val="26"/>
              </w:rPr>
              <w:t>/</w:t>
            </w:r>
            <w:r w:rsidRPr="00BD40E3">
              <w:rPr>
                <w:rFonts w:hint="eastAsia"/>
                <w:sz w:val="26"/>
                <w:szCs w:val="26"/>
              </w:rPr>
              <w:t>年</w:t>
            </w:r>
          </w:p>
        </w:tc>
      </w:tr>
    </w:tbl>
    <w:p w:rsidR="00D138CD" w:rsidRPr="00B5284D" w:rsidRDefault="00D138CD" w:rsidP="0018469A">
      <w:pPr>
        <w:kinsoku w:val="0"/>
        <w:overflowPunct w:val="0"/>
        <w:spacing w:line="391" w:lineRule="exact"/>
        <w:jc w:val="both"/>
        <w:rPr>
          <w:sz w:val="22"/>
          <w:szCs w:val="22"/>
        </w:rPr>
      </w:pPr>
      <w:r w:rsidRPr="00B5284D">
        <w:rPr>
          <w:rFonts w:hAnsi="標楷體"/>
          <w:sz w:val="22"/>
          <w:szCs w:val="22"/>
        </w:rPr>
        <w:t>資料來源：依據司法院網站（</w:t>
      </w:r>
      <w:r w:rsidRPr="00B5284D">
        <w:rPr>
          <w:sz w:val="22"/>
          <w:szCs w:val="22"/>
        </w:rPr>
        <w:t xml:space="preserve"> </w:t>
      </w:r>
      <w:r w:rsidRPr="00BD40E3">
        <w:rPr>
          <w:sz w:val="22"/>
          <w:szCs w:val="22"/>
          <w:u w:val="single"/>
        </w:rPr>
        <w:t>http://www.judicial.gov.tw/constitutionalcourt/p05.asp</w:t>
      </w:r>
      <w:r w:rsidRPr="00B5284D">
        <w:rPr>
          <w:sz w:val="22"/>
          <w:szCs w:val="22"/>
        </w:rPr>
        <w:t xml:space="preserve">, </w:t>
      </w:r>
      <w:r w:rsidRPr="00B5284D">
        <w:rPr>
          <w:rFonts w:hAnsi="標楷體"/>
          <w:sz w:val="22"/>
          <w:szCs w:val="22"/>
        </w:rPr>
        <w:t>最後瀏覽日</w:t>
      </w:r>
      <w:smartTag w:uri="urn:schemas-microsoft-com:office:smarttags" w:element="chsdate">
        <w:smartTagPr>
          <w:attr w:name="Year" w:val="2015"/>
          <w:attr w:name="Month" w:val="4"/>
          <w:attr w:name="Day" w:val="30"/>
          <w:attr w:name="IsLunarDate" w:val="False"/>
          <w:attr w:name="IsROCDate" w:val="False"/>
        </w:smartTagPr>
        <w:r w:rsidRPr="00B5284D">
          <w:rPr>
            <w:sz w:val="22"/>
            <w:szCs w:val="22"/>
          </w:rPr>
          <w:t>2015/04/30</w:t>
        </w:r>
      </w:smartTag>
      <w:r w:rsidRPr="00B5284D">
        <w:rPr>
          <w:rFonts w:hAnsi="標楷體"/>
          <w:sz w:val="22"/>
          <w:szCs w:val="22"/>
        </w:rPr>
        <w:t>）資料，由作者自行統計之結果。</w:t>
      </w:r>
    </w:p>
    <w:p w:rsidR="00D138CD" w:rsidRPr="007A2B2F" w:rsidRDefault="00D138CD" w:rsidP="00D138CD">
      <w:pPr>
        <w:spacing w:line="391" w:lineRule="exact"/>
        <w:jc w:val="right"/>
        <w:rPr>
          <w:sz w:val="28"/>
          <w:szCs w:val="28"/>
        </w:rPr>
      </w:pPr>
    </w:p>
    <w:p w:rsidR="00D138CD" w:rsidRDefault="00D138CD" w:rsidP="00563C43">
      <w:pPr>
        <w:widowControl/>
        <w:spacing w:line="391" w:lineRule="exact"/>
        <w:jc w:val="center"/>
        <w:rPr>
          <w:rFonts w:hAnsi="標楷體" w:hint="eastAsia"/>
          <w:sz w:val="30"/>
          <w:szCs w:val="30"/>
        </w:rPr>
      </w:pPr>
      <w:r w:rsidRPr="007A2B2F">
        <w:rPr>
          <w:sz w:val="28"/>
          <w:szCs w:val="28"/>
        </w:rPr>
        <w:br w:type="page"/>
      </w:r>
      <w:r w:rsidR="00F64D16" w:rsidRPr="007828E2">
        <w:rPr>
          <w:rFonts w:hint="eastAsia"/>
          <w:sz w:val="28"/>
          <w:szCs w:val="28"/>
        </w:rPr>
        <w:lastRenderedPageBreak/>
        <w:t>【表二】</w:t>
      </w:r>
      <w:r w:rsidR="00F64D16" w:rsidRPr="007828E2">
        <w:rPr>
          <w:rFonts w:hAnsi="標楷體" w:hint="eastAsia"/>
          <w:sz w:val="30"/>
          <w:szCs w:val="30"/>
        </w:rPr>
        <w:t>大法官解釋意見分歧程度</w:t>
      </w:r>
    </w:p>
    <w:p w:rsidR="00D138CD" w:rsidRDefault="00D138CD" w:rsidP="00D138CD">
      <w:pPr>
        <w:spacing w:line="391" w:lineRule="exact"/>
        <w:ind w:rightChars="-24" w:right="-77"/>
        <w:jc w:val="right"/>
        <w:rPr>
          <w:rFonts w:hAnsi="標楷體" w:hint="eastAsia"/>
          <w:sz w:val="22"/>
          <w:szCs w:val="22"/>
        </w:rPr>
      </w:pPr>
      <w:r w:rsidRPr="00413B92">
        <w:rPr>
          <w:rFonts w:hAnsi="標楷體"/>
          <w:sz w:val="22"/>
          <w:szCs w:val="22"/>
        </w:rPr>
        <w:t>統計至</w:t>
      </w:r>
      <w:r w:rsidRPr="00413B92">
        <w:rPr>
          <w:sz w:val="22"/>
          <w:szCs w:val="22"/>
        </w:rPr>
        <w:t>104</w:t>
      </w:r>
      <w:r w:rsidRPr="00413B92">
        <w:rPr>
          <w:rFonts w:hAnsi="標楷體"/>
          <w:sz w:val="22"/>
          <w:szCs w:val="22"/>
        </w:rPr>
        <w:t>年</w:t>
      </w:r>
      <w:r w:rsidRPr="00413B92">
        <w:rPr>
          <w:sz w:val="22"/>
          <w:szCs w:val="22"/>
        </w:rPr>
        <w:t>4</w:t>
      </w:r>
      <w:r w:rsidRPr="00413B92">
        <w:rPr>
          <w:rFonts w:hAnsi="標楷體"/>
          <w:sz w:val="22"/>
          <w:szCs w:val="22"/>
        </w:rPr>
        <w:t>月</w:t>
      </w:r>
      <w:r w:rsidRPr="00413B92">
        <w:rPr>
          <w:sz w:val="22"/>
          <w:szCs w:val="22"/>
        </w:rPr>
        <w:t>30</w:t>
      </w:r>
      <w:r w:rsidRPr="00413B92">
        <w:rPr>
          <w:rFonts w:hAnsi="標楷體"/>
          <w:sz w:val="22"/>
          <w:szCs w:val="22"/>
        </w:rPr>
        <w:t>日</w:t>
      </w:r>
    </w:p>
    <w:tbl>
      <w:tblPr>
        <w:tblpPr w:leftFromText="180" w:rightFromText="180" w:vertAnchor="text" w:horzAnchor="margin" w:tblpXSpec="center" w:tblpY="99"/>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7"/>
        <w:gridCol w:w="2255"/>
        <w:gridCol w:w="1126"/>
        <w:gridCol w:w="1127"/>
        <w:gridCol w:w="1206"/>
        <w:gridCol w:w="1105"/>
        <w:gridCol w:w="1107"/>
        <w:gridCol w:w="1213"/>
      </w:tblGrid>
      <w:tr w:rsidR="00563C43" w:rsidRPr="00563C43" w:rsidTr="00693E09">
        <w:trPr>
          <w:trHeight w:val="374"/>
        </w:trPr>
        <w:tc>
          <w:tcPr>
            <w:tcW w:w="2812" w:type="dxa"/>
            <w:gridSpan w:val="2"/>
            <w:vMerge w:val="restart"/>
            <w:tcBorders>
              <w:top w:val="single" w:sz="24" w:space="0" w:color="auto"/>
              <w:left w:val="single" w:sz="24" w:space="0" w:color="auto"/>
              <w:right w:val="single" w:sz="24" w:space="0" w:color="auto"/>
              <w:tl2br w:val="single" w:sz="4" w:space="0" w:color="auto"/>
            </w:tcBorders>
          </w:tcPr>
          <w:p w:rsidR="00563C43" w:rsidRPr="00563C43" w:rsidRDefault="00563C43" w:rsidP="00563C43">
            <w:pPr>
              <w:spacing w:line="280" w:lineRule="exact"/>
              <w:jc w:val="right"/>
              <w:rPr>
                <w:sz w:val="26"/>
                <w:szCs w:val="26"/>
              </w:rPr>
            </w:pPr>
            <w:r w:rsidRPr="00563C43">
              <w:rPr>
                <w:sz w:val="26"/>
                <w:szCs w:val="26"/>
              </w:rPr>
              <w:t xml:space="preserve">        </w:t>
            </w:r>
            <w:r w:rsidRPr="00563C43">
              <w:rPr>
                <w:rFonts w:hAnsi="標楷體" w:hint="eastAsia"/>
                <w:sz w:val="26"/>
                <w:szCs w:val="26"/>
              </w:rPr>
              <w:t>解釋</w:t>
            </w:r>
          </w:p>
          <w:p w:rsidR="00563C43" w:rsidRPr="00563C43" w:rsidRDefault="00563C43" w:rsidP="00563C43">
            <w:pPr>
              <w:spacing w:line="280" w:lineRule="exact"/>
              <w:rPr>
                <w:sz w:val="26"/>
                <w:szCs w:val="26"/>
              </w:rPr>
            </w:pPr>
          </w:p>
          <w:p w:rsidR="00563C43" w:rsidRPr="00563C43" w:rsidRDefault="00563C43" w:rsidP="00563C43">
            <w:pPr>
              <w:spacing w:line="280" w:lineRule="exact"/>
              <w:rPr>
                <w:rFonts w:hAnsi="標楷體"/>
                <w:sz w:val="26"/>
                <w:szCs w:val="26"/>
              </w:rPr>
            </w:pPr>
          </w:p>
          <w:p w:rsidR="00563C43" w:rsidRPr="00563C43" w:rsidRDefault="00563C43" w:rsidP="00563C43">
            <w:pPr>
              <w:spacing w:line="280" w:lineRule="exact"/>
              <w:rPr>
                <w:sz w:val="26"/>
                <w:szCs w:val="26"/>
              </w:rPr>
            </w:pPr>
            <w:r w:rsidRPr="00563C43">
              <w:rPr>
                <w:rFonts w:hAnsi="標楷體" w:hint="eastAsia"/>
                <w:sz w:val="26"/>
                <w:szCs w:val="26"/>
              </w:rPr>
              <w:t>屆別</w:t>
            </w:r>
            <w:r w:rsidRPr="00563C43">
              <w:rPr>
                <w:sz w:val="26"/>
                <w:szCs w:val="26"/>
              </w:rPr>
              <w:t>(</w:t>
            </w:r>
            <w:r w:rsidRPr="00563C43">
              <w:rPr>
                <w:rFonts w:hAnsi="標楷體" w:hint="eastAsia"/>
                <w:sz w:val="26"/>
                <w:szCs w:val="26"/>
              </w:rPr>
              <w:t>任期</w:t>
            </w:r>
            <w:r w:rsidRPr="00563C43">
              <w:rPr>
                <w:sz w:val="26"/>
                <w:szCs w:val="26"/>
              </w:rPr>
              <w:t>)</w:t>
            </w:r>
          </w:p>
        </w:tc>
        <w:tc>
          <w:tcPr>
            <w:tcW w:w="3459" w:type="dxa"/>
            <w:gridSpan w:val="3"/>
            <w:tcBorders>
              <w:top w:val="single" w:sz="24" w:space="0" w:color="auto"/>
              <w:left w:val="single" w:sz="24" w:space="0" w:color="auto"/>
              <w:right w:val="single" w:sz="24" w:space="0" w:color="auto"/>
            </w:tcBorders>
            <w:vAlign w:val="center"/>
          </w:tcPr>
          <w:p w:rsidR="00563C43" w:rsidRPr="00563C43" w:rsidRDefault="00563C43" w:rsidP="00563C43">
            <w:pPr>
              <w:spacing w:line="280" w:lineRule="exact"/>
              <w:jc w:val="center"/>
              <w:rPr>
                <w:sz w:val="26"/>
                <w:szCs w:val="26"/>
              </w:rPr>
            </w:pPr>
            <w:r w:rsidRPr="00563C43">
              <w:rPr>
                <w:rFonts w:hAnsi="標楷體" w:hint="eastAsia"/>
                <w:sz w:val="26"/>
                <w:szCs w:val="26"/>
              </w:rPr>
              <w:t>憲法解釋</w:t>
            </w:r>
          </w:p>
        </w:tc>
        <w:tc>
          <w:tcPr>
            <w:tcW w:w="3425" w:type="dxa"/>
            <w:gridSpan w:val="3"/>
            <w:tcBorders>
              <w:top w:val="single" w:sz="24" w:space="0" w:color="auto"/>
              <w:left w:val="single" w:sz="24" w:space="0" w:color="auto"/>
              <w:right w:val="single" w:sz="24" w:space="0" w:color="auto"/>
            </w:tcBorders>
            <w:vAlign w:val="center"/>
          </w:tcPr>
          <w:p w:rsidR="00563C43" w:rsidRPr="00563C43" w:rsidRDefault="00563C43" w:rsidP="00563C43">
            <w:pPr>
              <w:spacing w:line="280" w:lineRule="exact"/>
              <w:jc w:val="center"/>
              <w:rPr>
                <w:sz w:val="26"/>
                <w:szCs w:val="26"/>
              </w:rPr>
            </w:pPr>
            <w:r w:rsidRPr="00563C43">
              <w:rPr>
                <w:rFonts w:hAnsi="標楷體" w:hint="eastAsia"/>
                <w:sz w:val="26"/>
                <w:szCs w:val="26"/>
              </w:rPr>
              <w:t>統一解釋</w:t>
            </w:r>
          </w:p>
        </w:tc>
      </w:tr>
      <w:tr w:rsidR="00563C43" w:rsidRPr="00563C43" w:rsidTr="00693E09">
        <w:trPr>
          <w:trHeight w:val="832"/>
        </w:trPr>
        <w:tc>
          <w:tcPr>
            <w:tcW w:w="2812" w:type="dxa"/>
            <w:gridSpan w:val="2"/>
            <w:vMerge/>
            <w:tcBorders>
              <w:top w:val="nil"/>
              <w:left w:val="single" w:sz="24" w:space="0" w:color="auto"/>
              <w:right w:val="single" w:sz="24" w:space="0" w:color="auto"/>
              <w:tl2br w:val="single" w:sz="4" w:space="0" w:color="auto"/>
            </w:tcBorders>
          </w:tcPr>
          <w:p w:rsidR="00563C43" w:rsidRPr="00563C43" w:rsidRDefault="00563C43" w:rsidP="00563C43">
            <w:pPr>
              <w:spacing w:line="280" w:lineRule="exact"/>
              <w:rPr>
                <w:sz w:val="26"/>
                <w:szCs w:val="26"/>
              </w:rPr>
            </w:pPr>
          </w:p>
        </w:tc>
        <w:tc>
          <w:tcPr>
            <w:tcW w:w="1126" w:type="dxa"/>
            <w:tcBorders>
              <w:left w:val="single" w:sz="24" w:space="0" w:color="auto"/>
            </w:tcBorders>
            <w:tcMar>
              <w:left w:w="0" w:type="dxa"/>
              <w:right w:w="0" w:type="dxa"/>
            </w:tcMar>
          </w:tcPr>
          <w:p w:rsidR="0018469A" w:rsidRDefault="00563C43" w:rsidP="0018469A">
            <w:pPr>
              <w:spacing w:line="280" w:lineRule="exact"/>
              <w:ind w:left="57" w:right="57"/>
              <w:jc w:val="distribute"/>
              <w:rPr>
                <w:rFonts w:hAnsi="標楷體" w:hint="eastAsia"/>
                <w:sz w:val="26"/>
                <w:szCs w:val="26"/>
              </w:rPr>
            </w:pPr>
            <w:r w:rsidRPr="00563C43">
              <w:rPr>
                <w:rFonts w:hAnsi="標楷體" w:hint="eastAsia"/>
                <w:sz w:val="26"/>
                <w:szCs w:val="26"/>
              </w:rPr>
              <w:t>個別意</w:t>
            </w:r>
          </w:p>
          <w:p w:rsidR="009622BE" w:rsidRPr="0018469A" w:rsidRDefault="00563C43" w:rsidP="0018469A">
            <w:pPr>
              <w:spacing w:line="280" w:lineRule="exact"/>
              <w:ind w:left="57" w:right="57"/>
              <w:jc w:val="both"/>
              <w:rPr>
                <w:rFonts w:hAnsi="標楷體" w:hint="eastAsia"/>
                <w:spacing w:val="40"/>
                <w:sz w:val="26"/>
                <w:szCs w:val="26"/>
              </w:rPr>
            </w:pPr>
            <w:r w:rsidRPr="00563C43">
              <w:rPr>
                <w:rFonts w:hAnsi="標楷體" w:hint="eastAsia"/>
                <w:spacing w:val="40"/>
                <w:kern w:val="0"/>
                <w:sz w:val="26"/>
                <w:szCs w:val="26"/>
              </w:rPr>
              <w:t>見書</w:t>
            </w:r>
          </w:p>
          <w:p w:rsidR="00563C43" w:rsidRPr="00563C43" w:rsidRDefault="009622BE" w:rsidP="009622BE">
            <w:pPr>
              <w:spacing w:line="280" w:lineRule="exact"/>
              <w:ind w:left="57" w:right="57"/>
              <w:rPr>
                <w:rFonts w:hAnsi="標楷體"/>
                <w:sz w:val="26"/>
                <w:szCs w:val="26"/>
              </w:rPr>
            </w:pPr>
            <w:r w:rsidRPr="009622BE">
              <w:rPr>
                <w:rFonts w:hAnsi="標楷體" w:hint="eastAsia"/>
                <w:spacing w:val="-8"/>
                <w:kern w:val="0"/>
                <w:sz w:val="22"/>
                <w:szCs w:val="22"/>
              </w:rPr>
              <w:t>（註二十）</w:t>
            </w:r>
            <w:r w:rsidR="00563C43" w:rsidRPr="00563C43">
              <w:rPr>
                <w:rFonts w:hAnsi="標楷體" w:hint="eastAsia"/>
                <w:sz w:val="26"/>
                <w:szCs w:val="26"/>
              </w:rPr>
              <w:t>件數</w:t>
            </w:r>
            <w:r w:rsidR="00563C43" w:rsidRPr="00563C43">
              <w:rPr>
                <w:sz w:val="26"/>
                <w:szCs w:val="26"/>
              </w:rPr>
              <w:t>(A)</w:t>
            </w:r>
          </w:p>
        </w:tc>
        <w:tc>
          <w:tcPr>
            <w:tcW w:w="1127" w:type="dxa"/>
          </w:tcPr>
          <w:p w:rsidR="0018469A" w:rsidRDefault="00563C43" w:rsidP="0018469A">
            <w:pPr>
              <w:kinsoku w:val="0"/>
              <w:overflowPunct w:val="0"/>
              <w:spacing w:line="280" w:lineRule="exact"/>
              <w:ind w:left="57" w:right="57"/>
              <w:jc w:val="distribute"/>
              <w:rPr>
                <w:rFonts w:hint="eastAsia"/>
                <w:sz w:val="26"/>
                <w:szCs w:val="26"/>
              </w:rPr>
            </w:pPr>
            <w:r w:rsidRPr="00563C43">
              <w:rPr>
                <w:rFonts w:hint="eastAsia"/>
                <w:sz w:val="26"/>
                <w:szCs w:val="26"/>
              </w:rPr>
              <w:t>公布解</w:t>
            </w:r>
          </w:p>
          <w:p w:rsidR="00563C43" w:rsidRPr="00563C43" w:rsidRDefault="00563C43" w:rsidP="0018469A">
            <w:pPr>
              <w:kinsoku w:val="0"/>
              <w:overflowPunct w:val="0"/>
              <w:spacing w:line="280" w:lineRule="exact"/>
              <w:ind w:left="57" w:right="57"/>
              <w:jc w:val="distribute"/>
              <w:rPr>
                <w:sz w:val="26"/>
                <w:szCs w:val="26"/>
              </w:rPr>
            </w:pPr>
            <w:r w:rsidRPr="00563C43">
              <w:rPr>
                <w:rFonts w:hint="eastAsia"/>
                <w:sz w:val="26"/>
                <w:szCs w:val="26"/>
              </w:rPr>
              <w:t>釋件數</w:t>
            </w:r>
          </w:p>
          <w:p w:rsidR="00563C43" w:rsidRPr="00563C43" w:rsidRDefault="00563C43" w:rsidP="00563C43">
            <w:pPr>
              <w:spacing w:line="280" w:lineRule="exact"/>
              <w:rPr>
                <w:sz w:val="26"/>
                <w:szCs w:val="26"/>
              </w:rPr>
            </w:pPr>
            <w:r w:rsidRPr="00563C43">
              <w:rPr>
                <w:rFonts w:hAnsi="標楷體"/>
                <w:sz w:val="26"/>
                <w:szCs w:val="26"/>
              </w:rPr>
              <w:t>(B)</w:t>
            </w:r>
          </w:p>
        </w:tc>
        <w:tc>
          <w:tcPr>
            <w:tcW w:w="1206" w:type="dxa"/>
            <w:tcBorders>
              <w:right w:val="single" w:sz="24" w:space="0" w:color="auto"/>
            </w:tcBorders>
          </w:tcPr>
          <w:p w:rsidR="001D68CF" w:rsidRDefault="00563C43" w:rsidP="001D68CF">
            <w:pPr>
              <w:spacing w:line="280" w:lineRule="exact"/>
              <w:ind w:left="57" w:right="57"/>
              <w:jc w:val="distribute"/>
              <w:rPr>
                <w:rFonts w:hAnsi="標楷體" w:hint="eastAsia"/>
                <w:sz w:val="26"/>
                <w:szCs w:val="26"/>
              </w:rPr>
            </w:pPr>
            <w:r w:rsidRPr="00563C43">
              <w:rPr>
                <w:rFonts w:hAnsi="標楷體" w:hint="eastAsia"/>
                <w:sz w:val="26"/>
                <w:szCs w:val="26"/>
              </w:rPr>
              <w:t>意見分</w:t>
            </w:r>
          </w:p>
          <w:p w:rsidR="0018469A" w:rsidRDefault="00563C43" w:rsidP="001D68CF">
            <w:pPr>
              <w:spacing w:line="280" w:lineRule="exact"/>
              <w:ind w:left="57" w:right="57"/>
              <w:jc w:val="distribute"/>
              <w:rPr>
                <w:rFonts w:hAnsi="標楷體" w:hint="eastAsia"/>
                <w:kern w:val="0"/>
                <w:sz w:val="26"/>
                <w:szCs w:val="26"/>
              </w:rPr>
            </w:pPr>
            <w:r w:rsidRPr="00563C43">
              <w:rPr>
                <w:rFonts w:hAnsi="標楷體" w:hint="eastAsia"/>
                <w:sz w:val="26"/>
                <w:szCs w:val="26"/>
              </w:rPr>
              <w:t>歧</w:t>
            </w:r>
            <w:r w:rsidRPr="00563C43">
              <w:rPr>
                <w:rFonts w:hAnsi="標楷體" w:hint="eastAsia"/>
                <w:kern w:val="0"/>
                <w:sz w:val="26"/>
                <w:szCs w:val="26"/>
              </w:rPr>
              <w:t>程度</w:t>
            </w:r>
          </w:p>
          <w:p w:rsidR="00563C43" w:rsidRPr="00563C43" w:rsidRDefault="00563C43" w:rsidP="001D68CF">
            <w:pPr>
              <w:kinsoku w:val="0"/>
              <w:overflowPunct w:val="0"/>
              <w:spacing w:line="280" w:lineRule="exact"/>
              <w:ind w:left="57" w:right="57"/>
              <w:jc w:val="both"/>
              <w:rPr>
                <w:sz w:val="26"/>
                <w:szCs w:val="26"/>
              </w:rPr>
            </w:pPr>
            <w:r w:rsidRPr="00563C43">
              <w:rPr>
                <w:rFonts w:hAnsi="標楷體"/>
                <w:sz w:val="26"/>
                <w:szCs w:val="26"/>
              </w:rPr>
              <w:t>(A/B)</w:t>
            </w:r>
          </w:p>
        </w:tc>
        <w:tc>
          <w:tcPr>
            <w:tcW w:w="1105" w:type="dxa"/>
            <w:tcBorders>
              <w:left w:val="single" w:sz="24" w:space="0" w:color="auto"/>
            </w:tcBorders>
          </w:tcPr>
          <w:p w:rsidR="0018469A" w:rsidRDefault="00563C43" w:rsidP="0018469A">
            <w:pPr>
              <w:spacing w:line="280" w:lineRule="exact"/>
              <w:ind w:left="57" w:right="57"/>
              <w:jc w:val="distribute"/>
              <w:rPr>
                <w:rFonts w:hAnsi="標楷體" w:hint="eastAsia"/>
                <w:sz w:val="26"/>
                <w:szCs w:val="26"/>
              </w:rPr>
            </w:pPr>
            <w:r w:rsidRPr="00563C43">
              <w:rPr>
                <w:rFonts w:hAnsi="標楷體" w:hint="eastAsia"/>
                <w:sz w:val="26"/>
                <w:szCs w:val="26"/>
              </w:rPr>
              <w:t>個別意</w:t>
            </w:r>
          </w:p>
          <w:p w:rsidR="0018469A" w:rsidRDefault="00563C43" w:rsidP="0018469A">
            <w:pPr>
              <w:spacing w:line="280" w:lineRule="exact"/>
              <w:ind w:left="57" w:right="57"/>
              <w:jc w:val="distribute"/>
              <w:rPr>
                <w:rFonts w:hAnsi="標楷體" w:hint="eastAsia"/>
                <w:sz w:val="26"/>
                <w:szCs w:val="26"/>
              </w:rPr>
            </w:pPr>
            <w:r w:rsidRPr="00563C43">
              <w:rPr>
                <w:rFonts w:hAnsi="標楷體" w:hint="eastAsia"/>
                <w:sz w:val="26"/>
                <w:szCs w:val="26"/>
              </w:rPr>
              <w:t>見</w:t>
            </w:r>
            <w:r w:rsidR="00357EC6" w:rsidRPr="00563C43">
              <w:rPr>
                <w:rFonts w:hAnsi="標楷體" w:hint="eastAsia"/>
                <w:sz w:val="26"/>
                <w:szCs w:val="26"/>
              </w:rPr>
              <w:t>書</w:t>
            </w:r>
            <w:r w:rsidRPr="00563C43">
              <w:rPr>
                <w:rFonts w:hAnsi="標楷體" w:hint="eastAsia"/>
                <w:sz w:val="26"/>
                <w:szCs w:val="26"/>
              </w:rPr>
              <w:t>件</w:t>
            </w:r>
          </w:p>
          <w:p w:rsidR="00563C43" w:rsidRPr="00563C43" w:rsidRDefault="00563C43" w:rsidP="0018469A">
            <w:pPr>
              <w:spacing w:line="280" w:lineRule="exact"/>
              <w:ind w:left="57" w:right="57"/>
              <w:jc w:val="both"/>
              <w:rPr>
                <w:sz w:val="26"/>
                <w:szCs w:val="26"/>
              </w:rPr>
            </w:pPr>
            <w:r w:rsidRPr="00563C43">
              <w:rPr>
                <w:rFonts w:hAnsi="標楷體" w:hint="eastAsia"/>
                <w:sz w:val="26"/>
                <w:szCs w:val="26"/>
              </w:rPr>
              <w:t>數</w:t>
            </w:r>
            <w:r w:rsidRPr="00563C43">
              <w:rPr>
                <w:sz w:val="26"/>
                <w:szCs w:val="26"/>
              </w:rPr>
              <w:t>(C)</w:t>
            </w:r>
          </w:p>
        </w:tc>
        <w:tc>
          <w:tcPr>
            <w:tcW w:w="1107" w:type="dxa"/>
          </w:tcPr>
          <w:p w:rsidR="001D68CF" w:rsidRDefault="00563C43" w:rsidP="001D68CF">
            <w:pPr>
              <w:spacing w:line="280" w:lineRule="exact"/>
              <w:ind w:left="57" w:right="57"/>
              <w:jc w:val="distribute"/>
              <w:rPr>
                <w:rFonts w:hint="eastAsia"/>
                <w:sz w:val="26"/>
                <w:szCs w:val="26"/>
              </w:rPr>
            </w:pPr>
            <w:r w:rsidRPr="00563C43">
              <w:rPr>
                <w:rFonts w:hint="eastAsia"/>
                <w:sz w:val="26"/>
                <w:szCs w:val="26"/>
              </w:rPr>
              <w:t>公布解</w:t>
            </w:r>
          </w:p>
          <w:p w:rsidR="00563C43" w:rsidRPr="00563C43" w:rsidRDefault="00563C43" w:rsidP="001D68CF">
            <w:pPr>
              <w:spacing w:line="280" w:lineRule="exact"/>
              <w:ind w:left="57" w:right="57"/>
              <w:jc w:val="distribute"/>
              <w:rPr>
                <w:sz w:val="26"/>
                <w:szCs w:val="26"/>
              </w:rPr>
            </w:pPr>
            <w:r w:rsidRPr="00563C43">
              <w:rPr>
                <w:rFonts w:hint="eastAsia"/>
                <w:sz w:val="26"/>
                <w:szCs w:val="26"/>
              </w:rPr>
              <w:t>釋件數</w:t>
            </w:r>
          </w:p>
          <w:p w:rsidR="00563C43" w:rsidRPr="00563C43" w:rsidRDefault="00563C43" w:rsidP="001D68CF">
            <w:pPr>
              <w:spacing w:line="280" w:lineRule="exact"/>
              <w:ind w:left="57" w:right="57"/>
              <w:rPr>
                <w:sz w:val="26"/>
                <w:szCs w:val="26"/>
              </w:rPr>
            </w:pPr>
            <w:r w:rsidRPr="00563C43">
              <w:rPr>
                <w:rFonts w:hAnsi="標楷體"/>
                <w:sz w:val="26"/>
                <w:szCs w:val="26"/>
              </w:rPr>
              <w:t>(D)</w:t>
            </w:r>
          </w:p>
        </w:tc>
        <w:tc>
          <w:tcPr>
            <w:tcW w:w="1213" w:type="dxa"/>
            <w:tcBorders>
              <w:right w:val="single" w:sz="24" w:space="0" w:color="auto"/>
            </w:tcBorders>
          </w:tcPr>
          <w:p w:rsidR="001D68CF" w:rsidRDefault="00563C43" w:rsidP="001D68CF">
            <w:pPr>
              <w:spacing w:line="280" w:lineRule="exact"/>
              <w:ind w:left="57" w:right="57"/>
              <w:jc w:val="distribute"/>
              <w:rPr>
                <w:rFonts w:hAnsi="標楷體" w:hint="eastAsia"/>
                <w:sz w:val="26"/>
                <w:szCs w:val="26"/>
              </w:rPr>
            </w:pPr>
            <w:r w:rsidRPr="00563C43">
              <w:rPr>
                <w:rFonts w:hAnsi="標楷體" w:hint="eastAsia"/>
                <w:sz w:val="26"/>
                <w:szCs w:val="26"/>
              </w:rPr>
              <w:t>意見分</w:t>
            </w:r>
          </w:p>
          <w:p w:rsidR="00563C43" w:rsidRPr="00563C43" w:rsidRDefault="00563C43" w:rsidP="001D68CF">
            <w:pPr>
              <w:spacing w:line="280" w:lineRule="exact"/>
              <w:ind w:left="57" w:right="57"/>
              <w:jc w:val="both"/>
              <w:rPr>
                <w:sz w:val="26"/>
                <w:szCs w:val="26"/>
              </w:rPr>
            </w:pPr>
            <w:r w:rsidRPr="00563C43">
              <w:rPr>
                <w:rFonts w:hAnsi="標楷體" w:hint="eastAsia"/>
                <w:sz w:val="26"/>
                <w:szCs w:val="26"/>
              </w:rPr>
              <w:t>歧程度</w:t>
            </w:r>
            <w:r w:rsidRPr="00563C43">
              <w:rPr>
                <w:rFonts w:hAnsi="標楷體"/>
                <w:sz w:val="26"/>
                <w:szCs w:val="26"/>
              </w:rPr>
              <w:t>(C/D)</w:t>
            </w:r>
          </w:p>
        </w:tc>
      </w:tr>
      <w:tr w:rsidR="00563C43" w:rsidRPr="00563C43" w:rsidTr="00693E09">
        <w:tc>
          <w:tcPr>
            <w:tcW w:w="2812" w:type="dxa"/>
            <w:gridSpan w:val="2"/>
            <w:tcBorders>
              <w:left w:val="single" w:sz="24" w:space="0" w:color="auto"/>
              <w:right w:val="single" w:sz="24" w:space="0" w:color="auto"/>
            </w:tcBorders>
          </w:tcPr>
          <w:p w:rsidR="00563C43" w:rsidRPr="00563C43" w:rsidRDefault="00563C43" w:rsidP="00563C43">
            <w:pPr>
              <w:spacing w:line="280" w:lineRule="exact"/>
              <w:jc w:val="center"/>
              <w:rPr>
                <w:sz w:val="26"/>
                <w:szCs w:val="26"/>
              </w:rPr>
            </w:pPr>
            <w:r w:rsidRPr="00563C43">
              <w:rPr>
                <w:rFonts w:hint="eastAsia"/>
                <w:sz w:val="26"/>
                <w:szCs w:val="26"/>
              </w:rPr>
              <w:t>第一屆</w:t>
            </w:r>
          </w:p>
          <w:p w:rsidR="00563C43" w:rsidRPr="00563C43" w:rsidRDefault="00563C43" w:rsidP="00563C43">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37/07/14</w:t>
              </w:r>
            </w:smartTag>
            <w:r w:rsidRPr="00563C43">
              <w:rPr>
                <w:rFonts w:hint="eastAsia"/>
                <w:sz w:val="26"/>
                <w:szCs w:val="26"/>
              </w:rPr>
              <w:t>～</w:t>
            </w:r>
            <w:r w:rsidRPr="00563C43">
              <w:rPr>
                <w:sz w:val="26"/>
                <w:szCs w:val="26"/>
              </w:rPr>
              <w:t>47/09/24)</w:t>
            </w:r>
          </w:p>
        </w:tc>
        <w:tc>
          <w:tcPr>
            <w:tcW w:w="1126" w:type="dxa"/>
            <w:tcBorders>
              <w:left w:val="single" w:sz="24" w:space="0" w:color="auto"/>
            </w:tcBorders>
            <w:vAlign w:val="center"/>
          </w:tcPr>
          <w:p w:rsidR="0018469A" w:rsidRDefault="00563C43" w:rsidP="0018469A">
            <w:pPr>
              <w:spacing w:line="280" w:lineRule="exact"/>
              <w:jc w:val="center"/>
              <w:rPr>
                <w:rFonts w:hAnsi="標楷體" w:hint="eastAsia"/>
                <w:sz w:val="26"/>
                <w:szCs w:val="26"/>
              </w:rPr>
            </w:pPr>
            <w:r w:rsidRPr="00563C43">
              <w:rPr>
                <w:rFonts w:hAnsi="標楷體"/>
                <w:sz w:val="26"/>
                <w:szCs w:val="26"/>
              </w:rPr>
              <w:t>NA</w:t>
            </w:r>
          </w:p>
          <w:p w:rsidR="009622BE" w:rsidRPr="00563C43" w:rsidRDefault="009622BE" w:rsidP="0018469A">
            <w:pPr>
              <w:spacing w:line="280" w:lineRule="exact"/>
              <w:jc w:val="center"/>
              <w:rPr>
                <w:spacing w:val="-30"/>
                <w:sz w:val="26"/>
                <w:szCs w:val="26"/>
                <w:vertAlign w:val="superscript"/>
              </w:rPr>
            </w:pPr>
            <w:r w:rsidRPr="0018469A">
              <w:rPr>
                <w:rFonts w:hAnsi="標楷體" w:hint="eastAsia"/>
                <w:spacing w:val="-30"/>
                <w:kern w:val="0"/>
                <w:sz w:val="22"/>
                <w:szCs w:val="22"/>
              </w:rPr>
              <w:t>（註二十一）</w:t>
            </w:r>
          </w:p>
        </w:tc>
        <w:tc>
          <w:tcPr>
            <w:tcW w:w="1127" w:type="dxa"/>
            <w:vAlign w:val="center"/>
          </w:tcPr>
          <w:p w:rsidR="00563C43" w:rsidRPr="00563C43" w:rsidRDefault="00563C43" w:rsidP="00563C43">
            <w:pPr>
              <w:spacing w:line="280" w:lineRule="exact"/>
              <w:jc w:val="center"/>
              <w:rPr>
                <w:sz w:val="26"/>
                <w:szCs w:val="26"/>
              </w:rPr>
            </w:pPr>
            <w:r w:rsidRPr="00563C43">
              <w:rPr>
                <w:rFonts w:hAnsi="標楷體"/>
                <w:sz w:val="26"/>
                <w:szCs w:val="26"/>
              </w:rPr>
              <w:t>NA</w:t>
            </w:r>
          </w:p>
        </w:tc>
        <w:tc>
          <w:tcPr>
            <w:tcW w:w="1206" w:type="dxa"/>
            <w:tcBorders>
              <w:right w:val="single" w:sz="24" w:space="0" w:color="auto"/>
              <w:tr2bl w:val="single" w:sz="4" w:space="0" w:color="auto"/>
            </w:tcBorders>
            <w:vAlign w:val="center"/>
          </w:tcPr>
          <w:p w:rsidR="00563C43" w:rsidRPr="00563C43" w:rsidRDefault="00563C43" w:rsidP="00563C43">
            <w:pPr>
              <w:spacing w:line="280" w:lineRule="exact"/>
              <w:jc w:val="center"/>
              <w:rPr>
                <w:sz w:val="26"/>
                <w:szCs w:val="26"/>
              </w:rPr>
            </w:pPr>
          </w:p>
        </w:tc>
        <w:tc>
          <w:tcPr>
            <w:tcW w:w="1105"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rFonts w:hAnsi="標楷體"/>
                <w:sz w:val="26"/>
                <w:szCs w:val="26"/>
              </w:rPr>
              <w:t>NA</w:t>
            </w:r>
          </w:p>
        </w:tc>
        <w:tc>
          <w:tcPr>
            <w:tcW w:w="1107" w:type="dxa"/>
            <w:vAlign w:val="center"/>
          </w:tcPr>
          <w:p w:rsidR="00563C43" w:rsidRPr="00563C43" w:rsidRDefault="00563C43" w:rsidP="00563C43">
            <w:pPr>
              <w:spacing w:line="280" w:lineRule="exact"/>
              <w:jc w:val="center"/>
              <w:rPr>
                <w:sz w:val="26"/>
                <w:szCs w:val="26"/>
              </w:rPr>
            </w:pPr>
            <w:r w:rsidRPr="00563C43">
              <w:rPr>
                <w:rFonts w:hAnsi="標楷體"/>
                <w:sz w:val="26"/>
                <w:szCs w:val="26"/>
              </w:rPr>
              <w:t>NA</w:t>
            </w:r>
          </w:p>
        </w:tc>
        <w:tc>
          <w:tcPr>
            <w:tcW w:w="1213" w:type="dxa"/>
            <w:tcBorders>
              <w:right w:val="single" w:sz="24" w:space="0" w:color="auto"/>
              <w:tr2bl w:val="single" w:sz="4" w:space="0" w:color="auto"/>
            </w:tcBorders>
            <w:vAlign w:val="center"/>
          </w:tcPr>
          <w:p w:rsidR="00563C43" w:rsidRPr="00563C43" w:rsidRDefault="00563C43" w:rsidP="00563C43">
            <w:pPr>
              <w:spacing w:line="280" w:lineRule="exact"/>
              <w:jc w:val="center"/>
              <w:rPr>
                <w:sz w:val="26"/>
                <w:szCs w:val="26"/>
              </w:rPr>
            </w:pPr>
          </w:p>
        </w:tc>
      </w:tr>
      <w:tr w:rsidR="00563C43" w:rsidRPr="00563C43" w:rsidTr="00693E09">
        <w:tc>
          <w:tcPr>
            <w:tcW w:w="2812" w:type="dxa"/>
            <w:gridSpan w:val="2"/>
            <w:tcBorders>
              <w:left w:val="single" w:sz="24" w:space="0" w:color="auto"/>
              <w:right w:val="single" w:sz="24" w:space="0" w:color="auto"/>
            </w:tcBorders>
          </w:tcPr>
          <w:p w:rsidR="00563C43" w:rsidRPr="00563C43" w:rsidRDefault="00563C43" w:rsidP="00563C43">
            <w:pPr>
              <w:spacing w:line="280" w:lineRule="exact"/>
              <w:jc w:val="center"/>
              <w:rPr>
                <w:sz w:val="26"/>
                <w:szCs w:val="26"/>
              </w:rPr>
            </w:pPr>
            <w:r w:rsidRPr="00563C43">
              <w:rPr>
                <w:rFonts w:hint="eastAsia"/>
                <w:sz w:val="26"/>
                <w:szCs w:val="26"/>
              </w:rPr>
              <w:t>第二屆</w:t>
            </w:r>
          </w:p>
          <w:p w:rsidR="00563C43" w:rsidRPr="00563C43" w:rsidRDefault="00563C43" w:rsidP="00563C43">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47/09/25</w:t>
              </w:r>
            </w:smartTag>
            <w:r w:rsidRPr="00563C43">
              <w:rPr>
                <w:rFonts w:hint="eastAsia"/>
                <w:sz w:val="26"/>
                <w:szCs w:val="26"/>
              </w:rPr>
              <w:t>～</w:t>
            </w:r>
            <w:r w:rsidRPr="00563C43">
              <w:rPr>
                <w:sz w:val="26"/>
                <w:szCs w:val="26"/>
              </w:rPr>
              <w:t>56/10/01)</w:t>
            </w:r>
          </w:p>
        </w:tc>
        <w:tc>
          <w:tcPr>
            <w:tcW w:w="1126"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2</w:t>
            </w:r>
          </w:p>
        </w:tc>
        <w:tc>
          <w:tcPr>
            <w:tcW w:w="1127" w:type="dxa"/>
            <w:vAlign w:val="center"/>
          </w:tcPr>
          <w:p w:rsidR="00563C43" w:rsidRPr="00563C43" w:rsidRDefault="00563C43" w:rsidP="00563C43">
            <w:pPr>
              <w:spacing w:line="280" w:lineRule="exact"/>
              <w:jc w:val="center"/>
              <w:rPr>
                <w:sz w:val="26"/>
                <w:szCs w:val="26"/>
              </w:rPr>
            </w:pPr>
            <w:r w:rsidRPr="00563C43">
              <w:rPr>
                <w:sz w:val="26"/>
                <w:szCs w:val="26"/>
              </w:rPr>
              <w:t>2</w:t>
            </w:r>
          </w:p>
        </w:tc>
        <w:tc>
          <w:tcPr>
            <w:tcW w:w="1206" w:type="dxa"/>
            <w:tcBorders>
              <w:right w:val="single" w:sz="24" w:space="0" w:color="auto"/>
            </w:tcBorders>
            <w:vAlign w:val="center"/>
          </w:tcPr>
          <w:p w:rsidR="00563C43" w:rsidRPr="00563C43" w:rsidRDefault="00800E94" w:rsidP="00563C43">
            <w:pPr>
              <w:spacing w:line="280" w:lineRule="exact"/>
              <w:jc w:val="center"/>
              <w:rPr>
                <w:sz w:val="26"/>
                <w:szCs w:val="26"/>
              </w:rPr>
            </w:pPr>
            <w:r>
              <w:rPr>
                <w:sz w:val="26"/>
                <w:szCs w:val="26"/>
              </w:rPr>
              <w:t>100</w:t>
            </w:r>
            <w:r w:rsidR="00563C43" w:rsidRPr="00563C43">
              <w:rPr>
                <w:sz w:val="26"/>
                <w:szCs w:val="26"/>
              </w:rPr>
              <w:t>%</w:t>
            </w:r>
          </w:p>
        </w:tc>
        <w:tc>
          <w:tcPr>
            <w:tcW w:w="1105"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33</w:t>
            </w:r>
          </w:p>
        </w:tc>
        <w:tc>
          <w:tcPr>
            <w:tcW w:w="1107" w:type="dxa"/>
            <w:vAlign w:val="center"/>
          </w:tcPr>
          <w:p w:rsidR="00563C43" w:rsidRPr="00563C43" w:rsidRDefault="00563C43" w:rsidP="00563C43">
            <w:pPr>
              <w:spacing w:line="280" w:lineRule="exact"/>
              <w:jc w:val="center"/>
              <w:rPr>
                <w:sz w:val="26"/>
                <w:szCs w:val="26"/>
              </w:rPr>
            </w:pPr>
            <w:r w:rsidRPr="00563C43">
              <w:rPr>
                <w:sz w:val="26"/>
                <w:szCs w:val="26"/>
              </w:rPr>
              <w:t>27</w:t>
            </w:r>
          </w:p>
        </w:tc>
        <w:tc>
          <w:tcPr>
            <w:tcW w:w="1213" w:type="dxa"/>
            <w:tcBorders>
              <w:righ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122.22%</w:t>
            </w:r>
          </w:p>
        </w:tc>
      </w:tr>
      <w:tr w:rsidR="00563C43" w:rsidRPr="00563C43" w:rsidTr="00693E09">
        <w:tc>
          <w:tcPr>
            <w:tcW w:w="2812" w:type="dxa"/>
            <w:gridSpan w:val="2"/>
            <w:tcBorders>
              <w:left w:val="single" w:sz="24" w:space="0" w:color="auto"/>
              <w:right w:val="single" w:sz="24" w:space="0" w:color="auto"/>
            </w:tcBorders>
          </w:tcPr>
          <w:p w:rsidR="00563C43" w:rsidRPr="00563C43" w:rsidRDefault="00563C43" w:rsidP="00563C43">
            <w:pPr>
              <w:spacing w:line="280" w:lineRule="exact"/>
              <w:jc w:val="center"/>
              <w:rPr>
                <w:sz w:val="26"/>
                <w:szCs w:val="26"/>
              </w:rPr>
            </w:pPr>
            <w:r w:rsidRPr="00563C43">
              <w:rPr>
                <w:rFonts w:hint="eastAsia"/>
                <w:sz w:val="26"/>
                <w:szCs w:val="26"/>
              </w:rPr>
              <w:t>第三屆</w:t>
            </w:r>
          </w:p>
          <w:p w:rsidR="00563C43" w:rsidRPr="00563C43" w:rsidRDefault="00563C43" w:rsidP="00563C43">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56/10/02</w:t>
              </w:r>
            </w:smartTag>
            <w:r w:rsidRPr="00563C43">
              <w:rPr>
                <w:rFonts w:hint="eastAsia"/>
                <w:sz w:val="26"/>
                <w:szCs w:val="26"/>
              </w:rPr>
              <w:t>～</w:t>
            </w:r>
            <w:r w:rsidRPr="00563C43">
              <w:rPr>
                <w:sz w:val="26"/>
                <w:szCs w:val="26"/>
              </w:rPr>
              <w:t>65/10/01)</w:t>
            </w:r>
          </w:p>
        </w:tc>
        <w:tc>
          <w:tcPr>
            <w:tcW w:w="1126"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4</w:t>
            </w:r>
          </w:p>
        </w:tc>
        <w:tc>
          <w:tcPr>
            <w:tcW w:w="1127" w:type="dxa"/>
            <w:vAlign w:val="center"/>
          </w:tcPr>
          <w:p w:rsidR="00563C43" w:rsidRPr="00563C43" w:rsidRDefault="00563C43" w:rsidP="00563C43">
            <w:pPr>
              <w:spacing w:line="280" w:lineRule="exact"/>
              <w:jc w:val="center"/>
              <w:rPr>
                <w:sz w:val="26"/>
                <w:szCs w:val="26"/>
              </w:rPr>
            </w:pPr>
            <w:r w:rsidRPr="00563C43">
              <w:rPr>
                <w:sz w:val="26"/>
                <w:szCs w:val="26"/>
              </w:rPr>
              <w:t>2</w:t>
            </w:r>
          </w:p>
        </w:tc>
        <w:tc>
          <w:tcPr>
            <w:tcW w:w="1206" w:type="dxa"/>
            <w:tcBorders>
              <w:righ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200%</w:t>
            </w:r>
          </w:p>
        </w:tc>
        <w:tc>
          <w:tcPr>
            <w:tcW w:w="1105"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32</w:t>
            </w:r>
          </w:p>
        </w:tc>
        <w:tc>
          <w:tcPr>
            <w:tcW w:w="1107" w:type="dxa"/>
            <w:vAlign w:val="center"/>
          </w:tcPr>
          <w:p w:rsidR="00563C43" w:rsidRPr="00563C43" w:rsidRDefault="00563C43" w:rsidP="00563C43">
            <w:pPr>
              <w:spacing w:line="280" w:lineRule="exact"/>
              <w:jc w:val="center"/>
              <w:rPr>
                <w:sz w:val="26"/>
                <w:szCs w:val="26"/>
              </w:rPr>
            </w:pPr>
            <w:r w:rsidRPr="00563C43">
              <w:rPr>
                <w:sz w:val="26"/>
                <w:szCs w:val="26"/>
              </w:rPr>
              <w:t>18</w:t>
            </w:r>
          </w:p>
        </w:tc>
        <w:tc>
          <w:tcPr>
            <w:tcW w:w="1213" w:type="dxa"/>
            <w:tcBorders>
              <w:righ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177.78%</w:t>
            </w:r>
          </w:p>
        </w:tc>
      </w:tr>
      <w:tr w:rsidR="00563C43" w:rsidRPr="00563C43" w:rsidTr="00693E09">
        <w:tc>
          <w:tcPr>
            <w:tcW w:w="2812" w:type="dxa"/>
            <w:gridSpan w:val="2"/>
            <w:tcBorders>
              <w:left w:val="single" w:sz="24" w:space="0" w:color="auto"/>
              <w:right w:val="single" w:sz="24" w:space="0" w:color="auto"/>
            </w:tcBorders>
          </w:tcPr>
          <w:p w:rsidR="00563C43" w:rsidRPr="00563C43" w:rsidRDefault="00563C43" w:rsidP="00563C43">
            <w:pPr>
              <w:spacing w:line="280" w:lineRule="exact"/>
              <w:jc w:val="center"/>
              <w:rPr>
                <w:sz w:val="26"/>
                <w:szCs w:val="26"/>
              </w:rPr>
            </w:pPr>
            <w:r w:rsidRPr="00563C43">
              <w:rPr>
                <w:rFonts w:hint="eastAsia"/>
                <w:sz w:val="26"/>
                <w:szCs w:val="26"/>
              </w:rPr>
              <w:t>第四屆</w:t>
            </w:r>
          </w:p>
          <w:p w:rsidR="00563C43" w:rsidRPr="00563C43" w:rsidRDefault="00563C43" w:rsidP="00563C43">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65/10/02</w:t>
              </w:r>
            </w:smartTag>
            <w:r w:rsidRPr="00563C43">
              <w:rPr>
                <w:rFonts w:hint="eastAsia"/>
                <w:sz w:val="26"/>
                <w:szCs w:val="26"/>
              </w:rPr>
              <w:t>～</w:t>
            </w:r>
            <w:r w:rsidRPr="00563C43">
              <w:rPr>
                <w:sz w:val="26"/>
                <w:szCs w:val="26"/>
              </w:rPr>
              <w:t>74/09/01)</w:t>
            </w:r>
          </w:p>
        </w:tc>
        <w:tc>
          <w:tcPr>
            <w:tcW w:w="1126"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27</w:t>
            </w:r>
          </w:p>
        </w:tc>
        <w:tc>
          <w:tcPr>
            <w:tcW w:w="1127" w:type="dxa"/>
            <w:vAlign w:val="center"/>
          </w:tcPr>
          <w:p w:rsidR="00563C43" w:rsidRPr="00563C43" w:rsidRDefault="00563C43" w:rsidP="00563C43">
            <w:pPr>
              <w:spacing w:line="280" w:lineRule="exact"/>
              <w:jc w:val="center"/>
              <w:rPr>
                <w:sz w:val="26"/>
                <w:szCs w:val="26"/>
              </w:rPr>
            </w:pPr>
            <w:r w:rsidRPr="00563C43">
              <w:rPr>
                <w:sz w:val="26"/>
                <w:szCs w:val="26"/>
              </w:rPr>
              <w:t>18</w:t>
            </w:r>
          </w:p>
        </w:tc>
        <w:tc>
          <w:tcPr>
            <w:tcW w:w="1206" w:type="dxa"/>
            <w:tcBorders>
              <w:right w:val="single" w:sz="24" w:space="0" w:color="auto"/>
            </w:tcBorders>
            <w:vAlign w:val="center"/>
          </w:tcPr>
          <w:p w:rsidR="00563C43" w:rsidRPr="00563C43" w:rsidRDefault="00800E94" w:rsidP="00563C43">
            <w:pPr>
              <w:spacing w:line="280" w:lineRule="exact"/>
              <w:jc w:val="center"/>
              <w:rPr>
                <w:sz w:val="26"/>
                <w:szCs w:val="26"/>
              </w:rPr>
            </w:pPr>
            <w:r>
              <w:rPr>
                <w:sz w:val="26"/>
                <w:szCs w:val="26"/>
              </w:rPr>
              <w:t>150</w:t>
            </w:r>
            <w:r w:rsidR="00563C43" w:rsidRPr="00563C43">
              <w:rPr>
                <w:sz w:val="26"/>
                <w:szCs w:val="26"/>
              </w:rPr>
              <w:t>%</w:t>
            </w:r>
          </w:p>
        </w:tc>
        <w:tc>
          <w:tcPr>
            <w:tcW w:w="1105" w:type="dxa"/>
            <w:tcBorders>
              <w:lef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32</w:t>
            </w:r>
          </w:p>
        </w:tc>
        <w:tc>
          <w:tcPr>
            <w:tcW w:w="1107" w:type="dxa"/>
            <w:vAlign w:val="center"/>
          </w:tcPr>
          <w:p w:rsidR="00563C43" w:rsidRPr="00563C43" w:rsidRDefault="00563C43" w:rsidP="00563C43">
            <w:pPr>
              <w:spacing w:line="280" w:lineRule="exact"/>
              <w:jc w:val="center"/>
              <w:rPr>
                <w:sz w:val="26"/>
                <w:szCs w:val="26"/>
              </w:rPr>
            </w:pPr>
            <w:r w:rsidRPr="00563C43">
              <w:rPr>
                <w:sz w:val="26"/>
                <w:szCs w:val="26"/>
              </w:rPr>
              <w:t>17</w:t>
            </w:r>
          </w:p>
        </w:tc>
        <w:tc>
          <w:tcPr>
            <w:tcW w:w="1213" w:type="dxa"/>
            <w:tcBorders>
              <w:right w:val="single" w:sz="24" w:space="0" w:color="auto"/>
            </w:tcBorders>
            <w:vAlign w:val="center"/>
          </w:tcPr>
          <w:p w:rsidR="00563C43" w:rsidRPr="00563C43" w:rsidRDefault="00563C43" w:rsidP="00563C43">
            <w:pPr>
              <w:spacing w:line="280" w:lineRule="exact"/>
              <w:jc w:val="center"/>
              <w:rPr>
                <w:sz w:val="26"/>
                <w:szCs w:val="26"/>
              </w:rPr>
            </w:pPr>
            <w:r w:rsidRPr="00563C43">
              <w:rPr>
                <w:sz w:val="26"/>
                <w:szCs w:val="26"/>
              </w:rPr>
              <w:t>188.24%</w:t>
            </w:r>
          </w:p>
        </w:tc>
      </w:tr>
      <w:tr w:rsidR="00693E09" w:rsidRPr="00563C43" w:rsidTr="00693E09">
        <w:tc>
          <w:tcPr>
            <w:tcW w:w="557" w:type="dxa"/>
            <w:vMerge w:val="restart"/>
            <w:tcBorders>
              <w:left w:val="single" w:sz="24" w:space="0" w:color="auto"/>
            </w:tcBorders>
            <w:textDirection w:val="tbRlV"/>
            <w:vAlign w:val="center"/>
          </w:tcPr>
          <w:p w:rsidR="00693E09" w:rsidRPr="007828E2" w:rsidRDefault="00693E09" w:rsidP="00693E09">
            <w:pPr>
              <w:spacing w:line="280" w:lineRule="exact"/>
              <w:jc w:val="center"/>
            </w:pPr>
            <w:r w:rsidRPr="00693E09">
              <w:rPr>
                <w:rFonts w:hint="eastAsia"/>
                <w:sz w:val="24"/>
                <w:szCs w:val="24"/>
              </w:rPr>
              <w:t>第五屆</w:t>
            </w:r>
          </w:p>
        </w:tc>
        <w:tc>
          <w:tcPr>
            <w:tcW w:w="2255" w:type="dxa"/>
            <w:tcBorders>
              <w:right w:val="single" w:sz="24" w:space="0" w:color="auto"/>
            </w:tcBorders>
          </w:tcPr>
          <w:p w:rsidR="00693E09" w:rsidRPr="00357EC6" w:rsidRDefault="00693E09" w:rsidP="00357EC6">
            <w:pPr>
              <w:spacing w:line="280" w:lineRule="exact"/>
              <w:ind w:left="28" w:right="28"/>
              <w:jc w:val="distribute"/>
              <w:rPr>
                <w:spacing w:val="-6"/>
                <w:sz w:val="26"/>
                <w:szCs w:val="26"/>
              </w:rPr>
            </w:pPr>
            <w:r w:rsidRPr="00357EC6">
              <w:rPr>
                <w:spacing w:val="-6"/>
                <w:sz w:val="26"/>
                <w:szCs w:val="26"/>
              </w:rPr>
              <w:t>(</w:t>
            </w:r>
            <w:smartTag w:uri="urn:schemas-microsoft-com:office:smarttags" w:element="chsdate">
              <w:smartTagPr>
                <w:attr w:name="Year" w:val="2015"/>
                <w:attr w:name="Month" w:val="4"/>
                <w:attr w:name="Day" w:val="30"/>
                <w:attr w:name="IsLunarDate" w:val="False"/>
                <w:attr w:name="IsROCDate" w:val="False"/>
              </w:smartTagPr>
              <w:r w:rsidRPr="00357EC6">
                <w:rPr>
                  <w:spacing w:val="-6"/>
                  <w:sz w:val="26"/>
                  <w:szCs w:val="26"/>
                </w:rPr>
                <w:t>74/10/02</w:t>
              </w:r>
            </w:smartTag>
            <w:r w:rsidRPr="00357EC6">
              <w:rPr>
                <w:rFonts w:hint="eastAsia"/>
                <w:spacing w:val="-6"/>
                <w:sz w:val="26"/>
                <w:szCs w:val="26"/>
              </w:rPr>
              <w:t>～</w:t>
            </w:r>
            <w:r w:rsidRPr="00357EC6">
              <w:rPr>
                <w:spacing w:val="-6"/>
                <w:sz w:val="26"/>
                <w:szCs w:val="26"/>
              </w:rPr>
              <w:t>76/08/27)</w:t>
            </w:r>
          </w:p>
          <w:p w:rsidR="00693E09" w:rsidRPr="00563C43" w:rsidRDefault="00693E09" w:rsidP="00693E09">
            <w:pPr>
              <w:spacing w:line="280" w:lineRule="exact"/>
              <w:jc w:val="center"/>
              <w:rPr>
                <w:sz w:val="26"/>
                <w:szCs w:val="26"/>
              </w:rPr>
            </w:pPr>
            <w:r w:rsidRPr="00563C43">
              <w:rPr>
                <w:sz w:val="26"/>
                <w:szCs w:val="26"/>
              </w:rPr>
              <w:t>(</w:t>
            </w:r>
            <w:r w:rsidRPr="00563C43">
              <w:rPr>
                <w:rFonts w:hint="eastAsia"/>
                <w:sz w:val="26"/>
                <w:szCs w:val="26"/>
              </w:rPr>
              <w:t>釋</w:t>
            </w:r>
            <w:r w:rsidRPr="00563C43">
              <w:rPr>
                <w:sz w:val="26"/>
                <w:szCs w:val="26"/>
              </w:rPr>
              <w:t>200</w:t>
            </w:r>
            <w:r w:rsidRPr="00563C43">
              <w:rPr>
                <w:rFonts w:hint="eastAsia"/>
                <w:sz w:val="26"/>
                <w:szCs w:val="26"/>
              </w:rPr>
              <w:t>～釋</w:t>
            </w:r>
            <w:r w:rsidRPr="00563C43">
              <w:rPr>
                <w:sz w:val="26"/>
                <w:szCs w:val="26"/>
              </w:rPr>
              <w:t>218)</w:t>
            </w:r>
          </w:p>
        </w:tc>
        <w:tc>
          <w:tcPr>
            <w:tcW w:w="1126"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7</w:t>
            </w:r>
          </w:p>
        </w:tc>
        <w:tc>
          <w:tcPr>
            <w:tcW w:w="1127" w:type="dxa"/>
            <w:vAlign w:val="center"/>
          </w:tcPr>
          <w:p w:rsidR="00693E09" w:rsidRPr="00563C43" w:rsidRDefault="00693E09" w:rsidP="00693E09">
            <w:pPr>
              <w:spacing w:line="280" w:lineRule="exact"/>
              <w:jc w:val="center"/>
              <w:rPr>
                <w:sz w:val="26"/>
                <w:szCs w:val="26"/>
              </w:rPr>
            </w:pPr>
            <w:r w:rsidRPr="00563C43">
              <w:rPr>
                <w:sz w:val="26"/>
                <w:szCs w:val="26"/>
              </w:rPr>
              <w:t>5</w:t>
            </w:r>
          </w:p>
        </w:tc>
        <w:tc>
          <w:tcPr>
            <w:tcW w:w="1206"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140%</w:t>
            </w:r>
          </w:p>
        </w:tc>
        <w:tc>
          <w:tcPr>
            <w:tcW w:w="1105"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3</w:t>
            </w:r>
          </w:p>
        </w:tc>
        <w:tc>
          <w:tcPr>
            <w:tcW w:w="1107" w:type="dxa"/>
            <w:vAlign w:val="center"/>
          </w:tcPr>
          <w:p w:rsidR="00693E09" w:rsidRPr="00563C43" w:rsidRDefault="00693E09" w:rsidP="00693E09">
            <w:pPr>
              <w:spacing w:line="280" w:lineRule="exact"/>
              <w:jc w:val="center"/>
              <w:rPr>
                <w:sz w:val="26"/>
                <w:szCs w:val="26"/>
              </w:rPr>
            </w:pPr>
            <w:r w:rsidRPr="00563C43">
              <w:rPr>
                <w:sz w:val="26"/>
                <w:szCs w:val="26"/>
              </w:rPr>
              <w:t>2</w:t>
            </w:r>
          </w:p>
        </w:tc>
        <w:tc>
          <w:tcPr>
            <w:tcW w:w="1213"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150%</w:t>
            </w:r>
          </w:p>
        </w:tc>
      </w:tr>
      <w:tr w:rsidR="00693E09" w:rsidRPr="00563C43" w:rsidTr="00693E09">
        <w:tc>
          <w:tcPr>
            <w:tcW w:w="557" w:type="dxa"/>
            <w:vMerge/>
            <w:tcBorders>
              <w:left w:val="single" w:sz="24" w:space="0" w:color="auto"/>
            </w:tcBorders>
          </w:tcPr>
          <w:p w:rsidR="00693E09" w:rsidRPr="00563C43" w:rsidRDefault="00693E09" w:rsidP="00693E09">
            <w:pPr>
              <w:spacing w:line="280" w:lineRule="exact"/>
              <w:jc w:val="center"/>
              <w:rPr>
                <w:sz w:val="26"/>
                <w:szCs w:val="26"/>
              </w:rPr>
            </w:pPr>
          </w:p>
        </w:tc>
        <w:tc>
          <w:tcPr>
            <w:tcW w:w="2255" w:type="dxa"/>
            <w:tcBorders>
              <w:right w:val="single" w:sz="24" w:space="0" w:color="auto"/>
            </w:tcBorders>
          </w:tcPr>
          <w:p w:rsidR="00693E09" w:rsidRPr="00357EC6" w:rsidRDefault="00693E09" w:rsidP="00357EC6">
            <w:pPr>
              <w:spacing w:line="280" w:lineRule="exact"/>
              <w:ind w:left="28" w:right="28"/>
              <w:jc w:val="distribute"/>
              <w:rPr>
                <w:spacing w:val="-6"/>
                <w:sz w:val="26"/>
                <w:szCs w:val="26"/>
              </w:rPr>
            </w:pPr>
            <w:r w:rsidRPr="00357EC6">
              <w:rPr>
                <w:spacing w:val="-6"/>
                <w:sz w:val="26"/>
                <w:szCs w:val="26"/>
              </w:rPr>
              <w:t>(</w:t>
            </w:r>
            <w:smartTag w:uri="urn:schemas-microsoft-com:office:smarttags" w:element="chsdate">
              <w:smartTagPr>
                <w:attr w:name="Year" w:val="2015"/>
                <w:attr w:name="Month" w:val="4"/>
                <w:attr w:name="Day" w:val="30"/>
                <w:attr w:name="IsLunarDate" w:val="False"/>
                <w:attr w:name="IsROCDate" w:val="False"/>
              </w:smartTagPr>
              <w:r w:rsidRPr="00357EC6">
                <w:rPr>
                  <w:spacing w:val="-6"/>
                  <w:sz w:val="26"/>
                  <w:szCs w:val="26"/>
                </w:rPr>
                <w:t>76/08/28</w:t>
              </w:r>
            </w:smartTag>
            <w:r w:rsidRPr="00357EC6">
              <w:rPr>
                <w:rFonts w:hint="eastAsia"/>
                <w:spacing w:val="-6"/>
                <w:sz w:val="26"/>
                <w:szCs w:val="26"/>
              </w:rPr>
              <w:t>～</w:t>
            </w:r>
            <w:r w:rsidRPr="00357EC6">
              <w:rPr>
                <w:spacing w:val="-6"/>
                <w:sz w:val="26"/>
                <w:szCs w:val="26"/>
              </w:rPr>
              <w:t>83/10/01)</w:t>
            </w:r>
          </w:p>
          <w:p w:rsidR="00693E09" w:rsidRPr="00563C43" w:rsidRDefault="00693E09" w:rsidP="00693E09">
            <w:pPr>
              <w:spacing w:line="280" w:lineRule="exact"/>
              <w:jc w:val="center"/>
              <w:rPr>
                <w:sz w:val="26"/>
                <w:szCs w:val="26"/>
              </w:rPr>
            </w:pPr>
            <w:r w:rsidRPr="00563C43">
              <w:rPr>
                <w:sz w:val="26"/>
                <w:szCs w:val="26"/>
              </w:rPr>
              <w:t>(</w:t>
            </w:r>
            <w:r w:rsidRPr="00563C43">
              <w:rPr>
                <w:rFonts w:hint="eastAsia"/>
                <w:sz w:val="26"/>
                <w:szCs w:val="26"/>
              </w:rPr>
              <w:t>釋</w:t>
            </w:r>
            <w:r w:rsidRPr="00563C43">
              <w:rPr>
                <w:sz w:val="26"/>
                <w:szCs w:val="26"/>
              </w:rPr>
              <w:t>219</w:t>
            </w:r>
            <w:r w:rsidRPr="00563C43">
              <w:rPr>
                <w:rFonts w:hint="eastAsia"/>
                <w:sz w:val="26"/>
                <w:szCs w:val="26"/>
              </w:rPr>
              <w:t>～釋</w:t>
            </w:r>
            <w:r w:rsidRPr="00563C43">
              <w:rPr>
                <w:sz w:val="26"/>
                <w:szCs w:val="26"/>
              </w:rPr>
              <w:t>366)</w:t>
            </w:r>
          </w:p>
        </w:tc>
        <w:tc>
          <w:tcPr>
            <w:tcW w:w="1126"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92</w:t>
            </w:r>
          </w:p>
        </w:tc>
        <w:tc>
          <w:tcPr>
            <w:tcW w:w="1127" w:type="dxa"/>
            <w:vAlign w:val="center"/>
          </w:tcPr>
          <w:p w:rsidR="00693E09" w:rsidRPr="00563C43" w:rsidRDefault="00693E09" w:rsidP="00693E09">
            <w:pPr>
              <w:spacing w:line="280" w:lineRule="exact"/>
              <w:jc w:val="center"/>
              <w:rPr>
                <w:sz w:val="26"/>
                <w:szCs w:val="26"/>
              </w:rPr>
            </w:pPr>
            <w:r w:rsidRPr="00563C43">
              <w:rPr>
                <w:sz w:val="26"/>
                <w:szCs w:val="26"/>
              </w:rPr>
              <w:t>56</w:t>
            </w:r>
          </w:p>
        </w:tc>
        <w:tc>
          <w:tcPr>
            <w:tcW w:w="1206"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164.29%</w:t>
            </w:r>
          </w:p>
        </w:tc>
        <w:tc>
          <w:tcPr>
            <w:tcW w:w="1105"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10</w:t>
            </w:r>
          </w:p>
        </w:tc>
        <w:tc>
          <w:tcPr>
            <w:tcW w:w="1107" w:type="dxa"/>
            <w:vAlign w:val="center"/>
          </w:tcPr>
          <w:p w:rsidR="00693E09" w:rsidRPr="00563C43" w:rsidRDefault="00693E09" w:rsidP="00693E09">
            <w:pPr>
              <w:spacing w:line="280" w:lineRule="exact"/>
              <w:jc w:val="center"/>
              <w:rPr>
                <w:sz w:val="26"/>
                <w:szCs w:val="26"/>
              </w:rPr>
            </w:pPr>
            <w:r w:rsidRPr="00563C43">
              <w:rPr>
                <w:sz w:val="26"/>
                <w:szCs w:val="26"/>
              </w:rPr>
              <w:t>8</w:t>
            </w:r>
          </w:p>
        </w:tc>
        <w:tc>
          <w:tcPr>
            <w:tcW w:w="1213"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125%</w:t>
            </w:r>
          </w:p>
        </w:tc>
      </w:tr>
      <w:tr w:rsidR="00693E09" w:rsidRPr="00563C43" w:rsidTr="00693E09">
        <w:trPr>
          <w:trHeight w:val="558"/>
        </w:trPr>
        <w:tc>
          <w:tcPr>
            <w:tcW w:w="2812" w:type="dxa"/>
            <w:gridSpan w:val="2"/>
            <w:tcBorders>
              <w:left w:val="single" w:sz="24" w:space="0" w:color="auto"/>
              <w:bottom w:val="single" w:sz="24" w:space="0" w:color="auto"/>
              <w:right w:val="single" w:sz="24" w:space="0" w:color="auto"/>
            </w:tcBorders>
          </w:tcPr>
          <w:p w:rsidR="00693E09" w:rsidRPr="00563C43" w:rsidRDefault="00693E09" w:rsidP="00693E09">
            <w:pPr>
              <w:spacing w:line="280" w:lineRule="exact"/>
              <w:jc w:val="center"/>
              <w:rPr>
                <w:sz w:val="26"/>
                <w:szCs w:val="26"/>
              </w:rPr>
            </w:pPr>
            <w:r w:rsidRPr="00563C43">
              <w:rPr>
                <w:rFonts w:hint="eastAsia"/>
                <w:sz w:val="26"/>
                <w:szCs w:val="26"/>
              </w:rPr>
              <w:t>第六屆</w:t>
            </w:r>
          </w:p>
          <w:p w:rsidR="00693E09" w:rsidRPr="00563C43" w:rsidRDefault="00693E09" w:rsidP="00693E09">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83/10/02</w:t>
              </w:r>
            </w:smartTag>
            <w:r w:rsidRPr="00563C43">
              <w:rPr>
                <w:rFonts w:hint="eastAsia"/>
                <w:sz w:val="26"/>
                <w:szCs w:val="26"/>
              </w:rPr>
              <w:t>～</w:t>
            </w:r>
            <w:r w:rsidRPr="00563C43">
              <w:rPr>
                <w:sz w:val="26"/>
                <w:szCs w:val="26"/>
              </w:rPr>
              <w:t>92/10/01)</w:t>
            </w:r>
          </w:p>
          <w:p w:rsidR="00693E09" w:rsidRPr="00563C43" w:rsidRDefault="00693E09" w:rsidP="00693E09">
            <w:pPr>
              <w:spacing w:line="280" w:lineRule="exact"/>
              <w:jc w:val="center"/>
              <w:rPr>
                <w:sz w:val="26"/>
                <w:szCs w:val="26"/>
              </w:rPr>
            </w:pPr>
            <w:r w:rsidRPr="00563C43">
              <w:rPr>
                <w:rFonts w:hint="eastAsia"/>
                <w:sz w:val="26"/>
                <w:szCs w:val="26"/>
              </w:rPr>
              <w:t>釋</w:t>
            </w:r>
            <w:r w:rsidRPr="00563C43">
              <w:rPr>
                <w:sz w:val="26"/>
                <w:szCs w:val="26"/>
              </w:rPr>
              <w:t>367~</w:t>
            </w:r>
            <w:r w:rsidRPr="00563C43">
              <w:rPr>
                <w:rFonts w:hint="eastAsia"/>
                <w:sz w:val="26"/>
                <w:szCs w:val="26"/>
              </w:rPr>
              <w:t>釋</w:t>
            </w:r>
            <w:r w:rsidRPr="00563C43">
              <w:rPr>
                <w:sz w:val="26"/>
                <w:szCs w:val="26"/>
              </w:rPr>
              <w:t>566</w:t>
            </w:r>
          </w:p>
        </w:tc>
        <w:tc>
          <w:tcPr>
            <w:tcW w:w="1126" w:type="dxa"/>
            <w:tcBorders>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161</w:t>
            </w:r>
          </w:p>
        </w:tc>
        <w:tc>
          <w:tcPr>
            <w:tcW w:w="1127" w:type="dxa"/>
            <w:tcBorders>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87</w:t>
            </w:r>
          </w:p>
        </w:tc>
        <w:tc>
          <w:tcPr>
            <w:tcW w:w="1206" w:type="dxa"/>
            <w:tcBorders>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185.05%</w:t>
            </w:r>
          </w:p>
        </w:tc>
        <w:tc>
          <w:tcPr>
            <w:tcW w:w="1105" w:type="dxa"/>
            <w:tcBorders>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15</w:t>
            </w:r>
          </w:p>
        </w:tc>
        <w:tc>
          <w:tcPr>
            <w:tcW w:w="1107" w:type="dxa"/>
            <w:tcBorders>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w:t>
            </w:r>
          </w:p>
        </w:tc>
        <w:tc>
          <w:tcPr>
            <w:tcW w:w="1213" w:type="dxa"/>
            <w:tcBorders>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125%</w:t>
            </w:r>
          </w:p>
        </w:tc>
      </w:tr>
      <w:tr w:rsidR="00693E09" w:rsidRPr="00563C43" w:rsidTr="00693E09">
        <w:trPr>
          <w:trHeight w:val="769"/>
        </w:trPr>
        <w:tc>
          <w:tcPr>
            <w:tcW w:w="2812" w:type="dxa"/>
            <w:gridSpan w:val="2"/>
            <w:tcBorders>
              <w:top w:val="single" w:sz="24" w:space="0" w:color="auto"/>
              <w:left w:val="single" w:sz="24" w:space="0" w:color="auto"/>
              <w:bottom w:val="single" w:sz="24" w:space="0" w:color="auto"/>
              <w:right w:val="single" w:sz="24" w:space="0" w:color="auto"/>
            </w:tcBorders>
          </w:tcPr>
          <w:p w:rsidR="00693E09" w:rsidRPr="00563C43" w:rsidRDefault="00693E09" w:rsidP="00693E09">
            <w:pPr>
              <w:spacing w:line="280" w:lineRule="exact"/>
              <w:jc w:val="center"/>
              <w:rPr>
                <w:sz w:val="26"/>
                <w:szCs w:val="26"/>
              </w:rPr>
            </w:pPr>
            <w:r w:rsidRPr="00563C43">
              <w:rPr>
                <w:rFonts w:hint="eastAsia"/>
                <w:sz w:val="26"/>
                <w:szCs w:val="26"/>
              </w:rPr>
              <w:t>不分屆次</w:t>
            </w:r>
          </w:p>
          <w:p w:rsidR="00693E09" w:rsidRPr="00563C43" w:rsidRDefault="00693E09" w:rsidP="00693E09">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92/10/02</w:t>
              </w:r>
            </w:smartTag>
            <w:r w:rsidRPr="00563C43">
              <w:rPr>
                <w:rFonts w:hint="eastAsia"/>
                <w:sz w:val="26"/>
                <w:szCs w:val="26"/>
              </w:rPr>
              <w:t>～</w:t>
            </w:r>
            <w:r w:rsidRPr="00563C43">
              <w:rPr>
                <w:sz w:val="26"/>
                <w:szCs w:val="26"/>
              </w:rPr>
              <w:t>104/04)</w:t>
            </w:r>
          </w:p>
          <w:p w:rsidR="00693E09" w:rsidRPr="00563C43" w:rsidRDefault="00693E09" w:rsidP="00693E09">
            <w:pPr>
              <w:spacing w:line="280" w:lineRule="exact"/>
              <w:jc w:val="center"/>
              <w:rPr>
                <w:sz w:val="26"/>
                <w:szCs w:val="26"/>
              </w:rPr>
            </w:pPr>
            <w:r w:rsidRPr="00563C43">
              <w:rPr>
                <w:rFonts w:hint="eastAsia"/>
                <w:sz w:val="26"/>
                <w:szCs w:val="26"/>
              </w:rPr>
              <w:t>釋</w:t>
            </w:r>
            <w:r w:rsidRPr="00563C43">
              <w:rPr>
                <w:sz w:val="26"/>
                <w:szCs w:val="26"/>
              </w:rPr>
              <w:t>567~</w:t>
            </w:r>
            <w:r w:rsidRPr="00563C43">
              <w:rPr>
                <w:rFonts w:hint="eastAsia"/>
                <w:sz w:val="26"/>
                <w:szCs w:val="26"/>
              </w:rPr>
              <w:t>釋</w:t>
            </w:r>
            <w:r w:rsidRPr="00563C43">
              <w:rPr>
                <w:sz w:val="26"/>
                <w:szCs w:val="26"/>
              </w:rPr>
              <w:t>728</w:t>
            </w:r>
          </w:p>
        </w:tc>
        <w:tc>
          <w:tcPr>
            <w:tcW w:w="1126" w:type="dxa"/>
            <w:tcBorders>
              <w:top w:val="single" w:sz="24" w:space="0" w:color="auto"/>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520</w:t>
            </w:r>
          </w:p>
        </w:tc>
        <w:tc>
          <w:tcPr>
            <w:tcW w:w="1127" w:type="dxa"/>
            <w:tcBorders>
              <w:top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156</w:t>
            </w:r>
          </w:p>
        </w:tc>
        <w:tc>
          <w:tcPr>
            <w:tcW w:w="1206" w:type="dxa"/>
            <w:tcBorders>
              <w:top w:val="single" w:sz="24" w:space="0" w:color="auto"/>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333.33%</w:t>
            </w:r>
          </w:p>
        </w:tc>
        <w:tc>
          <w:tcPr>
            <w:tcW w:w="1105" w:type="dxa"/>
            <w:tcBorders>
              <w:top w:val="single" w:sz="24" w:space="0" w:color="auto"/>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31</w:t>
            </w:r>
          </w:p>
        </w:tc>
        <w:tc>
          <w:tcPr>
            <w:tcW w:w="1107" w:type="dxa"/>
            <w:tcBorders>
              <w:top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6</w:t>
            </w:r>
          </w:p>
        </w:tc>
        <w:tc>
          <w:tcPr>
            <w:tcW w:w="1213" w:type="dxa"/>
            <w:tcBorders>
              <w:top w:val="single" w:sz="24" w:space="0" w:color="auto"/>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516.66%</w:t>
            </w:r>
          </w:p>
        </w:tc>
      </w:tr>
      <w:tr w:rsidR="00693E09" w:rsidRPr="00563C43" w:rsidTr="00693E09">
        <w:trPr>
          <w:trHeight w:val="650"/>
        </w:trPr>
        <w:tc>
          <w:tcPr>
            <w:tcW w:w="2812" w:type="dxa"/>
            <w:gridSpan w:val="2"/>
            <w:tcBorders>
              <w:top w:val="single" w:sz="24" w:space="0" w:color="auto"/>
              <w:left w:val="single" w:sz="24" w:space="0" w:color="auto"/>
              <w:right w:val="single" w:sz="24" w:space="0" w:color="auto"/>
            </w:tcBorders>
          </w:tcPr>
          <w:p w:rsidR="00693E09" w:rsidRPr="00563C43" w:rsidRDefault="00693E09" w:rsidP="00693E09">
            <w:pPr>
              <w:spacing w:line="280" w:lineRule="exact"/>
              <w:jc w:val="center"/>
              <w:rPr>
                <w:sz w:val="26"/>
                <w:szCs w:val="26"/>
              </w:rPr>
            </w:pPr>
            <w:r w:rsidRPr="00563C43">
              <w:rPr>
                <w:rFonts w:hint="eastAsia"/>
                <w:sz w:val="26"/>
                <w:szCs w:val="26"/>
              </w:rPr>
              <w:t>翁岳生法庭</w:t>
            </w:r>
          </w:p>
          <w:p w:rsidR="00693E09" w:rsidRPr="00563C43" w:rsidRDefault="00693E09" w:rsidP="00693E09">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92/10/02</w:t>
              </w:r>
            </w:smartTag>
            <w:r w:rsidRPr="00563C43">
              <w:rPr>
                <w:rFonts w:hint="eastAsia"/>
                <w:sz w:val="26"/>
                <w:szCs w:val="26"/>
              </w:rPr>
              <w:t>～</w:t>
            </w:r>
            <w:r w:rsidR="002A7B9A">
              <w:rPr>
                <w:sz w:val="26"/>
                <w:szCs w:val="26"/>
              </w:rPr>
              <w:t>96</w:t>
            </w:r>
            <w:r w:rsidR="002A7B9A">
              <w:rPr>
                <w:rFonts w:hint="eastAsia"/>
                <w:sz w:val="26"/>
                <w:szCs w:val="26"/>
              </w:rPr>
              <w:t>/</w:t>
            </w:r>
            <w:r w:rsidR="002A7B9A">
              <w:rPr>
                <w:sz w:val="26"/>
                <w:szCs w:val="26"/>
              </w:rPr>
              <w:t>09</w:t>
            </w:r>
            <w:r w:rsidR="002A7B9A">
              <w:rPr>
                <w:rFonts w:hint="eastAsia"/>
                <w:sz w:val="26"/>
                <w:szCs w:val="26"/>
              </w:rPr>
              <w:t>/</w:t>
            </w:r>
            <w:r w:rsidRPr="00563C43">
              <w:rPr>
                <w:sz w:val="26"/>
                <w:szCs w:val="26"/>
              </w:rPr>
              <w:t>30 )</w:t>
            </w:r>
          </w:p>
          <w:p w:rsidR="00693E09" w:rsidRPr="00563C43" w:rsidRDefault="00693E09" w:rsidP="00693E09">
            <w:pPr>
              <w:spacing w:line="280" w:lineRule="exact"/>
              <w:jc w:val="center"/>
              <w:rPr>
                <w:sz w:val="26"/>
                <w:szCs w:val="26"/>
              </w:rPr>
            </w:pPr>
            <w:r w:rsidRPr="00563C43">
              <w:rPr>
                <w:rFonts w:hint="eastAsia"/>
                <w:sz w:val="26"/>
                <w:szCs w:val="26"/>
              </w:rPr>
              <w:t>釋</w:t>
            </w:r>
            <w:r w:rsidRPr="00563C43">
              <w:rPr>
                <w:sz w:val="26"/>
                <w:szCs w:val="26"/>
              </w:rPr>
              <w:t>567</w:t>
            </w:r>
            <w:r w:rsidRPr="00563C43">
              <w:rPr>
                <w:rFonts w:hint="eastAsia"/>
                <w:sz w:val="26"/>
                <w:szCs w:val="26"/>
              </w:rPr>
              <w:t>～釋</w:t>
            </w:r>
            <w:r w:rsidRPr="00563C43">
              <w:rPr>
                <w:sz w:val="26"/>
                <w:szCs w:val="26"/>
              </w:rPr>
              <w:t>633</w:t>
            </w:r>
          </w:p>
        </w:tc>
        <w:tc>
          <w:tcPr>
            <w:tcW w:w="1126" w:type="dxa"/>
            <w:tcBorders>
              <w:top w:val="single" w:sz="24" w:space="0" w:color="auto"/>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106</w:t>
            </w:r>
          </w:p>
        </w:tc>
        <w:tc>
          <w:tcPr>
            <w:tcW w:w="1127" w:type="dxa"/>
            <w:tcBorders>
              <w:top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66</w:t>
            </w:r>
          </w:p>
        </w:tc>
        <w:tc>
          <w:tcPr>
            <w:tcW w:w="1206" w:type="dxa"/>
            <w:tcBorders>
              <w:top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160.60%</w:t>
            </w:r>
          </w:p>
        </w:tc>
        <w:tc>
          <w:tcPr>
            <w:tcW w:w="1105" w:type="dxa"/>
            <w:tcBorders>
              <w:top w:val="single" w:sz="24" w:space="0" w:color="auto"/>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w:t>
            </w:r>
          </w:p>
        </w:tc>
        <w:tc>
          <w:tcPr>
            <w:tcW w:w="1107" w:type="dxa"/>
            <w:tcBorders>
              <w:top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w:t>
            </w:r>
          </w:p>
        </w:tc>
        <w:tc>
          <w:tcPr>
            <w:tcW w:w="1213" w:type="dxa"/>
            <w:tcBorders>
              <w:top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200%</w:t>
            </w:r>
          </w:p>
        </w:tc>
      </w:tr>
      <w:tr w:rsidR="00693E09" w:rsidRPr="00563C43" w:rsidTr="00693E09">
        <w:trPr>
          <w:trHeight w:val="516"/>
        </w:trPr>
        <w:tc>
          <w:tcPr>
            <w:tcW w:w="2812" w:type="dxa"/>
            <w:gridSpan w:val="2"/>
            <w:tcBorders>
              <w:left w:val="single" w:sz="24" w:space="0" w:color="auto"/>
              <w:right w:val="single" w:sz="24" w:space="0" w:color="auto"/>
            </w:tcBorders>
          </w:tcPr>
          <w:p w:rsidR="00693E09" w:rsidRPr="00563C43" w:rsidRDefault="00693E09" w:rsidP="00693E09">
            <w:pPr>
              <w:spacing w:line="280" w:lineRule="exact"/>
              <w:jc w:val="center"/>
              <w:rPr>
                <w:sz w:val="26"/>
                <w:szCs w:val="26"/>
              </w:rPr>
            </w:pPr>
            <w:r w:rsidRPr="00563C43">
              <w:rPr>
                <w:rFonts w:hint="eastAsia"/>
                <w:sz w:val="26"/>
                <w:szCs w:val="26"/>
              </w:rPr>
              <w:t>賴英照法庭</w:t>
            </w:r>
          </w:p>
          <w:p w:rsidR="00693E09" w:rsidRPr="00563C43" w:rsidRDefault="00693E09" w:rsidP="00693E09">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96/10/01</w:t>
              </w:r>
            </w:smartTag>
            <w:r w:rsidRPr="00563C43">
              <w:rPr>
                <w:rFonts w:hint="eastAsia"/>
                <w:sz w:val="26"/>
                <w:szCs w:val="26"/>
              </w:rPr>
              <w:t>～</w:t>
            </w:r>
            <w:r w:rsidRPr="00563C43">
              <w:rPr>
                <w:sz w:val="26"/>
                <w:szCs w:val="26"/>
              </w:rPr>
              <w:t>99/10/08 )</w:t>
            </w:r>
          </w:p>
          <w:p w:rsidR="00693E09" w:rsidRPr="00563C43" w:rsidRDefault="00693E09" w:rsidP="00693E09">
            <w:pPr>
              <w:spacing w:line="280" w:lineRule="exact"/>
              <w:jc w:val="center"/>
              <w:rPr>
                <w:sz w:val="26"/>
                <w:szCs w:val="26"/>
              </w:rPr>
            </w:pPr>
            <w:r w:rsidRPr="00563C43">
              <w:rPr>
                <w:rFonts w:hint="eastAsia"/>
                <w:sz w:val="26"/>
                <w:szCs w:val="26"/>
              </w:rPr>
              <w:t>釋</w:t>
            </w:r>
            <w:r w:rsidRPr="00563C43">
              <w:rPr>
                <w:sz w:val="26"/>
                <w:szCs w:val="26"/>
              </w:rPr>
              <w:t>634</w:t>
            </w:r>
            <w:r w:rsidRPr="00563C43">
              <w:rPr>
                <w:rFonts w:hint="eastAsia"/>
                <w:sz w:val="26"/>
                <w:szCs w:val="26"/>
              </w:rPr>
              <w:t>～釋</w:t>
            </w:r>
            <w:r w:rsidRPr="00563C43">
              <w:rPr>
                <w:sz w:val="26"/>
                <w:szCs w:val="26"/>
              </w:rPr>
              <w:t>681</w:t>
            </w:r>
          </w:p>
        </w:tc>
        <w:tc>
          <w:tcPr>
            <w:tcW w:w="1126"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126</w:t>
            </w:r>
          </w:p>
        </w:tc>
        <w:tc>
          <w:tcPr>
            <w:tcW w:w="1127" w:type="dxa"/>
            <w:vAlign w:val="center"/>
          </w:tcPr>
          <w:p w:rsidR="00693E09" w:rsidRPr="00563C43" w:rsidRDefault="00693E09" w:rsidP="00693E09">
            <w:pPr>
              <w:spacing w:line="280" w:lineRule="exact"/>
              <w:jc w:val="center"/>
              <w:rPr>
                <w:sz w:val="26"/>
                <w:szCs w:val="26"/>
              </w:rPr>
            </w:pPr>
            <w:r w:rsidRPr="00563C43">
              <w:rPr>
                <w:sz w:val="26"/>
                <w:szCs w:val="26"/>
              </w:rPr>
              <w:t>46</w:t>
            </w:r>
          </w:p>
        </w:tc>
        <w:tc>
          <w:tcPr>
            <w:tcW w:w="1206"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273.91%</w:t>
            </w:r>
          </w:p>
        </w:tc>
        <w:tc>
          <w:tcPr>
            <w:tcW w:w="1105" w:type="dxa"/>
            <w:tcBorders>
              <w:lef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8</w:t>
            </w:r>
          </w:p>
        </w:tc>
        <w:tc>
          <w:tcPr>
            <w:tcW w:w="1107" w:type="dxa"/>
            <w:vAlign w:val="center"/>
          </w:tcPr>
          <w:p w:rsidR="00693E09" w:rsidRPr="00563C43" w:rsidRDefault="00693E09" w:rsidP="00693E09">
            <w:pPr>
              <w:spacing w:line="280" w:lineRule="exact"/>
              <w:jc w:val="center"/>
              <w:rPr>
                <w:sz w:val="26"/>
                <w:szCs w:val="26"/>
              </w:rPr>
            </w:pPr>
            <w:r w:rsidRPr="00563C43">
              <w:rPr>
                <w:sz w:val="26"/>
                <w:szCs w:val="26"/>
              </w:rPr>
              <w:t>2</w:t>
            </w:r>
          </w:p>
        </w:tc>
        <w:tc>
          <w:tcPr>
            <w:tcW w:w="1213" w:type="dxa"/>
            <w:tcBorders>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400%</w:t>
            </w:r>
          </w:p>
        </w:tc>
      </w:tr>
      <w:tr w:rsidR="00693E09" w:rsidRPr="00563C43" w:rsidTr="00693E09">
        <w:trPr>
          <w:trHeight w:val="827"/>
        </w:trPr>
        <w:tc>
          <w:tcPr>
            <w:tcW w:w="2812" w:type="dxa"/>
            <w:gridSpan w:val="2"/>
            <w:tcBorders>
              <w:left w:val="single" w:sz="24" w:space="0" w:color="auto"/>
              <w:bottom w:val="single" w:sz="24" w:space="0" w:color="auto"/>
              <w:right w:val="single" w:sz="24" w:space="0" w:color="auto"/>
            </w:tcBorders>
          </w:tcPr>
          <w:p w:rsidR="00693E09" w:rsidRPr="00563C43" w:rsidRDefault="00693E09" w:rsidP="00693E09">
            <w:pPr>
              <w:spacing w:line="280" w:lineRule="exact"/>
              <w:jc w:val="center"/>
              <w:rPr>
                <w:sz w:val="26"/>
                <w:szCs w:val="26"/>
              </w:rPr>
            </w:pPr>
            <w:r w:rsidRPr="00563C43">
              <w:rPr>
                <w:rFonts w:hint="eastAsia"/>
                <w:sz w:val="26"/>
                <w:szCs w:val="26"/>
              </w:rPr>
              <w:t>賴浩敏法庭</w:t>
            </w:r>
          </w:p>
          <w:p w:rsidR="00693E09" w:rsidRPr="00563C43" w:rsidRDefault="00693E09" w:rsidP="00693E09">
            <w:pPr>
              <w:spacing w:line="280" w:lineRule="exact"/>
              <w:jc w:val="center"/>
              <w:rPr>
                <w:sz w:val="26"/>
                <w:szCs w:val="26"/>
              </w:rPr>
            </w:pPr>
            <w:r w:rsidRPr="00563C43">
              <w:rPr>
                <w:sz w:val="26"/>
                <w:szCs w:val="26"/>
              </w:rPr>
              <w:t>(</w:t>
            </w:r>
            <w:smartTag w:uri="urn:schemas-microsoft-com:office:smarttags" w:element="chsdate">
              <w:smartTagPr>
                <w:attr w:name="Year" w:val="2015"/>
                <w:attr w:name="Month" w:val="4"/>
                <w:attr w:name="Day" w:val="30"/>
                <w:attr w:name="IsLunarDate" w:val="False"/>
                <w:attr w:name="IsROCDate" w:val="False"/>
              </w:smartTagPr>
              <w:r w:rsidRPr="00563C43">
                <w:rPr>
                  <w:sz w:val="26"/>
                  <w:szCs w:val="26"/>
                </w:rPr>
                <w:t>99/10/13</w:t>
              </w:r>
            </w:smartTag>
            <w:r w:rsidRPr="00563C43">
              <w:rPr>
                <w:rFonts w:hint="eastAsia"/>
                <w:sz w:val="26"/>
                <w:szCs w:val="26"/>
              </w:rPr>
              <w:t>～</w:t>
            </w:r>
            <w:r w:rsidRPr="00563C43">
              <w:rPr>
                <w:sz w:val="26"/>
                <w:szCs w:val="26"/>
              </w:rPr>
              <w:t>104/04)</w:t>
            </w:r>
          </w:p>
          <w:p w:rsidR="00693E09" w:rsidRPr="00563C43" w:rsidRDefault="00693E09" w:rsidP="00693E09">
            <w:pPr>
              <w:spacing w:line="280" w:lineRule="exact"/>
              <w:jc w:val="center"/>
              <w:rPr>
                <w:sz w:val="26"/>
                <w:szCs w:val="26"/>
              </w:rPr>
            </w:pPr>
            <w:r w:rsidRPr="00563C43">
              <w:rPr>
                <w:rFonts w:hint="eastAsia"/>
                <w:sz w:val="26"/>
                <w:szCs w:val="26"/>
              </w:rPr>
              <w:t>釋</w:t>
            </w:r>
            <w:r w:rsidRPr="00563C43">
              <w:rPr>
                <w:sz w:val="26"/>
                <w:szCs w:val="26"/>
              </w:rPr>
              <w:t>682</w:t>
            </w:r>
            <w:r w:rsidRPr="00563C43">
              <w:rPr>
                <w:rFonts w:hint="eastAsia"/>
                <w:sz w:val="26"/>
                <w:szCs w:val="26"/>
              </w:rPr>
              <w:t>～釋</w:t>
            </w:r>
            <w:r w:rsidRPr="00563C43">
              <w:rPr>
                <w:sz w:val="26"/>
                <w:szCs w:val="26"/>
              </w:rPr>
              <w:t>728</w:t>
            </w:r>
          </w:p>
        </w:tc>
        <w:tc>
          <w:tcPr>
            <w:tcW w:w="1126" w:type="dxa"/>
            <w:tcBorders>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288</w:t>
            </w:r>
          </w:p>
        </w:tc>
        <w:tc>
          <w:tcPr>
            <w:tcW w:w="1127" w:type="dxa"/>
            <w:tcBorders>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44</w:t>
            </w:r>
          </w:p>
        </w:tc>
        <w:tc>
          <w:tcPr>
            <w:tcW w:w="1206" w:type="dxa"/>
            <w:tcBorders>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654.55%</w:t>
            </w:r>
          </w:p>
        </w:tc>
        <w:tc>
          <w:tcPr>
            <w:tcW w:w="1105" w:type="dxa"/>
            <w:tcBorders>
              <w:left w:val="single" w:sz="24" w:space="0" w:color="auto"/>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21</w:t>
            </w:r>
          </w:p>
        </w:tc>
        <w:tc>
          <w:tcPr>
            <w:tcW w:w="1107" w:type="dxa"/>
            <w:tcBorders>
              <w:bottom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3</w:t>
            </w:r>
          </w:p>
        </w:tc>
        <w:tc>
          <w:tcPr>
            <w:tcW w:w="1213" w:type="dxa"/>
            <w:tcBorders>
              <w:bottom w:val="single" w:sz="24" w:space="0" w:color="auto"/>
              <w:right w:val="single" w:sz="24" w:space="0" w:color="auto"/>
            </w:tcBorders>
            <w:vAlign w:val="center"/>
          </w:tcPr>
          <w:p w:rsidR="00693E09" w:rsidRPr="00563C43" w:rsidRDefault="00693E09" w:rsidP="00693E09">
            <w:pPr>
              <w:spacing w:line="280" w:lineRule="exact"/>
              <w:jc w:val="center"/>
              <w:rPr>
                <w:sz w:val="26"/>
                <w:szCs w:val="26"/>
              </w:rPr>
            </w:pPr>
            <w:r w:rsidRPr="00563C43">
              <w:rPr>
                <w:sz w:val="26"/>
                <w:szCs w:val="26"/>
              </w:rPr>
              <w:t>700%</w:t>
            </w:r>
          </w:p>
        </w:tc>
      </w:tr>
    </w:tbl>
    <w:p w:rsidR="00646B5E" w:rsidRDefault="00D138CD" w:rsidP="0018469A">
      <w:pPr>
        <w:kinsoku w:val="0"/>
        <w:overflowPunct w:val="0"/>
        <w:spacing w:line="391" w:lineRule="exact"/>
        <w:jc w:val="both"/>
        <w:rPr>
          <w:rFonts w:hAnsi="標楷體" w:hint="eastAsia"/>
          <w:sz w:val="22"/>
          <w:szCs w:val="22"/>
        </w:rPr>
      </w:pPr>
      <w:r w:rsidRPr="006C2C04">
        <w:rPr>
          <w:rFonts w:hAnsi="標楷體"/>
          <w:sz w:val="22"/>
          <w:szCs w:val="22"/>
        </w:rPr>
        <w:t>資料來源：第一至五屆部分，參見湯德宗，〈大法官有關「權力分立原則」解釋案之研析〉，輯於《違憲審查與動態平衡：權力分立新論</w:t>
      </w:r>
      <w:r w:rsidRPr="006C2C04">
        <w:rPr>
          <w:sz w:val="22"/>
          <w:szCs w:val="22"/>
        </w:rPr>
        <w:t xml:space="preserve"> </w:t>
      </w:r>
      <w:r w:rsidRPr="006C2C04">
        <w:rPr>
          <w:rFonts w:hAnsi="標楷體"/>
          <w:sz w:val="22"/>
          <w:szCs w:val="22"/>
        </w:rPr>
        <w:t>卷二》，頁</w:t>
      </w:r>
      <w:r w:rsidRPr="006C2C04">
        <w:rPr>
          <w:sz w:val="22"/>
          <w:szCs w:val="22"/>
        </w:rPr>
        <w:t>454</w:t>
      </w:r>
      <w:r w:rsidRPr="006C2C04">
        <w:rPr>
          <w:rFonts w:hAnsi="標楷體"/>
          <w:sz w:val="22"/>
          <w:szCs w:val="22"/>
        </w:rPr>
        <w:t>（增訂四版</w:t>
      </w:r>
      <w:r w:rsidRPr="006C2C04">
        <w:rPr>
          <w:sz w:val="22"/>
          <w:szCs w:val="22"/>
        </w:rPr>
        <w:t>2014</w:t>
      </w:r>
      <w:r w:rsidRPr="006C2C04">
        <w:rPr>
          <w:rFonts w:hAnsi="標楷體"/>
          <w:sz w:val="22"/>
          <w:szCs w:val="22"/>
        </w:rPr>
        <w:t>）；第六屆及不分屆次部分，按司法院網站中司法統計專區「</w:t>
      </w:r>
      <w:r w:rsidRPr="006C2C04">
        <w:rPr>
          <w:sz w:val="22"/>
          <w:szCs w:val="22"/>
        </w:rPr>
        <w:t>92</w:t>
      </w:r>
      <w:r w:rsidRPr="006C2C04">
        <w:rPr>
          <w:rFonts w:hAnsi="標楷體"/>
          <w:sz w:val="22"/>
          <w:szCs w:val="22"/>
        </w:rPr>
        <w:t>年</w:t>
      </w:r>
      <w:r w:rsidRPr="006C2C04">
        <w:rPr>
          <w:sz w:val="22"/>
          <w:szCs w:val="22"/>
        </w:rPr>
        <w:t>10</w:t>
      </w:r>
      <w:r w:rsidRPr="006C2C04">
        <w:rPr>
          <w:rFonts w:hAnsi="標楷體"/>
          <w:sz w:val="22"/>
          <w:szCs w:val="22"/>
        </w:rPr>
        <w:t>月起大法官所作各號解釋所提意見書一覽表」（</w:t>
      </w:r>
      <w:r w:rsidRPr="00563C43">
        <w:rPr>
          <w:sz w:val="22"/>
          <w:szCs w:val="22"/>
          <w:u w:val="single"/>
        </w:rPr>
        <w:t>http://www.judicial.gov.tw/constitutionalcourt/p05.asp</w:t>
      </w:r>
      <w:r w:rsidRPr="006C2C04">
        <w:rPr>
          <w:rFonts w:hAnsi="標楷體"/>
          <w:sz w:val="22"/>
          <w:szCs w:val="22"/>
        </w:rPr>
        <w:t>，最後瀏覽日期</w:t>
      </w:r>
      <w:smartTag w:uri="urn:schemas-microsoft-com:office:smarttags" w:element="chsdate">
        <w:smartTagPr>
          <w:attr w:name="Year" w:val="2015"/>
          <w:attr w:name="Month" w:val="4"/>
          <w:attr w:name="Day" w:val="30"/>
          <w:attr w:name="IsLunarDate" w:val="False"/>
          <w:attr w:name="IsROCDate" w:val="False"/>
        </w:smartTagPr>
        <w:r w:rsidRPr="006C2C04">
          <w:rPr>
            <w:sz w:val="22"/>
            <w:szCs w:val="22"/>
          </w:rPr>
          <w:t>2015/04/30</w:t>
        </w:r>
      </w:smartTag>
      <w:r w:rsidRPr="006C2C04">
        <w:rPr>
          <w:rFonts w:hAnsi="標楷體"/>
          <w:sz w:val="22"/>
          <w:szCs w:val="22"/>
        </w:rPr>
        <w:t>）資料，由作者自行統計之結果。</w:t>
      </w:r>
    </w:p>
    <w:p w:rsidR="00324155" w:rsidRDefault="00324155" w:rsidP="00D138CD">
      <w:pPr>
        <w:spacing w:line="391" w:lineRule="exact"/>
        <w:ind w:rightChars="-24" w:right="-77"/>
        <w:rPr>
          <w:rFonts w:hAnsi="標楷體" w:hint="eastAsia"/>
          <w:sz w:val="22"/>
          <w:szCs w:val="22"/>
        </w:rPr>
      </w:pPr>
    </w:p>
    <w:p w:rsidR="00324155" w:rsidRDefault="00324155" w:rsidP="00D138CD">
      <w:pPr>
        <w:spacing w:line="391" w:lineRule="exact"/>
        <w:ind w:rightChars="-24" w:right="-77"/>
        <w:rPr>
          <w:rFonts w:hAnsi="標楷體" w:hint="eastAsia"/>
          <w:sz w:val="22"/>
          <w:szCs w:val="22"/>
        </w:rPr>
      </w:pPr>
    </w:p>
    <w:p w:rsidR="00324155" w:rsidRDefault="00324155" w:rsidP="00D138CD">
      <w:pPr>
        <w:spacing w:line="391" w:lineRule="exact"/>
        <w:ind w:rightChars="-24" w:right="-77"/>
        <w:rPr>
          <w:rFonts w:hAnsi="標楷體" w:hint="eastAsia"/>
          <w:sz w:val="22"/>
          <w:szCs w:val="22"/>
        </w:rPr>
      </w:pPr>
    </w:p>
    <w:p w:rsidR="00B066EB" w:rsidRDefault="00B066EB" w:rsidP="00D138CD">
      <w:pPr>
        <w:spacing w:line="391" w:lineRule="exact"/>
        <w:ind w:rightChars="-24" w:right="-77"/>
        <w:rPr>
          <w:rFonts w:hAnsi="標楷體" w:hint="eastAsia"/>
          <w:sz w:val="22"/>
          <w:szCs w:val="22"/>
        </w:rPr>
      </w:pPr>
    </w:p>
    <w:p w:rsidR="00B066EB" w:rsidRDefault="00B066EB" w:rsidP="00D138CD">
      <w:pPr>
        <w:spacing w:line="391" w:lineRule="exact"/>
        <w:ind w:rightChars="-24" w:right="-77"/>
        <w:rPr>
          <w:rFonts w:hAnsi="標楷體" w:hint="eastAsia"/>
          <w:sz w:val="22"/>
          <w:szCs w:val="22"/>
        </w:rPr>
      </w:pP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lastRenderedPageBreak/>
        <w:t>註一：</w:t>
      </w:r>
      <w:r w:rsidRPr="00575EB9">
        <w:rPr>
          <w:rFonts w:ascii="標楷體" w:hAnsi="標楷體" w:hint="eastAsia"/>
          <w:sz w:val="22"/>
          <w:szCs w:val="22"/>
        </w:rPr>
        <w:t>立法院職權行使法第四十五條：「立法院</w:t>
      </w:r>
      <w:r w:rsidRPr="00575EB9">
        <w:rPr>
          <w:rFonts w:ascii="標楷體" w:hAnsi="標楷體" w:hint="eastAsia"/>
          <w:b/>
          <w:sz w:val="22"/>
          <w:szCs w:val="22"/>
        </w:rPr>
        <w:t>經院會決議</w:t>
      </w:r>
      <w:r w:rsidRPr="00575EB9">
        <w:rPr>
          <w:rFonts w:ascii="標楷體" w:hAnsi="標楷體" w:hint="eastAsia"/>
          <w:sz w:val="22"/>
          <w:szCs w:val="22"/>
        </w:rPr>
        <w:t>，得設調閱委員會，或經委員會之決議，得設調閱</w:t>
      </w:r>
      <w:r w:rsidRPr="0043003E">
        <w:rPr>
          <w:rFonts w:hint="eastAsia"/>
          <w:sz w:val="22"/>
          <w:szCs w:val="22"/>
        </w:rPr>
        <w:t>專案小組</w:t>
      </w:r>
      <w:r w:rsidRPr="00575EB9">
        <w:rPr>
          <w:rFonts w:ascii="標楷體" w:hAnsi="標楷體" w:hint="eastAsia"/>
          <w:sz w:val="22"/>
          <w:szCs w:val="22"/>
        </w:rPr>
        <w:t>，要求有關機關</w:t>
      </w:r>
      <w:r w:rsidRPr="00575EB9">
        <w:rPr>
          <w:rFonts w:ascii="標楷體" w:hAnsi="標楷體" w:hint="eastAsia"/>
          <w:b/>
          <w:sz w:val="22"/>
          <w:szCs w:val="22"/>
        </w:rPr>
        <w:t>就特定議案</w:t>
      </w:r>
      <w:r w:rsidRPr="00575EB9">
        <w:rPr>
          <w:rFonts w:ascii="標楷體" w:hAnsi="標楷體" w:hint="eastAsia"/>
          <w:sz w:val="22"/>
          <w:szCs w:val="22"/>
        </w:rPr>
        <w:t>涉及事項提供參考資料。（第一項）調閱委員會或調閱專案小組於必要時，得</w:t>
      </w:r>
      <w:r w:rsidRPr="00575EB9">
        <w:rPr>
          <w:rFonts w:ascii="標楷體" w:hAnsi="標楷體" w:hint="eastAsia"/>
          <w:b/>
          <w:sz w:val="22"/>
          <w:szCs w:val="22"/>
        </w:rPr>
        <w:t>經院會之決議</w:t>
      </w:r>
      <w:r w:rsidRPr="00575EB9">
        <w:rPr>
          <w:rFonts w:ascii="標楷體" w:hAnsi="標楷體" w:hint="eastAsia"/>
          <w:sz w:val="22"/>
          <w:szCs w:val="22"/>
        </w:rPr>
        <w:t>，向有關機關</w:t>
      </w:r>
      <w:r w:rsidRPr="00575EB9">
        <w:rPr>
          <w:rFonts w:ascii="標楷體" w:hAnsi="標楷體" w:hint="eastAsia"/>
          <w:b/>
          <w:sz w:val="22"/>
          <w:szCs w:val="22"/>
        </w:rPr>
        <w:t>調閱</w:t>
      </w:r>
      <w:r w:rsidRPr="00575EB9">
        <w:rPr>
          <w:rFonts w:ascii="標楷體" w:hAnsi="標楷體" w:hint="eastAsia"/>
          <w:sz w:val="22"/>
          <w:szCs w:val="22"/>
        </w:rPr>
        <w:t>前項議案涉及事項之</w:t>
      </w:r>
      <w:r w:rsidRPr="00575EB9">
        <w:rPr>
          <w:rFonts w:ascii="標楷體" w:hAnsi="標楷體" w:hint="eastAsia"/>
          <w:b/>
          <w:sz w:val="22"/>
          <w:szCs w:val="22"/>
        </w:rPr>
        <w:t>文件原本</w:t>
      </w:r>
      <w:r w:rsidRPr="00575EB9">
        <w:rPr>
          <w:rFonts w:ascii="標楷體" w:hAnsi="標楷體" w:hint="eastAsia"/>
          <w:sz w:val="22"/>
          <w:szCs w:val="22"/>
        </w:rPr>
        <w:t>（第二項）」。</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註二：</w:t>
      </w:r>
      <w:r w:rsidRPr="00575EB9">
        <w:rPr>
          <w:rFonts w:ascii="標楷體" w:hAnsi="標楷體" w:hint="eastAsia"/>
          <w:sz w:val="22"/>
          <w:szCs w:val="22"/>
        </w:rPr>
        <w:t>法院組織法</w:t>
      </w:r>
      <w:r w:rsidRPr="0043003E">
        <w:rPr>
          <w:rFonts w:hint="eastAsia"/>
          <w:sz w:val="22"/>
          <w:szCs w:val="22"/>
        </w:rPr>
        <w:t>第六十六</w:t>
      </w:r>
      <w:r w:rsidRPr="00575EB9">
        <w:rPr>
          <w:rFonts w:ascii="標楷體" w:hAnsi="標楷體" w:hint="eastAsia"/>
          <w:sz w:val="22"/>
          <w:szCs w:val="22"/>
        </w:rPr>
        <w:t>條第十項：「最高法院檢察署檢察總長除年度預算案及法律案外，無須至立法院列席備詢」。</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註三：</w:t>
      </w:r>
      <w:r w:rsidRPr="00575EB9">
        <w:rPr>
          <w:rFonts w:ascii="標楷體" w:hAnsi="標楷體" w:hint="eastAsia"/>
          <w:sz w:val="22"/>
          <w:szCs w:val="22"/>
        </w:rPr>
        <w:t>參見卷附立法院司法及法制委員會一</w:t>
      </w:r>
      <w:r w:rsidR="001466FF" w:rsidRPr="008E5F41">
        <w:rPr>
          <w:rFonts w:ascii="標楷體" w:hAnsi="標楷體" w:hint="eastAsia"/>
          <w:sz w:val="22"/>
          <w:szCs w:val="22"/>
        </w:rPr>
        <w:t>○</w:t>
      </w:r>
      <w:r w:rsidRPr="00575EB9">
        <w:rPr>
          <w:rFonts w:ascii="標楷體" w:hAnsi="標楷體" w:hint="eastAsia"/>
          <w:sz w:val="22"/>
          <w:szCs w:val="22"/>
        </w:rPr>
        <w:t>二年十</w:t>
      </w:r>
      <w:smartTag w:uri="urn:schemas-microsoft-com:office:smarttags" w:element="chsdate">
        <w:smartTagPr>
          <w:attr w:name="Year" w:val="2015"/>
          <w:attr w:name="Month" w:val="1"/>
          <w:attr w:name="Day" w:val="4"/>
          <w:attr w:name="IsLunarDate" w:val="False"/>
          <w:attr w:name="IsROCDate" w:val="False"/>
        </w:smartTagPr>
        <w:r w:rsidRPr="00575EB9">
          <w:rPr>
            <w:rFonts w:ascii="標楷體" w:hAnsi="標楷體" w:hint="eastAsia"/>
            <w:sz w:val="22"/>
            <w:szCs w:val="22"/>
          </w:rPr>
          <w:t>一月四日</w:t>
        </w:r>
      </w:smartTag>
      <w:r w:rsidRPr="00575EB9">
        <w:rPr>
          <w:rFonts w:ascii="標楷體" w:hAnsi="標楷體" w:hint="eastAsia"/>
          <w:sz w:val="22"/>
          <w:szCs w:val="22"/>
        </w:rPr>
        <w:t>台立司字第一</w:t>
      </w:r>
      <w:r w:rsidR="001466FF" w:rsidRPr="008E5F41">
        <w:rPr>
          <w:rFonts w:ascii="標楷體" w:hAnsi="標楷體" w:hint="eastAsia"/>
          <w:sz w:val="22"/>
          <w:szCs w:val="22"/>
        </w:rPr>
        <w:t>○</w:t>
      </w:r>
      <w:r w:rsidRPr="00575EB9">
        <w:rPr>
          <w:rFonts w:ascii="標楷體" w:hAnsi="標楷體" w:hint="eastAsia"/>
          <w:sz w:val="22"/>
          <w:szCs w:val="22"/>
        </w:rPr>
        <w:t>二四三</w:t>
      </w:r>
      <w:r w:rsidR="001466FF" w:rsidRPr="008E5F41">
        <w:rPr>
          <w:rFonts w:ascii="標楷體" w:hAnsi="標楷體" w:hint="eastAsia"/>
          <w:sz w:val="22"/>
          <w:szCs w:val="22"/>
        </w:rPr>
        <w:t>○○</w:t>
      </w:r>
      <w:r w:rsidRPr="00575EB9">
        <w:rPr>
          <w:rFonts w:ascii="標楷體" w:hAnsi="標楷體" w:hint="eastAsia"/>
          <w:sz w:val="22"/>
          <w:szCs w:val="22"/>
        </w:rPr>
        <w:t>七二七號函、</w:t>
      </w:r>
      <w:r w:rsidRPr="0043003E">
        <w:rPr>
          <w:rFonts w:hint="eastAsia"/>
          <w:sz w:val="22"/>
          <w:szCs w:val="22"/>
        </w:rPr>
        <w:t>同年</w:t>
      </w:r>
      <w:r w:rsidRPr="00575EB9">
        <w:rPr>
          <w:rFonts w:ascii="標楷體" w:hAnsi="標楷體" w:hint="eastAsia"/>
          <w:sz w:val="22"/>
          <w:szCs w:val="22"/>
        </w:rPr>
        <w:t>月十四日台立司字第一</w:t>
      </w:r>
      <w:r w:rsidR="001466FF" w:rsidRPr="008E5F41">
        <w:rPr>
          <w:rFonts w:ascii="標楷體" w:hAnsi="標楷體" w:hint="eastAsia"/>
          <w:sz w:val="22"/>
          <w:szCs w:val="22"/>
        </w:rPr>
        <w:t>○</w:t>
      </w:r>
      <w:r w:rsidRPr="00575EB9">
        <w:rPr>
          <w:rFonts w:ascii="標楷體" w:hAnsi="標楷體" w:hint="eastAsia"/>
          <w:sz w:val="22"/>
          <w:szCs w:val="22"/>
        </w:rPr>
        <w:t>二四三</w:t>
      </w:r>
      <w:r w:rsidR="001466FF" w:rsidRPr="008E5F41">
        <w:rPr>
          <w:rFonts w:ascii="標楷體" w:hAnsi="標楷體" w:hint="eastAsia"/>
          <w:sz w:val="22"/>
          <w:szCs w:val="22"/>
        </w:rPr>
        <w:t>○○</w:t>
      </w:r>
      <w:r w:rsidRPr="00575EB9">
        <w:rPr>
          <w:rFonts w:ascii="標楷體" w:hAnsi="標楷體" w:hint="eastAsia"/>
          <w:sz w:val="22"/>
          <w:szCs w:val="22"/>
        </w:rPr>
        <w:t>七六二號函、同年月二十九日台立司字第一</w:t>
      </w:r>
      <w:r w:rsidR="001466FF" w:rsidRPr="008E5F41">
        <w:rPr>
          <w:rFonts w:ascii="標楷體" w:hAnsi="標楷體" w:hint="eastAsia"/>
          <w:sz w:val="22"/>
          <w:szCs w:val="22"/>
        </w:rPr>
        <w:t>○</w:t>
      </w:r>
      <w:r w:rsidRPr="00575EB9">
        <w:rPr>
          <w:rFonts w:ascii="標楷體" w:hAnsi="標楷體" w:hint="eastAsia"/>
          <w:sz w:val="22"/>
          <w:szCs w:val="22"/>
        </w:rPr>
        <w:t>二四三</w:t>
      </w:r>
      <w:r w:rsidR="001466FF" w:rsidRPr="008E5F41">
        <w:rPr>
          <w:rFonts w:ascii="標楷體" w:hAnsi="標楷體" w:hint="eastAsia"/>
          <w:sz w:val="22"/>
          <w:szCs w:val="22"/>
        </w:rPr>
        <w:t>○○</w:t>
      </w:r>
      <w:r w:rsidRPr="00575EB9">
        <w:rPr>
          <w:rFonts w:ascii="標楷體" w:hAnsi="標楷體" w:hint="eastAsia"/>
          <w:sz w:val="22"/>
          <w:szCs w:val="22"/>
        </w:rPr>
        <w:t>八一九號函、及同年十</w:t>
      </w:r>
      <w:smartTag w:uri="urn:schemas-microsoft-com:office:smarttags" w:element="chsdate">
        <w:smartTagPr>
          <w:attr w:name="Year" w:val="2015"/>
          <w:attr w:name="Month" w:val="2"/>
          <w:attr w:name="Day" w:val="10"/>
          <w:attr w:name="IsLunarDate" w:val="False"/>
          <w:attr w:name="IsROCDate" w:val="False"/>
        </w:smartTagPr>
        <w:r w:rsidRPr="00575EB9">
          <w:rPr>
            <w:rFonts w:ascii="標楷體" w:hAnsi="標楷體" w:hint="eastAsia"/>
            <w:sz w:val="22"/>
            <w:szCs w:val="22"/>
          </w:rPr>
          <w:t>二月十日</w:t>
        </w:r>
      </w:smartTag>
      <w:r w:rsidRPr="00575EB9">
        <w:rPr>
          <w:rFonts w:ascii="標楷體" w:hAnsi="標楷體" w:hint="eastAsia"/>
          <w:sz w:val="22"/>
          <w:szCs w:val="22"/>
        </w:rPr>
        <w:t>台立司字第一</w:t>
      </w:r>
      <w:r w:rsidR="001466FF" w:rsidRPr="008E5F41">
        <w:rPr>
          <w:rFonts w:ascii="標楷體" w:hAnsi="標楷體" w:hint="eastAsia"/>
          <w:sz w:val="22"/>
          <w:szCs w:val="22"/>
        </w:rPr>
        <w:t>○</w:t>
      </w:r>
      <w:r w:rsidRPr="00575EB9">
        <w:rPr>
          <w:rFonts w:ascii="標楷體" w:hAnsi="標楷體" w:hint="eastAsia"/>
          <w:sz w:val="22"/>
          <w:szCs w:val="22"/>
        </w:rPr>
        <w:t>二四三</w:t>
      </w:r>
      <w:r w:rsidR="001466FF" w:rsidRPr="008E5F41">
        <w:rPr>
          <w:rFonts w:ascii="標楷體" w:hAnsi="標楷體" w:hint="eastAsia"/>
          <w:sz w:val="22"/>
          <w:szCs w:val="22"/>
        </w:rPr>
        <w:t>○○</w:t>
      </w:r>
      <w:r w:rsidRPr="00575EB9">
        <w:rPr>
          <w:rFonts w:ascii="標楷體" w:hAnsi="標楷體" w:hint="eastAsia"/>
          <w:sz w:val="22"/>
          <w:szCs w:val="22"/>
        </w:rPr>
        <w:t>八八八號函。</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註四：</w:t>
      </w:r>
      <w:r w:rsidRPr="00575EB9">
        <w:rPr>
          <w:rFonts w:ascii="標楷體" w:hAnsi="標楷體" w:hint="eastAsia"/>
          <w:sz w:val="22"/>
          <w:szCs w:val="22"/>
        </w:rPr>
        <w:t>參見司法院大法官審理案件法第五條第一項第一款：「有左列情形之一者，得聲請解釋憲法：一、中央或地方機</w:t>
      </w:r>
      <w:r w:rsidR="005C616C">
        <w:rPr>
          <w:rFonts w:ascii="標楷體" w:hAnsi="標楷體" w:hint="eastAsia"/>
          <w:sz w:val="22"/>
          <w:szCs w:val="22"/>
        </w:rPr>
        <w:t>關，於其行使職權……與其他機關之職權，發生適用憲法之爭議……」</w:t>
      </w:r>
      <w:r w:rsidRPr="00575EB9">
        <w:rPr>
          <w:rFonts w:ascii="標楷體" w:hAnsi="標楷體" w:hint="eastAsia"/>
          <w:sz w:val="22"/>
          <w:szCs w:val="22"/>
        </w:rPr>
        <w:t>。並參見同法第九條：「聲請解釋機關有上級機關者，其聲請應經由上級機關層轉，上級機關對於不合規定者，不得為之轉請，其應依職權予以解決者，亦同」。</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註五：</w:t>
      </w:r>
      <w:r w:rsidRPr="00575EB9">
        <w:rPr>
          <w:rFonts w:ascii="標楷體" w:hAnsi="標楷體" w:hint="eastAsia"/>
          <w:sz w:val="22"/>
          <w:szCs w:val="22"/>
        </w:rPr>
        <w:t>至於</w:t>
      </w:r>
      <w:r w:rsidRPr="00575EB9">
        <w:rPr>
          <w:rFonts w:ascii="標楷體" w:hAnsi="標楷體" w:hint="eastAsia"/>
          <w:b/>
          <w:sz w:val="22"/>
          <w:szCs w:val="22"/>
        </w:rPr>
        <w:t>偵查終結並起訴之案件</w:t>
      </w:r>
      <w:r w:rsidRPr="00575EB9">
        <w:rPr>
          <w:rFonts w:ascii="標楷體" w:hAnsi="標楷體" w:hint="eastAsia"/>
          <w:sz w:val="22"/>
          <w:szCs w:val="22"/>
        </w:rPr>
        <w:t>，</w:t>
      </w:r>
      <w:r w:rsidRPr="00575EB9">
        <w:rPr>
          <w:rFonts w:ascii="標楷體" w:hAnsi="標楷體" w:hint="eastAsia"/>
          <w:b/>
          <w:sz w:val="22"/>
          <w:szCs w:val="22"/>
        </w:rPr>
        <w:t>於裁判確定前</w:t>
      </w:r>
      <w:r w:rsidRPr="00575EB9">
        <w:rPr>
          <w:rFonts w:ascii="標楷體" w:hAnsi="標楷體" w:hint="eastAsia"/>
          <w:sz w:val="22"/>
          <w:szCs w:val="22"/>
        </w:rPr>
        <w:t>，立法院就偵查、審判所為之處置及其卷證，調閱本受有限制，業經本院釋字第三二五號解釋在案。本號解釋理由書第二段亦予指明。</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註六：</w:t>
      </w:r>
      <w:r w:rsidRPr="00575EB9">
        <w:rPr>
          <w:rFonts w:ascii="標楷體" w:hAnsi="標楷體" w:hint="eastAsia"/>
          <w:sz w:val="22"/>
          <w:szCs w:val="22"/>
        </w:rPr>
        <w:t>司法院大法官釋字第五八五號解釋：「</w:t>
      </w:r>
      <w:r w:rsidRPr="00575EB9">
        <w:rPr>
          <w:rFonts w:ascii="標楷體" w:hAnsi="標楷體" w:cs="Arial" w:hint="eastAsia"/>
          <w:color w:val="000000"/>
          <w:sz w:val="22"/>
          <w:szCs w:val="22"/>
        </w:rPr>
        <w:t>立法院調查權乃立法院行使其憲法職權所必要之輔助性權力，基於權力分立與制衡原則，</w:t>
      </w:r>
      <w:r w:rsidRPr="00575EB9">
        <w:rPr>
          <w:rFonts w:ascii="標楷體" w:hAnsi="標楷體" w:cs="Arial" w:hint="eastAsia"/>
          <w:b/>
          <w:color w:val="000000"/>
          <w:sz w:val="22"/>
          <w:szCs w:val="22"/>
        </w:rPr>
        <w:t>立法院調查權所得調查之對象或事項，並非毫無限制。除所欲</w:t>
      </w:r>
      <w:r w:rsidRPr="005C616C">
        <w:rPr>
          <w:rFonts w:hint="eastAsia"/>
          <w:b/>
          <w:sz w:val="22"/>
          <w:szCs w:val="22"/>
        </w:rPr>
        <w:t>調查</w:t>
      </w:r>
      <w:r w:rsidRPr="00575EB9">
        <w:rPr>
          <w:rFonts w:ascii="標楷體" w:hAnsi="標楷體" w:cs="Arial" w:hint="eastAsia"/>
          <w:b/>
          <w:color w:val="000000"/>
          <w:sz w:val="22"/>
          <w:szCs w:val="22"/>
        </w:rPr>
        <w:t>之</w:t>
      </w:r>
      <w:r w:rsidRPr="00FD08A4">
        <w:rPr>
          <w:rFonts w:ascii="標楷體" w:hAnsi="標楷體" w:hint="eastAsia"/>
          <w:sz w:val="22"/>
          <w:szCs w:val="22"/>
        </w:rPr>
        <w:t>事項</w:t>
      </w:r>
      <w:r w:rsidRPr="00575EB9">
        <w:rPr>
          <w:rFonts w:ascii="標楷體" w:hAnsi="標楷體" w:cs="Arial" w:hint="eastAsia"/>
          <w:b/>
          <w:color w:val="000000"/>
          <w:sz w:val="22"/>
          <w:szCs w:val="22"/>
        </w:rPr>
        <w:t>必須與其行使憲法所賦予之職權有重大關聯者外，凡國家機關獨立行使職權受憲法之保障者，即非立法院所得調查之事物範圍</w:t>
      </w:r>
      <w:r w:rsidRPr="00575EB9">
        <w:rPr>
          <w:rFonts w:ascii="標楷體" w:hAnsi="標楷體" w:cs="Arial" w:hint="eastAsia"/>
          <w:color w:val="000000"/>
          <w:sz w:val="22"/>
          <w:szCs w:val="22"/>
        </w:rPr>
        <w:t>」。</w:t>
      </w:r>
    </w:p>
    <w:p w:rsidR="0043003E" w:rsidRPr="00575EB9" w:rsidRDefault="0043003E" w:rsidP="0043003E">
      <w:pPr>
        <w:overflowPunct w:val="0"/>
        <w:spacing w:line="391" w:lineRule="exact"/>
        <w:ind w:left="682" w:hangingChars="310" w:hanging="682"/>
        <w:jc w:val="both"/>
        <w:rPr>
          <w:rFonts w:ascii="標楷體" w:hAnsi="標楷體"/>
          <w:color w:val="000000"/>
          <w:sz w:val="22"/>
          <w:szCs w:val="22"/>
        </w:rPr>
      </w:pPr>
      <w:r w:rsidRPr="00575EB9">
        <w:rPr>
          <w:rFonts w:ascii="標楷體" w:hAnsi="標楷體" w:hint="eastAsia"/>
          <w:color w:val="000000"/>
          <w:sz w:val="22"/>
          <w:szCs w:val="22"/>
        </w:rPr>
        <w:t>註七：</w:t>
      </w:r>
      <w:r w:rsidRPr="00575EB9">
        <w:rPr>
          <w:rFonts w:ascii="標楷體" w:hAnsi="標楷體" w:hint="eastAsia"/>
          <w:sz w:val="22"/>
          <w:szCs w:val="22"/>
        </w:rPr>
        <w:t>語出大法官釋字第五八五號解釋。見同前揭註。</w:t>
      </w:r>
    </w:p>
    <w:p w:rsidR="0043003E" w:rsidRPr="00575EB9" w:rsidRDefault="0043003E" w:rsidP="00FD08A4">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註八：</w:t>
      </w:r>
      <w:r w:rsidRPr="00575EB9">
        <w:rPr>
          <w:rFonts w:ascii="標楷體" w:hAnsi="標楷體" w:hint="eastAsia"/>
          <w:sz w:val="22"/>
          <w:szCs w:val="22"/>
        </w:rPr>
        <w:t>語出大法官釋字第三二五號解釋（「立法院為行使憲法所賦予之職權…</w:t>
      </w:r>
      <w:r w:rsidRPr="00575EB9">
        <w:rPr>
          <w:rFonts w:ascii="標楷體" w:hAnsi="標楷體" w:hint="eastAsia"/>
          <w:kern w:val="0"/>
          <w:sz w:val="22"/>
          <w:szCs w:val="22"/>
        </w:rPr>
        <w:t>…</w:t>
      </w:r>
      <w:r w:rsidRPr="00575EB9">
        <w:rPr>
          <w:rFonts w:ascii="標楷體" w:hAnsi="標楷體" w:hint="eastAsia"/>
          <w:sz w:val="22"/>
          <w:szCs w:val="22"/>
        </w:rPr>
        <w:t>必要時並得經院會決議調閱文件原本，受要求之機關</w:t>
      </w:r>
      <w:r w:rsidRPr="00575EB9">
        <w:rPr>
          <w:rFonts w:ascii="標楷體" w:hAnsi="標楷體" w:hint="eastAsia"/>
          <w:b/>
          <w:sz w:val="22"/>
          <w:szCs w:val="22"/>
        </w:rPr>
        <w:t>非依法律規定</w:t>
      </w:r>
      <w:r w:rsidRPr="00575EB9">
        <w:rPr>
          <w:rFonts w:ascii="標楷體" w:hAnsi="標楷體" w:hint="eastAsia"/>
          <w:sz w:val="22"/>
          <w:szCs w:val="22"/>
        </w:rPr>
        <w:t>或</w:t>
      </w:r>
      <w:r w:rsidRPr="00575EB9">
        <w:rPr>
          <w:rFonts w:ascii="標楷體" w:hAnsi="標楷體" w:hint="eastAsia"/>
          <w:b/>
          <w:sz w:val="22"/>
          <w:szCs w:val="22"/>
        </w:rPr>
        <w:t>其他正當理由</w:t>
      </w:r>
      <w:r w:rsidRPr="00575EB9">
        <w:rPr>
          <w:rFonts w:ascii="標楷體" w:hAnsi="標楷體" w:hint="eastAsia"/>
          <w:sz w:val="22"/>
          <w:szCs w:val="22"/>
        </w:rPr>
        <w:t>不得拒絕」）。嗣載入立法院職權行使法第四十七條第一項：「受要求調閱文件之機關，除</w:t>
      </w:r>
      <w:r w:rsidRPr="00575EB9">
        <w:rPr>
          <w:rFonts w:ascii="標楷體" w:hAnsi="標楷體" w:hint="eastAsia"/>
          <w:b/>
          <w:sz w:val="22"/>
          <w:szCs w:val="22"/>
        </w:rPr>
        <w:t>依法律或其他正當理由得拒絕</w:t>
      </w:r>
      <w:r w:rsidRPr="00575EB9">
        <w:rPr>
          <w:rFonts w:ascii="標楷體" w:hAnsi="標楷體" w:hint="eastAsia"/>
          <w:sz w:val="22"/>
          <w:szCs w:val="22"/>
        </w:rPr>
        <w:t>外，應於五日內提供之。但相關資料或文件原本業經司法機關或監察機關先為調取時，應敘明理由，並提供複本。如有正當理由，無法提供複本者，應提出已被他機關調取之證明」。</w:t>
      </w:r>
    </w:p>
    <w:p w:rsidR="0043003E" w:rsidRPr="00575EB9" w:rsidRDefault="0043003E" w:rsidP="005C616C">
      <w:pPr>
        <w:overflowPunct w:val="0"/>
        <w:spacing w:line="391" w:lineRule="exact"/>
        <w:ind w:left="660" w:hangingChars="300" w:hanging="660"/>
        <w:jc w:val="both"/>
        <w:rPr>
          <w:rFonts w:ascii="標楷體" w:hAnsi="標楷體"/>
          <w:color w:val="000000"/>
          <w:sz w:val="22"/>
          <w:szCs w:val="22"/>
        </w:rPr>
      </w:pPr>
      <w:r w:rsidRPr="00575EB9">
        <w:rPr>
          <w:rFonts w:ascii="標楷體" w:hAnsi="標楷體" w:hint="eastAsia"/>
          <w:color w:val="000000"/>
          <w:sz w:val="22"/>
          <w:szCs w:val="22"/>
        </w:rPr>
        <w:t>註九：</w:t>
      </w:r>
      <w:r w:rsidRPr="00575EB9">
        <w:rPr>
          <w:rFonts w:ascii="標楷體" w:hAnsi="標楷體" w:hint="eastAsia"/>
          <w:sz w:val="22"/>
          <w:szCs w:val="22"/>
        </w:rPr>
        <w:t>參見大法官釋字第四四三號解釋：「</w:t>
      </w:r>
      <w:r w:rsidRPr="00575EB9">
        <w:rPr>
          <w:rFonts w:ascii="標楷體" w:hAnsi="標楷體" w:cs="Arial" w:hint="eastAsia"/>
          <w:color w:val="000000"/>
          <w:sz w:val="22"/>
          <w:szCs w:val="22"/>
        </w:rPr>
        <w:t>憲法所定人民之自由及權利範圍甚廣，凡不妨害社會秩序公共利益者，均受保障。惟</w:t>
      </w:r>
      <w:r w:rsidRPr="00575EB9">
        <w:rPr>
          <w:rFonts w:ascii="標楷體" w:hAnsi="標楷體" w:cs="Arial" w:hint="eastAsia"/>
          <w:b/>
          <w:color w:val="000000"/>
          <w:sz w:val="22"/>
          <w:szCs w:val="22"/>
        </w:rPr>
        <w:t>並非一切自由及權利均無分軒輊受憲法毫無差別之保障</w:t>
      </w:r>
      <w:r w:rsidRPr="00575EB9">
        <w:rPr>
          <w:rFonts w:ascii="標楷體" w:hAnsi="標楷體" w:hint="eastAsia"/>
          <w:sz w:val="22"/>
          <w:szCs w:val="22"/>
        </w:rPr>
        <w:t>…</w:t>
      </w:r>
      <w:r w:rsidRPr="00575EB9">
        <w:rPr>
          <w:rFonts w:ascii="標楷體" w:hAnsi="標楷體" w:cs="Arial" w:hint="eastAsia"/>
          <w:color w:val="000000"/>
          <w:sz w:val="22"/>
          <w:szCs w:val="22"/>
        </w:rPr>
        <w:t>…至</w:t>
      </w:r>
      <w:r w:rsidRPr="00575EB9">
        <w:rPr>
          <w:rFonts w:ascii="標楷體" w:hAnsi="標楷體" w:hint="eastAsia"/>
          <w:b/>
          <w:sz w:val="22"/>
          <w:szCs w:val="22"/>
        </w:rPr>
        <w:t>何種事項應以法律直接規範或得委由命令予以規定</w:t>
      </w:r>
      <w:r w:rsidRPr="00575EB9">
        <w:rPr>
          <w:rFonts w:ascii="標楷體" w:hAnsi="標楷體" w:hint="eastAsia"/>
          <w:sz w:val="22"/>
          <w:szCs w:val="22"/>
        </w:rPr>
        <w:t>，與所謂規範密度有關，</w:t>
      </w:r>
      <w:r w:rsidRPr="00575EB9">
        <w:rPr>
          <w:rFonts w:ascii="標楷體" w:hAnsi="標楷體" w:hint="eastAsia"/>
          <w:b/>
          <w:sz w:val="22"/>
          <w:szCs w:val="22"/>
        </w:rPr>
        <w:t>應視規範對象、內容或法益本身及其所受限制之輕重而容許合理之差異</w:t>
      </w:r>
      <w:r w:rsidRPr="00575EB9">
        <w:rPr>
          <w:rFonts w:ascii="標楷體" w:hAnsi="標楷體" w:hint="eastAsia"/>
          <w:sz w:val="22"/>
          <w:szCs w:val="22"/>
        </w:rPr>
        <w:t>……涉及人民其他自由權利之限制者，亦應由法律加以規定</w:t>
      </w:r>
      <w:r w:rsidRPr="00575EB9">
        <w:rPr>
          <w:rFonts w:ascii="標楷體" w:hAnsi="標楷體" w:hint="eastAsia"/>
          <w:kern w:val="0"/>
          <w:sz w:val="22"/>
          <w:szCs w:val="22"/>
        </w:rPr>
        <w:t>……</w:t>
      </w:r>
      <w:r w:rsidRPr="00575EB9">
        <w:rPr>
          <w:rFonts w:ascii="標楷體" w:hAnsi="標楷體" w:hint="eastAsia"/>
          <w:sz w:val="22"/>
          <w:szCs w:val="22"/>
        </w:rPr>
        <w:t>關於給付行政措施，其受法律規範之密度，自較限制人民權益者寬鬆」。</w:t>
      </w:r>
    </w:p>
    <w:p w:rsidR="005C616C" w:rsidRPr="00AB6A06" w:rsidRDefault="0043003E" w:rsidP="005E362F">
      <w:pPr>
        <w:tabs>
          <w:tab w:val="left" w:pos="2127"/>
        </w:tabs>
        <w:overflowPunct w:val="0"/>
        <w:spacing w:line="391" w:lineRule="exact"/>
        <w:ind w:left="682" w:hangingChars="310" w:hanging="682"/>
        <w:jc w:val="both"/>
        <w:rPr>
          <w:sz w:val="22"/>
          <w:szCs w:val="22"/>
        </w:rPr>
      </w:pPr>
      <w:r w:rsidRPr="00575EB9">
        <w:rPr>
          <w:rFonts w:ascii="標楷體" w:hAnsi="標楷體" w:hint="eastAsia"/>
          <w:color w:val="000000"/>
          <w:sz w:val="22"/>
          <w:szCs w:val="22"/>
        </w:rPr>
        <w:t>註十：</w:t>
      </w:r>
      <w:r w:rsidRPr="00575EB9">
        <w:rPr>
          <w:rFonts w:ascii="標楷體" w:hAnsi="標楷體" w:hint="eastAsia"/>
          <w:sz w:val="22"/>
          <w:szCs w:val="22"/>
        </w:rPr>
        <w:t>「授權明確性要求」源於德國基本法第八十條之規定（「法律得授權聯邦政府、聯邦邦長或邦政府公布法規命令。此項授權之</w:t>
      </w:r>
      <w:r w:rsidRPr="00575EB9">
        <w:rPr>
          <w:rFonts w:ascii="標楷體" w:hAnsi="標楷體" w:hint="eastAsia"/>
          <w:b/>
          <w:sz w:val="22"/>
          <w:szCs w:val="22"/>
        </w:rPr>
        <w:t>內容</w:t>
      </w:r>
      <w:r w:rsidRPr="005C616C">
        <w:rPr>
          <w:rFonts w:ascii="標楷體" w:hAnsi="標楷體" w:hint="eastAsia"/>
          <w:b/>
          <w:sz w:val="22"/>
          <w:szCs w:val="22"/>
        </w:rPr>
        <w:t>、</w:t>
      </w:r>
      <w:r w:rsidRPr="00575EB9">
        <w:rPr>
          <w:rFonts w:ascii="標楷體" w:hAnsi="標楷體" w:hint="eastAsia"/>
          <w:b/>
          <w:sz w:val="22"/>
          <w:szCs w:val="22"/>
        </w:rPr>
        <w:t>目的及範圍</w:t>
      </w:r>
      <w:r w:rsidRPr="00575EB9">
        <w:rPr>
          <w:rFonts w:ascii="標楷體" w:hAnsi="標楷體" w:hint="eastAsia"/>
          <w:sz w:val="22"/>
          <w:szCs w:val="22"/>
        </w:rPr>
        <w:t>，應以法律定之</w:t>
      </w:r>
      <w:r w:rsidR="005C616C">
        <w:rPr>
          <w:rFonts w:ascii="標楷體" w:hAnsi="標楷體" w:hint="eastAsia"/>
          <w:sz w:val="22"/>
          <w:szCs w:val="22"/>
        </w:rPr>
        <w:t>」）。其義涵參見許宗力，〈行政命令授權明確性問題之研究〉，載《臺</w:t>
      </w:r>
      <w:r w:rsidRPr="00575EB9">
        <w:rPr>
          <w:rFonts w:ascii="標楷體" w:hAnsi="標楷體" w:hint="eastAsia"/>
          <w:sz w:val="22"/>
          <w:szCs w:val="22"/>
        </w:rPr>
        <w:t>大法學論叢》，</w:t>
      </w:r>
      <w:r w:rsidRPr="00AB6A06">
        <w:rPr>
          <w:sz w:val="22"/>
          <w:szCs w:val="22"/>
        </w:rPr>
        <w:t>19</w:t>
      </w:r>
      <w:r w:rsidRPr="00AB6A06">
        <w:rPr>
          <w:rFonts w:hAnsi="標楷體"/>
          <w:sz w:val="22"/>
          <w:szCs w:val="22"/>
        </w:rPr>
        <w:t>卷</w:t>
      </w:r>
      <w:r w:rsidRPr="00AB6A06">
        <w:rPr>
          <w:sz w:val="22"/>
          <w:szCs w:val="22"/>
        </w:rPr>
        <w:t>2</w:t>
      </w:r>
      <w:r w:rsidRPr="00AB6A06">
        <w:rPr>
          <w:rFonts w:hAnsi="標楷體"/>
          <w:sz w:val="22"/>
          <w:szCs w:val="22"/>
        </w:rPr>
        <w:t>期，頁</w:t>
      </w:r>
      <w:r w:rsidRPr="00AB6A06">
        <w:rPr>
          <w:sz w:val="22"/>
          <w:szCs w:val="22"/>
        </w:rPr>
        <w:t>51~59</w:t>
      </w:r>
      <w:r w:rsidRPr="00AB6A06">
        <w:rPr>
          <w:rFonts w:hAnsi="標楷體"/>
          <w:sz w:val="22"/>
          <w:szCs w:val="22"/>
        </w:rPr>
        <w:t>（</w:t>
      </w:r>
      <w:r w:rsidRPr="00AB6A06">
        <w:rPr>
          <w:sz w:val="22"/>
          <w:szCs w:val="22"/>
        </w:rPr>
        <w:t>78</w:t>
      </w:r>
      <w:r w:rsidRPr="00AB6A06">
        <w:rPr>
          <w:rFonts w:hAnsi="標楷體"/>
          <w:sz w:val="22"/>
          <w:szCs w:val="22"/>
        </w:rPr>
        <w:t>年</w:t>
      </w:r>
      <w:r w:rsidRPr="00AB6A06">
        <w:rPr>
          <w:sz w:val="22"/>
          <w:szCs w:val="22"/>
        </w:rPr>
        <w:t>6</w:t>
      </w:r>
      <w:r w:rsidRPr="00AB6A06">
        <w:rPr>
          <w:rFonts w:hAnsi="標楷體"/>
          <w:sz w:val="22"/>
          <w:szCs w:val="22"/>
        </w:rPr>
        <w:t>月）。</w:t>
      </w:r>
    </w:p>
    <w:p w:rsidR="0043003E" w:rsidRPr="00575EB9" w:rsidRDefault="0043003E" w:rsidP="005C616C">
      <w:pPr>
        <w:tabs>
          <w:tab w:val="left" w:pos="2127"/>
        </w:tabs>
        <w:overflowPunct w:val="0"/>
        <w:spacing w:line="391" w:lineRule="exact"/>
        <w:ind w:left="680"/>
        <w:jc w:val="both"/>
        <w:rPr>
          <w:rFonts w:ascii="標楷體" w:hAnsi="標楷體"/>
          <w:color w:val="000000"/>
          <w:sz w:val="22"/>
          <w:szCs w:val="22"/>
        </w:rPr>
      </w:pPr>
      <w:r w:rsidRPr="00575EB9">
        <w:rPr>
          <w:rFonts w:ascii="標楷體" w:hAnsi="標楷體" w:hint="eastAsia"/>
          <w:sz w:val="22"/>
          <w:szCs w:val="22"/>
        </w:rPr>
        <w:t>至本院相關解釋，參見釋字第三一三號解釋（「</w:t>
      </w:r>
      <w:r w:rsidRPr="00575EB9">
        <w:rPr>
          <w:rFonts w:ascii="標楷體" w:hAnsi="標楷體" w:cs="Arial" w:hint="eastAsia"/>
          <w:color w:val="000000"/>
          <w:sz w:val="22"/>
          <w:szCs w:val="22"/>
        </w:rPr>
        <w:t>涉及人民權利之限制</w:t>
      </w:r>
      <w:r w:rsidRPr="00575EB9">
        <w:rPr>
          <w:rFonts w:ascii="標楷體" w:hAnsi="標楷體" w:hint="eastAsia"/>
          <w:kern w:val="0"/>
          <w:sz w:val="22"/>
          <w:szCs w:val="22"/>
        </w:rPr>
        <w:t>……</w:t>
      </w:r>
      <w:r w:rsidRPr="00575EB9">
        <w:rPr>
          <w:rFonts w:ascii="標楷體" w:hAnsi="標楷體" w:cs="Arial" w:hint="eastAsia"/>
          <w:color w:val="000000"/>
          <w:sz w:val="22"/>
          <w:szCs w:val="22"/>
        </w:rPr>
        <w:t>應由法律定之。若法律就其構成要件，授權以命令為補充規定者，</w:t>
      </w:r>
      <w:r w:rsidRPr="00575EB9">
        <w:rPr>
          <w:rFonts w:ascii="標楷體" w:hAnsi="標楷體" w:cs="Arial" w:hint="eastAsia"/>
          <w:b/>
          <w:color w:val="000000"/>
          <w:sz w:val="22"/>
          <w:szCs w:val="22"/>
        </w:rPr>
        <w:t>授權之內容及範圍應具體明確</w:t>
      </w:r>
      <w:r w:rsidRPr="00575EB9">
        <w:rPr>
          <w:rFonts w:ascii="標楷體" w:hAnsi="標楷體" w:hint="eastAsia"/>
          <w:sz w:val="22"/>
          <w:szCs w:val="22"/>
        </w:rPr>
        <w:t>」）、</w:t>
      </w:r>
      <w:r w:rsidR="00FD08A4">
        <w:rPr>
          <w:rFonts w:ascii="標楷體" w:hAnsi="標楷體" w:hint="eastAsia"/>
          <w:sz w:val="22"/>
          <w:szCs w:val="22"/>
        </w:rPr>
        <w:t>釋字</w:t>
      </w:r>
      <w:r w:rsidRPr="00575EB9">
        <w:rPr>
          <w:rFonts w:ascii="標楷體" w:hAnsi="標楷體" w:hint="eastAsia"/>
          <w:sz w:val="22"/>
          <w:szCs w:val="22"/>
        </w:rPr>
        <w:t>第六八</w:t>
      </w:r>
      <w:r w:rsidR="001466FF" w:rsidRPr="008E5F41">
        <w:rPr>
          <w:rFonts w:ascii="標楷體" w:hAnsi="標楷體" w:hint="eastAsia"/>
          <w:sz w:val="22"/>
          <w:szCs w:val="22"/>
        </w:rPr>
        <w:t>○</w:t>
      </w:r>
      <w:r w:rsidRPr="00575EB9">
        <w:rPr>
          <w:rFonts w:ascii="標楷體" w:hAnsi="標楷體" w:hint="eastAsia"/>
          <w:sz w:val="22"/>
          <w:szCs w:val="22"/>
        </w:rPr>
        <w:t>號解釋（「</w:t>
      </w:r>
      <w:r w:rsidRPr="00575EB9">
        <w:rPr>
          <w:rFonts w:ascii="標楷體" w:hAnsi="標楷體" w:cs="Arial" w:hint="eastAsia"/>
          <w:color w:val="000000"/>
          <w:sz w:val="22"/>
          <w:szCs w:val="22"/>
        </w:rPr>
        <w:t>立法機關以委任立法之方式，授權行政機關發布命令，以為法律之補充</w:t>
      </w:r>
      <w:r w:rsidRPr="00575EB9">
        <w:rPr>
          <w:rFonts w:ascii="標楷體" w:hAnsi="標楷體" w:hint="eastAsia"/>
          <w:sz w:val="22"/>
          <w:szCs w:val="22"/>
        </w:rPr>
        <w:t>……</w:t>
      </w:r>
      <w:r w:rsidRPr="00575EB9">
        <w:rPr>
          <w:rFonts w:ascii="標楷體" w:hAnsi="標楷體" w:cs="Arial" w:hint="eastAsia"/>
          <w:color w:val="000000"/>
          <w:sz w:val="22"/>
          <w:szCs w:val="22"/>
        </w:rPr>
        <w:t>其</w:t>
      </w:r>
      <w:r w:rsidRPr="00575EB9">
        <w:rPr>
          <w:rFonts w:ascii="標楷體" w:hAnsi="標楷體" w:cs="Arial" w:hint="eastAsia"/>
          <w:b/>
          <w:color w:val="000000"/>
          <w:sz w:val="22"/>
          <w:szCs w:val="22"/>
        </w:rPr>
        <w:t>授權</w:t>
      </w:r>
      <w:r w:rsidRPr="00575EB9">
        <w:rPr>
          <w:rFonts w:ascii="標楷體" w:hAnsi="標楷體" w:cs="Arial" w:hint="eastAsia"/>
          <w:b/>
          <w:color w:val="000000"/>
          <w:sz w:val="22"/>
          <w:szCs w:val="22"/>
        </w:rPr>
        <w:lastRenderedPageBreak/>
        <w:t>之目的、內容及範圍應具體明確</w:t>
      </w:r>
      <w:r w:rsidRPr="00575EB9">
        <w:rPr>
          <w:rFonts w:ascii="標楷體" w:hAnsi="標楷體" w:hint="eastAsia"/>
          <w:sz w:val="22"/>
          <w:szCs w:val="22"/>
        </w:rPr>
        <w:t>」）等。</w:t>
      </w:r>
    </w:p>
    <w:p w:rsidR="0043003E" w:rsidRPr="00575EB9" w:rsidRDefault="0043003E" w:rsidP="0043003E">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575EB9">
        <w:rPr>
          <w:rFonts w:ascii="標楷體" w:hAnsi="標楷體" w:hint="eastAsia"/>
          <w:color w:val="000000"/>
          <w:sz w:val="22"/>
          <w:szCs w:val="22"/>
        </w:rPr>
        <w:t>註十一：</w:t>
      </w:r>
      <w:r w:rsidRPr="00575EB9">
        <w:rPr>
          <w:rFonts w:ascii="標楷體" w:hAnsi="標楷體" w:hint="eastAsia"/>
          <w:sz w:val="22"/>
          <w:szCs w:val="22"/>
        </w:rPr>
        <w:t>參見國家機密保護法、檔案法及同法施行細則、通訊保障及監察法及同法施行細則、個人資料保護法及同法施行細則、犯罪被害人保護法及同法施行細則、去氧核醣核酸採樣條例及同條例施行細則、性侵害犯罪防治法及同法施行細則、營業秘密法、電子簽章法及同法施行細則等。</w:t>
      </w:r>
    </w:p>
    <w:p w:rsidR="0043003E" w:rsidRPr="00575EB9" w:rsidRDefault="0043003E" w:rsidP="0043003E">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575EB9">
        <w:rPr>
          <w:rFonts w:ascii="標楷體" w:hAnsi="標楷體" w:hint="eastAsia"/>
          <w:color w:val="000000"/>
          <w:sz w:val="22"/>
          <w:szCs w:val="22"/>
        </w:rPr>
        <w:t>註十二：</w:t>
      </w:r>
      <w:r w:rsidRPr="00575EB9">
        <w:rPr>
          <w:rFonts w:ascii="標楷體" w:hAnsi="標楷體" w:hint="eastAsia"/>
          <w:sz w:val="22"/>
          <w:szCs w:val="22"/>
        </w:rPr>
        <w:t>至於解釋理由書第四段更限制立法院調閱偵查卷證所獲悉之資訊，不得「為無關之評論或決議」，似不切實際。蓋發表評論之立法委員毋寧應於個案衡平所涉公益（如國家機密、立法職權）與私益（如關係人名譽及隱私），就其言行自負責任，而非概予禁止。</w:t>
      </w:r>
    </w:p>
    <w:p w:rsidR="0043003E" w:rsidRPr="00CD04F9" w:rsidRDefault="0043003E" w:rsidP="0043003E">
      <w:pPr>
        <w:overflowPunct w:val="0"/>
        <w:autoSpaceDE w:val="0"/>
        <w:autoSpaceDN w:val="0"/>
        <w:spacing w:line="391" w:lineRule="exact"/>
        <w:ind w:left="880" w:hangingChars="400" w:hanging="880"/>
        <w:jc w:val="both"/>
        <w:textAlignment w:val="baseline"/>
        <w:rPr>
          <w:color w:val="000000"/>
          <w:sz w:val="22"/>
          <w:szCs w:val="22"/>
        </w:rPr>
      </w:pPr>
      <w:r w:rsidRPr="00575EB9">
        <w:rPr>
          <w:rFonts w:ascii="標楷體" w:hAnsi="標楷體" w:hint="eastAsia"/>
          <w:color w:val="000000"/>
          <w:sz w:val="22"/>
          <w:szCs w:val="22"/>
        </w:rPr>
        <w:t>註十三：</w:t>
      </w:r>
      <w:r w:rsidRPr="00575EB9">
        <w:rPr>
          <w:rFonts w:ascii="標楷體" w:hAnsi="標楷體" w:hint="eastAsia"/>
          <w:sz w:val="22"/>
          <w:szCs w:val="22"/>
        </w:rPr>
        <w:t>大法官僅得「為達成裁判個案爭議之目的，</w:t>
      </w:r>
      <w:r w:rsidRPr="00575EB9">
        <w:rPr>
          <w:rFonts w:ascii="標楷體" w:hAnsi="標楷體" w:hint="eastAsia"/>
          <w:b/>
          <w:sz w:val="22"/>
          <w:szCs w:val="22"/>
        </w:rPr>
        <w:t>附帶</w:t>
      </w:r>
      <w:r w:rsidRPr="00575EB9">
        <w:rPr>
          <w:rFonts w:ascii="標楷體" w:hAnsi="標楷體" w:hint="eastAsia"/>
          <w:sz w:val="22"/>
          <w:szCs w:val="22"/>
        </w:rPr>
        <w:t>地闡明憲法意旨」者，即為「具體違憲審查」</w:t>
      </w:r>
      <w:r w:rsidRPr="00CD04F9">
        <w:rPr>
          <w:rFonts w:hAnsi="標楷體"/>
          <w:sz w:val="22"/>
          <w:szCs w:val="22"/>
        </w:rPr>
        <w:t>制度</w:t>
      </w:r>
      <w:r w:rsidR="00173265" w:rsidRPr="00CD04F9">
        <w:rPr>
          <w:rFonts w:hAnsi="標楷體"/>
          <w:sz w:val="22"/>
          <w:szCs w:val="22"/>
        </w:rPr>
        <w:t>（</w:t>
      </w:r>
      <w:r w:rsidRPr="00CD04F9">
        <w:rPr>
          <w:sz w:val="22"/>
          <w:szCs w:val="22"/>
        </w:rPr>
        <w:t>concrete constitutional review</w:t>
      </w:r>
      <w:r w:rsidR="00173265" w:rsidRPr="00CD04F9">
        <w:rPr>
          <w:rFonts w:hAnsi="標楷體"/>
          <w:sz w:val="22"/>
          <w:szCs w:val="22"/>
        </w:rPr>
        <w:t>）</w:t>
      </w:r>
      <w:r w:rsidRPr="00CD04F9">
        <w:rPr>
          <w:rFonts w:hAnsi="標楷體"/>
          <w:sz w:val="22"/>
          <w:szCs w:val="22"/>
        </w:rPr>
        <w:t>。詳見湯德宗、吳信華</w:t>
      </w:r>
      <w:r w:rsidRPr="00CD04F9">
        <w:rPr>
          <w:sz w:val="22"/>
          <w:szCs w:val="22"/>
        </w:rPr>
        <w:t>&amp;</w:t>
      </w:r>
      <w:r w:rsidRPr="00CD04F9">
        <w:rPr>
          <w:rFonts w:hAnsi="標楷體"/>
          <w:sz w:val="22"/>
          <w:szCs w:val="22"/>
        </w:rPr>
        <w:t>陳淳文，〈論違憲審查制度的改進</w:t>
      </w:r>
      <w:r w:rsidR="00FD08A4" w:rsidRPr="00CD04F9">
        <w:rPr>
          <w:sz w:val="22"/>
          <w:szCs w:val="22"/>
        </w:rPr>
        <w:t>--</w:t>
      </w:r>
      <w:r w:rsidRPr="00CD04F9">
        <w:rPr>
          <w:rFonts w:hAnsi="標楷體"/>
          <w:sz w:val="22"/>
          <w:szCs w:val="22"/>
        </w:rPr>
        <w:t>由「多元多軌」到「一元單軌」的改進方案〉，輯於《違憲審查與動態平衡：權力分立新論</w:t>
      </w:r>
      <w:r w:rsidRPr="00CD04F9">
        <w:rPr>
          <w:sz w:val="22"/>
          <w:szCs w:val="22"/>
        </w:rPr>
        <w:t xml:space="preserve"> </w:t>
      </w:r>
      <w:r w:rsidRPr="00CD04F9">
        <w:rPr>
          <w:rFonts w:hAnsi="標楷體"/>
          <w:sz w:val="22"/>
          <w:szCs w:val="22"/>
        </w:rPr>
        <w:t>卷二》，頁</w:t>
      </w:r>
      <w:r w:rsidRPr="00CD04F9">
        <w:rPr>
          <w:sz w:val="22"/>
          <w:szCs w:val="22"/>
        </w:rPr>
        <w:t>181</w:t>
      </w:r>
      <w:r w:rsidRPr="00CD04F9">
        <w:rPr>
          <w:rFonts w:hAnsi="標楷體"/>
          <w:sz w:val="22"/>
          <w:szCs w:val="22"/>
        </w:rPr>
        <w:t>以下（增訂四版，</w:t>
      </w:r>
      <w:r w:rsidRPr="00CD04F9">
        <w:rPr>
          <w:sz w:val="22"/>
          <w:szCs w:val="22"/>
        </w:rPr>
        <w:t>2014</w:t>
      </w:r>
      <w:r w:rsidRPr="00CD04F9">
        <w:rPr>
          <w:rFonts w:hAnsi="標楷體"/>
          <w:sz w:val="22"/>
          <w:szCs w:val="22"/>
        </w:rPr>
        <w:t>年</w:t>
      </w:r>
      <w:r w:rsidRPr="00CD04F9">
        <w:rPr>
          <w:sz w:val="22"/>
          <w:szCs w:val="22"/>
        </w:rPr>
        <w:t>9</w:t>
      </w:r>
      <w:r w:rsidRPr="00CD04F9">
        <w:rPr>
          <w:rFonts w:hAnsi="標楷體"/>
          <w:sz w:val="22"/>
          <w:szCs w:val="22"/>
        </w:rPr>
        <w:t>月）。</w:t>
      </w:r>
    </w:p>
    <w:p w:rsidR="0043003E" w:rsidRPr="00CD04F9" w:rsidRDefault="0043003E" w:rsidP="0043003E">
      <w:pPr>
        <w:overflowPunct w:val="0"/>
        <w:autoSpaceDE w:val="0"/>
        <w:autoSpaceDN w:val="0"/>
        <w:spacing w:line="391" w:lineRule="exact"/>
        <w:ind w:left="880" w:hangingChars="400" w:hanging="880"/>
        <w:jc w:val="both"/>
        <w:textAlignment w:val="baseline"/>
        <w:rPr>
          <w:color w:val="000000"/>
          <w:sz w:val="22"/>
          <w:szCs w:val="22"/>
        </w:rPr>
      </w:pPr>
      <w:r w:rsidRPr="00CD04F9">
        <w:rPr>
          <w:rFonts w:hAnsi="標楷體"/>
          <w:color w:val="000000"/>
          <w:sz w:val="22"/>
          <w:szCs w:val="22"/>
        </w:rPr>
        <w:t>註十四：</w:t>
      </w:r>
      <w:r w:rsidRPr="00CD04F9">
        <w:rPr>
          <w:rFonts w:hAnsi="標楷體"/>
          <w:sz w:val="22"/>
          <w:szCs w:val="22"/>
        </w:rPr>
        <w:t>大法官得不受「個案或爭議」之拘束，而「以審查法規有無牴觸憲法為目的，</w:t>
      </w:r>
      <w:r w:rsidRPr="00CD04F9">
        <w:rPr>
          <w:rFonts w:hAnsi="標楷體"/>
          <w:b/>
          <w:sz w:val="22"/>
          <w:szCs w:val="22"/>
        </w:rPr>
        <w:t>特地（專事）</w:t>
      </w:r>
      <w:r w:rsidRPr="00CD04F9">
        <w:rPr>
          <w:sz w:val="22"/>
          <w:szCs w:val="22"/>
          <w:lang w:val="de-DE"/>
        </w:rPr>
        <w:t>闡明</w:t>
      </w:r>
      <w:r w:rsidRPr="00CD04F9">
        <w:rPr>
          <w:rFonts w:hAnsi="標楷體"/>
          <w:sz w:val="22"/>
          <w:szCs w:val="22"/>
        </w:rPr>
        <w:t>憲法意旨」者，即為「抽象違憲審查」制度</w:t>
      </w:r>
      <w:r w:rsidR="00173265" w:rsidRPr="00CD04F9">
        <w:rPr>
          <w:rFonts w:hAnsi="標楷體"/>
          <w:sz w:val="22"/>
          <w:szCs w:val="22"/>
        </w:rPr>
        <w:t>（</w:t>
      </w:r>
      <w:r w:rsidRPr="00CD04F9">
        <w:rPr>
          <w:sz w:val="22"/>
          <w:szCs w:val="22"/>
        </w:rPr>
        <w:t>abstract constitutional review</w:t>
      </w:r>
      <w:r w:rsidR="00173265" w:rsidRPr="00CD04F9">
        <w:rPr>
          <w:rFonts w:hAnsi="標楷體"/>
          <w:sz w:val="22"/>
          <w:szCs w:val="22"/>
        </w:rPr>
        <w:t>）</w:t>
      </w:r>
      <w:r w:rsidRPr="00CD04F9">
        <w:rPr>
          <w:rFonts w:hAnsi="標楷體"/>
          <w:sz w:val="22"/>
          <w:szCs w:val="22"/>
        </w:rPr>
        <w:t>。同前揭註。</w:t>
      </w:r>
    </w:p>
    <w:p w:rsidR="00EA3D02" w:rsidRDefault="0043003E" w:rsidP="0043003E">
      <w:pPr>
        <w:overflowPunct w:val="0"/>
        <w:autoSpaceDE w:val="0"/>
        <w:autoSpaceDN w:val="0"/>
        <w:spacing w:line="391" w:lineRule="exact"/>
        <w:ind w:left="880" w:hangingChars="400" w:hanging="880"/>
        <w:jc w:val="both"/>
        <w:textAlignment w:val="baseline"/>
        <w:rPr>
          <w:rFonts w:ascii="標楷體" w:hAnsi="標楷體" w:hint="eastAsia"/>
          <w:sz w:val="22"/>
          <w:szCs w:val="22"/>
        </w:rPr>
      </w:pPr>
      <w:r w:rsidRPr="00575EB9">
        <w:rPr>
          <w:rFonts w:ascii="標楷體" w:hAnsi="標楷體" w:hint="eastAsia"/>
          <w:color w:val="000000"/>
          <w:sz w:val="22"/>
          <w:szCs w:val="22"/>
        </w:rPr>
        <w:t>註十五：</w:t>
      </w:r>
      <w:r w:rsidRPr="00575EB9">
        <w:rPr>
          <w:rFonts w:ascii="標楷體" w:hAnsi="標楷體" w:hint="eastAsia"/>
          <w:sz w:val="22"/>
          <w:szCs w:val="22"/>
        </w:rPr>
        <w:t>大法官對於機關權限爭議案件多作出具體明確之裁決，例如：釋字第七六號解釋（</w:t>
      </w:r>
      <w:r w:rsidRPr="00575EB9">
        <w:rPr>
          <w:rFonts w:ascii="標楷體" w:hAnsi="標楷體" w:cs="Arial" w:hint="eastAsia"/>
          <w:color w:val="000000"/>
          <w:sz w:val="22"/>
          <w:szCs w:val="22"/>
        </w:rPr>
        <w:t>就憲法上之地位及職權之性質而言，應認國民大會、立法院、監察院共同相當於民主國家之國會）、</w:t>
      </w:r>
      <w:r w:rsidR="00FD08A4">
        <w:rPr>
          <w:rFonts w:ascii="標楷體" w:hAnsi="標楷體" w:cs="Arial" w:hint="eastAsia"/>
          <w:color w:val="000000"/>
          <w:sz w:val="22"/>
          <w:szCs w:val="22"/>
        </w:rPr>
        <w:t>釋字</w:t>
      </w:r>
      <w:r w:rsidRPr="00575EB9">
        <w:rPr>
          <w:rFonts w:ascii="標楷體" w:hAnsi="標楷體" w:hint="eastAsia"/>
          <w:sz w:val="22"/>
          <w:szCs w:val="22"/>
        </w:rPr>
        <w:t>第四六一號解釋（參謀總長</w:t>
      </w:r>
      <w:r w:rsidRPr="00575EB9">
        <w:rPr>
          <w:rFonts w:ascii="標楷體" w:hAnsi="標楷體" w:cs="Arial" w:hint="eastAsia"/>
          <w:color w:val="000000"/>
          <w:sz w:val="22"/>
          <w:szCs w:val="22"/>
        </w:rPr>
        <w:t>非憲法規定之部會首長，無需至立法院院會備詢；惟屬憲法第六十七條第二項所指政府人員，除非因執行關係國家安全之軍事業務而有正當理由外，不得拒絕應邀到立法院各委員會備詢，惟詢問內容涉及重要國防機密事項者，免予答覆</w:t>
      </w:r>
      <w:r w:rsidRPr="00575EB9">
        <w:rPr>
          <w:rFonts w:ascii="標楷體" w:hAnsi="標楷體" w:hint="eastAsia"/>
          <w:sz w:val="22"/>
          <w:szCs w:val="22"/>
        </w:rPr>
        <w:t>）、</w:t>
      </w:r>
      <w:r w:rsidR="00FD08A4">
        <w:rPr>
          <w:rFonts w:ascii="標楷體" w:hAnsi="標楷體" w:hint="eastAsia"/>
          <w:sz w:val="22"/>
          <w:szCs w:val="22"/>
        </w:rPr>
        <w:t>釋字</w:t>
      </w:r>
      <w:r w:rsidRPr="00575EB9">
        <w:rPr>
          <w:rFonts w:ascii="標楷體" w:hAnsi="標楷體" w:hint="eastAsia"/>
          <w:sz w:val="22"/>
          <w:szCs w:val="22"/>
        </w:rPr>
        <w:t>第六一三號解釋（</w:t>
      </w:r>
      <w:r w:rsidRPr="00575EB9">
        <w:rPr>
          <w:rFonts w:ascii="標楷體" w:hAnsi="標楷體" w:hint="eastAsia"/>
          <w:b/>
          <w:sz w:val="22"/>
          <w:szCs w:val="22"/>
        </w:rPr>
        <w:t>行政院為國家最高行政機關，基於行政一體</w:t>
      </w:r>
      <w:r w:rsidRPr="00575EB9">
        <w:rPr>
          <w:rFonts w:ascii="標楷體" w:hAnsi="標楷體" w:hint="eastAsia"/>
          <w:sz w:val="22"/>
          <w:szCs w:val="22"/>
        </w:rPr>
        <w:t>，須為包括國家通訊傳播委員會（以下簡稱通傳會）在內之所有行政院所屬機關之整體施政表現負責，並因通傳會施政之良窳，與通傳會委員之人選有密切關係，因而</w:t>
      </w:r>
      <w:r w:rsidRPr="00575EB9">
        <w:rPr>
          <w:rFonts w:ascii="標楷體" w:hAnsi="標楷體" w:hint="eastAsia"/>
          <w:b/>
          <w:sz w:val="22"/>
          <w:szCs w:val="22"/>
        </w:rPr>
        <w:t>應擁有對通傳會委員之人事決定權</w:t>
      </w:r>
      <w:r w:rsidRPr="00575EB9">
        <w:rPr>
          <w:rFonts w:ascii="標楷體" w:hAnsi="標楷體" w:hint="eastAsia"/>
          <w:sz w:val="22"/>
          <w:szCs w:val="22"/>
        </w:rPr>
        <w:t>。</w:t>
      </w:r>
      <w:r w:rsidRPr="00575EB9">
        <w:rPr>
          <w:rFonts w:ascii="標楷體" w:hAnsi="標楷體" w:hint="eastAsia"/>
          <w:b/>
          <w:sz w:val="22"/>
          <w:szCs w:val="22"/>
        </w:rPr>
        <w:t>立法院對行政院有關通傳會委員之人事決定權</w:t>
      </w:r>
      <w:r w:rsidRPr="00575EB9">
        <w:rPr>
          <w:rFonts w:ascii="標楷體" w:hAnsi="標楷體" w:hint="eastAsia"/>
          <w:sz w:val="22"/>
          <w:szCs w:val="22"/>
        </w:rPr>
        <w:t>固非不能施以一定限制，以為制衡，惟</w:t>
      </w:r>
      <w:r w:rsidRPr="00575EB9">
        <w:rPr>
          <w:rFonts w:ascii="標楷體" w:hAnsi="標楷體" w:hint="eastAsia"/>
          <w:b/>
          <w:sz w:val="22"/>
          <w:szCs w:val="22"/>
        </w:rPr>
        <w:t>制衡仍不能將行政院之人事決定權予以實質剝奪或逕行取而代之</w:t>
      </w:r>
      <w:r w:rsidRPr="00575EB9">
        <w:rPr>
          <w:rFonts w:ascii="標楷體" w:hAnsi="標楷體" w:hint="eastAsia"/>
          <w:sz w:val="22"/>
          <w:szCs w:val="22"/>
        </w:rPr>
        <w:t>。國家通訊傳播委員會組織法第四條第二項、第三項及第四項關於委員選任程序部分之規定，及同條第六項關於委員任滿提名及出缺提名之規定，實質上幾近完全剝奪行政院之人事決定權，逾越立法機關對行政院人事決定權制衡之界限，違反責任政治暨權力分立原則）、</w:t>
      </w:r>
      <w:r w:rsidR="00FD08A4">
        <w:rPr>
          <w:rFonts w:ascii="標楷體" w:hAnsi="標楷體" w:hint="eastAsia"/>
          <w:sz w:val="22"/>
          <w:szCs w:val="22"/>
        </w:rPr>
        <w:t>釋字</w:t>
      </w:r>
      <w:r w:rsidRPr="00575EB9">
        <w:rPr>
          <w:rFonts w:ascii="標楷體" w:hAnsi="標楷體" w:hint="eastAsia"/>
          <w:sz w:val="22"/>
          <w:szCs w:val="22"/>
        </w:rPr>
        <w:t>第六四五號解釋（公民投票法第三十五條第一項「行政院公民投票審議委員會，置委員二十一人，任期三年，由各政黨依立法院各黨團席次比例推荐，送交主管機關提請總統任命之」，關於委員之任命規定，實質上完全剝奪行政院依憲法應享有之人事任命決定權，顯已逾越憲法上權力相互制衡之界限，自屬牴觸權力分立原則）。</w:t>
      </w:r>
    </w:p>
    <w:p w:rsidR="0043003E" w:rsidRPr="00AB6A06" w:rsidRDefault="0043003E" w:rsidP="00EA3D02">
      <w:pPr>
        <w:overflowPunct w:val="0"/>
        <w:autoSpaceDE w:val="0"/>
        <w:autoSpaceDN w:val="0"/>
        <w:spacing w:line="391" w:lineRule="exact"/>
        <w:ind w:left="851"/>
        <w:jc w:val="both"/>
        <w:textAlignment w:val="baseline"/>
        <w:rPr>
          <w:color w:val="000000"/>
          <w:sz w:val="22"/>
          <w:szCs w:val="22"/>
        </w:rPr>
      </w:pPr>
      <w:r w:rsidRPr="00575EB9">
        <w:rPr>
          <w:rFonts w:ascii="標楷體" w:hAnsi="標楷體" w:hint="eastAsia"/>
          <w:sz w:val="22"/>
          <w:szCs w:val="22"/>
        </w:rPr>
        <w:t>惟近年來最明顯之機關權限爭議案件</w:t>
      </w:r>
      <w:r w:rsidRPr="00575EB9">
        <w:rPr>
          <w:rFonts w:ascii="標楷體" w:hAnsi="標楷體"/>
          <w:sz w:val="22"/>
          <w:szCs w:val="22"/>
        </w:rPr>
        <w:t>--</w:t>
      </w:r>
      <w:r w:rsidRPr="00575EB9">
        <w:rPr>
          <w:rFonts w:ascii="標楷體" w:hAnsi="標楷體" w:hint="eastAsia"/>
          <w:sz w:val="22"/>
          <w:szCs w:val="22"/>
        </w:rPr>
        <w:t>行政院為停止興建核能第四電廠並停止執行相關預算，與立法院行使職權，發生適用憲法之爭議，本院釋字第五二</w:t>
      </w:r>
      <w:r w:rsidR="00FD08A4" w:rsidRPr="008E5F41">
        <w:rPr>
          <w:rFonts w:ascii="標楷體" w:hAnsi="標楷體" w:hint="eastAsia"/>
          <w:sz w:val="22"/>
          <w:szCs w:val="22"/>
        </w:rPr>
        <w:t>○</w:t>
      </w:r>
      <w:r w:rsidRPr="00575EB9">
        <w:rPr>
          <w:rFonts w:ascii="標楷體" w:hAnsi="標楷體" w:hint="eastAsia"/>
          <w:sz w:val="22"/>
          <w:szCs w:val="22"/>
        </w:rPr>
        <w:t>號解釋卻僅釋示「行政院應儘速將立法院補行報告並備質詢」，而避就「行政院片面停止執行核四興建預算之決定</w:t>
      </w:r>
      <w:r w:rsidRPr="0043003E">
        <w:rPr>
          <w:rFonts w:hint="eastAsia"/>
          <w:sz w:val="22"/>
          <w:szCs w:val="22"/>
          <w:lang w:val="de-DE"/>
        </w:rPr>
        <w:t>是否</w:t>
      </w:r>
      <w:r w:rsidRPr="00575EB9">
        <w:rPr>
          <w:rFonts w:ascii="標楷體" w:hAnsi="標楷體" w:hint="eastAsia"/>
          <w:sz w:val="22"/>
          <w:szCs w:val="22"/>
        </w:rPr>
        <w:t>有（生）效」進行裁決，刻意將「爭議」當作「疑義」處理。詳見湯德宗，〈憲法結構與違</w:t>
      </w:r>
      <w:r w:rsidRPr="00AB6A06">
        <w:rPr>
          <w:rFonts w:hAnsi="標楷體"/>
          <w:sz w:val="22"/>
          <w:szCs w:val="22"/>
        </w:rPr>
        <w:t>憲審查</w:t>
      </w:r>
      <w:r w:rsidRPr="00AB6A06">
        <w:rPr>
          <w:sz w:val="22"/>
          <w:szCs w:val="22"/>
        </w:rPr>
        <w:t>--</w:t>
      </w:r>
      <w:r w:rsidRPr="00AB6A06">
        <w:rPr>
          <w:rFonts w:hAnsi="標楷體"/>
          <w:sz w:val="22"/>
          <w:szCs w:val="22"/>
        </w:rPr>
        <w:t>司法院大法官釋字第五二</w:t>
      </w:r>
      <w:r w:rsidR="00C70472" w:rsidRPr="008E5F41">
        <w:rPr>
          <w:rFonts w:ascii="標楷體" w:hAnsi="標楷體" w:hint="eastAsia"/>
          <w:sz w:val="22"/>
          <w:szCs w:val="22"/>
        </w:rPr>
        <w:t>○</w:t>
      </w:r>
      <w:r w:rsidRPr="00AB6A06">
        <w:rPr>
          <w:rFonts w:hAnsi="標楷體"/>
          <w:sz w:val="22"/>
          <w:szCs w:val="22"/>
        </w:rPr>
        <w:t>號解釋評釋〉，輯於《憲法結構與動態平衡：權力分立</w:t>
      </w:r>
      <w:r w:rsidRPr="00AB6A06">
        <w:rPr>
          <w:rFonts w:hAnsi="標楷體"/>
          <w:sz w:val="22"/>
          <w:szCs w:val="22"/>
        </w:rPr>
        <w:lastRenderedPageBreak/>
        <w:t>新論</w:t>
      </w:r>
      <w:r w:rsidRPr="00AB6A06">
        <w:rPr>
          <w:sz w:val="22"/>
          <w:szCs w:val="22"/>
        </w:rPr>
        <w:t xml:space="preserve"> </w:t>
      </w:r>
      <w:r w:rsidRPr="00AB6A06">
        <w:rPr>
          <w:rFonts w:hAnsi="標楷體"/>
          <w:sz w:val="22"/>
          <w:szCs w:val="22"/>
        </w:rPr>
        <w:t>卷一》，頁</w:t>
      </w:r>
      <w:r w:rsidRPr="00AB6A06">
        <w:rPr>
          <w:sz w:val="22"/>
          <w:szCs w:val="22"/>
        </w:rPr>
        <w:t>101</w:t>
      </w:r>
      <w:r w:rsidRPr="00AB6A06">
        <w:rPr>
          <w:rFonts w:hAnsi="標楷體"/>
          <w:sz w:val="22"/>
          <w:szCs w:val="22"/>
        </w:rPr>
        <w:t>以下（增訂四版，</w:t>
      </w:r>
      <w:r w:rsidRPr="00AB6A06">
        <w:rPr>
          <w:sz w:val="22"/>
          <w:szCs w:val="22"/>
        </w:rPr>
        <w:t>2014</w:t>
      </w:r>
      <w:r w:rsidRPr="00AB6A06">
        <w:rPr>
          <w:rFonts w:hAnsi="標楷體"/>
          <w:sz w:val="22"/>
          <w:szCs w:val="22"/>
        </w:rPr>
        <w:t>年</w:t>
      </w:r>
      <w:r w:rsidRPr="00AB6A06">
        <w:rPr>
          <w:sz w:val="22"/>
          <w:szCs w:val="22"/>
        </w:rPr>
        <w:t>9</w:t>
      </w:r>
      <w:r w:rsidRPr="00AB6A06">
        <w:rPr>
          <w:rFonts w:hAnsi="標楷體"/>
          <w:sz w:val="22"/>
          <w:szCs w:val="22"/>
        </w:rPr>
        <w:t>月）。</w:t>
      </w:r>
    </w:p>
    <w:p w:rsidR="0043003E" w:rsidRPr="00AB6A06" w:rsidRDefault="0043003E" w:rsidP="0043003E">
      <w:pPr>
        <w:overflowPunct w:val="0"/>
        <w:autoSpaceDE w:val="0"/>
        <w:autoSpaceDN w:val="0"/>
        <w:spacing w:line="391" w:lineRule="exact"/>
        <w:ind w:left="880" w:hangingChars="400" w:hanging="880"/>
        <w:jc w:val="both"/>
        <w:textAlignment w:val="baseline"/>
        <w:rPr>
          <w:color w:val="000000"/>
          <w:sz w:val="22"/>
          <w:szCs w:val="22"/>
        </w:rPr>
      </w:pPr>
      <w:r w:rsidRPr="00AB6A06">
        <w:rPr>
          <w:rFonts w:hAnsi="標楷體"/>
          <w:color w:val="000000"/>
          <w:sz w:val="22"/>
          <w:szCs w:val="22"/>
        </w:rPr>
        <w:t>註十六：</w:t>
      </w:r>
      <w:r w:rsidRPr="00AB6A06">
        <w:rPr>
          <w:rFonts w:hAnsi="標楷體"/>
          <w:sz w:val="22"/>
          <w:szCs w:val="22"/>
        </w:rPr>
        <w:t>按本院釋字第五八五號解釋釋示：「</w:t>
      </w:r>
      <w:r w:rsidRPr="00AB6A06">
        <w:rPr>
          <w:rFonts w:hAnsi="標楷體"/>
          <w:color w:val="000000"/>
          <w:sz w:val="22"/>
          <w:szCs w:val="22"/>
        </w:rPr>
        <w:t>立法院與其他國家機關宜循合理之途徑協商解決，或以法律明定相關要件與程序，由司法機關審理解決之」，迄今十年有餘，立法院仍未制定此等</w:t>
      </w:r>
      <w:r w:rsidRPr="00AB6A06">
        <w:rPr>
          <w:sz w:val="22"/>
          <w:szCs w:val="22"/>
          <w:lang w:val="de-DE"/>
        </w:rPr>
        <w:t>法律</w:t>
      </w:r>
      <w:r w:rsidRPr="00AB6A06">
        <w:rPr>
          <w:rFonts w:hAnsi="標楷體"/>
          <w:color w:val="000000"/>
          <w:sz w:val="22"/>
          <w:szCs w:val="22"/>
        </w:rPr>
        <w:t>，要已說明國家機關間之權限爭議難以循此籠統之立法解決（或至少顯示立法院無意循立法模式，解決與其他機關之具體權限爭議）。本號解釋（理由書第六段）再次為相同之釋示，果能催生此等立法？抑或大法官應重新確認「機關權限爭議」之事物本質？！</w:t>
      </w:r>
    </w:p>
    <w:p w:rsidR="0043003E" w:rsidRPr="00AB6A06" w:rsidRDefault="0043003E" w:rsidP="0043003E">
      <w:pPr>
        <w:overflowPunct w:val="0"/>
        <w:autoSpaceDE w:val="0"/>
        <w:autoSpaceDN w:val="0"/>
        <w:spacing w:line="391" w:lineRule="exact"/>
        <w:ind w:left="880" w:hangingChars="400" w:hanging="880"/>
        <w:jc w:val="both"/>
        <w:textAlignment w:val="baseline"/>
        <w:rPr>
          <w:color w:val="000000"/>
          <w:sz w:val="22"/>
          <w:szCs w:val="22"/>
        </w:rPr>
      </w:pPr>
      <w:r w:rsidRPr="00AB6A06">
        <w:rPr>
          <w:rFonts w:hAnsi="標楷體"/>
          <w:color w:val="000000"/>
          <w:sz w:val="22"/>
          <w:szCs w:val="22"/>
        </w:rPr>
        <w:t>註十七：</w:t>
      </w:r>
      <w:r w:rsidRPr="00AB6A06">
        <w:rPr>
          <w:rFonts w:hAnsi="標楷體"/>
          <w:sz w:val="22"/>
          <w:szCs w:val="22"/>
        </w:rPr>
        <w:t>本席於釋字第七一三號解釋之〈部分不同意見書〉註</w:t>
      </w:r>
      <w:r w:rsidRPr="00AB6A06">
        <w:rPr>
          <w:sz w:val="22"/>
          <w:szCs w:val="22"/>
        </w:rPr>
        <w:t>1</w:t>
      </w:r>
      <w:r w:rsidRPr="00AB6A06">
        <w:rPr>
          <w:rFonts w:hAnsi="標楷體"/>
          <w:sz w:val="22"/>
          <w:szCs w:val="22"/>
        </w:rPr>
        <w:t>曾坦陳：「司法院大法官解釋憲法原有三項重要功能：一、維持權力間的水平分權制衡（所謂「五權分治、平等相維」）；二、維持</w:t>
      </w:r>
      <w:r w:rsidRPr="00AB6A06">
        <w:rPr>
          <w:sz w:val="22"/>
          <w:szCs w:val="22"/>
          <w:lang w:val="de-DE"/>
        </w:rPr>
        <w:t>權力</w:t>
      </w:r>
      <w:r w:rsidRPr="00AB6A06">
        <w:rPr>
          <w:rFonts w:hAnsi="標楷體"/>
          <w:sz w:val="22"/>
          <w:szCs w:val="22"/>
        </w:rPr>
        <w:t>間的垂直分權制衡（所謂「受憲法保障的中央、地方均權關係」）；三、保障人民憲法權利（避免各權力部門沆瀣一氣，侵害人民的基本權）。惟近年來前兩項功能已嚴重萎縮，末項功能因拒不開放「憲法訴願」，乃無法即時對治違憲的裁判。撫今思昔，距離建構「無漏洞的違憲審查」理想仍遙，能不惕勵？！」</w:t>
      </w:r>
    </w:p>
    <w:p w:rsidR="0043003E" w:rsidRPr="00AB6A06" w:rsidRDefault="0043003E" w:rsidP="0043003E">
      <w:pPr>
        <w:overflowPunct w:val="0"/>
        <w:autoSpaceDE w:val="0"/>
        <w:autoSpaceDN w:val="0"/>
        <w:spacing w:line="391" w:lineRule="exact"/>
        <w:ind w:left="880" w:hangingChars="400" w:hanging="880"/>
        <w:jc w:val="both"/>
        <w:textAlignment w:val="baseline"/>
        <w:rPr>
          <w:sz w:val="22"/>
          <w:szCs w:val="22"/>
        </w:rPr>
      </w:pPr>
      <w:r w:rsidRPr="00AB6A06">
        <w:rPr>
          <w:rFonts w:hAnsi="標楷體"/>
          <w:color w:val="000000"/>
          <w:sz w:val="22"/>
          <w:szCs w:val="22"/>
        </w:rPr>
        <w:t>註十八：</w:t>
      </w:r>
      <w:r w:rsidRPr="00AB6A06">
        <w:rPr>
          <w:rFonts w:hAnsi="標楷體"/>
          <w:sz w:val="22"/>
          <w:szCs w:val="22"/>
        </w:rPr>
        <w:t>不滿本院釋字第七六號解釋（「國民大會、立法院、監察院共同相當於民主國家之國會」），立法院於民國四十六年修正「司法院組織法」，規定：「</w:t>
      </w:r>
      <w:r w:rsidRPr="00AB6A06">
        <w:rPr>
          <w:rFonts w:hAnsi="標楷體"/>
          <w:b/>
          <w:sz w:val="22"/>
          <w:szCs w:val="22"/>
        </w:rPr>
        <w:t>大法官解釋憲法，應有大法官總名額四分之三之出席，及出席人數四分之三之同意，方得通過</w:t>
      </w:r>
      <w:r w:rsidRPr="00AB6A06">
        <w:rPr>
          <w:rFonts w:hAnsi="標楷體"/>
          <w:sz w:val="22"/>
          <w:szCs w:val="22"/>
        </w:rPr>
        <w:t>」。此後二十年間大法官幾乎無法作成憲法解釋。田炯錦院長於《司法院大法官會議解釋彙編》（民國八十年八月）再版序言（</w:t>
      </w:r>
      <w:r w:rsidRPr="00AB6A06">
        <w:rPr>
          <w:sz w:val="22"/>
          <w:szCs w:val="22"/>
        </w:rPr>
        <w:t>1974</w:t>
      </w:r>
      <w:r w:rsidRPr="00AB6A06">
        <w:rPr>
          <w:rFonts w:hAnsi="標楷體"/>
          <w:sz w:val="22"/>
          <w:szCs w:val="22"/>
        </w:rPr>
        <w:t>年</w:t>
      </w:r>
      <w:r w:rsidRPr="00AB6A06">
        <w:rPr>
          <w:sz w:val="22"/>
          <w:szCs w:val="22"/>
        </w:rPr>
        <w:t>1</w:t>
      </w:r>
      <w:r w:rsidRPr="00AB6A06">
        <w:rPr>
          <w:rFonts w:hAnsi="標楷體"/>
          <w:sz w:val="22"/>
          <w:szCs w:val="22"/>
        </w:rPr>
        <w:t>月）婉言：「依照民國四十七年七月二十一日頒布之『司法院大法官會議法』規定解釋之範圍與限制，頗為嚴格，因而每年解釋案件，平均僅達三件，而聲請解釋案件，每年平均達六十餘件之多，能否受理解釋之比例，顯極懸殊。</w:t>
      </w:r>
      <w:r w:rsidR="00AB6A06">
        <w:rPr>
          <w:rFonts w:hint="eastAsia"/>
          <w:sz w:val="22"/>
          <w:szCs w:val="22"/>
        </w:rPr>
        <w:t>……</w:t>
      </w:r>
      <w:r w:rsidRPr="00AB6A06">
        <w:rPr>
          <w:rFonts w:hAnsi="標楷體"/>
          <w:sz w:val="22"/>
          <w:szCs w:val="22"/>
        </w:rPr>
        <w:t>今後為期更能提高解釋權之效用，適當修正司法院大法官會議法有關聲請解釋範圍及程序之限制，或有必要」。林洋港院長於〈迎接憲政發展的新時代〉直言：「自民國四十七年司法院大法官會議法公布以後</w:t>
      </w:r>
      <w:r w:rsidR="00AB6A06">
        <w:rPr>
          <w:rFonts w:hAnsi="標楷體" w:hint="eastAsia"/>
          <w:sz w:val="22"/>
          <w:szCs w:val="22"/>
        </w:rPr>
        <w:t>……</w:t>
      </w:r>
      <w:r w:rsidRPr="00AB6A06">
        <w:rPr>
          <w:rFonts w:hAnsi="標楷體"/>
          <w:sz w:val="22"/>
          <w:szCs w:val="22"/>
        </w:rPr>
        <w:t>第二屆大法官作成解釋四十三件，其中憲法解釋八件，第三屆大法官會議僅作成解釋二十四件，其中憲法解釋僅僅兩件，</w:t>
      </w:r>
      <w:r w:rsidRPr="00AB6A06">
        <w:rPr>
          <w:rFonts w:hAnsi="標楷體"/>
          <w:b/>
          <w:sz w:val="22"/>
          <w:szCs w:val="22"/>
        </w:rPr>
        <w:t>我國的釋憲工作，至此已幾乎陷於停頓</w:t>
      </w:r>
      <w:r w:rsidRPr="00AB6A06">
        <w:rPr>
          <w:rFonts w:hAnsi="標楷體"/>
          <w:sz w:val="22"/>
          <w:szCs w:val="22"/>
        </w:rPr>
        <w:t>。當然，造成這種現象的原因很多，而</w:t>
      </w:r>
      <w:r w:rsidRPr="00AB6A06">
        <w:rPr>
          <w:sz w:val="22"/>
          <w:szCs w:val="22"/>
          <w:lang w:val="de-DE"/>
        </w:rPr>
        <w:t>法制</w:t>
      </w:r>
      <w:r w:rsidRPr="00AB6A06">
        <w:rPr>
          <w:rFonts w:hAnsi="標楷體"/>
          <w:sz w:val="22"/>
          <w:szCs w:val="22"/>
        </w:rPr>
        <w:t>的不健全，卻是學者專家一致公認的主要因素」（載《司法院大法官釋憲四十週年紀念論文集》，頁</w:t>
      </w:r>
      <w:r w:rsidRPr="00AB6A06">
        <w:rPr>
          <w:sz w:val="22"/>
          <w:szCs w:val="22"/>
        </w:rPr>
        <w:t>1</w:t>
      </w:r>
      <w:r w:rsidRPr="00AB6A06">
        <w:rPr>
          <w:rFonts w:hAnsi="標楷體"/>
          <w:sz w:val="22"/>
          <w:szCs w:val="22"/>
        </w:rPr>
        <w:t>以下（頁</w:t>
      </w:r>
      <w:r w:rsidRPr="00AB6A06">
        <w:rPr>
          <w:sz w:val="22"/>
          <w:szCs w:val="22"/>
        </w:rPr>
        <w:t>2</w:t>
      </w:r>
      <w:r w:rsidRPr="00AB6A06">
        <w:rPr>
          <w:rFonts w:hAnsi="標楷體"/>
          <w:sz w:val="22"/>
          <w:szCs w:val="22"/>
        </w:rPr>
        <w:t>）（</w:t>
      </w:r>
      <w:r w:rsidRPr="00AB6A06">
        <w:rPr>
          <w:sz w:val="22"/>
          <w:szCs w:val="22"/>
        </w:rPr>
        <w:t>77</w:t>
      </w:r>
      <w:r w:rsidRPr="00AB6A06">
        <w:rPr>
          <w:rFonts w:hAnsi="標楷體"/>
          <w:sz w:val="22"/>
          <w:szCs w:val="22"/>
        </w:rPr>
        <w:t>年</w:t>
      </w:r>
      <w:r w:rsidRPr="00AB6A06">
        <w:rPr>
          <w:sz w:val="22"/>
          <w:szCs w:val="22"/>
        </w:rPr>
        <w:t>9</w:t>
      </w:r>
      <w:r w:rsidRPr="00AB6A06">
        <w:rPr>
          <w:rFonts w:hAnsi="標楷體"/>
          <w:sz w:val="22"/>
          <w:szCs w:val="22"/>
        </w:rPr>
        <w:t>月））。並參見仲肇湘，〈大法官會議法制定之過程與要點〉，《法律與經濟》，</w:t>
      </w:r>
      <w:r w:rsidRPr="00AB6A06">
        <w:rPr>
          <w:sz w:val="22"/>
          <w:szCs w:val="22"/>
        </w:rPr>
        <w:t>1</w:t>
      </w:r>
      <w:r w:rsidRPr="00AB6A06">
        <w:rPr>
          <w:rFonts w:hAnsi="標楷體"/>
          <w:sz w:val="22"/>
          <w:szCs w:val="22"/>
        </w:rPr>
        <w:t>卷</w:t>
      </w:r>
      <w:r w:rsidRPr="00AB6A06">
        <w:rPr>
          <w:sz w:val="22"/>
          <w:szCs w:val="22"/>
        </w:rPr>
        <w:t>1</w:t>
      </w:r>
      <w:r w:rsidRPr="00AB6A06">
        <w:rPr>
          <w:rFonts w:hAnsi="標楷體"/>
          <w:sz w:val="22"/>
          <w:szCs w:val="22"/>
        </w:rPr>
        <w:t>期，頁</w:t>
      </w:r>
      <w:r w:rsidRPr="00AB6A06">
        <w:rPr>
          <w:sz w:val="22"/>
          <w:szCs w:val="22"/>
        </w:rPr>
        <w:t>5-6</w:t>
      </w:r>
      <w:r w:rsidRPr="00AB6A06">
        <w:rPr>
          <w:rFonts w:hAnsi="標楷體"/>
          <w:sz w:val="22"/>
          <w:szCs w:val="22"/>
        </w:rPr>
        <w:t>（</w:t>
      </w:r>
      <w:r w:rsidRPr="00AB6A06">
        <w:rPr>
          <w:sz w:val="22"/>
          <w:szCs w:val="22"/>
        </w:rPr>
        <w:t>1958</w:t>
      </w:r>
      <w:r w:rsidRPr="00AB6A06">
        <w:rPr>
          <w:rFonts w:hAnsi="標楷體"/>
          <w:sz w:val="22"/>
          <w:szCs w:val="22"/>
        </w:rPr>
        <w:t>年</w:t>
      </w:r>
      <w:r w:rsidRPr="00AB6A06">
        <w:rPr>
          <w:sz w:val="22"/>
          <w:szCs w:val="22"/>
        </w:rPr>
        <w:t>9</w:t>
      </w:r>
      <w:r w:rsidRPr="00AB6A06">
        <w:rPr>
          <w:rFonts w:hAnsi="標楷體"/>
          <w:sz w:val="22"/>
          <w:szCs w:val="22"/>
        </w:rPr>
        <w:t>月）；涂懷瑩，〈大法官釋憲制度的「演變」、「貢獻」及「改進問題」〉，載《司法院大法官釋憲四十週年紀念論文集》，頁</w:t>
      </w:r>
      <w:r w:rsidRPr="00AB6A06">
        <w:rPr>
          <w:sz w:val="22"/>
          <w:szCs w:val="22"/>
        </w:rPr>
        <w:t>49</w:t>
      </w:r>
      <w:r w:rsidRPr="00AB6A06">
        <w:rPr>
          <w:rFonts w:hAnsi="標楷體"/>
          <w:sz w:val="22"/>
          <w:szCs w:val="22"/>
        </w:rPr>
        <w:t>以下。</w:t>
      </w:r>
    </w:p>
    <w:p w:rsidR="0043003E" w:rsidRPr="00575EB9" w:rsidRDefault="0043003E" w:rsidP="00EA3D02">
      <w:pPr>
        <w:overflowPunct w:val="0"/>
        <w:autoSpaceDE w:val="0"/>
        <w:autoSpaceDN w:val="0"/>
        <w:spacing w:line="391" w:lineRule="exact"/>
        <w:ind w:left="851"/>
        <w:jc w:val="both"/>
        <w:textAlignment w:val="baseline"/>
        <w:rPr>
          <w:rFonts w:ascii="標楷體" w:hAnsi="標楷體"/>
          <w:color w:val="000000"/>
          <w:sz w:val="22"/>
          <w:szCs w:val="22"/>
        </w:rPr>
      </w:pPr>
      <w:r w:rsidRPr="00AB6A06">
        <w:rPr>
          <w:rFonts w:hAnsi="標楷體"/>
          <w:sz w:val="22"/>
          <w:szCs w:val="22"/>
        </w:rPr>
        <w:t>大法官釋字第四九九號解釋宣告</w:t>
      </w:r>
      <w:r w:rsidRPr="00AB6A06">
        <w:rPr>
          <w:sz w:val="22"/>
          <w:szCs w:val="22"/>
        </w:rPr>
        <w:t>1999</w:t>
      </w:r>
      <w:r w:rsidRPr="00AB6A06">
        <w:rPr>
          <w:rFonts w:hAnsi="標楷體"/>
          <w:sz w:val="22"/>
          <w:szCs w:val="22"/>
        </w:rPr>
        <w:t>年第五次憲法增修條文部分違憲後，國民大會即於第六次憲法增修條文</w:t>
      </w:r>
      <w:r w:rsidRPr="00AB6A06">
        <w:rPr>
          <w:sz w:val="22"/>
          <w:szCs w:val="22"/>
        </w:rPr>
        <w:t>（</w:t>
      </w:r>
      <w:r w:rsidRPr="00AB6A06">
        <w:rPr>
          <w:sz w:val="22"/>
          <w:szCs w:val="22"/>
        </w:rPr>
        <w:t>2000</w:t>
      </w:r>
      <w:r w:rsidRPr="00AB6A06">
        <w:rPr>
          <w:sz w:val="22"/>
          <w:szCs w:val="22"/>
        </w:rPr>
        <w:t>年</w:t>
      </w:r>
      <w:r w:rsidRPr="00AB6A06">
        <w:rPr>
          <w:sz w:val="22"/>
          <w:szCs w:val="22"/>
        </w:rPr>
        <w:t>4</w:t>
      </w:r>
      <w:r w:rsidRPr="00AB6A06">
        <w:rPr>
          <w:sz w:val="22"/>
          <w:szCs w:val="22"/>
        </w:rPr>
        <w:t>月</w:t>
      </w:r>
      <w:r w:rsidRPr="00575EB9">
        <w:rPr>
          <w:rFonts w:ascii="標楷體" w:hAnsi="標楷體" w:hint="eastAsia"/>
          <w:sz w:val="22"/>
          <w:szCs w:val="22"/>
        </w:rPr>
        <w:t>）第五條第一項增列第二句：「司法院大法官</w:t>
      </w:r>
      <w:r w:rsidRPr="00575EB9">
        <w:rPr>
          <w:rFonts w:ascii="標楷體" w:hAnsi="標楷體" w:hint="eastAsia"/>
          <w:b/>
          <w:sz w:val="22"/>
          <w:szCs w:val="22"/>
        </w:rPr>
        <w:t>除法官轉任者外</w:t>
      </w:r>
      <w:r w:rsidRPr="00575EB9">
        <w:rPr>
          <w:rFonts w:ascii="標楷體" w:hAnsi="標楷體" w:hint="eastAsia"/>
          <w:sz w:val="22"/>
          <w:szCs w:val="22"/>
        </w:rPr>
        <w:t>，不適用憲法第八十一條及有關法官終身職待遇之規定」。</w:t>
      </w:r>
    </w:p>
    <w:p w:rsidR="0043003E" w:rsidRPr="00575EB9" w:rsidRDefault="0043003E" w:rsidP="0043003E">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FD08A4">
        <w:rPr>
          <w:rFonts w:hAnsi="標楷體"/>
          <w:color w:val="000000"/>
          <w:sz w:val="22"/>
          <w:szCs w:val="22"/>
        </w:rPr>
        <w:t>註十九：</w:t>
      </w:r>
      <w:r w:rsidRPr="00FD08A4">
        <w:rPr>
          <w:i/>
          <w:sz w:val="22"/>
          <w:szCs w:val="22"/>
        </w:rPr>
        <w:t>See e.g.</w:t>
      </w:r>
      <w:r w:rsidRPr="00FD08A4">
        <w:rPr>
          <w:sz w:val="22"/>
          <w:szCs w:val="22"/>
        </w:rPr>
        <w:t>, Justice Dennis T. C. Tang</w:t>
      </w:r>
      <w:r w:rsidRPr="00FD08A4">
        <w:rPr>
          <w:i/>
          <w:sz w:val="22"/>
          <w:szCs w:val="22"/>
        </w:rPr>
        <w:t>, Constitutional Review on Taiwan: Review and Prospects</w:t>
      </w:r>
      <w:r w:rsidRPr="00FD08A4">
        <w:rPr>
          <w:sz w:val="22"/>
          <w:szCs w:val="22"/>
        </w:rPr>
        <w:t xml:space="preserve"> </w:t>
      </w:r>
      <w:r w:rsidR="00173265" w:rsidRPr="00FD08A4">
        <w:rPr>
          <w:rFonts w:hAnsi="標楷體"/>
          <w:sz w:val="22"/>
          <w:szCs w:val="22"/>
        </w:rPr>
        <w:t>（</w:t>
      </w:r>
      <w:r w:rsidRPr="00FD08A4">
        <w:rPr>
          <w:sz w:val="22"/>
          <w:szCs w:val="22"/>
        </w:rPr>
        <w:t xml:space="preserve">Invited speech delivered at </w:t>
      </w:r>
      <w:r w:rsidRPr="00FD08A4">
        <w:rPr>
          <w:i/>
          <w:sz w:val="22"/>
          <w:szCs w:val="22"/>
        </w:rPr>
        <w:t>Humboldt-Kolleg Changsha 2015,</w:t>
      </w:r>
      <w:r w:rsidRPr="00FD08A4">
        <w:rPr>
          <w:sz w:val="22"/>
          <w:szCs w:val="22"/>
        </w:rPr>
        <w:t xml:space="preserve"> April 18, 2015</w:t>
      </w:r>
      <w:r w:rsidR="00173265" w:rsidRPr="00FD08A4">
        <w:rPr>
          <w:rFonts w:hAnsi="標楷體"/>
          <w:sz w:val="22"/>
          <w:szCs w:val="22"/>
        </w:rPr>
        <w:t>）</w:t>
      </w:r>
      <w:r w:rsidRPr="00FD08A4">
        <w:rPr>
          <w:rFonts w:hAnsi="標楷體"/>
          <w:sz w:val="22"/>
          <w:szCs w:val="22"/>
        </w:rPr>
        <w:t>；翁岳生，〈司法院大法官釋憲制度新發展〉，載《憲政時代》，</w:t>
      </w:r>
      <w:r w:rsidRPr="00FD08A4">
        <w:rPr>
          <w:sz w:val="22"/>
          <w:szCs w:val="22"/>
        </w:rPr>
        <w:t>39</w:t>
      </w:r>
      <w:r w:rsidRPr="00FD08A4">
        <w:rPr>
          <w:rFonts w:hAnsi="標楷體"/>
          <w:sz w:val="22"/>
          <w:szCs w:val="22"/>
        </w:rPr>
        <w:t>卷</w:t>
      </w:r>
      <w:r w:rsidRPr="00FD08A4">
        <w:rPr>
          <w:sz w:val="22"/>
          <w:szCs w:val="22"/>
        </w:rPr>
        <w:t>4</w:t>
      </w:r>
      <w:r w:rsidRPr="00FD08A4">
        <w:rPr>
          <w:rFonts w:hAnsi="標楷體"/>
          <w:sz w:val="22"/>
          <w:szCs w:val="22"/>
        </w:rPr>
        <w:t>期，頁</w:t>
      </w:r>
      <w:r w:rsidRPr="00FD08A4">
        <w:rPr>
          <w:sz w:val="22"/>
          <w:szCs w:val="22"/>
        </w:rPr>
        <w:t>14</w:t>
      </w:r>
      <w:r w:rsidRPr="00FD08A4">
        <w:rPr>
          <w:sz w:val="22"/>
          <w:szCs w:val="22"/>
          <w:lang w:val="de-DE"/>
        </w:rPr>
        <w:t>以下</w:t>
      </w:r>
      <w:r w:rsidRPr="00FD08A4">
        <w:rPr>
          <w:rFonts w:hAnsi="標楷體"/>
          <w:sz w:val="22"/>
          <w:szCs w:val="22"/>
        </w:rPr>
        <w:t>（</w:t>
      </w:r>
      <w:r w:rsidRPr="00FD08A4">
        <w:rPr>
          <w:sz w:val="22"/>
          <w:szCs w:val="22"/>
        </w:rPr>
        <w:t>2014</w:t>
      </w:r>
      <w:r w:rsidRPr="00575EB9">
        <w:rPr>
          <w:rFonts w:ascii="標楷體" w:hAnsi="標楷體" w:hint="eastAsia"/>
          <w:sz w:val="22"/>
          <w:szCs w:val="22"/>
        </w:rPr>
        <w:t>年</w:t>
      </w:r>
      <w:r w:rsidRPr="00575EB9">
        <w:rPr>
          <w:rFonts w:ascii="標楷體" w:hAnsi="標楷體"/>
          <w:sz w:val="22"/>
          <w:szCs w:val="22"/>
        </w:rPr>
        <w:t>4</w:t>
      </w:r>
      <w:r w:rsidRPr="00575EB9">
        <w:rPr>
          <w:rFonts w:ascii="標楷體" w:hAnsi="標楷體" w:hint="eastAsia"/>
          <w:sz w:val="22"/>
          <w:szCs w:val="22"/>
        </w:rPr>
        <w:t>月）；張升星，〈台灣需要這麼多大法官？〉</w:t>
      </w:r>
      <w:r w:rsidR="00FD08A4">
        <w:rPr>
          <w:rFonts w:ascii="標楷體" w:hAnsi="標楷體" w:hint="eastAsia"/>
          <w:sz w:val="22"/>
          <w:szCs w:val="22"/>
        </w:rPr>
        <w:t>，</w:t>
      </w:r>
      <w:r w:rsidRPr="00575EB9">
        <w:rPr>
          <w:rFonts w:ascii="標楷體" w:hAnsi="標楷體"/>
          <w:sz w:val="22"/>
          <w:szCs w:val="22"/>
        </w:rPr>
        <w:t>2015</w:t>
      </w:r>
      <w:r w:rsidRPr="00575EB9">
        <w:rPr>
          <w:rFonts w:ascii="標楷體" w:hAnsi="標楷體" w:hint="eastAsia"/>
          <w:sz w:val="22"/>
          <w:szCs w:val="22"/>
        </w:rPr>
        <w:t>年</w:t>
      </w:r>
      <w:r w:rsidRPr="00575EB9">
        <w:rPr>
          <w:rFonts w:ascii="標楷體" w:hAnsi="標楷體"/>
          <w:sz w:val="22"/>
          <w:szCs w:val="22"/>
        </w:rPr>
        <w:t>4</w:t>
      </w:r>
      <w:r w:rsidRPr="00575EB9">
        <w:rPr>
          <w:rFonts w:ascii="標楷體" w:hAnsi="標楷體" w:hint="eastAsia"/>
          <w:sz w:val="22"/>
          <w:szCs w:val="22"/>
        </w:rPr>
        <w:t>月</w:t>
      </w:r>
      <w:r w:rsidRPr="00575EB9">
        <w:rPr>
          <w:rFonts w:ascii="標楷體" w:hAnsi="標楷體"/>
          <w:sz w:val="22"/>
          <w:szCs w:val="22"/>
        </w:rPr>
        <w:t>24</w:t>
      </w:r>
      <w:r w:rsidRPr="00575EB9">
        <w:rPr>
          <w:rFonts w:ascii="標楷體" w:hAnsi="標楷體" w:hint="eastAsia"/>
          <w:sz w:val="22"/>
          <w:szCs w:val="22"/>
        </w:rPr>
        <w:t>日聯合報。</w:t>
      </w:r>
    </w:p>
    <w:p w:rsidR="0043003E" w:rsidRPr="00575EB9" w:rsidRDefault="0043003E" w:rsidP="0043003E">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575EB9">
        <w:rPr>
          <w:rFonts w:ascii="標楷體" w:hAnsi="標楷體" w:hint="eastAsia"/>
          <w:color w:val="000000"/>
          <w:sz w:val="22"/>
          <w:szCs w:val="22"/>
        </w:rPr>
        <w:t>註二十：</w:t>
      </w:r>
      <w:r w:rsidRPr="00575EB9">
        <w:rPr>
          <w:rFonts w:ascii="標楷體" w:hAnsi="標楷體" w:hint="eastAsia"/>
          <w:sz w:val="22"/>
          <w:szCs w:val="22"/>
        </w:rPr>
        <w:t>「個別意見書」即「廣義的不同意見書」，指參與合議之大法官於多數意見書（解釋文及解釋</w:t>
      </w:r>
      <w:r w:rsidRPr="00575EB9">
        <w:rPr>
          <w:rFonts w:ascii="標楷體" w:hAnsi="標楷體" w:hint="eastAsia"/>
          <w:sz w:val="22"/>
          <w:szCs w:val="22"/>
        </w:rPr>
        <w:lastRenderedPageBreak/>
        <w:t>理由書）之外，個別具名提出之意見書，含協同意見書、不同意見書、一部協同暨一部不同意見書等。</w:t>
      </w:r>
    </w:p>
    <w:p w:rsidR="0043003E" w:rsidRPr="00AB6A06" w:rsidRDefault="0043003E" w:rsidP="0043003E">
      <w:pPr>
        <w:overflowPunct w:val="0"/>
        <w:spacing w:line="391" w:lineRule="exact"/>
        <w:ind w:left="1100" w:hangingChars="500" w:hanging="1100"/>
        <w:jc w:val="both"/>
        <w:rPr>
          <w:color w:val="000000"/>
          <w:sz w:val="22"/>
          <w:szCs w:val="22"/>
        </w:rPr>
      </w:pPr>
      <w:r w:rsidRPr="00575EB9">
        <w:rPr>
          <w:rFonts w:ascii="標楷體" w:hAnsi="標楷體" w:hint="eastAsia"/>
          <w:color w:val="000000"/>
          <w:sz w:val="22"/>
          <w:szCs w:val="22"/>
        </w:rPr>
        <w:t>註二十一：</w:t>
      </w:r>
      <w:r w:rsidRPr="00575EB9">
        <w:rPr>
          <w:rFonts w:ascii="標楷體" w:hAnsi="標楷體" w:hint="eastAsia"/>
          <w:sz w:val="22"/>
          <w:szCs w:val="22"/>
        </w:rPr>
        <w:t>「大法官對解釋文草案，得提出意見書」之制度，始於司法院大法官</w:t>
      </w:r>
      <w:r w:rsidR="0058659A">
        <w:rPr>
          <w:rFonts w:ascii="標楷體" w:hAnsi="標楷體" w:hint="eastAsia"/>
          <w:sz w:val="22"/>
          <w:szCs w:val="22"/>
        </w:rPr>
        <w:t>會議</w:t>
      </w:r>
      <w:r w:rsidRPr="00575EB9">
        <w:rPr>
          <w:rFonts w:ascii="標楷體" w:hAnsi="標楷體" w:hint="eastAsia"/>
          <w:sz w:val="22"/>
          <w:szCs w:val="22"/>
        </w:rPr>
        <w:t>法施行細則</w:t>
      </w:r>
      <w:r w:rsidRPr="00AB6A06">
        <w:rPr>
          <w:rFonts w:hAnsi="標楷體"/>
          <w:sz w:val="22"/>
          <w:szCs w:val="22"/>
        </w:rPr>
        <w:t>（</w:t>
      </w:r>
      <w:smartTag w:uri="urn:schemas-microsoft-com:office:smarttags" w:element="chsdate">
        <w:smartTagPr>
          <w:attr w:name="Year" w:val="1958"/>
          <w:attr w:name="Month" w:val="10"/>
          <w:attr w:name="Day" w:val="3"/>
          <w:attr w:name="IsLunarDate" w:val="False"/>
          <w:attr w:name="IsROCDate" w:val="False"/>
        </w:smartTagPr>
        <w:r w:rsidRPr="00AB6A06">
          <w:rPr>
            <w:sz w:val="22"/>
            <w:szCs w:val="22"/>
          </w:rPr>
          <w:t>1958/10/03</w:t>
        </w:r>
      </w:smartTag>
      <w:r w:rsidRPr="00AB6A06">
        <w:rPr>
          <w:rFonts w:hAnsi="標楷體"/>
          <w:sz w:val="22"/>
          <w:szCs w:val="22"/>
        </w:rPr>
        <w:t>）。</w:t>
      </w:r>
    </w:p>
    <w:p w:rsidR="0043003E" w:rsidRDefault="0043003E" w:rsidP="00EB17FC">
      <w:pPr>
        <w:overflowPunct w:val="0"/>
        <w:spacing w:line="391" w:lineRule="exact"/>
        <w:ind w:left="682" w:hangingChars="310" w:hanging="682"/>
        <w:jc w:val="both"/>
        <w:rPr>
          <w:rFonts w:ascii="標楷體" w:hAnsi="標楷體" w:hint="eastAsia"/>
          <w:color w:val="000000"/>
          <w:sz w:val="22"/>
          <w:szCs w:val="22"/>
        </w:rPr>
      </w:pPr>
    </w:p>
    <w:p w:rsidR="0096295B" w:rsidRPr="00AD278B" w:rsidRDefault="0096295B" w:rsidP="00BC288B">
      <w:pPr>
        <w:overflowPunct w:val="0"/>
        <w:spacing w:line="391" w:lineRule="exact"/>
        <w:ind w:left="964" w:right="567"/>
        <w:jc w:val="distribute"/>
        <w:rPr>
          <w:sz w:val="28"/>
          <w:szCs w:val="28"/>
        </w:rPr>
      </w:pPr>
      <w:r w:rsidRPr="00AD278B">
        <w:rPr>
          <w:rFonts w:ascii="華康粗黑體" w:eastAsia="華康粗黑體" w:hAnsi="標楷體" w:hint="eastAsia"/>
          <w:sz w:val="28"/>
          <w:szCs w:val="28"/>
        </w:rPr>
        <w:t>部分不同意見書</w:t>
      </w:r>
      <w:r w:rsidRPr="00AD278B">
        <w:rPr>
          <w:rFonts w:hAnsi="標楷體" w:hint="eastAsia"/>
          <w:sz w:val="28"/>
          <w:szCs w:val="28"/>
        </w:rPr>
        <w:t xml:space="preserve">　　</w:t>
      </w:r>
      <w:r>
        <w:rPr>
          <w:rFonts w:hAnsi="標楷體" w:hint="eastAsia"/>
          <w:sz w:val="28"/>
          <w:szCs w:val="28"/>
        </w:rPr>
        <w:t xml:space="preserve">　　　　　　　　　</w:t>
      </w:r>
      <w:r w:rsidRPr="00AD278B">
        <w:rPr>
          <w:rFonts w:hAnsi="標楷體" w:hint="eastAsia"/>
          <w:sz w:val="28"/>
          <w:szCs w:val="28"/>
        </w:rPr>
        <w:t xml:space="preserve">　</w:t>
      </w:r>
      <w:r w:rsidRPr="00AD278B">
        <w:rPr>
          <w:rFonts w:hAnsi="標楷體"/>
          <w:color w:val="000000"/>
          <w:sz w:val="28"/>
          <w:szCs w:val="28"/>
        </w:rPr>
        <w:t>陳碧玉</w:t>
      </w:r>
      <w:r w:rsidRPr="00AD278B">
        <w:rPr>
          <w:rFonts w:hAnsi="標楷體"/>
          <w:sz w:val="28"/>
          <w:szCs w:val="28"/>
        </w:rPr>
        <w:t>大法官</w:t>
      </w:r>
      <w:r w:rsidRPr="00AD278B">
        <w:rPr>
          <w:rFonts w:hAnsi="標楷體" w:hint="eastAsia"/>
          <w:sz w:val="28"/>
          <w:szCs w:val="28"/>
        </w:rPr>
        <w:t xml:space="preserve">　</w:t>
      </w:r>
      <w:r w:rsidRPr="00BC288B">
        <w:rPr>
          <w:rFonts w:hAnsi="標楷體"/>
          <w:kern w:val="0"/>
          <w:sz w:val="28"/>
          <w:szCs w:val="28"/>
        </w:rPr>
        <w:t>提出</w:t>
      </w:r>
    </w:p>
    <w:p w:rsidR="0096295B" w:rsidRPr="00AD278B" w:rsidRDefault="0096295B" w:rsidP="0096295B">
      <w:pPr>
        <w:spacing w:line="391" w:lineRule="exact"/>
        <w:ind w:firstLineChars="200" w:firstLine="560"/>
        <w:jc w:val="both"/>
        <w:rPr>
          <w:kern w:val="0"/>
          <w:sz w:val="28"/>
          <w:szCs w:val="28"/>
        </w:rPr>
      </w:pPr>
      <w:r w:rsidRPr="00AD278B">
        <w:rPr>
          <w:rFonts w:hAnsi="標楷體"/>
          <w:kern w:val="0"/>
          <w:sz w:val="28"/>
          <w:szCs w:val="28"/>
        </w:rPr>
        <w:t>按立法院向有關機關調閱文件應遵行之程序、實體要件，其與監察院依憲法第九十五條、第九十六條規定行使個案調查權之職權劃分，以及不得向檢察機關調閱偵查進行中之個案卷證等，業經本院釋字第三二五號解釋在案。本號解釋為對</w:t>
      </w:r>
      <w:r w:rsidR="00FD08A4">
        <w:rPr>
          <w:rFonts w:hAnsi="標楷體" w:hint="eastAsia"/>
          <w:kern w:val="0"/>
          <w:sz w:val="28"/>
          <w:szCs w:val="28"/>
        </w:rPr>
        <w:t>釋字</w:t>
      </w:r>
      <w:r w:rsidRPr="00AD278B">
        <w:rPr>
          <w:rFonts w:hAnsi="標楷體"/>
          <w:kern w:val="0"/>
          <w:sz w:val="28"/>
          <w:szCs w:val="28"/>
        </w:rPr>
        <w:t>第三二五號解釋之補充。核其補充之主要部分有二：（</w:t>
      </w:r>
      <w:r w:rsidRPr="00AD278B">
        <w:rPr>
          <w:kern w:val="0"/>
          <w:sz w:val="28"/>
          <w:szCs w:val="28"/>
        </w:rPr>
        <w:t>1</w:t>
      </w:r>
      <w:r w:rsidRPr="00AD278B">
        <w:rPr>
          <w:rFonts w:hAnsi="標楷體"/>
          <w:kern w:val="0"/>
          <w:sz w:val="28"/>
          <w:szCs w:val="28"/>
        </w:rPr>
        <w:t>）向有關機關調閱文件須經立法院院會決議，且不因調閱之範圍或文件為影本或原本而異其程序。（</w:t>
      </w:r>
      <w:r w:rsidRPr="00AD278B">
        <w:rPr>
          <w:kern w:val="0"/>
          <w:sz w:val="28"/>
          <w:szCs w:val="28"/>
        </w:rPr>
        <w:t>2</w:t>
      </w:r>
      <w:r w:rsidRPr="00AD278B">
        <w:rPr>
          <w:rFonts w:hAnsi="標楷體"/>
          <w:kern w:val="0"/>
          <w:sz w:val="28"/>
          <w:szCs w:val="28"/>
        </w:rPr>
        <w:t>）向檢察機關調閱已偵查終結而不起訴處分確定或未經起訴而以其他方式結案之個案卷證（文件），其卷內證據資料，如與檢察官續查同一被告或他被告另案犯罪相關者，倘因調閱而洩漏，將有妨害另案偵查追訴之虞者，檢察機關得延至該另案偵查終結提起公訴、或不起訴處分確定或未經起訴而以其他方式結案後，再行提供調閱卷證。</w:t>
      </w:r>
    </w:p>
    <w:p w:rsidR="0096295B" w:rsidRPr="00AD278B" w:rsidRDefault="0096295B" w:rsidP="0096295B">
      <w:pPr>
        <w:spacing w:line="391" w:lineRule="exact"/>
        <w:ind w:firstLineChars="200" w:firstLine="560"/>
        <w:jc w:val="both"/>
        <w:rPr>
          <w:sz w:val="28"/>
          <w:szCs w:val="28"/>
        </w:rPr>
      </w:pPr>
      <w:r w:rsidRPr="00AD278B">
        <w:rPr>
          <w:rFonts w:hAnsi="標楷體"/>
          <w:sz w:val="28"/>
          <w:szCs w:val="28"/>
        </w:rPr>
        <w:t>對於多數意見上開（</w:t>
      </w:r>
      <w:r w:rsidRPr="00AD278B">
        <w:rPr>
          <w:sz w:val="28"/>
          <w:szCs w:val="28"/>
        </w:rPr>
        <w:t>1</w:t>
      </w:r>
      <w:r w:rsidRPr="00AD278B">
        <w:rPr>
          <w:rFonts w:hAnsi="標楷體"/>
          <w:sz w:val="28"/>
          <w:szCs w:val="28"/>
        </w:rPr>
        <w:t>）之論點，因立法委員以集會行使其憲法上之職權，</w:t>
      </w:r>
      <w:r w:rsidRPr="00AD278B">
        <w:rPr>
          <w:rFonts w:hAnsi="標楷體"/>
          <w:color w:val="000000"/>
          <w:sz w:val="28"/>
          <w:szCs w:val="28"/>
        </w:rPr>
        <w:t>立法委員</w:t>
      </w:r>
      <w:r w:rsidRPr="00AD278B">
        <w:rPr>
          <w:rFonts w:hAnsi="標楷體"/>
          <w:sz w:val="28"/>
          <w:szCs w:val="28"/>
        </w:rPr>
        <w:t>個人僅在院會或委員會會議時得向行政院院長、行政院各部會首長，以及相關政府人員為質詢或詢問（憲法第五十七條第一款、第六十七條第二項參照）。對外行使調查權時亦應以集會議決之方式為之。立法院職權行使法第四十五條規定，立法院就特定議案涉及事項要求有關機關提供參考資料時，應由院會決議設置之調閱委員會或各委員會決議設置之調閱專案小組為之。有調閱文件原本之必要時，應由調閱委員會或專案小組經院會決議向有關機關調閱之。蓋文件之調閱係直接指定所欲調閱之文件，與相關機關依請求而自行提出之參考資料不同，基於機關間相互尊重原則，程序上須經院會之決議而後為之。又文件影本內容與原本相同，卷證之全部或一部，同為資訊之提供，其調閱之程序並無區分之必要。是立法院調閱委員會或各委員會之調閱專案小組未經院會決議，不得逕向相關機關調閱指定卷證文件之原本或影本、全部或一部。</w:t>
      </w:r>
    </w:p>
    <w:p w:rsidR="0096295B" w:rsidRPr="00AD278B" w:rsidRDefault="0096295B" w:rsidP="0096295B">
      <w:pPr>
        <w:spacing w:line="391" w:lineRule="exact"/>
        <w:ind w:firstLineChars="200" w:firstLine="560"/>
        <w:jc w:val="both"/>
        <w:rPr>
          <w:sz w:val="28"/>
          <w:szCs w:val="28"/>
        </w:rPr>
      </w:pPr>
      <w:r w:rsidRPr="00AD278B">
        <w:rPr>
          <w:rFonts w:hAnsi="標楷體"/>
          <w:sz w:val="28"/>
          <w:szCs w:val="28"/>
        </w:rPr>
        <w:t>對於</w:t>
      </w:r>
      <w:r w:rsidRPr="00AD278B">
        <w:rPr>
          <w:rFonts w:hAnsi="標楷體"/>
          <w:color w:val="000000"/>
          <w:sz w:val="28"/>
          <w:szCs w:val="28"/>
        </w:rPr>
        <w:t>多數</w:t>
      </w:r>
      <w:r w:rsidRPr="00AD278B">
        <w:rPr>
          <w:rFonts w:hAnsi="標楷體"/>
          <w:sz w:val="28"/>
          <w:szCs w:val="28"/>
        </w:rPr>
        <w:t>意見關於上開（</w:t>
      </w:r>
      <w:r w:rsidRPr="00AD278B">
        <w:rPr>
          <w:sz w:val="28"/>
          <w:szCs w:val="28"/>
        </w:rPr>
        <w:t>2</w:t>
      </w:r>
      <w:r w:rsidRPr="00AD278B">
        <w:rPr>
          <w:rFonts w:hAnsi="標楷體"/>
          <w:sz w:val="28"/>
          <w:szCs w:val="28"/>
        </w:rPr>
        <w:t>）之論點，礙難同意，爰就此部分提出不同意見：</w:t>
      </w:r>
    </w:p>
    <w:p w:rsidR="0096295B" w:rsidRPr="00AD278B" w:rsidRDefault="0096295B" w:rsidP="0096295B">
      <w:pPr>
        <w:spacing w:line="391" w:lineRule="exact"/>
        <w:ind w:firstLineChars="200" w:firstLine="560"/>
        <w:jc w:val="both"/>
        <w:rPr>
          <w:sz w:val="28"/>
          <w:szCs w:val="28"/>
        </w:rPr>
      </w:pPr>
      <w:r w:rsidRPr="00AD278B">
        <w:rPr>
          <w:rFonts w:hAnsi="標楷體"/>
          <w:sz w:val="28"/>
          <w:szCs w:val="28"/>
        </w:rPr>
        <w:t>憲法雖未明文規定立法院有調查權</w:t>
      </w:r>
      <w:r w:rsidRPr="00AD278B">
        <w:rPr>
          <w:rFonts w:hAnsi="標楷體" w:hint="eastAsia"/>
          <w:sz w:val="22"/>
          <w:szCs w:val="28"/>
        </w:rPr>
        <w:t>（註一）</w:t>
      </w:r>
      <w:r w:rsidRPr="00AD278B">
        <w:rPr>
          <w:rFonts w:hAnsi="標楷體"/>
          <w:sz w:val="28"/>
          <w:szCs w:val="28"/>
        </w:rPr>
        <w:t>，然立法院為有效行使憲法所賦予之立法職權，自需獲取行使職權相關資訊</w:t>
      </w:r>
      <w:r w:rsidRPr="00AD278B">
        <w:rPr>
          <w:rFonts w:hAnsi="標楷體" w:hint="eastAsia"/>
          <w:sz w:val="22"/>
          <w:szCs w:val="28"/>
        </w:rPr>
        <w:t>（註</w:t>
      </w:r>
      <w:r>
        <w:rPr>
          <w:rFonts w:hAnsi="標楷體" w:hint="eastAsia"/>
          <w:sz w:val="22"/>
          <w:szCs w:val="28"/>
        </w:rPr>
        <w:t>二</w:t>
      </w:r>
      <w:r w:rsidRPr="00AD278B">
        <w:rPr>
          <w:rFonts w:hAnsi="標楷體" w:hint="eastAsia"/>
          <w:sz w:val="22"/>
          <w:szCs w:val="28"/>
        </w:rPr>
        <w:t>）</w:t>
      </w:r>
      <w:r w:rsidRPr="00AD278B">
        <w:rPr>
          <w:rFonts w:hAnsi="標楷體"/>
          <w:sz w:val="28"/>
          <w:szCs w:val="28"/>
        </w:rPr>
        <w:t>，以善盡民意機關職責，本院釋字第三二五號</w:t>
      </w:r>
      <w:r w:rsidR="00FD08A4">
        <w:rPr>
          <w:rFonts w:hAnsi="標楷體" w:hint="eastAsia"/>
          <w:sz w:val="28"/>
          <w:szCs w:val="28"/>
        </w:rPr>
        <w:t>解釋</w:t>
      </w:r>
      <w:r w:rsidRPr="00AD278B">
        <w:rPr>
          <w:rFonts w:hAnsi="標楷體"/>
          <w:sz w:val="28"/>
          <w:szCs w:val="28"/>
        </w:rPr>
        <w:t>肯認立法院有參考資料取得權與文件調閱權。釋字第五八五號解釋則進一步謂調查權係協助立法院行使憲法職權所需之輔助性權力，立法院本其固有權能自得享有一定之調查權。由相關機關取得參考資料或向相關機關調閱指定文件，均為立法院調查權行使之方式。關乎本號解釋之文件調閱權之行使，其程序與實體要件不得違反權力分立與相互制衡之憲政原理</w:t>
      </w:r>
      <w:r w:rsidRPr="00AD278B">
        <w:rPr>
          <w:rFonts w:hAnsi="標楷體" w:hint="eastAsia"/>
          <w:sz w:val="22"/>
          <w:szCs w:val="28"/>
        </w:rPr>
        <w:t>（註</w:t>
      </w:r>
      <w:r>
        <w:rPr>
          <w:rFonts w:hAnsi="標楷體" w:hint="eastAsia"/>
          <w:sz w:val="22"/>
          <w:szCs w:val="28"/>
        </w:rPr>
        <w:t>三</w:t>
      </w:r>
      <w:r w:rsidRPr="00AD278B">
        <w:rPr>
          <w:rFonts w:hAnsi="標楷體" w:hint="eastAsia"/>
          <w:sz w:val="22"/>
          <w:szCs w:val="28"/>
        </w:rPr>
        <w:t>）</w:t>
      </w:r>
      <w:r w:rsidRPr="00AD278B">
        <w:rPr>
          <w:rFonts w:hAnsi="標楷體"/>
          <w:sz w:val="28"/>
          <w:szCs w:val="28"/>
        </w:rPr>
        <w:t>。</w:t>
      </w:r>
    </w:p>
    <w:p w:rsidR="0096295B" w:rsidRPr="00AD278B" w:rsidRDefault="0096295B" w:rsidP="0096295B">
      <w:pPr>
        <w:spacing w:line="391" w:lineRule="exact"/>
        <w:ind w:firstLineChars="200" w:firstLine="560"/>
        <w:jc w:val="both"/>
        <w:rPr>
          <w:kern w:val="0"/>
          <w:sz w:val="28"/>
          <w:szCs w:val="28"/>
        </w:rPr>
      </w:pPr>
      <w:r w:rsidRPr="00AD278B">
        <w:rPr>
          <w:rFonts w:hAnsi="標楷體"/>
          <w:kern w:val="0"/>
          <w:sz w:val="28"/>
          <w:szCs w:val="28"/>
        </w:rPr>
        <w:lastRenderedPageBreak/>
        <w:t>按</w:t>
      </w:r>
      <w:r w:rsidRPr="00AD278B">
        <w:rPr>
          <w:rFonts w:hAnsi="標楷體"/>
          <w:sz w:val="28"/>
          <w:szCs w:val="28"/>
        </w:rPr>
        <w:t>國家機關獨立行使職權受憲法保障者，固非立法院所得調查之事物範圍（本院釋字第五八五號解釋參照）。惟</w:t>
      </w:r>
      <w:r w:rsidRPr="00AD278B">
        <w:rPr>
          <w:rFonts w:hAnsi="標楷體"/>
          <w:kern w:val="0"/>
          <w:sz w:val="28"/>
          <w:szCs w:val="28"/>
        </w:rPr>
        <w:t>刑事訴訟案件，係以被告及犯罪事實所構成，同一被告之同一犯罪事實為一案件；若同一被告不同犯罪事實、一個犯罪事實有多名被告或多個被告多個犯罪事實時，則為不同之數案件</w:t>
      </w:r>
      <w:r w:rsidRPr="00AD278B">
        <w:rPr>
          <w:rFonts w:hAnsi="標楷體" w:hint="eastAsia"/>
          <w:sz w:val="22"/>
          <w:szCs w:val="28"/>
        </w:rPr>
        <w:t>（註</w:t>
      </w:r>
      <w:r>
        <w:rPr>
          <w:rFonts w:hAnsi="標楷體" w:hint="eastAsia"/>
          <w:sz w:val="22"/>
          <w:szCs w:val="28"/>
        </w:rPr>
        <w:t>四</w:t>
      </w:r>
      <w:r w:rsidRPr="00AD278B">
        <w:rPr>
          <w:rFonts w:hAnsi="標楷體" w:hint="eastAsia"/>
          <w:sz w:val="22"/>
          <w:szCs w:val="28"/>
        </w:rPr>
        <w:t>）</w:t>
      </w:r>
      <w:r w:rsidRPr="00AD278B">
        <w:rPr>
          <w:rFonts w:hAnsi="標楷體"/>
          <w:kern w:val="0"/>
          <w:sz w:val="28"/>
          <w:szCs w:val="28"/>
        </w:rPr>
        <w:t>，僅於程序上檢察官得以同時起訴或得由法院合併管轄、審理</w:t>
      </w:r>
      <w:r w:rsidR="00173265">
        <w:rPr>
          <w:kern w:val="0"/>
          <w:sz w:val="28"/>
          <w:szCs w:val="28"/>
        </w:rPr>
        <w:t>（</w:t>
      </w:r>
      <w:r w:rsidRPr="00AD278B">
        <w:rPr>
          <w:rFonts w:hAnsi="標楷體"/>
          <w:kern w:val="0"/>
          <w:sz w:val="28"/>
          <w:szCs w:val="28"/>
        </w:rPr>
        <w:t>刑事訴訟法第六條、第七條及第二百八十七條之一參照</w:t>
      </w:r>
      <w:r w:rsidR="00173265">
        <w:rPr>
          <w:kern w:val="0"/>
          <w:sz w:val="28"/>
          <w:szCs w:val="28"/>
        </w:rPr>
        <w:t>）</w:t>
      </w:r>
      <w:r w:rsidRPr="00AD278B">
        <w:rPr>
          <w:rFonts w:hAnsi="標楷體"/>
          <w:kern w:val="0"/>
          <w:sz w:val="28"/>
          <w:szCs w:val="28"/>
        </w:rPr>
        <w:t>。是以，檢察機關獨立行使偵查權之時點，應依具體個案而定，於該個案經不起訴處分確定或</w:t>
      </w:r>
      <w:r w:rsidRPr="00AD278B">
        <w:rPr>
          <w:rFonts w:hAnsi="標楷體"/>
          <w:sz w:val="28"/>
          <w:szCs w:val="28"/>
        </w:rPr>
        <w:t>未經起訴而</w:t>
      </w:r>
      <w:r w:rsidRPr="00AD278B">
        <w:rPr>
          <w:rFonts w:hAnsi="標楷體"/>
          <w:kern w:val="0"/>
          <w:sz w:val="28"/>
          <w:szCs w:val="28"/>
        </w:rPr>
        <w:t>以其他方</w:t>
      </w:r>
      <w:r w:rsidRPr="00AD278B">
        <w:rPr>
          <w:rFonts w:hAnsi="標楷體"/>
          <w:sz w:val="28"/>
          <w:szCs w:val="28"/>
        </w:rPr>
        <w:t>式結案時，檢察機關就該個案之偵查權即告終止。</w:t>
      </w:r>
      <w:r w:rsidRPr="00AD278B">
        <w:rPr>
          <w:rFonts w:hAnsi="標楷體"/>
          <w:kern w:val="0"/>
          <w:sz w:val="28"/>
          <w:szCs w:val="28"/>
        </w:rPr>
        <w:t>檢察官續查同一被告或他被告另案犯罪相關者，係就不同案件為偵查，與「已偵查終結經不起訴處分確定或未經起訴而以其他方式結案」之個案非屬同一，就此已偵查終結個案，檢察機關無獨立行使偵查職權受憲法保障之可言，且無刑事訴訟法第二百四十五條第一項偵查不公開原則之適用，不應將偵查不公開原則延續至他案件，而使檢察機關得主張行政特權拒絕提供卷證</w:t>
      </w:r>
      <w:r w:rsidRPr="00AD278B">
        <w:rPr>
          <w:rFonts w:hAnsi="標楷體" w:hint="eastAsia"/>
          <w:sz w:val="22"/>
          <w:szCs w:val="28"/>
        </w:rPr>
        <w:t>（註</w:t>
      </w:r>
      <w:r>
        <w:rPr>
          <w:rFonts w:hAnsi="標楷體" w:hint="eastAsia"/>
          <w:sz w:val="22"/>
          <w:szCs w:val="28"/>
        </w:rPr>
        <w:t>五</w:t>
      </w:r>
      <w:r w:rsidRPr="00AD278B">
        <w:rPr>
          <w:rFonts w:hAnsi="標楷體" w:hint="eastAsia"/>
          <w:sz w:val="22"/>
          <w:szCs w:val="28"/>
        </w:rPr>
        <w:t>）</w:t>
      </w:r>
      <w:r w:rsidRPr="00AD278B">
        <w:rPr>
          <w:rFonts w:hAnsi="標楷體"/>
          <w:kern w:val="0"/>
          <w:sz w:val="28"/>
          <w:szCs w:val="28"/>
        </w:rPr>
        <w:t>。</w:t>
      </w:r>
    </w:p>
    <w:p w:rsidR="0096295B" w:rsidRPr="00AD278B" w:rsidRDefault="0096295B" w:rsidP="0096295B">
      <w:pPr>
        <w:spacing w:line="391" w:lineRule="exact"/>
        <w:ind w:firstLineChars="200" w:firstLine="560"/>
        <w:jc w:val="both"/>
        <w:rPr>
          <w:kern w:val="0"/>
          <w:sz w:val="28"/>
          <w:szCs w:val="28"/>
        </w:rPr>
      </w:pPr>
      <w:r w:rsidRPr="00AD278B">
        <w:rPr>
          <w:rFonts w:hAnsi="標楷體"/>
          <w:kern w:val="0"/>
          <w:sz w:val="28"/>
          <w:szCs w:val="28"/>
        </w:rPr>
        <w:t>其次，本號解釋理由書第三段指出：「</w:t>
      </w:r>
      <w:r>
        <w:rPr>
          <w:rFonts w:hint="eastAsia"/>
          <w:kern w:val="0"/>
          <w:sz w:val="28"/>
          <w:szCs w:val="28"/>
        </w:rPr>
        <w:t>……</w:t>
      </w:r>
      <w:r w:rsidRPr="00AD278B">
        <w:rPr>
          <w:rFonts w:hAnsi="標楷體"/>
          <w:kern w:val="0"/>
          <w:sz w:val="28"/>
          <w:szCs w:val="28"/>
        </w:rPr>
        <w:t>倘因調閱而洩漏，將有妨害另案偵查追訴之虞，為實現檢察官獨立行使職權追訴犯罪，以落實國家刑罰權，檢察機關得延至該另案偵查終結提起公訴、或不起訴處分確定或未經起訴而以其他方式結案後，再行提供調閱之卷證資料。」係建構於調閱後有洩漏之可能，洩漏之結果將有妨礙另案偵查追訴之虞之論點，然資訊之保護有其法律依據</w:t>
      </w:r>
      <w:r w:rsidRPr="00AD278B">
        <w:rPr>
          <w:rFonts w:hAnsi="標楷體" w:hint="eastAsia"/>
          <w:sz w:val="22"/>
          <w:szCs w:val="28"/>
        </w:rPr>
        <w:t>（註</w:t>
      </w:r>
      <w:r>
        <w:rPr>
          <w:rFonts w:hAnsi="標楷體" w:hint="eastAsia"/>
          <w:sz w:val="22"/>
          <w:szCs w:val="28"/>
        </w:rPr>
        <w:t>六</w:t>
      </w:r>
      <w:r w:rsidRPr="00AD278B">
        <w:rPr>
          <w:rFonts w:hAnsi="標楷體" w:hint="eastAsia"/>
          <w:sz w:val="22"/>
          <w:szCs w:val="28"/>
        </w:rPr>
        <w:t>）</w:t>
      </w:r>
      <w:r w:rsidRPr="00AD278B">
        <w:rPr>
          <w:rFonts w:hAnsi="標楷體"/>
          <w:kern w:val="0"/>
          <w:sz w:val="28"/>
          <w:szCs w:val="28"/>
        </w:rPr>
        <w:t>，調閱機關應依法定程序進行必要之保護措施（例如：秘密會議等），而非直接禁止（拒絕）文件之調閱。此由本號解釋理由書第四段明示立法院及其委員因調閱而知悉之資訊使用，限於行使憲法上職權所必要，且須注意維護關係人之名譽、隱私、營業秘密等權益。對於應保密之事項應善盡保密之義務，不得就個案偵查之過程、不起訴處分或未經起訴而以其他方式結案之結論及內容，為與行使憲法上職權無關之評論與決議，即明其理。是以資訊有秘密性</w:t>
      </w:r>
      <w:r w:rsidRPr="00AD278B">
        <w:rPr>
          <w:rFonts w:hAnsi="標楷體" w:hint="eastAsia"/>
          <w:sz w:val="22"/>
          <w:szCs w:val="28"/>
        </w:rPr>
        <w:t>（註</w:t>
      </w:r>
      <w:r>
        <w:rPr>
          <w:rFonts w:hAnsi="標楷體" w:hint="eastAsia"/>
          <w:sz w:val="22"/>
          <w:szCs w:val="28"/>
        </w:rPr>
        <w:t>七</w:t>
      </w:r>
      <w:r w:rsidRPr="00AD278B">
        <w:rPr>
          <w:rFonts w:hAnsi="標楷體" w:hint="eastAsia"/>
          <w:sz w:val="22"/>
          <w:szCs w:val="28"/>
        </w:rPr>
        <w:t>）</w:t>
      </w:r>
      <w:r w:rsidRPr="00AD278B">
        <w:rPr>
          <w:rFonts w:hAnsi="標楷體"/>
          <w:kern w:val="0"/>
          <w:sz w:val="28"/>
          <w:szCs w:val="28"/>
        </w:rPr>
        <w:t>、有洩漏可能性作為拒絕調閱之正當理由，將致立法院文件調閱權徒具其名。</w:t>
      </w:r>
    </w:p>
    <w:p w:rsidR="0096295B" w:rsidRPr="00AD278B" w:rsidRDefault="0096295B" w:rsidP="0096295B">
      <w:pPr>
        <w:spacing w:line="391" w:lineRule="exact"/>
        <w:ind w:firstLineChars="200" w:firstLine="560"/>
        <w:jc w:val="both"/>
        <w:rPr>
          <w:sz w:val="28"/>
          <w:szCs w:val="28"/>
        </w:rPr>
      </w:pPr>
      <w:r w:rsidRPr="00AD278B">
        <w:rPr>
          <w:rFonts w:hAnsi="標楷體"/>
          <w:kern w:val="0"/>
          <w:sz w:val="28"/>
          <w:szCs w:val="28"/>
        </w:rPr>
        <w:t>再者，將「有無妨害另案偵查追訴之虞」之判斷權限交由檢察機關決定，將導致各偵查終結卷證得以「有妨害另案偵查追訴之虞」為由，拒絕卷證之調閱。參酌德國調查委員會法第十八條規定，除憲法上界限外，聯邦政府、聯邦行政機關或其他行政主體，有提供調查委員會物證（尤其是調查對象所涉及之檔案文件）的義務。如果拒絕提供或所提供之物證等級列為密件時，應以書面向調查委員會說明據予列為密件之理由。就拒絕提供是否合法之問題，調查委員會或其四分之一成員得聲請聯邦憲法法院偵查法官裁判之</w:t>
      </w:r>
      <w:r w:rsidRPr="00AD278B">
        <w:rPr>
          <w:rFonts w:hAnsi="標楷體" w:hint="eastAsia"/>
          <w:sz w:val="22"/>
          <w:szCs w:val="28"/>
        </w:rPr>
        <w:t>（註</w:t>
      </w:r>
      <w:r>
        <w:rPr>
          <w:rFonts w:hAnsi="標楷體" w:hint="eastAsia"/>
          <w:sz w:val="22"/>
          <w:szCs w:val="28"/>
        </w:rPr>
        <w:t>八</w:t>
      </w:r>
      <w:r w:rsidRPr="00AD278B">
        <w:rPr>
          <w:rFonts w:hAnsi="標楷體" w:hint="eastAsia"/>
          <w:sz w:val="22"/>
          <w:szCs w:val="28"/>
        </w:rPr>
        <w:t>）</w:t>
      </w:r>
      <w:r w:rsidRPr="00AD278B">
        <w:rPr>
          <w:rFonts w:hAnsi="標楷體"/>
          <w:kern w:val="0"/>
          <w:sz w:val="28"/>
          <w:szCs w:val="28"/>
        </w:rPr>
        <w:t>。然我國就「有無妨害另案偵查追訴之虞」之裁量判斷尚無相關規範或法院得以介入審查之機制，本號解釋逕將此裁量權交予爭議一方之檢察機關，將使該項權力不受限制，相對地使立法院之調閱權限受到限縮甚至無行使空間。是本席以為自應透過法規範約束該項權力，使立法院之文件調閱權與檢察機關之行政特權間產</w:t>
      </w:r>
      <w:r w:rsidRPr="00AD278B">
        <w:rPr>
          <w:rFonts w:hAnsi="標楷體"/>
          <w:kern w:val="0"/>
          <w:sz w:val="28"/>
          <w:szCs w:val="28"/>
        </w:rPr>
        <w:lastRenderedPageBreak/>
        <w:t>生得以抗衡之力量，</w:t>
      </w:r>
      <w:r w:rsidRPr="00AD278B">
        <w:rPr>
          <w:rFonts w:hAnsi="標楷體"/>
          <w:sz w:val="28"/>
          <w:szCs w:val="28"/>
        </w:rPr>
        <w:t>不致形成過度保障，而有礙權力分立與相互制衡之憲政原理。</w:t>
      </w:r>
    </w:p>
    <w:p w:rsidR="0096295B" w:rsidRPr="00AB6A06" w:rsidRDefault="0096295B" w:rsidP="005E362F">
      <w:pPr>
        <w:tabs>
          <w:tab w:val="left" w:pos="2127"/>
        </w:tabs>
        <w:spacing w:line="391" w:lineRule="exact"/>
        <w:ind w:firstLineChars="200" w:firstLine="560"/>
        <w:jc w:val="both"/>
        <w:rPr>
          <w:sz w:val="28"/>
          <w:szCs w:val="28"/>
        </w:rPr>
      </w:pPr>
      <w:r w:rsidRPr="00AD278B">
        <w:rPr>
          <w:rFonts w:hAnsi="標楷體"/>
          <w:sz w:val="28"/>
          <w:szCs w:val="28"/>
        </w:rPr>
        <w:t>末按中央機關因行使職權與其他機關之職權發生適用憲法之爭議者，得聲請解釋憲法，司法院大法官審理案件法第五條第一項第一款定有明文。本院歷來對於機關爭議案件，諸如</w:t>
      </w:r>
      <w:r w:rsidR="00FD08A4">
        <w:rPr>
          <w:rFonts w:hAnsi="標楷體" w:hint="eastAsia"/>
          <w:sz w:val="28"/>
          <w:szCs w:val="28"/>
        </w:rPr>
        <w:t>釋字</w:t>
      </w:r>
      <w:r w:rsidRPr="00AD278B">
        <w:rPr>
          <w:rFonts w:hAnsi="標楷體"/>
          <w:sz w:val="28"/>
          <w:szCs w:val="28"/>
        </w:rPr>
        <w:t>第三二五號</w:t>
      </w:r>
      <w:r w:rsidR="007C2024">
        <w:rPr>
          <w:rFonts w:hAnsi="標楷體" w:hint="eastAsia"/>
          <w:sz w:val="28"/>
          <w:szCs w:val="28"/>
        </w:rPr>
        <w:t>解釋</w:t>
      </w:r>
      <w:r w:rsidRPr="00AD278B">
        <w:rPr>
          <w:rFonts w:hAnsi="標楷體"/>
          <w:sz w:val="28"/>
          <w:szCs w:val="28"/>
        </w:rPr>
        <w:t>八十一年憲法增修後，監察院是否仍為國會？仍專有調查權？立法院調閱文件權要件；</w:t>
      </w:r>
      <w:r w:rsidR="00FD08A4">
        <w:rPr>
          <w:rFonts w:hAnsi="標楷體" w:hint="eastAsia"/>
          <w:sz w:val="28"/>
          <w:szCs w:val="28"/>
        </w:rPr>
        <w:t>釋字</w:t>
      </w:r>
      <w:r w:rsidRPr="00AD278B">
        <w:rPr>
          <w:rFonts w:hAnsi="標楷體"/>
          <w:sz w:val="28"/>
          <w:szCs w:val="28"/>
        </w:rPr>
        <w:t>第三八七號</w:t>
      </w:r>
      <w:r w:rsidR="007C2024">
        <w:rPr>
          <w:rFonts w:hAnsi="標楷體" w:hint="eastAsia"/>
          <w:sz w:val="28"/>
          <w:szCs w:val="28"/>
        </w:rPr>
        <w:t>解釋</w:t>
      </w:r>
      <w:r w:rsidRPr="00AD278B">
        <w:rPr>
          <w:rFonts w:hAnsi="標楷體"/>
          <w:sz w:val="28"/>
          <w:szCs w:val="28"/>
        </w:rPr>
        <w:t>立法委員改選後，閣員應否總辭？</w:t>
      </w:r>
      <w:r w:rsidR="00FD08A4">
        <w:rPr>
          <w:rFonts w:hAnsi="標楷體" w:hint="eastAsia"/>
          <w:sz w:val="28"/>
          <w:szCs w:val="28"/>
        </w:rPr>
        <w:t>釋字</w:t>
      </w:r>
      <w:r w:rsidRPr="00AD278B">
        <w:rPr>
          <w:rFonts w:hAnsi="標楷體"/>
          <w:sz w:val="28"/>
          <w:szCs w:val="28"/>
        </w:rPr>
        <w:t>第四一九號</w:t>
      </w:r>
      <w:r w:rsidR="007C2024">
        <w:rPr>
          <w:rFonts w:hAnsi="標楷體" w:hint="eastAsia"/>
          <w:sz w:val="28"/>
          <w:szCs w:val="28"/>
        </w:rPr>
        <w:t>解釋</w:t>
      </w:r>
      <w:r w:rsidRPr="00AD278B">
        <w:rPr>
          <w:rFonts w:hAnsi="標楷體"/>
          <w:sz w:val="28"/>
          <w:szCs w:val="28"/>
        </w:rPr>
        <w:t>副總統可否兼任行政院長？</w:t>
      </w:r>
      <w:r w:rsidR="00FD08A4">
        <w:rPr>
          <w:rFonts w:hAnsi="標楷體" w:hint="eastAsia"/>
          <w:sz w:val="28"/>
          <w:szCs w:val="28"/>
        </w:rPr>
        <w:t>釋字</w:t>
      </w:r>
      <w:r w:rsidRPr="00AD278B">
        <w:rPr>
          <w:rFonts w:hAnsi="標楷體"/>
          <w:sz w:val="28"/>
          <w:szCs w:val="28"/>
        </w:rPr>
        <w:t>第四六一號</w:t>
      </w:r>
      <w:r w:rsidR="007C2024">
        <w:rPr>
          <w:rFonts w:hAnsi="標楷體" w:hint="eastAsia"/>
          <w:sz w:val="28"/>
          <w:szCs w:val="28"/>
        </w:rPr>
        <w:t>解釋</w:t>
      </w:r>
      <w:r w:rsidRPr="00AD278B">
        <w:rPr>
          <w:rFonts w:hAnsi="標楷體"/>
          <w:sz w:val="28"/>
          <w:szCs w:val="28"/>
        </w:rPr>
        <w:t>參謀總長應否受立法委員質詢？得否拒絕至各委員會備詢？</w:t>
      </w:r>
      <w:r w:rsidR="00FD08A4">
        <w:rPr>
          <w:rFonts w:hAnsi="標楷體" w:hint="eastAsia"/>
          <w:sz w:val="28"/>
          <w:szCs w:val="28"/>
        </w:rPr>
        <w:t>釋字</w:t>
      </w:r>
      <w:r w:rsidRPr="00AD278B">
        <w:rPr>
          <w:rFonts w:hAnsi="標楷體"/>
          <w:sz w:val="28"/>
          <w:szCs w:val="28"/>
        </w:rPr>
        <w:t>第五二</w:t>
      </w:r>
      <w:r w:rsidR="001466FF" w:rsidRPr="008E5F41">
        <w:rPr>
          <w:rFonts w:ascii="標楷體" w:hAnsi="標楷體" w:hint="eastAsia"/>
          <w:sz w:val="28"/>
          <w:szCs w:val="28"/>
        </w:rPr>
        <w:t>○</w:t>
      </w:r>
      <w:r w:rsidRPr="00AD278B">
        <w:rPr>
          <w:rFonts w:hAnsi="標楷體"/>
          <w:sz w:val="28"/>
          <w:szCs w:val="28"/>
        </w:rPr>
        <w:t>號</w:t>
      </w:r>
      <w:r w:rsidR="007C2024">
        <w:rPr>
          <w:rFonts w:hAnsi="標楷體" w:hint="eastAsia"/>
          <w:sz w:val="28"/>
          <w:szCs w:val="28"/>
        </w:rPr>
        <w:t>解釋</w:t>
      </w:r>
      <w:r w:rsidRPr="00AD278B">
        <w:rPr>
          <w:rFonts w:hAnsi="標楷體"/>
          <w:sz w:val="28"/>
          <w:szCs w:val="28"/>
        </w:rPr>
        <w:t>行政院停建核四應否向立法院報告？</w:t>
      </w:r>
      <w:r w:rsidR="00FD08A4">
        <w:rPr>
          <w:rFonts w:hAnsi="標楷體" w:hint="eastAsia"/>
          <w:sz w:val="28"/>
          <w:szCs w:val="28"/>
        </w:rPr>
        <w:t>釋字</w:t>
      </w:r>
      <w:r w:rsidRPr="00AD278B">
        <w:rPr>
          <w:rFonts w:hAnsi="標楷體"/>
          <w:sz w:val="28"/>
          <w:szCs w:val="28"/>
        </w:rPr>
        <w:t>第五五</w:t>
      </w:r>
      <w:r w:rsidR="001466FF" w:rsidRPr="008E5F41">
        <w:rPr>
          <w:rFonts w:ascii="標楷體" w:hAnsi="標楷體" w:hint="eastAsia"/>
          <w:sz w:val="28"/>
          <w:szCs w:val="28"/>
        </w:rPr>
        <w:t>○</w:t>
      </w:r>
      <w:r w:rsidRPr="00AD278B">
        <w:rPr>
          <w:rFonts w:hAnsi="標楷體"/>
          <w:sz w:val="28"/>
          <w:szCs w:val="28"/>
        </w:rPr>
        <w:t>號</w:t>
      </w:r>
      <w:r w:rsidR="007C2024">
        <w:rPr>
          <w:rFonts w:hAnsi="標楷體" w:hint="eastAsia"/>
          <w:sz w:val="28"/>
          <w:szCs w:val="28"/>
        </w:rPr>
        <w:t>解釋</w:t>
      </w:r>
      <w:r w:rsidRPr="00AD278B">
        <w:rPr>
          <w:rFonts w:hAnsi="標楷體"/>
          <w:sz w:val="28"/>
          <w:szCs w:val="28"/>
        </w:rPr>
        <w:t>全民健康保險法令地方政府補助保險費規定是否違憲？</w:t>
      </w:r>
      <w:r w:rsidR="00FD08A4">
        <w:rPr>
          <w:rFonts w:hAnsi="標楷體" w:hint="eastAsia"/>
          <w:sz w:val="28"/>
          <w:szCs w:val="28"/>
        </w:rPr>
        <w:t>釋字</w:t>
      </w:r>
      <w:r w:rsidRPr="00AD278B">
        <w:rPr>
          <w:rFonts w:hAnsi="標楷體"/>
          <w:sz w:val="28"/>
          <w:szCs w:val="28"/>
        </w:rPr>
        <w:t>第五五三號</w:t>
      </w:r>
      <w:r w:rsidR="007C2024">
        <w:rPr>
          <w:rFonts w:hAnsi="標楷體" w:hint="eastAsia"/>
          <w:sz w:val="28"/>
          <w:szCs w:val="28"/>
        </w:rPr>
        <w:t>解釋</w:t>
      </w:r>
      <w:r w:rsidRPr="00AD278B">
        <w:rPr>
          <w:rFonts w:hAnsi="標楷體"/>
          <w:sz w:val="28"/>
          <w:szCs w:val="28"/>
        </w:rPr>
        <w:t>北市府延選里長之決定是否合憲？</w:t>
      </w:r>
      <w:r w:rsidR="00FD08A4">
        <w:rPr>
          <w:rFonts w:hAnsi="標楷體" w:hint="eastAsia"/>
          <w:sz w:val="28"/>
          <w:szCs w:val="28"/>
        </w:rPr>
        <w:t>釋字</w:t>
      </w:r>
      <w:r w:rsidRPr="00AD278B">
        <w:rPr>
          <w:rFonts w:hAnsi="標楷體"/>
          <w:sz w:val="28"/>
          <w:szCs w:val="28"/>
        </w:rPr>
        <w:t>第五八五號</w:t>
      </w:r>
      <w:r w:rsidR="007C2024">
        <w:rPr>
          <w:rFonts w:hAnsi="標楷體" w:hint="eastAsia"/>
          <w:sz w:val="28"/>
          <w:szCs w:val="28"/>
        </w:rPr>
        <w:t>解釋</w:t>
      </w:r>
      <w:r w:rsidRPr="00AD278B">
        <w:rPr>
          <w:rFonts w:hAnsi="標楷體"/>
          <w:sz w:val="28"/>
          <w:szCs w:val="28"/>
        </w:rPr>
        <w:t>三一九槍擊事件真相調查特別</w:t>
      </w:r>
      <w:r w:rsidR="007C2024">
        <w:rPr>
          <w:rFonts w:hAnsi="標楷體" w:hint="eastAsia"/>
          <w:sz w:val="28"/>
          <w:szCs w:val="28"/>
        </w:rPr>
        <w:t>委員會</w:t>
      </w:r>
      <w:r w:rsidRPr="00AD278B">
        <w:rPr>
          <w:rFonts w:hAnsi="標楷體"/>
          <w:sz w:val="28"/>
          <w:szCs w:val="28"/>
        </w:rPr>
        <w:t>條例是否違憲？</w:t>
      </w:r>
      <w:r w:rsidR="00FD08A4">
        <w:rPr>
          <w:rFonts w:hAnsi="標楷體" w:hint="eastAsia"/>
          <w:sz w:val="28"/>
          <w:szCs w:val="28"/>
        </w:rPr>
        <w:t>釋字</w:t>
      </w:r>
      <w:r w:rsidRPr="00AD278B">
        <w:rPr>
          <w:rFonts w:hAnsi="標楷體"/>
          <w:sz w:val="28"/>
          <w:szCs w:val="28"/>
        </w:rPr>
        <w:t>第六三二號</w:t>
      </w:r>
      <w:r w:rsidR="007C2024">
        <w:rPr>
          <w:rFonts w:hAnsi="標楷體" w:hint="eastAsia"/>
          <w:sz w:val="28"/>
          <w:szCs w:val="28"/>
        </w:rPr>
        <w:t>解釋</w:t>
      </w:r>
      <w:r w:rsidRPr="00AD278B">
        <w:rPr>
          <w:rFonts w:hAnsi="標楷體"/>
          <w:sz w:val="28"/>
          <w:szCs w:val="28"/>
        </w:rPr>
        <w:t>立法院遲未行使監察委員人事同意權是否違憲？等機關爭議案件為解釋，使爭議機關間有所遵循。而本號解釋理由書第六段列出立法院行使文件調閱權應具備之程序與實體要件，並諭知雙方對於調閱要件之爭議，應循協商途徑合理解決，或以法律明定相關要件與程序，由司法機關審理解決。則在相關法律制定前，普通法院或行政法院對於未涉及憲法爭議之文件調閱是否符合相關之程序或實體要件無從審理。概由檢察機關定奪「有無影響他案偵查之虞」，能否為立法院所接受？其爭議顯</w:t>
      </w:r>
      <w:r w:rsidRPr="00AB6A06">
        <w:rPr>
          <w:sz w:val="28"/>
          <w:szCs w:val="28"/>
        </w:rPr>
        <w:t>然</w:t>
      </w:r>
      <w:r w:rsidRPr="00AB6A06">
        <w:rPr>
          <w:color w:val="000000"/>
          <w:sz w:val="28"/>
          <w:szCs w:val="28"/>
        </w:rPr>
        <w:t>無從</w:t>
      </w:r>
      <w:r w:rsidRPr="00AB6A06">
        <w:rPr>
          <w:sz w:val="28"/>
          <w:szCs w:val="28"/>
        </w:rPr>
        <w:t>逕依本號解釋平息。</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註一：</w:t>
      </w:r>
      <w:r w:rsidRPr="00AB6A06">
        <w:rPr>
          <w:rFonts w:hAnsi="標楷體"/>
          <w:sz w:val="22"/>
          <w:szCs w:val="22"/>
        </w:rPr>
        <w:t>日本憲法第六十二條規定兩議院得各自調查國政，要求證人出席與作證並提出記錄（蘆部信喜作，李鴻禧譯，憲法，</w:t>
      </w:r>
      <w:r w:rsidRPr="00AB6A06">
        <w:rPr>
          <w:sz w:val="22"/>
          <w:szCs w:val="22"/>
        </w:rPr>
        <w:t>1995</w:t>
      </w:r>
      <w:r w:rsidRPr="00AB6A06">
        <w:rPr>
          <w:rFonts w:hAnsi="標楷體"/>
          <w:sz w:val="22"/>
          <w:szCs w:val="22"/>
        </w:rPr>
        <w:t>年</w:t>
      </w:r>
      <w:r w:rsidRPr="00AB6A06">
        <w:rPr>
          <w:sz w:val="22"/>
          <w:szCs w:val="22"/>
        </w:rPr>
        <w:t>1</w:t>
      </w:r>
      <w:r w:rsidRPr="00AB6A06">
        <w:rPr>
          <w:rFonts w:hAnsi="標楷體"/>
          <w:sz w:val="22"/>
          <w:szCs w:val="22"/>
        </w:rPr>
        <w:t>月初版，頁</w:t>
      </w:r>
      <w:r w:rsidRPr="00AB6A06">
        <w:rPr>
          <w:sz w:val="22"/>
          <w:szCs w:val="22"/>
        </w:rPr>
        <w:t>278</w:t>
      </w:r>
      <w:r w:rsidRPr="00AB6A06">
        <w:rPr>
          <w:rFonts w:hAnsi="標楷體"/>
          <w:sz w:val="22"/>
          <w:szCs w:val="22"/>
        </w:rPr>
        <w:t>）。國會是國家唯一的立法機關，對於立法事項當然有權從事調查，對於行政，具有一般監督者的權限（宮澤俊義著，林秋水譯，日本國會議院之國政調查權及司法獨立，收錄於：日本法政論集</w:t>
      </w:r>
      <w:r w:rsidR="00173265" w:rsidRPr="00AB6A06">
        <w:rPr>
          <w:rFonts w:hAnsi="標楷體"/>
          <w:sz w:val="22"/>
          <w:szCs w:val="22"/>
        </w:rPr>
        <w:t>（</w:t>
      </w:r>
      <w:r w:rsidRPr="00AB6A06">
        <w:rPr>
          <w:rFonts w:hAnsi="標楷體"/>
          <w:sz w:val="22"/>
          <w:szCs w:val="22"/>
        </w:rPr>
        <w:t>林秋水著</w:t>
      </w:r>
      <w:r w:rsidR="00173265" w:rsidRPr="00AB6A06">
        <w:rPr>
          <w:rFonts w:hAnsi="標楷體"/>
          <w:sz w:val="22"/>
          <w:szCs w:val="22"/>
        </w:rPr>
        <w:t>）</w:t>
      </w:r>
      <w:r w:rsidRPr="00AB6A06">
        <w:rPr>
          <w:rFonts w:hAnsi="標楷體"/>
          <w:sz w:val="22"/>
          <w:szCs w:val="22"/>
        </w:rPr>
        <w:t>，</w:t>
      </w:r>
      <w:r w:rsidRPr="00AB6A06">
        <w:rPr>
          <w:sz w:val="22"/>
          <w:szCs w:val="22"/>
        </w:rPr>
        <w:t>1977</w:t>
      </w:r>
      <w:r w:rsidRPr="00AB6A06">
        <w:rPr>
          <w:rFonts w:hAnsi="標楷體"/>
          <w:sz w:val="22"/>
          <w:szCs w:val="22"/>
        </w:rPr>
        <w:t>年初版，頁</w:t>
      </w:r>
      <w:r w:rsidRPr="00AB6A06">
        <w:rPr>
          <w:sz w:val="22"/>
          <w:szCs w:val="22"/>
        </w:rPr>
        <w:t>162-163</w:t>
      </w:r>
      <w:r w:rsidRPr="00AB6A06">
        <w:rPr>
          <w:rFonts w:hAnsi="標楷體"/>
          <w:sz w:val="22"/>
          <w:szCs w:val="22"/>
        </w:rPr>
        <w:t>）。德國基本法第四十四條規定：「</w:t>
      </w:r>
      <w:r w:rsidR="00173265" w:rsidRPr="00AB6A06">
        <w:rPr>
          <w:rFonts w:hAnsi="標楷體"/>
          <w:sz w:val="22"/>
          <w:szCs w:val="22"/>
        </w:rPr>
        <w:t>（</w:t>
      </w:r>
      <w:r w:rsidRPr="00AB6A06">
        <w:rPr>
          <w:sz w:val="22"/>
          <w:szCs w:val="22"/>
        </w:rPr>
        <w:t>1</w:t>
      </w:r>
      <w:r w:rsidR="00173265" w:rsidRPr="00AB6A06">
        <w:rPr>
          <w:rFonts w:hAnsi="標楷體"/>
          <w:sz w:val="22"/>
          <w:szCs w:val="22"/>
        </w:rPr>
        <w:t>）</w:t>
      </w:r>
      <w:r w:rsidRPr="00AB6A06">
        <w:rPr>
          <w:rFonts w:hAnsi="標楷體"/>
          <w:sz w:val="22"/>
          <w:szCs w:val="22"/>
        </w:rPr>
        <w:t>聯邦議會</w:t>
      </w:r>
      <w:r w:rsidR="00173265" w:rsidRPr="00AB6A06">
        <w:rPr>
          <w:rFonts w:hAnsi="標楷體"/>
          <w:sz w:val="22"/>
          <w:szCs w:val="22"/>
        </w:rPr>
        <w:t>（</w:t>
      </w:r>
      <w:r w:rsidRPr="00AB6A06">
        <w:rPr>
          <w:sz w:val="22"/>
          <w:szCs w:val="22"/>
        </w:rPr>
        <w:t>Bundestag</w:t>
      </w:r>
      <w:r w:rsidR="00173265" w:rsidRPr="00AB6A06">
        <w:rPr>
          <w:rFonts w:hAnsi="標楷體"/>
          <w:sz w:val="22"/>
          <w:szCs w:val="22"/>
        </w:rPr>
        <w:t>）</w:t>
      </w:r>
      <w:r w:rsidRPr="00AB6A06">
        <w:rPr>
          <w:rFonts w:hAnsi="標楷體"/>
          <w:sz w:val="22"/>
          <w:szCs w:val="22"/>
        </w:rPr>
        <w:t>有權，且在四分之一之成員聲請下有義務成立調查委員會，委員會以公開審理方式調查必要的證據。公開方式得排除之。</w:t>
      </w:r>
      <w:r w:rsidR="00173265" w:rsidRPr="00AB6A06">
        <w:rPr>
          <w:rFonts w:hAnsi="標楷體"/>
          <w:sz w:val="22"/>
          <w:szCs w:val="22"/>
        </w:rPr>
        <w:t>（</w:t>
      </w:r>
      <w:r w:rsidRPr="00AB6A06">
        <w:rPr>
          <w:sz w:val="22"/>
          <w:szCs w:val="22"/>
        </w:rPr>
        <w:t>2</w:t>
      </w:r>
      <w:r w:rsidR="00173265" w:rsidRPr="00AB6A06">
        <w:rPr>
          <w:rFonts w:hAnsi="標楷體"/>
          <w:sz w:val="22"/>
          <w:szCs w:val="22"/>
        </w:rPr>
        <w:t>）</w:t>
      </w:r>
      <w:r w:rsidRPr="00AB6A06">
        <w:rPr>
          <w:rFonts w:hAnsi="標楷體"/>
          <w:sz w:val="22"/>
          <w:szCs w:val="22"/>
        </w:rPr>
        <w:t>調查證據準用刑事訴訟的相關規定。信件、郵政及電信秘密仍不得侵犯之。</w:t>
      </w:r>
      <w:r w:rsidR="00173265" w:rsidRPr="00AB6A06">
        <w:rPr>
          <w:rFonts w:hAnsi="標楷體"/>
          <w:sz w:val="22"/>
          <w:szCs w:val="22"/>
        </w:rPr>
        <w:t>（</w:t>
      </w:r>
      <w:r w:rsidRPr="00AB6A06">
        <w:rPr>
          <w:sz w:val="22"/>
          <w:szCs w:val="22"/>
        </w:rPr>
        <w:t>3</w:t>
      </w:r>
      <w:r w:rsidR="00173265" w:rsidRPr="00AB6A06">
        <w:rPr>
          <w:rFonts w:hAnsi="標楷體"/>
          <w:sz w:val="22"/>
          <w:szCs w:val="22"/>
        </w:rPr>
        <w:t>）</w:t>
      </w:r>
      <w:r w:rsidRPr="00AB6A06">
        <w:rPr>
          <w:rFonts w:hAnsi="標楷體"/>
          <w:sz w:val="22"/>
          <w:szCs w:val="22"/>
        </w:rPr>
        <w:t>法院及行政機關有法律協助及職務協助之義務。</w:t>
      </w:r>
      <w:r w:rsidR="00173265" w:rsidRPr="00AB6A06">
        <w:rPr>
          <w:rFonts w:hAnsi="標楷體"/>
          <w:sz w:val="22"/>
          <w:szCs w:val="22"/>
        </w:rPr>
        <w:t>（</w:t>
      </w:r>
      <w:r w:rsidRPr="00AB6A06">
        <w:rPr>
          <w:sz w:val="22"/>
          <w:szCs w:val="22"/>
        </w:rPr>
        <w:t>4</w:t>
      </w:r>
      <w:r w:rsidR="00173265" w:rsidRPr="00AB6A06">
        <w:rPr>
          <w:rFonts w:hAnsi="標楷體"/>
          <w:sz w:val="22"/>
          <w:szCs w:val="22"/>
        </w:rPr>
        <w:t>）</w:t>
      </w:r>
      <w:r w:rsidRPr="00AB6A06">
        <w:rPr>
          <w:rFonts w:hAnsi="標楷體"/>
          <w:sz w:val="22"/>
          <w:szCs w:val="22"/>
        </w:rPr>
        <w:t>調查委員會之決議不受法官之審理。法院不受對於調查基礎事實之評價與判斷的拘束。」</w:t>
      </w:r>
      <w:r w:rsidR="00173265" w:rsidRPr="00AB6A06">
        <w:rPr>
          <w:rFonts w:hAnsi="標楷體"/>
          <w:sz w:val="22"/>
          <w:szCs w:val="22"/>
        </w:rPr>
        <w:t>（</w:t>
      </w:r>
      <w:r w:rsidRPr="00AB6A06">
        <w:rPr>
          <w:rFonts w:hAnsi="標楷體"/>
          <w:sz w:val="22"/>
          <w:szCs w:val="22"/>
        </w:rPr>
        <w:t>陳淑芳，德國之國會調查權，</w:t>
      </w:r>
      <w:r w:rsidR="007C2024" w:rsidRPr="00AB6A06">
        <w:rPr>
          <w:rFonts w:hAnsi="標楷體"/>
          <w:sz w:val="22"/>
          <w:szCs w:val="22"/>
        </w:rPr>
        <w:t>台灣</w:t>
      </w:r>
      <w:r w:rsidRPr="00AB6A06">
        <w:rPr>
          <w:rFonts w:hAnsi="標楷體"/>
          <w:sz w:val="22"/>
          <w:szCs w:val="22"/>
        </w:rPr>
        <w:t>本土法學</w:t>
      </w:r>
      <w:r w:rsidR="007C2024" w:rsidRPr="00AB6A06">
        <w:rPr>
          <w:rFonts w:hAnsi="標楷體"/>
          <w:sz w:val="22"/>
          <w:szCs w:val="22"/>
        </w:rPr>
        <w:t>雜誌，</w:t>
      </w:r>
      <w:r w:rsidRPr="00AB6A06">
        <w:rPr>
          <w:rFonts w:hAnsi="標楷體"/>
          <w:sz w:val="22"/>
          <w:szCs w:val="22"/>
        </w:rPr>
        <w:t>第</w:t>
      </w:r>
      <w:r w:rsidRPr="00AB6A06">
        <w:rPr>
          <w:sz w:val="22"/>
          <w:szCs w:val="22"/>
        </w:rPr>
        <w:t>78</w:t>
      </w:r>
      <w:r w:rsidRPr="00AB6A06">
        <w:rPr>
          <w:rFonts w:hAnsi="標楷體"/>
          <w:sz w:val="22"/>
          <w:szCs w:val="22"/>
        </w:rPr>
        <w:t>期，</w:t>
      </w:r>
      <w:r w:rsidRPr="00AB6A06">
        <w:rPr>
          <w:sz w:val="22"/>
          <w:szCs w:val="22"/>
        </w:rPr>
        <w:t>2006</w:t>
      </w:r>
      <w:r w:rsidRPr="00AB6A06">
        <w:rPr>
          <w:rFonts w:hAnsi="標楷體"/>
          <w:sz w:val="22"/>
          <w:szCs w:val="22"/>
        </w:rPr>
        <w:t>年</w:t>
      </w:r>
      <w:r w:rsidRPr="00AB6A06">
        <w:rPr>
          <w:sz w:val="22"/>
          <w:szCs w:val="22"/>
        </w:rPr>
        <w:t>1</w:t>
      </w:r>
      <w:r w:rsidRPr="00AB6A06">
        <w:rPr>
          <w:rFonts w:hAnsi="標楷體"/>
          <w:sz w:val="22"/>
          <w:szCs w:val="22"/>
        </w:rPr>
        <w:t>月，頁</w:t>
      </w:r>
      <w:r w:rsidRPr="00AB6A06">
        <w:rPr>
          <w:sz w:val="22"/>
          <w:szCs w:val="22"/>
        </w:rPr>
        <w:t>53</w:t>
      </w:r>
      <w:r w:rsidR="00173265" w:rsidRPr="00AB6A06">
        <w:rPr>
          <w:rFonts w:hAnsi="標楷體"/>
          <w:sz w:val="22"/>
          <w:szCs w:val="22"/>
        </w:rPr>
        <w:t>）</w:t>
      </w:r>
      <w:r w:rsidRPr="00AB6A06">
        <w:rPr>
          <w:rFonts w:hAnsi="標楷體"/>
          <w:sz w:val="22"/>
          <w:szCs w:val="22"/>
        </w:rPr>
        <w:t>。美國國會之一般性調查權規定於聯邦法典</w:t>
      </w:r>
      <w:r w:rsidR="00173265" w:rsidRPr="00AB6A06">
        <w:rPr>
          <w:rFonts w:hAnsi="標楷體"/>
          <w:sz w:val="22"/>
          <w:szCs w:val="22"/>
        </w:rPr>
        <w:t>（</w:t>
      </w:r>
      <w:r w:rsidRPr="00AB6A06">
        <w:rPr>
          <w:sz w:val="22"/>
          <w:szCs w:val="22"/>
        </w:rPr>
        <w:t>United States Code</w:t>
      </w:r>
      <w:r w:rsidR="00173265" w:rsidRPr="00AB6A06">
        <w:rPr>
          <w:rFonts w:hAnsi="標楷體"/>
          <w:sz w:val="22"/>
          <w:szCs w:val="22"/>
        </w:rPr>
        <w:t>）</w:t>
      </w:r>
      <w:r w:rsidRPr="00AB6A06">
        <w:rPr>
          <w:rFonts w:hAnsi="標楷體"/>
          <w:sz w:val="22"/>
          <w:szCs w:val="22"/>
        </w:rPr>
        <w:t>第二編第六章以下。聯邦法院承認強制調查權乃是憲法默示之國會附隨權之一，是國會為了履行職權所制定「必要且適當」的法律</w:t>
      </w:r>
      <w:r w:rsidR="000267A7">
        <w:rPr>
          <w:rFonts w:hAnsi="標楷體" w:hint="eastAsia"/>
          <w:sz w:val="22"/>
          <w:szCs w:val="22"/>
        </w:rPr>
        <w:t>。</w:t>
      </w:r>
      <w:r w:rsidRPr="00AB6A06">
        <w:rPr>
          <w:rFonts w:hAnsi="標楷體"/>
          <w:sz w:val="22"/>
          <w:szCs w:val="22"/>
        </w:rPr>
        <w:t>不論是政府官員或是私人，只要與國會或公共政策有關聯者，均在調查權範圍之內，但國會調查權不得任意干預私人權利，乃國會調查權之界限（廖元豪，論立法院調查權的界線與範圍</w:t>
      </w:r>
      <w:r w:rsidRPr="00AB6A06">
        <w:rPr>
          <w:sz w:val="22"/>
          <w:szCs w:val="22"/>
        </w:rPr>
        <w:t>—</w:t>
      </w:r>
      <w:r w:rsidRPr="00AB6A06">
        <w:rPr>
          <w:rFonts w:hAnsi="標楷體"/>
          <w:sz w:val="22"/>
          <w:szCs w:val="22"/>
        </w:rPr>
        <w:t>釋字第五八五號解釋與美國經驗的參照，台灣本土法學</w:t>
      </w:r>
      <w:r w:rsidR="007C2024" w:rsidRPr="00AB6A06">
        <w:rPr>
          <w:rFonts w:hAnsi="標楷體"/>
          <w:sz w:val="22"/>
          <w:szCs w:val="22"/>
        </w:rPr>
        <w:t>雜誌，</w:t>
      </w:r>
      <w:r w:rsidRPr="00AB6A06">
        <w:rPr>
          <w:rFonts w:hAnsi="標楷體"/>
          <w:sz w:val="22"/>
          <w:szCs w:val="22"/>
        </w:rPr>
        <w:t>第</w:t>
      </w:r>
      <w:r w:rsidRPr="00AB6A06">
        <w:rPr>
          <w:sz w:val="22"/>
          <w:szCs w:val="22"/>
        </w:rPr>
        <w:t>78</w:t>
      </w:r>
      <w:r w:rsidRPr="00AB6A06">
        <w:rPr>
          <w:rFonts w:hAnsi="標楷體"/>
          <w:sz w:val="22"/>
          <w:szCs w:val="22"/>
        </w:rPr>
        <w:t>期，</w:t>
      </w:r>
      <w:r w:rsidRPr="00AB6A06">
        <w:rPr>
          <w:sz w:val="22"/>
          <w:szCs w:val="22"/>
        </w:rPr>
        <w:t>2006</w:t>
      </w:r>
      <w:r w:rsidRPr="00AB6A06">
        <w:rPr>
          <w:rFonts w:hAnsi="標楷體"/>
          <w:sz w:val="22"/>
          <w:szCs w:val="22"/>
        </w:rPr>
        <w:t>年</w:t>
      </w:r>
      <w:r w:rsidRPr="00AB6A06">
        <w:rPr>
          <w:sz w:val="22"/>
          <w:szCs w:val="22"/>
        </w:rPr>
        <w:t>1</w:t>
      </w:r>
      <w:r w:rsidRPr="00AB6A06">
        <w:rPr>
          <w:rFonts w:hAnsi="標楷體"/>
          <w:sz w:val="22"/>
          <w:szCs w:val="22"/>
        </w:rPr>
        <w:t>月，頁</w:t>
      </w:r>
      <w:r w:rsidRPr="00AB6A06">
        <w:rPr>
          <w:sz w:val="22"/>
          <w:szCs w:val="22"/>
        </w:rPr>
        <w:t>89-91</w:t>
      </w:r>
      <w:r w:rsidRPr="00AB6A06">
        <w:rPr>
          <w:rFonts w:hAnsi="標楷體"/>
          <w:sz w:val="22"/>
          <w:szCs w:val="22"/>
        </w:rPr>
        <w:t>）。</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註二：</w:t>
      </w:r>
      <w:r w:rsidRPr="00AB6A06">
        <w:rPr>
          <w:rFonts w:hAnsi="標楷體"/>
          <w:sz w:val="22"/>
          <w:szCs w:val="22"/>
        </w:rPr>
        <w:t>係指「立法院有補強質詢與詢問權之文件請求權」，蘇永欽，走向憲政主義，</w:t>
      </w:r>
      <w:r w:rsidRPr="00AB6A06">
        <w:rPr>
          <w:sz w:val="22"/>
          <w:szCs w:val="22"/>
        </w:rPr>
        <w:t>1994</w:t>
      </w:r>
      <w:r w:rsidRPr="00AB6A06">
        <w:rPr>
          <w:rFonts w:hAnsi="標楷體"/>
          <w:sz w:val="22"/>
          <w:szCs w:val="22"/>
        </w:rPr>
        <w:t>年</w:t>
      </w:r>
      <w:r w:rsidRPr="00AB6A06">
        <w:rPr>
          <w:sz w:val="22"/>
          <w:szCs w:val="22"/>
        </w:rPr>
        <w:t>6</w:t>
      </w:r>
      <w:r w:rsidRPr="00AB6A06">
        <w:rPr>
          <w:rFonts w:hAnsi="標楷體"/>
          <w:sz w:val="22"/>
          <w:szCs w:val="22"/>
        </w:rPr>
        <w:t>月，頁</w:t>
      </w:r>
      <w:r w:rsidRPr="00AB6A06">
        <w:rPr>
          <w:sz w:val="22"/>
          <w:szCs w:val="22"/>
        </w:rPr>
        <w:t>228</w:t>
      </w:r>
      <w:r w:rsidRPr="00AB6A06">
        <w:rPr>
          <w:rFonts w:hAnsi="標楷體"/>
          <w:sz w:val="22"/>
          <w:szCs w:val="22"/>
        </w:rPr>
        <w:t>。</w:t>
      </w:r>
    </w:p>
    <w:p w:rsidR="0096295B" w:rsidRPr="009250B8" w:rsidRDefault="0096295B" w:rsidP="0096295B">
      <w:pPr>
        <w:overflowPunct w:val="0"/>
        <w:spacing w:line="391" w:lineRule="exact"/>
        <w:ind w:left="682" w:hangingChars="310" w:hanging="682"/>
        <w:jc w:val="both"/>
        <w:rPr>
          <w:rFonts w:ascii="標楷體" w:hAnsi="標楷體"/>
          <w:color w:val="000000"/>
          <w:sz w:val="22"/>
          <w:szCs w:val="22"/>
        </w:rPr>
      </w:pPr>
      <w:r w:rsidRPr="009250B8">
        <w:rPr>
          <w:rFonts w:ascii="標楷體" w:hAnsi="標楷體" w:hint="eastAsia"/>
          <w:color w:val="000000"/>
          <w:sz w:val="22"/>
          <w:szCs w:val="22"/>
        </w:rPr>
        <w:lastRenderedPageBreak/>
        <w:t>註三：</w:t>
      </w:r>
      <w:r w:rsidRPr="009250B8">
        <w:rPr>
          <w:rFonts w:ascii="標楷體" w:hAnsi="標楷體" w:hint="eastAsia"/>
          <w:sz w:val="22"/>
          <w:szCs w:val="22"/>
        </w:rPr>
        <w:t>基於權力分立與制衡原則，立法院調查權所得調查之對象或事項，並非毫無限制。除所欲調查之事項必須與其行使憲法所賦予之職權有重大關聯者外，凡國家機關獨立行使職權受憲法之保障者，即非立法院所得調查之事物範圍。又如行政首長依其行政權固有之權能，對於可能影響或干預行政部門有效運作之資訊，國會調查權亦同受有限制（本院釋字第三二五號、第五八五號解釋參照）。</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註四：</w:t>
      </w:r>
      <w:r w:rsidRPr="00AB6A06">
        <w:rPr>
          <w:rFonts w:hAnsi="標楷體"/>
          <w:sz w:val="22"/>
          <w:szCs w:val="22"/>
        </w:rPr>
        <w:t>林鈺雄，刑事訴訟法，上冊，總論編，</w:t>
      </w:r>
      <w:r w:rsidRPr="00AB6A06">
        <w:rPr>
          <w:sz w:val="22"/>
          <w:szCs w:val="22"/>
        </w:rPr>
        <w:t>2010</w:t>
      </w:r>
      <w:r w:rsidRPr="00AB6A06">
        <w:rPr>
          <w:rFonts w:hAnsi="標楷體"/>
          <w:sz w:val="22"/>
          <w:szCs w:val="22"/>
        </w:rPr>
        <w:t>年</w:t>
      </w:r>
      <w:r w:rsidRPr="00AB6A06">
        <w:rPr>
          <w:sz w:val="22"/>
          <w:szCs w:val="22"/>
        </w:rPr>
        <w:t>9</w:t>
      </w:r>
      <w:r w:rsidRPr="00AB6A06">
        <w:rPr>
          <w:rFonts w:hAnsi="標楷體"/>
          <w:sz w:val="22"/>
          <w:szCs w:val="22"/>
        </w:rPr>
        <w:t>月，頁</w:t>
      </w:r>
      <w:r w:rsidRPr="00AB6A06">
        <w:rPr>
          <w:sz w:val="22"/>
          <w:szCs w:val="22"/>
        </w:rPr>
        <w:t>261~262</w:t>
      </w:r>
      <w:r w:rsidRPr="00AB6A06">
        <w:rPr>
          <w:rFonts w:hAnsi="標楷體"/>
          <w:sz w:val="22"/>
          <w:szCs w:val="22"/>
        </w:rPr>
        <w:t>；林永謀，刑事訴訟法釋論</w:t>
      </w:r>
      <w:r w:rsidR="00173265" w:rsidRPr="00AB6A06">
        <w:rPr>
          <w:rFonts w:hAnsi="標楷體"/>
          <w:sz w:val="22"/>
          <w:szCs w:val="22"/>
        </w:rPr>
        <w:t>（</w:t>
      </w:r>
      <w:r w:rsidRPr="00AB6A06">
        <w:rPr>
          <w:rFonts w:hAnsi="標楷體"/>
          <w:sz w:val="22"/>
          <w:szCs w:val="22"/>
        </w:rPr>
        <w:t>上冊</w:t>
      </w:r>
      <w:r w:rsidR="00173265" w:rsidRPr="00AB6A06">
        <w:rPr>
          <w:rFonts w:hAnsi="標楷體"/>
          <w:sz w:val="22"/>
          <w:szCs w:val="22"/>
        </w:rPr>
        <w:t>）</w:t>
      </w:r>
      <w:r w:rsidRPr="00AB6A06">
        <w:rPr>
          <w:rFonts w:hAnsi="標楷體"/>
          <w:sz w:val="22"/>
          <w:szCs w:val="22"/>
        </w:rPr>
        <w:t>，</w:t>
      </w:r>
      <w:r w:rsidRPr="00AB6A06">
        <w:rPr>
          <w:sz w:val="22"/>
          <w:szCs w:val="22"/>
        </w:rPr>
        <w:t>2006</w:t>
      </w:r>
      <w:r w:rsidRPr="00AB6A06">
        <w:rPr>
          <w:rFonts w:hAnsi="標楷體"/>
          <w:sz w:val="22"/>
          <w:szCs w:val="22"/>
        </w:rPr>
        <w:t>年</w:t>
      </w:r>
      <w:r w:rsidRPr="00AB6A06">
        <w:rPr>
          <w:sz w:val="22"/>
          <w:szCs w:val="22"/>
        </w:rPr>
        <w:t>10</w:t>
      </w:r>
      <w:r w:rsidRPr="00AB6A06">
        <w:rPr>
          <w:rFonts w:hAnsi="標楷體"/>
          <w:sz w:val="22"/>
          <w:szCs w:val="22"/>
        </w:rPr>
        <w:t>月，頁</w:t>
      </w:r>
      <w:r w:rsidRPr="00AB6A06">
        <w:rPr>
          <w:sz w:val="22"/>
          <w:szCs w:val="22"/>
        </w:rPr>
        <w:t>289</w:t>
      </w:r>
      <w:r w:rsidRPr="00AB6A06">
        <w:rPr>
          <w:rFonts w:hAnsi="標楷體"/>
          <w:sz w:val="22"/>
          <w:szCs w:val="22"/>
        </w:rPr>
        <w:t>。</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註五：</w:t>
      </w:r>
      <w:r w:rsidRPr="00AB6A06">
        <w:rPr>
          <w:rFonts w:hAnsi="標楷體"/>
          <w:sz w:val="22"/>
          <w:szCs w:val="22"/>
        </w:rPr>
        <w:t>「行政特權並非行政機關違法行為的保護傘。」且「行政特權不是絕對的，更不能凌駕國家利</w:t>
      </w:r>
      <w:r w:rsidRPr="009250B8">
        <w:rPr>
          <w:rFonts w:ascii="標楷體" w:hAnsi="標楷體" w:hint="eastAsia"/>
          <w:sz w:val="22"/>
          <w:szCs w:val="22"/>
        </w:rPr>
        <w:t>益，可否主張行政特權必須衡量『因資訊不公開而導致國會無法完成憲法所賦予功能的不利益』</w:t>
      </w:r>
      <w:r w:rsidRPr="00AB6A06">
        <w:rPr>
          <w:rFonts w:hAnsi="標楷體"/>
          <w:sz w:val="22"/>
          <w:szCs w:val="22"/>
        </w:rPr>
        <w:t>和『因資訊公開而導致行政機關無法完成憲法所賦予功能的不利益』」。謝哲勝，三一九真調會條例法律爭議解析，第</w:t>
      </w:r>
      <w:r w:rsidRPr="00AB6A06">
        <w:rPr>
          <w:sz w:val="22"/>
          <w:szCs w:val="22"/>
        </w:rPr>
        <w:t>2</w:t>
      </w:r>
      <w:r w:rsidRPr="00AB6A06">
        <w:rPr>
          <w:rFonts w:hAnsi="標楷體"/>
          <w:sz w:val="22"/>
          <w:szCs w:val="22"/>
        </w:rPr>
        <w:t>屆三一九槍擊事件真相調查特別委員會調查報告，</w:t>
      </w:r>
      <w:r w:rsidRPr="00AB6A06">
        <w:rPr>
          <w:sz w:val="22"/>
          <w:szCs w:val="22"/>
        </w:rPr>
        <w:t>2007</w:t>
      </w:r>
      <w:r w:rsidRPr="00AB6A06">
        <w:rPr>
          <w:rFonts w:hAnsi="標楷體"/>
          <w:sz w:val="22"/>
          <w:szCs w:val="22"/>
        </w:rPr>
        <w:t>年，頁</w:t>
      </w:r>
      <w:r w:rsidRPr="00AB6A06">
        <w:rPr>
          <w:sz w:val="22"/>
          <w:szCs w:val="22"/>
        </w:rPr>
        <w:t>119</w:t>
      </w:r>
      <w:r w:rsidRPr="00AB6A06">
        <w:rPr>
          <w:rFonts w:hAnsi="標楷體"/>
          <w:sz w:val="22"/>
          <w:szCs w:val="22"/>
        </w:rPr>
        <w:t>。</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註六：</w:t>
      </w:r>
      <w:r w:rsidRPr="00AB6A06">
        <w:rPr>
          <w:rFonts w:hAnsi="標楷體"/>
          <w:sz w:val="22"/>
          <w:szCs w:val="22"/>
        </w:rPr>
        <w:t>立法院職權行使法第</w:t>
      </w:r>
      <w:r w:rsidRPr="00AB6A06">
        <w:rPr>
          <w:sz w:val="22"/>
          <w:szCs w:val="22"/>
        </w:rPr>
        <w:t>50</w:t>
      </w:r>
      <w:r w:rsidRPr="00AB6A06">
        <w:rPr>
          <w:rFonts w:hAnsi="標楷體"/>
          <w:sz w:val="22"/>
          <w:szCs w:val="22"/>
        </w:rPr>
        <w:t>條第</w:t>
      </w:r>
      <w:r w:rsidRPr="00AB6A06">
        <w:rPr>
          <w:sz w:val="22"/>
          <w:szCs w:val="22"/>
        </w:rPr>
        <w:t>2</w:t>
      </w:r>
      <w:r w:rsidRPr="00AB6A06">
        <w:rPr>
          <w:rFonts w:hAnsi="標楷體"/>
          <w:sz w:val="22"/>
          <w:szCs w:val="22"/>
        </w:rPr>
        <w:t>項、第</w:t>
      </w:r>
      <w:r w:rsidRPr="00AB6A06">
        <w:rPr>
          <w:sz w:val="22"/>
          <w:szCs w:val="22"/>
        </w:rPr>
        <w:t>52</w:t>
      </w:r>
      <w:r w:rsidRPr="00AB6A06">
        <w:rPr>
          <w:rFonts w:hAnsi="標楷體"/>
          <w:sz w:val="22"/>
          <w:szCs w:val="22"/>
        </w:rPr>
        <w:t>條，國家機密保護法規定參照。</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註七：</w:t>
      </w:r>
      <w:r w:rsidRPr="00AB6A06">
        <w:rPr>
          <w:rFonts w:hAnsi="標楷體"/>
          <w:sz w:val="22"/>
          <w:szCs w:val="22"/>
        </w:rPr>
        <w:t>日本帝國（明治）議會時代的議會法規定，各議院不得向人民發布告示、不得為審查而召喚人民及派出議員、不得與國務大臣及政府委員以外的官署及地方議會有照會來往等，使得各議院在從事調查時，其所具有的手段，僅僅向政府要求必要的報告及文書而已。然而，議會法亦規定，政府對於「涉及秘密者」得拒絕議院之要求</w:t>
      </w:r>
      <w:r w:rsidR="00173265" w:rsidRPr="00AB6A06">
        <w:rPr>
          <w:rFonts w:hAnsi="標楷體"/>
          <w:sz w:val="22"/>
          <w:szCs w:val="22"/>
        </w:rPr>
        <w:t>（</w:t>
      </w:r>
      <w:r w:rsidRPr="00AB6A06">
        <w:rPr>
          <w:rFonts w:hAnsi="標楷體"/>
          <w:sz w:val="22"/>
          <w:szCs w:val="22"/>
        </w:rPr>
        <w:t>議會法第七十四條</w:t>
      </w:r>
      <w:r w:rsidR="00173265" w:rsidRPr="00AB6A06">
        <w:rPr>
          <w:rFonts w:hAnsi="標楷體"/>
          <w:sz w:val="22"/>
          <w:szCs w:val="22"/>
        </w:rPr>
        <w:t>）</w:t>
      </w:r>
      <w:r w:rsidRPr="00AB6A06">
        <w:rPr>
          <w:rFonts w:hAnsi="標楷體"/>
          <w:sz w:val="22"/>
          <w:szCs w:val="22"/>
        </w:rPr>
        <w:t>。此條規定之結果，導致各院所據調查權不具實際效果（蘆部信喜作，李鴻禧譯，憲法，</w:t>
      </w:r>
      <w:r w:rsidRPr="00AB6A06">
        <w:rPr>
          <w:sz w:val="22"/>
          <w:szCs w:val="22"/>
        </w:rPr>
        <w:t>1995</w:t>
      </w:r>
      <w:r w:rsidRPr="00AB6A06">
        <w:rPr>
          <w:rFonts w:hAnsi="標楷體"/>
          <w:sz w:val="22"/>
          <w:szCs w:val="22"/>
        </w:rPr>
        <w:t>年</w:t>
      </w:r>
      <w:r w:rsidRPr="00AB6A06">
        <w:rPr>
          <w:sz w:val="22"/>
          <w:szCs w:val="22"/>
        </w:rPr>
        <w:t>1</w:t>
      </w:r>
      <w:r w:rsidRPr="00AB6A06">
        <w:rPr>
          <w:rFonts w:hAnsi="標楷體"/>
          <w:sz w:val="22"/>
          <w:szCs w:val="22"/>
        </w:rPr>
        <w:t>月初版，頁</w:t>
      </w:r>
      <w:r w:rsidRPr="00AB6A06">
        <w:rPr>
          <w:sz w:val="22"/>
          <w:szCs w:val="22"/>
        </w:rPr>
        <w:t>161</w:t>
      </w:r>
      <w:r w:rsidRPr="00AB6A06">
        <w:rPr>
          <w:rFonts w:hAnsi="標楷體"/>
          <w:sz w:val="22"/>
          <w:szCs w:val="22"/>
        </w:rPr>
        <w:t>）。</w:t>
      </w:r>
    </w:p>
    <w:p w:rsidR="0096295B" w:rsidRPr="00AB6A06" w:rsidRDefault="0096295B" w:rsidP="0096295B">
      <w:pPr>
        <w:overflowPunct w:val="0"/>
        <w:spacing w:line="391" w:lineRule="exact"/>
        <w:ind w:left="682" w:hangingChars="310" w:hanging="682"/>
        <w:jc w:val="both"/>
        <w:rPr>
          <w:color w:val="000000"/>
          <w:sz w:val="22"/>
          <w:szCs w:val="22"/>
        </w:rPr>
      </w:pPr>
      <w:r w:rsidRPr="00AB6A06">
        <w:rPr>
          <w:rFonts w:hAnsi="標楷體"/>
          <w:color w:val="000000"/>
          <w:sz w:val="22"/>
          <w:szCs w:val="22"/>
        </w:rPr>
        <w:t>註八：</w:t>
      </w:r>
      <w:r w:rsidRPr="00AB6A06">
        <w:rPr>
          <w:rFonts w:hAnsi="標楷體"/>
          <w:sz w:val="22"/>
          <w:szCs w:val="22"/>
        </w:rPr>
        <w:t>陳淑芳，德國之國會調查權，台灣本土法學</w:t>
      </w:r>
      <w:r w:rsidR="007C2024" w:rsidRPr="00AB6A06">
        <w:rPr>
          <w:rFonts w:hAnsi="標楷體"/>
          <w:sz w:val="22"/>
          <w:szCs w:val="22"/>
        </w:rPr>
        <w:t>雜誌，</w:t>
      </w:r>
      <w:r w:rsidRPr="00AB6A06">
        <w:rPr>
          <w:rFonts w:hAnsi="標楷體"/>
          <w:sz w:val="22"/>
          <w:szCs w:val="22"/>
        </w:rPr>
        <w:t>第</w:t>
      </w:r>
      <w:r w:rsidRPr="00AB6A06">
        <w:rPr>
          <w:sz w:val="22"/>
          <w:szCs w:val="22"/>
        </w:rPr>
        <w:t>78</w:t>
      </w:r>
      <w:r w:rsidRPr="00AB6A06">
        <w:rPr>
          <w:rFonts w:hAnsi="標楷體"/>
          <w:sz w:val="22"/>
          <w:szCs w:val="22"/>
        </w:rPr>
        <w:t>期，</w:t>
      </w:r>
      <w:r w:rsidRPr="00AB6A06">
        <w:rPr>
          <w:sz w:val="22"/>
          <w:szCs w:val="22"/>
        </w:rPr>
        <w:t>2006</w:t>
      </w:r>
      <w:r w:rsidRPr="00AB6A06">
        <w:rPr>
          <w:rFonts w:hAnsi="標楷體"/>
          <w:sz w:val="22"/>
          <w:szCs w:val="22"/>
        </w:rPr>
        <w:t>年</w:t>
      </w:r>
      <w:r w:rsidRPr="00AB6A06">
        <w:rPr>
          <w:sz w:val="22"/>
          <w:szCs w:val="22"/>
        </w:rPr>
        <w:t>1</w:t>
      </w:r>
      <w:r w:rsidRPr="00AB6A06">
        <w:rPr>
          <w:rFonts w:hAnsi="標楷體"/>
          <w:sz w:val="22"/>
          <w:szCs w:val="22"/>
        </w:rPr>
        <w:t>月，頁</w:t>
      </w:r>
      <w:r w:rsidRPr="00AB6A06">
        <w:rPr>
          <w:sz w:val="22"/>
          <w:szCs w:val="22"/>
        </w:rPr>
        <w:t>59</w:t>
      </w:r>
      <w:r w:rsidRPr="00AB6A06">
        <w:rPr>
          <w:rFonts w:hAnsi="標楷體"/>
          <w:sz w:val="22"/>
          <w:szCs w:val="22"/>
        </w:rPr>
        <w:t>。</w:t>
      </w:r>
    </w:p>
    <w:p w:rsidR="0096295B" w:rsidRDefault="0096295B" w:rsidP="00EB17FC">
      <w:pPr>
        <w:overflowPunct w:val="0"/>
        <w:spacing w:line="391" w:lineRule="exact"/>
        <w:ind w:left="682" w:hangingChars="310" w:hanging="682"/>
        <w:jc w:val="both"/>
        <w:rPr>
          <w:rFonts w:ascii="標楷體" w:hAnsi="標楷體" w:hint="eastAsia"/>
          <w:color w:val="000000"/>
          <w:sz w:val="22"/>
          <w:szCs w:val="22"/>
        </w:rPr>
      </w:pPr>
    </w:p>
    <w:p w:rsidR="00F2632E" w:rsidRPr="00034E50" w:rsidRDefault="00F2632E" w:rsidP="00BC288B">
      <w:pPr>
        <w:overflowPunct w:val="0"/>
        <w:spacing w:line="391" w:lineRule="exact"/>
        <w:ind w:left="964" w:right="567"/>
        <w:jc w:val="distribute"/>
        <w:rPr>
          <w:sz w:val="28"/>
          <w:szCs w:val="28"/>
        </w:rPr>
      </w:pPr>
      <w:r w:rsidRPr="00034E50">
        <w:rPr>
          <w:rFonts w:ascii="華康粗黑體" w:eastAsia="華康粗黑體" w:hAnsi="標楷體" w:hint="eastAsia"/>
          <w:sz w:val="28"/>
          <w:szCs w:val="28"/>
        </w:rPr>
        <w:t>不同意見書</w:t>
      </w:r>
      <w:r w:rsidRPr="00034E50">
        <w:rPr>
          <w:rFonts w:hint="eastAsia"/>
          <w:sz w:val="28"/>
          <w:szCs w:val="28"/>
        </w:rPr>
        <w:t xml:space="preserve">　　</w:t>
      </w:r>
      <w:r>
        <w:rPr>
          <w:rFonts w:hint="eastAsia"/>
          <w:sz w:val="28"/>
          <w:szCs w:val="28"/>
        </w:rPr>
        <w:t xml:space="preserve">　　　　　　　　　　　</w:t>
      </w:r>
      <w:r w:rsidRPr="00034E50">
        <w:rPr>
          <w:rFonts w:hint="eastAsia"/>
          <w:sz w:val="28"/>
          <w:szCs w:val="28"/>
        </w:rPr>
        <w:t xml:space="preserve">　</w:t>
      </w:r>
      <w:r w:rsidRPr="00034E50">
        <w:rPr>
          <w:rFonts w:hAnsi="標楷體"/>
          <w:sz w:val="28"/>
          <w:szCs w:val="28"/>
        </w:rPr>
        <w:t>黃茂榮大法官　提出</w:t>
      </w:r>
    </w:p>
    <w:p w:rsidR="00F2632E" w:rsidRPr="00034E50" w:rsidRDefault="00F2632E" w:rsidP="00F2632E">
      <w:pPr>
        <w:spacing w:line="391" w:lineRule="exact"/>
        <w:ind w:firstLineChars="200" w:firstLine="560"/>
        <w:jc w:val="both"/>
        <w:rPr>
          <w:sz w:val="28"/>
          <w:szCs w:val="28"/>
        </w:rPr>
      </w:pPr>
      <w:r w:rsidRPr="00034E50">
        <w:rPr>
          <w:rFonts w:hAnsi="標楷體"/>
          <w:sz w:val="28"/>
          <w:szCs w:val="28"/>
        </w:rPr>
        <w:t>關於立法院調閱偵查卷證案，本號解釋多數意見認為：「檢察機關代表國家進行犯罪之偵查與追訴，基於權力分立與制衡原則，且為保障檢察機關獨立行使職權，對於偵查中之案件，立法院自不得向其調閱相關卷證。立法院向檢察機關調閱已偵查終結而不起訴處分確定或未經起訴而以其他方式結案之案件卷證，須基於目的與範圍均屬明確之特定議案，並與其行使憲法上職權有重大關聯，且非屬法律所禁止者為限。如因調閱而有妨害另案偵查之虞，檢察機關得延至該另案偵查終結後，再行提供調閱之卷證資料。其調閱偵查卷證之文件原本或與原本內容相同之影本者，應經立法院院會決議；要求提供參考資料者，由院會或其委員會決議為之。因調閱卷證而知悉之資訊，其使用應限於行使憲法上職權所必要，並注意維護關係人之權益（如名譽、隱私、營業秘密等）。本院釋字第三二五號解釋應予補充。」本席有以下不同意見，僅供將來相關法制之發展上參考。</w:t>
      </w:r>
    </w:p>
    <w:p w:rsidR="00F2632E" w:rsidRPr="00034E50" w:rsidRDefault="00F2632E" w:rsidP="00F2632E">
      <w:pPr>
        <w:spacing w:line="391" w:lineRule="exact"/>
        <w:jc w:val="both"/>
        <w:rPr>
          <w:sz w:val="28"/>
          <w:szCs w:val="28"/>
        </w:rPr>
      </w:pPr>
      <w:r w:rsidRPr="00034E50">
        <w:rPr>
          <w:rFonts w:hAnsi="標楷體"/>
          <w:sz w:val="28"/>
          <w:szCs w:val="28"/>
        </w:rPr>
        <w:t>壹、檢視本案問題核心</w:t>
      </w:r>
    </w:p>
    <w:p w:rsidR="00F2632E" w:rsidRPr="00034E50" w:rsidRDefault="00F2632E" w:rsidP="00F2632E">
      <w:pPr>
        <w:spacing w:line="391" w:lineRule="exact"/>
        <w:ind w:left="567" w:firstLine="567"/>
        <w:jc w:val="both"/>
        <w:rPr>
          <w:sz w:val="28"/>
          <w:szCs w:val="28"/>
        </w:rPr>
      </w:pPr>
      <w:r w:rsidRPr="00034E50">
        <w:rPr>
          <w:rFonts w:hAnsi="標楷體"/>
          <w:sz w:val="28"/>
          <w:szCs w:val="28"/>
        </w:rPr>
        <w:t>本件聲請案源起於立法院司法及法制委員會為審查通訊保障及監察法部分條文修正草案，向聲請人最高法院檢察署調閱偵查卷證資料影本及監聽光碟。聲請人認為，偵查卷證非屬立法院得調閱事項之範圍，拒絕提供</w:t>
      </w:r>
      <w:r w:rsidRPr="00034E50">
        <w:rPr>
          <w:rFonts w:hAnsi="標楷體"/>
          <w:sz w:val="28"/>
          <w:szCs w:val="28"/>
        </w:rPr>
        <w:lastRenderedPageBreak/>
        <w:t>調閱之卷證；然立法院司法及法制委員會則認為聲請人之檢察總長迴避監督、藐視國會，將檢察總長函送監察院調查。聲請人遂以院際間職權行使產生憲法上爭議為由，向本院聲請解釋。職此，本件其實很單純，即聲請人欲請求本院就「立法院是否有權向檢察機關調閱偵查卷證」作成解釋，以釐清院際間適用憲法所生之爭議。然本號解釋現在之審查範圍，推展至卷證影本得否調閱、立法院行使文件調閱權之限制等問題，使本院釋字第三二五號、第五八五號</w:t>
      </w:r>
      <w:r w:rsidR="007C2024">
        <w:rPr>
          <w:rFonts w:hAnsi="標楷體" w:hint="eastAsia"/>
          <w:sz w:val="28"/>
          <w:szCs w:val="28"/>
        </w:rPr>
        <w:t>解釋，</w:t>
      </w:r>
      <w:r w:rsidRPr="00034E50">
        <w:rPr>
          <w:rFonts w:hAnsi="標楷體"/>
          <w:sz w:val="28"/>
          <w:szCs w:val="28"/>
        </w:rPr>
        <w:t>以及基於</w:t>
      </w:r>
      <w:r w:rsidR="007C2024">
        <w:rPr>
          <w:rFonts w:hAnsi="標楷體" w:hint="eastAsia"/>
          <w:sz w:val="28"/>
          <w:szCs w:val="28"/>
        </w:rPr>
        <w:t>釋字</w:t>
      </w:r>
      <w:r w:rsidRPr="00034E50">
        <w:rPr>
          <w:rFonts w:hAnsi="標楷體"/>
          <w:sz w:val="28"/>
          <w:szCs w:val="28"/>
        </w:rPr>
        <w:t>第三二五號解釋制定之立法院職權行使法第四十五條等相關規範基礎，霎時間變得模糊不清，這不僅無法立於本院既有解釋之基礎上逐步確切處理本件聲請人所面臨之問題，在將來亦可能誘發更多立法院與受調閱機關間之機關爭議，影響國會監督制度之健全發展。</w:t>
      </w:r>
    </w:p>
    <w:p w:rsidR="00F2632E" w:rsidRPr="00034E50" w:rsidRDefault="00F2632E" w:rsidP="00F2632E">
      <w:pPr>
        <w:spacing w:line="391" w:lineRule="exact"/>
        <w:jc w:val="both"/>
        <w:rPr>
          <w:sz w:val="28"/>
          <w:szCs w:val="28"/>
        </w:rPr>
      </w:pPr>
      <w:r w:rsidRPr="00034E50">
        <w:rPr>
          <w:rFonts w:hAnsi="標楷體"/>
          <w:sz w:val="28"/>
          <w:szCs w:val="28"/>
        </w:rPr>
        <w:t>貳、立法院職權行使範圍之確立</w:t>
      </w:r>
    </w:p>
    <w:p w:rsidR="00F2632E" w:rsidRPr="00034E50" w:rsidRDefault="00F2632E" w:rsidP="00F2632E">
      <w:pPr>
        <w:spacing w:line="391" w:lineRule="exact"/>
        <w:ind w:left="567" w:firstLine="567"/>
        <w:jc w:val="both"/>
        <w:rPr>
          <w:sz w:val="28"/>
          <w:szCs w:val="28"/>
        </w:rPr>
      </w:pPr>
      <w:r w:rsidRPr="00034E50">
        <w:rPr>
          <w:rFonts w:hAnsi="標楷體"/>
          <w:sz w:val="28"/>
          <w:szCs w:val="28"/>
        </w:rPr>
        <w:t>在國家權力區分的民主憲政體制，國會受人民之付託，代表人民行使立法權、議決預算案及國家其他重要事項（憲法第六十</w:t>
      </w:r>
      <w:r w:rsidR="007C2024">
        <w:rPr>
          <w:rFonts w:hAnsi="標楷體" w:hint="eastAsia"/>
          <w:sz w:val="28"/>
          <w:szCs w:val="28"/>
        </w:rPr>
        <w:t>二</w:t>
      </w:r>
      <w:r w:rsidRPr="00034E50">
        <w:rPr>
          <w:rFonts w:hAnsi="標楷體"/>
          <w:sz w:val="28"/>
          <w:szCs w:val="28"/>
        </w:rPr>
        <w:t>條、</w:t>
      </w:r>
      <w:r w:rsidR="007C2024">
        <w:rPr>
          <w:rFonts w:hAnsi="標楷體" w:hint="eastAsia"/>
          <w:sz w:val="28"/>
          <w:szCs w:val="28"/>
        </w:rPr>
        <w:t>第</w:t>
      </w:r>
      <w:r w:rsidRPr="00034E50">
        <w:rPr>
          <w:rFonts w:hAnsi="標楷體"/>
          <w:sz w:val="28"/>
          <w:szCs w:val="28"/>
        </w:rPr>
        <w:t>六十</w:t>
      </w:r>
      <w:r w:rsidR="007C2024">
        <w:rPr>
          <w:rFonts w:hAnsi="標楷體" w:hint="eastAsia"/>
          <w:sz w:val="28"/>
          <w:szCs w:val="28"/>
        </w:rPr>
        <w:t>三</w:t>
      </w:r>
      <w:r w:rsidRPr="00034E50">
        <w:rPr>
          <w:rFonts w:hAnsi="標楷體"/>
          <w:sz w:val="28"/>
          <w:szCs w:val="28"/>
        </w:rPr>
        <w:t>條參照），並監督行政機關依法行政（憲法增修條文第三條、行政程序法第一條參照）。在司法方面，司法機關雖不受國會之監督，但仍應依據法律而為審判（憲法第八十條參照）。由此彰顯，在國家權力區分之民主憲政體制下，行政、司法機關皆必須尊重國會以人民之名義所</w:t>
      </w:r>
      <w:r w:rsidR="007C2024">
        <w:rPr>
          <w:rFonts w:hAnsi="標楷體" w:hint="eastAsia"/>
          <w:sz w:val="28"/>
          <w:szCs w:val="28"/>
        </w:rPr>
        <w:t>作</w:t>
      </w:r>
      <w:r w:rsidRPr="00034E50">
        <w:rPr>
          <w:rFonts w:hAnsi="標楷體"/>
          <w:sz w:val="28"/>
          <w:szCs w:val="28"/>
        </w:rPr>
        <w:t>之決議，並依據法律行使其職權，除非國會之決議明顯牴觸民主憲政體制或有違憲之疑義，否則對於民主正當性所賦予國會之無上權威，任何機關均無由託詞公然抵抗。</w:t>
      </w:r>
    </w:p>
    <w:p w:rsidR="00F2632E" w:rsidRPr="00034E50" w:rsidRDefault="00F2632E" w:rsidP="00F2632E">
      <w:pPr>
        <w:spacing w:line="391" w:lineRule="exact"/>
        <w:ind w:left="567" w:firstLine="567"/>
        <w:jc w:val="both"/>
        <w:rPr>
          <w:sz w:val="28"/>
          <w:szCs w:val="28"/>
        </w:rPr>
      </w:pPr>
      <w:r w:rsidRPr="00034E50">
        <w:rPr>
          <w:rFonts w:hAnsi="標楷體"/>
          <w:sz w:val="28"/>
          <w:szCs w:val="28"/>
        </w:rPr>
        <w:t>本院釋字第三二五號解釋文：「本院釋字第七十六號解釋認監察院與其他中央民意機構共同相當於民主國家之國會，於憲法增修條文第十五條規定施行後，監察院</w:t>
      </w:r>
      <w:r w:rsidR="007C2024">
        <w:rPr>
          <w:rFonts w:hAnsi="標楷體" w:hint="eastAsia"/>
          <w:sz w:val="28"/>
          <w:szCs w:val="28"/>
        </w:rPr>
        <w:t>已</w:t>
      </w:r>
      <w:r w:rsidR="007C2024">
        <w:rPr>
          <w:rFonts w:hAnsi="標楷體"/>
          <w:sz w:val="28"/>
          <w:szCs w:val="28"/>
        </w:rPr>
        <w:t>非中央民意機構，其地位及職權亦有所變更，上開解釋自不</w:t>
      </w:r>
      <w:r w:rsidRPr="00034E50">
        <w:rPr>
          <w:rFonts w:hAnsi="標楷體"/>
          <w:sz w:val="28"/>
          <w:szCs w:val="28"/>
        </w:rPr>
        <w:t>再適用於監察院。惟憲法之五院體制並未改變，原屬於監察院職權中之彈劾、糾舉、糾正權及為行使此等職權，依憲法第九十五條、第九十六條具有之調查權，憲法增修條文亦未修改，此項調查權仍應專由監察院行使。立法院為行使憲法所賦予之職權，除依憲法第五十七條第一款及第六十七條第二項辦理外，得經院會或委員會之決議，要求有關機關就議案涉及事項提供參考資料，必要時並得經院會決議調閱文件原本，受要求之機關非依法律規定或其他正當理由不得拒絕。但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此號解釋傳遞二個重要訊息，其一，在臺灣，監察院之職權逐漸在演變；演變中，已僅剩立法院相當於民主憲政國家之國會；其二，有關彈劾、糾舉、糾正</w:t>
      </w:r>
      <w:r w:rsidRPr="00034E50">
        <w:rPr>
          <w:rFonts w:hAnsi="標楷體"/>
          <w:sz w:val="28"/>
          <w:szCs w:val="28"/>
        </w:rPr>
        <w:lastRenderedPageBreak/>
        <w:t>以及為行使此等職權依憲法第九十五條、</w:t>
      </w:r>
      <w:r w:rsidR="007C2024">
        <w:rPr>
          <w:rFonts w:hAnsi="標楷體" w:hint="eastAsia"/>
          <w:sz w:val="28"/>
          <w:szCs w:val="28"/>
        </w:rPr>
        <w:t>第</w:t>
      </w:r>
      <w:r w:rsidRPr="00034E50">
        <w:rPr>
          <w:rFonts w:hAnsi="標楷體"/>
          <w:sz w:val="28"/>
          <w:szCs w:val="28"/>
        </w:rPr>
        <w:t>九十六條具有之調查權，仍應由監察院行使。是故，其他部分之調查權，依該號解釋文之整體意旨，應已劃歸由立法院，在臺灣以唯一之國會機關的地位行使。可惜的是，有關調查權部分釋字</w:t>
      </w:r>
      <w:r w:rsidR="007C2024">
        <w:rPr>
          <w:rFonts w:hAnsi="標楷體" w:hint="eastAsia"/>
          <w:sz w:val="28"/>
          <w:szCs w:val="28"/>
        </w:rPr>
        <w:t>第</w:t>
      </w:r>
      <w:r w:rsidRPr="00034E50">
        <w:rPr>
          <w:rFonts w:hAnsi="標楷體"/>
          <w:sz w:val="28"/>
          <w:szCs w:val="28"/>
        </w:rPr>
        <w:t>三二五號解釋未再多加闡述，而僅針對立法院之「文件調閱權」部分，認為應與監察院之調查權同受限制。因此，本席認為，應以釋字第三二五號解釋為基礎，論述立法院之「文件調閱權」。今既僅提出立法院之文件調閱權，應與監察院之調查權同受限制，則立法院所享有之國會調查權，理當不受超過監察院調查權限制以外之限制。以這樣的標準理解國會調查權在臺灣之適用，才能比較合理的還原一般民主憲政國家之國會調查權當有之形貌與功能。再者，本院釋字第五八五號解釋：「立法院為有效行使憲法所賦予之立法職權，本其固有之權能自得享有一定之調查權，主動獲取行使職權所需之相關資訊，</w:t>
      </w:r>
      <w:r w:rsidR="007C2024">
        <w:rPr>
          <w:rFonts w:hAnsi="標楷體" w:hint="eastAsia"/>
          <w:sz w:val="28"/>
          <w:szCs w:val="28"/>
        </w:rPr>
        <w:t>俾</w:t>
      </w:r>
      <w:r w:rsidRPr="00034E50">
        <w:rPr>
          <w:rFonts w:hAnsi="標楷體"/>
          <w:sz w:val="28"/>
          <w:szCs w:val="28"/>
        </w:rPr>
        <w:t>能充分思</w:t>
      </w:r>
      <w:r w:rsidR="007C2024">
        <w:rPr>
          <w:rFonts w:hAnsi="標楷體" w:hint="eastAsia"/>
          <w:sz w:val="28"/>
          <w:szCs w:val="28"/>
        </w:rPr>
        <w:t>辯</w:t>
      </w:r>
      <w:r w:rsidRPr="00034E50">
        <w:rPr>
          <w:rFonts w:hAnsi="標楷體"/>
          <w:sz w:val="28"/>
          <w:szCs w:val="28"/>
        </w:rPr>
        <w:t>，審慎決定，以善盡民意機關之職責，發揮權力分立與制衡之機能。」是調查權及文件調閱權為立法院本於固有職權所得享有之權力，業再次經本院解釋在案。</w:t>
      </w:r>
    </w:p>
    <w:p w:rsidR="00F2632E" w:rsidRPr="00034E50" w:rsidRDefault="007C2024" w:rsidP="00F2632E">
      <w:pPr>
        <w:spacing w:line="391" w:lineRule="exact"/>
        <w:ind w:left="567" w:firstLine="567"/>
        <w:jc w:val="both"/>
        <w:rPr>
          <w:sz w:val="28"/>
          <w:szCs w:val="28"/>
        </w:rPr>
      </w:pPr>
      <w:r>
        <w:rPr>
          <w:rFonts w:hAnsi="標楷體"/>
          <w:sz w:val="28"/>
          <w:szCs w:val="28"/>
        </w:rPr>
        <w:t>承上，既有本院釋字第三二五號</w:t>
      </w:r>
      <w:r w:rsidR="00F2632E" w:rsidRPr="00034E50">
        <w:rPr>
          <w:rFonts w:hAnsi="標楷體"/>
          <w:sz w:val="28"/>
          <w:szCs w:val="28"/>
        </w:rPr>
        <w:t>、第五八五號解釋，法制上也制定了立法院職權行使法第四十五條相為因應，為何立法院文件調閱權之行使在今日仍遭受到困難，二院間職權行使仍存在機關權限之爭議？因此，如何在本院解釋及法律規定之基礎上，確立立法院之調查權，應是本件聲請案引領釋憲機關去面對、正視之問題，亦為本號解釋積極意義之所在。</w:t>
      </w:r>
    </w:p>
    <w:p w:rsidR="00F2632E" w:rsidRPr="00034E50" w:rsidRDefault="00F2632E" w:rsidP="00F2632E">
      <w:pPr>
        <w:spacing w:line="391" w:lineRule="exact"/>
        <w:jc w:val="both"/>
        <w:rPr>
          <w:sz w:val="28"/>
          <w:szCs w:val="28"/>
        </w:rPr>
      </w:pPr>
      <w:r>
        <w:rPr>
          <w:rFonts w:hint="eastAsia"/>
          <w:sz w:val="28"/>
          <w:szCs w:val="28"/>
        </w:rPr>
        <w:t>叁</w:t>
      </w:r>
      <w:r w:rsidRPr="00034E50">
        <w:rPr>
          <w:rFonts w:hAnsi="標楷體"/>
          <w:sz w:val="28"/>
          <w:szCs w:val="28"/>
        </w:rPr>
        <w:t>、偵查中案件卷證不得調閱之理由</w:t>
      </w:r>
    </w:p>
    <w:p w:rsidR="00F2632E" w:rsidRPr="00034E50" w:rsidRDefault="00F2632E" w:rsidP="00F2632E">
      <w:pPr>
        <w:spacing w:line="391" w:lineRule="exact"/>
        <w:ind w:left="567" w:firstLine="567"/>
        <w:jc w:val="both"/>
        <w:rPr>
          <w:sz w:val="28"/>
          <w:szCs w:val="28"/>
        </w:rPr>
      </w:pPr>
      <w:r w:rsidRPr="00034E50">
        <w:rPr>
          <w:rFonts w:hAnsi="標楷體"/>
          <w:sz w:val="28"/>
          <w:szCs w:val="28"/>
        </w:rPr>
        <w:t>解釋文中認為，「偵查中之案件，立法院自不得向其調閱相關卷證」。基於「偵查不公開原則」，本席贊成多數意見「在偵查中，立法院自不得向檢察機關調閱相關卷證」之結論，但不同意以「基於權力分立與制衡原則」為理由。蓋如非以「偵查不公開原則」為論據，檢察單位以外之上級行政機關豈非皆得以「行政一體」，未受「權力分立與制衡原則」之制約為理由，向檢察機關任意要求調閱偵查中案件之卷證？！</w:t>
      </w:r>
    </w:p>
    <w:p w:rsidR="00F2632E" w:rsidRPr="00034E50" w:rsidRDefault="00F2632E" w:rsidP="00F2632E">
      <w:pPr>
        <w:spacing w:line="391" w:lineRule="exact"/>
        <w:jc w:val="both"/>
        <w:rPr>
          <w:sz w:val="28"/>
          <w:szCs w:val="28"/>
        </w:rPr>
      </w:pPr>
      <w:r w:rsidRPr="00034E50">
        <w:rPr>
          <w:rFonts w:hAnsi="標楷體"/>
          <w:sz w:val="28"/>
          <w:szCs w:val="28"/>
        </w:rPr>
        <w:t>肆、已偵結案件卷證得否調閱之問題</w:t>
      </w:r>
    </w:p>
    <w:p w:rsidR="00F2632E" w:rsidRPr="00034E50" w:rsidRDefault="00F2632E" w:rsidP="00F2632E">
      <w:pPr>
        <w:spacing w:line="391" w:lineRule="exact"/>
        <w:ind w:left="567" w:firstLine="567"/>
        <w:jc w:val="both"/>
        <w:rPr>
          <w:sz w:val="28"/>
          <w:szCs w:val="28"/>
        </w:rPr>
      </w:pPr>
      <w:r w:rsidRPr="00034E50">
        <w:rPr>
          <w:rFonts w:hAnsi="標楷體"/>
          <w:sz w:val="28"/>
          <w:szCs w:val="28"/>
        </w:rPr>
        <w:t>向檢察機關調閱已偵查終結而不起訴處分確定或未經起訴而以其他方式結案之案件（下稱已偵結案件）之卷證部分，解釋理由</w:t>
      </w:r>
      <w:r w:rsidR="007C2024">
        <w:rPr>
          <w:rFonts w:hAnsi="標楷體" w:hint="eastAsia"/>
          <w:sz w:val="28"/>
          <w:szCs w:val="28"/>
        </w:rPr>
        <w:t>書</w:t>
      </w:r>
      <w:r w:rsidRPr="00034E50">
        <w:rPr>
          <w:rFonts w:hAnsi="標楷體"/>
          <w:sz w:val="28"/>
          <w:szCs w:val="28"/>
        </w:rPr>
        <w:t>第二段末稱，「立法院要求提供參考資料權及文件調閱權，係輔助立法院行使憲法職權之權力，故必須基於與議決法律案、預算案或人事同意權案等憲法上職權之特定議案有重大關聯者，始得為之。為判斷文件調閱權之行使是否與立法院職權之行使有重大關聯，上開立法院職權行使法第四十五條第一項所稱特定議案，其目的及範圍均應明確。」該段理由對立法院之文件調閱權，設下立法院職權行使法第四十五條所無，得由司法機關審查之新的限制性門檻。這種釋示方式，首先與憲法第八十條法官必須「依據法律獨立審判」</w:t>
      </w:r>
      <w:r w:rsidRPr="00034E50">
        <w:rPr>
          <w:rFonts w:hAnsi="標楷體"/>
          <w:sz w:val="28"/>
          <w:szCs w:val="28"/>
        </w:rPr>
        <w:lastRenderedPageBreak/>
        <w:t>的規定不盡相符。其次，基於國會調查權，文件調閱的必要性應屬於立法機關之裁量權，這與法院在審判程序中關於事實或證據之調查有裁量權基本上是相同的</w:t>
      </w:r>
      <w:r w:rsidR="00173265">
        <w:rPr>
          <w:sz w:val="28"/>
          <w:szCs w:val="28"/>
        </w:rPr>
        <w:t>（</w:t>
      </w:r>
      <w:r w:rsidRPr="00034E50">
        <w:rPr>
          <w:rFonts w:hAnsi="標楷體"/>
          <w:sz w:val="28"/>
          <w:szCs w:val="28"/>
        </w:rPr>
        <w:t>行政訴訟法第一百二十五條、刑事訴訟法第一百六十三條、第一百六十三條之二參照</w:t>
      </w:r>
      <w:r w:rsidR="00173265">
        <w:rPr>
          <w:sz w:val="28"/>
          <w:szCs w:val="28"/>
        </w:rPr>
        <w:t>）</w:t>
      </w:r>
      <w:r w:rsidRPr="00034E50">
        <w:rPr>
          <w:rFonts w:hAnsi="標楷體"/>
          <w:sz w:val="28"/>
          <w:szCs w:val="28"/>
        </w:rPr>
        <w:t>。至於立法機關職權行使如發生濫用之情形，自有人民透過選舉來加以制約，因此，容不得在釋憲解釋中，另設「須基於目的與範圍均屬明確之特定議案，並與其行使憲法上職權有重大關聯」對其加以限制。蓋所謂「特定議案」，在文法上，所指者應只是「某一個議案」，沒有從「特定議案」引伸出該議案「基於目的與範圍均屬明確」的問題。若非如是，在制定法律過程中，因一切尚待形成共識，殊難想像如何要求立法機關告知明確之目的與範圍？此外，亦無須有該議案必須與立法院「行使憲法上職權有重大關聯」之限制。難不成真認為，司法機關適合介入立法院或其委員會之決議，審查立法委員在立法院之所為是否「與其行使憲法上職權有重大關聯」？司法機關不擔心因此捲入立法與行政機關間之政治糾葛，而使司法中立之形象受到質疑嗎？</w:t>
      </w:r>
    </w:p>
    <w:p w:rsidR="00F2632E" w:rsidRPr="00034E50" w:rsidRDefault="00F2632E" w:rsidP="00F2632E">
      <w:pPr>
        <w:spacing w:line="391" w:lineRule="exact"/>
        <w:ind w:left="567" w:firstLine="567"/>
        <w:jc w:val="both"/>
        <w:rPr>
          <w:sz w:val="28"/>
          <w:szCs w:val="28"/>
        </w:rPr>
      </w:pPr>
      <w:r w:rsidRPr="00034E50">
        <w:rPr>
          <w:rFonts w:hAnsi="標楷體"/>
          <w:sz w:val="28"/>
          <w:szCs w:val="28"/>
        </w:rPr>
        <w:t>本席認為合宜的作法應為，依立法院職權行使法第四十七條第一項前段：「受要求調閱文件之機關，除依法律或其他正當理由得拒絕外，應於五日內提供之。」受要求調閱文件之機關如認為其有得拒絕提供文件之除外事由而得拒絕立法機關之調閱時，應就該等正當事由之存在負舉證、說明之責任，由本院就受要求調閱文件之機關所主張之除外事由是否存在為調查，而後認定其拒絕提供是否屬正當事由。再者，本件聲請案之原因案件涉及檢察機關對人民或國會監聽有無濫權的問題。國家機關為偵查犯罪之必要而對人民為監聽固有其正當性，惟因監聽對於人民基本權利之危害性甚大，必須要讓從事監聽的機關清楚意識到，其監聽行為事後必然將受到監督，以防止其恣意而為。立法院文件調閱權於此即係為發揮此一監督制衡機制，而應予肯認。基此，解釋意旨，極其量應僅使檢察機關得提出拒絕調閱之正當事由，供本院進行判斷，而非對於立法文件調閱權之行使，增加至今本院解釋及法律所無之限制。</w:t>
      </w:r>
    </w:p>
    <w:p w:rsidR="00F2632E" w:rsidRPr="00034E50" w:rsidRDefault="00F2632E" w:rsidP="00F2632E">
      <w:pPr>
        <w:spacing w:line="391" w:lineRule="exact"/>
        <w:ind w:left="567" w:firstLine="567"/>
        <w:jc w:val="both"/>
        <w:rPr>
          <w:sz w:val="28"/>
          <w:szCs w:val="28"/>
        </w:rPr>
      </w:pPr>
      <w:r w:rsidRPr="00034E50">
        <w:rPr>
          <w:rFonts w:hAnsi="標楷體"/>
          <w:sz w:val="28"/>
          <w:szCs w:val="28"/>
        </w:rPr>
        <w:t>關於妨害另案偵查部分，基於文件之可分性，不適合籠統論述，而應指明已偵結案件卷證中，如有全部或部分與偵查中之另案有關，則應將該部分分割出來，視為尚未偵結之卷證處理；至於與偵查中之另案無關部分，應即依立法院職權行使法第四十五條提供卷證，以防止受調閱請求之機關依該條規定，規避應提供卷證的義務。</w:t>
      </w:r>
    </w:p>
    <w:p w:rsidR="00F2632E" w:rsidRPr="00034E50" w:rsidRDefault="00F2632E" w:rsidP="00F2632E">
      <w:pPr>
        <w:spacing w:line="391" w:lineRule="exact"/>
        <w:jc w:val="both"/>
        <w:rPr>
          <w:sz w:val="28"/>
          <w:szCs w:val="28"/>
        </w:rPr>
      </w:pPr>
      <w:r w:rsidRPr="00034E50">
        <w:rPr>
          <w:rFonts w:hAnsi="標楷體"/>
          <w:sz w:val="28"/>
          <w:szCs w:val="28"/>
        </w:rPr>
        <w:t>伍、破壞司法中立形象之隱憂</w:t>
      </w:r>
    </w:p>
    <w:p w:rsidR="00F2632E" w:rsidRPr="00034E50" w:rsidRDefault="00F2632E" w:rsidP="00F2632E">
      <w:pPr>
        <w:spacing w:line="391" w:lineRule="exact"/>
        <w:ind w:left="567" w:firstLine="567"/>
        <w:jc w:val="both"/>
        <w:rPr>
          <w:sz w:val="28"/>
          <w:szCs w:val="28"/>
        </w:rPr>
      </w:pPr>
      <w:r w:rsidRPr="00034E50">
        <w:rPr>
          <w:rFonts w:hAnsi="標楷體"/>
          <w:sz w:val="28"/>
          <w:szCs w:val="28"/>
        </w:rPr>
        <w:t>本號解釋並未深入論究，監察院式微後，國會調查權應有之內容與範圍，以適應現代民主憲政國家國會對於行政機關之制衡的需要，即以補充解釋之名，對釋字</w:t>
      </w:r>
      <w:r w:rsidR="00CD04F9">
        <w:rPr>
          <w:rFonts w:hAnsi="標楷體" w:hint="eastAsia"/>
          <w:sz w:val="28"/>
          <w:szCs w:val="28"/>
        </w:rPr>
        <w:t>第</w:t>
      </w:r>
      <w:r w:rsidRPr="00034E50">
        <w:rPr>
          <w:rFonts w:hAnsi="標楷體"/>
          <w:sz w:val="28"/>
          <w:szCs w:val="28"/>
        </w:rPr>
        <w:t>三二五號解釋肯認之國會文件調閱權予以限制，此舉</w:t>
      </w:r>
      <w:r w:rsidRPr="00034E50">
        <w:rPr>
          <w:rFonts w:hAnsi="標楷體"/>
          <w:sz w:val="28"/>
          <w:szCs w:val="28"/>
        </w:rPr>
        <w:lastRenderedPageBreak/>
        <w:t>非但可能阻礙民主憲政國家透過立法與行政相互制衡而合理發展的可能性，更使司法機關在立法及行政之衝突中，有被疑為選邊站之風險，論述過於速斷。</w:t>
      </w:r>
    </w:p>
    <w:p w:rsidR="00F2632E" w:rsidRPr="00034E50" w:rsidRDefault="00F2632E" w:rsidP="00F2632E">
      <w:pPr>
        <w:spacing w:line="391" w:lineRule="exact"/>
        <w:ind w:left="567" w:firstLine="567"/>
        <w:jc w:val="both"/>
        <w:rPr>
          <w:sz w:val="28"/>
          <w:szCs w:val="28"/>
        </w:rPr>
      </w:pPr>
      <w:r w:rsidRPr="00034E50">
        <w:rPr>
          <w:rFonts w:hAnsi="標楷體"/>
          <w:sz w:val="28"/>
          <w:szCs w:val="28"/>
        </w:rPr>
        <w:t>另外，關於文件影本與原本等同之論述，按文件向有原本及影本之別，依立法院職權行使法第四十五條：「立法院經院會決議，得設調閱委員會，或經委員會之決議，得設調閱專案小組，要求有關機關就特定議案涉及事項提供參考資料。調閱委員會或調閱專案小組於必要時，得經院會之決議，向有關機關調閱前項議案涉及事項之文件原本。」其明文僅規定調閱文件原本需經院會之決議未及於影本。本席以為，如認為立法院在制定立法院職權行使法第四十五條時，對於影本部分得否調閱、其調閱程序為何等，考慮未盡周延，則妥適之解釋應是經由本院要求，立法院再行審慎思量，在該條中明白就影本之調閱，是否需經院會之決議加以規定，以藉此彰顯司法機關對於立法機關決議之尊重，並促進立法院在立法技術上之精進。然今本號解釋在法律未明文規定影本應與原本適用相同規定前，逕為解釋：「調閱偵查卷證之文件原本或與原本內容相同之影本者，應經立法院院會決議」。自己在解釋中，直接將影本與原本為等同之規定。這不僅衍生該等同之見解或規定，是否能夠放諸其他案件亦皆適宜的疑問，且經由司法機關之解釋，不但擴大法律明文規定，應經立法院院會決議始得調閱之文件的範圍，而且同時增加受調閱機關得拒絕調閱的正當事由。在該擴大及增加之拒絕事由的範圍，本號解釋對立法院文件調閱權之行使，增加法律明文所無之限制。假設後來立法院在第四十五條明定，調閱影本不須</w:t>
      </w:r>
      <w:r w:rsidR="00CD04F9">
        <w:rPr>
          <w:rFonts w:hAnsi="標楷體" w:hint="eastAsia"/>
          <w:sz w:val="28"/>
          <w:szCs w:val="28"/>
        </w:rPr>
        <w:t>經</w:t>
      </w:r>
      <w:r w:rsidRPr="00034E50">
        <w:rPr>
          <w:rFonts w:hAnsi="標楷體"/>
          <w:sz w:val="28"/>
          <w:szCs w:val="28"/>
        </w:rPr>
        <w:t>院會之決議，則該爭議豈不演變成行政、立法及司法機關間之爭議！</w:t>
      </w:r>
    </w:p>
    <w:p w:rsidR="00F2632E" w:rsidRPr="00034E50" w:rsidRDefault="00F2632E" w:rsidP="00F2632E">
      <w:pPr>
        <w:spacing w:line="391" w:lineRule="exact"/>
        <w:ind w:left="567" w:firstLine="567"/>
        <w:jc w:val="both"/>
        <w:rPr>
          <w:sz w:val="28"/>
          <w:szCs w:val="28"/>
        </w:rPr>
      </w:pPr>
      <w:r w:rsidRPr="00034E50">
        <w:rPr>
          <w:rFonts w:hAnsi="標楷體"/>
          <w:sz w:val="28"/>
          <w:szCs w:val="28"/>
        </w:rPr>
        <w:t>在前開氛圍中，司法中立之形象易趨模糊，而使司法機關基於中立第三權角色，定分止爭的功能，可能受到影響。該可能的發展，不能不讓人深感不安。</w:t>
      </w:r>
    </w:p>
    <w:p w:rsidR="00F2632E" w:rsidRPr="00034E50" w:rsidRDefault="00F2632E" w:rsidP="00F2632E">
      <w:pPr>
        <w:spacing w:line="391" w:lineRule="exact"/>
        <w:jc w:val="both"/>
        <w:rPr>
          <w:sz w:val="28"/>
          <w:szCs w:val="28"/>
        </w:rPr>
      </w:pPr>
      <w:r w:rsidRPr="00034E50">
        <w:rPr>
          <w:rFonts w:hAnsi="標楷體"/>
          <w:sz w:val="28"/>
          <w:szCs w:val="28"/>
        </w:rPr>
        <w:t>陸、本聲請案所涉法律問題立法院在立法上無能為力</w:t>
      </w:r>
    </w:p>
    <w:p w:rsidR="00F2632E" w:rsidRPr="00034E50" w:rsidRDefault="00F2632E" w:rsidP="005E362F">
      <w:pPr>
        <w:tabs>
          <w:tab w:val="left" w:pos="2127"/>
        </w:tabs>
        <w:spacing w:line="391" w:lineRule="exact"/>
        <w:ind w:left="567" w:firstLine="567"/>
        <w:jc w:val="both"/>
        <w:rPr>
          <w:sz w:val="28"/>
          <w:szCs w:val="28"/>
        </w:rPr>
      </w:pPr>
      <w:r w:rsidRPr="00034E50">
        <w:rPr>
          <w:rFonts w:hAnsi="標楷體"/>
          <w:sz w:val="28"/>
          <w:szCs w:val="28"/>
        </w:rPr>
        <w:t>本號解釋理由</w:t>
      </w:r>
      <w:r w:rsidR="00CD04F9">
        <w:rPr>
          <w:rFonts w:hAnsi="標楷體" w:hint="eastAsia"/>
          <w:sz w:val="28"/>
          <w:szCs w:val="28"/>
        </w:rPr>
        <w:t>書</w:t>
      </w:r>
      <w:r w:rsidRPr="00034E50">
        <w:rPr>
          <w:rFonts w:hAnsi="標楷體"/>
          <w:sz w:val="28"/>
          <w:szCs w:val="28"/>
        </w:rPr>
        <w:t>第一段，既然認為：「本件緣於立法院司法及法制委員會（下稱司法及法制委員會）為審查通訊保障及監察法部分條文修正草案等法律案，依立法院職權行使法第四十五條規定，向聲請人最高法院檢察署調閱該署一</w:t>
      </w:r>
      <w:r w:rsidR="001466FF" w:rsidRPr="008E5F41">
        <w:rPr>
          <w:rFonts w:ascii="標楷體" w:hAnsi="標楷體" w:hint="eastAsia"/>
          <w:sz w:val="28"/>
          <w:szCs w:val="28"/>
        </w:rPr>
        <w:t>○○</w:t>
      </w:r>
      <w:r w:rsidRPr="00034E50">
        <w:rPr>
          <w:rFonts w:hAnsi="標楷體"/>
          <w:sz w:val="28"/>
          <w:szCs w:val="28"/>
        </w:rPr>
        <w:t>年度特他字第六一號偵查卷證之通訊監察聲請書、筆錄、監聽譯文、公文等卷證文書影本及監聽光碟片。聲請人認依司法院釋字第三二五號、第五八五號解釋意旨，檢察官之偵查係對外獨立行使職權，與法官之刑事審判，應同受憲法保障，且偵查卷證係偵查行為之一部，為犯罪偵查不公開之事項，非屬立法院所得調閱之事物範圍。即令案件偵查終結後，若檢察官有違法、不當之情事，亦應由監察院調查。立法院僅能在制度、預算、法律等事項對檢察機關進行通案監督，應無介入個案調閱</w:t>
      </w:r>
      <w:r w:rsidRPr="00034E50">
        <w:rPr>
          <w:rFonts w:hAnsi="標楷體"/>
          <w:sz w:val="28"/>
          <w:szCs w:val="28"/>
        </w:rPr>
        <w:lastRenderedPageBreak/>
        <w:t>偵查卷證之餘地等情，而拒絕提供調閱之卷證。司法及法制委員會因認聲請人之檢察總長迴避監督、藐視國會，將檢察總長函送監察院調查。是聲請人即有本於偵查職權而與立法院調閱文件之職權發生適用憲法之爭議，乃報請其上級機關法務部，層轉行政院聲請解釋憲法。經核與司法院大法官審理案件法第五條第一項第一款、第九條之規定相符，應予受理，合先敘明」後，卻又在第六段認為，「立法院行使文件調閱權，如與受調閱之機關發生諸如：所調閱之事項是否屬於國家機關獨立行使職權受憲法保障之範疇、是否基於與立法院憲法上職權之特定議案有重大關聯、是否屬於法律所禁止調閱之範圍、是否依法定組織及程序調閱、以及拒絕調閱是否有正當理由等爭議時，立法院與受調閱之機關，宜循協商途徑合理解決，或以法律明定相關要件與程序，由司法機關審理解決之。相關機關應儘速建立解決機關爭議之法律機制，併此指明。」而不即在本號解釋中對於立法院得否調閱已偵結案件之卷證資料給予明確之判斷。試問，本件聲請案既涉及司法院大法官審理案件法第五條第一項第一款所定之憲法上爭議，類此問題，還能要求立法院儘速建立解決機關爭議之哪種法律機制？</w:t>
      </w:r>
    </w:p>
    <w:p w:rsidR="00F2632E" w:rsidRPr="00034E50" w:rsidRDefault="00F2632E" w:rsidP="00F2632E">
      <w:pPr>
        <w:spacing w:line="391" w:lineRule="exact"/>
        <w:jc w:val="both"/>
        <w:rPr>
          <w:sz w:val="28"/>
          <w:szCs w:val="28"/>
        </w:rPr>
      </w:pPr>
      <w:r w:rsidRPr="00034E50">
        <w:rPr>
          <w:rFonts w:hAnsi="標楷體"/>
          <w:sz w:val="28"/>
          <w:szCs w:val="28"/>
        </w:rPr>
        <w:t>柒、後語</w:t>
      </w:r>
    </w:p>
    <w:p w:rsidR="00F2632E" w:rsidRPr="00034E50" w:rsidRDefault="00F2632E" w:rsidP="00F2632E">
      <w:pPr>
        <w:spacing w:line="391" w:lineRule="exact"/>
        <w:ind w:left="567" w:firstLine="567"/>
        <w:jc w:val="both"/>
        <w:rPr>
          <w:sz w:val="28"/>
          <w:szCs w:val="28"/>
        </w:rPr>
      </w:pPr>
      <w:r w:rsidRPr="00034E50">
        <w:rPr>
          <w:rFonts w:hAnsi="標楷體"/>
          <w:sz w:val="28"/>
          <w:szCs w:val="28"/>
        </w:rPr>
        <w:t>在國家權力區分之憲政體制，必須體認，行政一方「權、錢獨大」之現實，需要立法機關經數代人之努力，才有可能加以馴服。因此，不僅行政機關應謙沖自牧行使其行政權，以善盡管理眾人之事的任務，立法機關亦應用心充實自己的知識與能力，理性監督行政機關，不可偷懶率性而為，耽溺於外表上可以對於行政人員頤指氣使之虛幻的權力中，以致於難以真正監督行政機關。對於立法機關所作之決議，基於民主正當性所賦予之權威，任一機關應加以尊重，且在無牴觸民主憲政原則或產生違憲疑義之前提下，法律如有所不完足，應由立法機關自行透過立法或修法方式解決，而此時，司法機關應協助維護立法權之尊嚴，使權力分立制度順利運行；當立法機關所作之決議產生牴觸民主憲政原則或違憲之疑義，或與他機關職權行使產生權限爭議時，則應訴諸司法（釋憲）機關依法加以判斷。正因釋憲機關是民主憲政運作下對於爭議之最後審判機關，當其被聲請解決機關權限爭議時，應積極、嚴正面對之。倘一時真有不能提出妥適之判斷，則應遵守寧缺勿濫之原則，守住中立的角色與立場。否則，一旦稍有引起偏袒於哪一方的疑問，司法權未來將難再作為行政、立法雙方均可信賴之第三權，以平息權力區分體制運作中，所引起之非儘速平息不可之憲政爭議。</w:t>
      </w:r>
    </w:p>
    <w:p w:rsidR="00F2632E" w:rsidRPr="00034E50" w:rsidRDefault="00F2632E" w:rsidP="00F2632E">
      <w:pPr>
        <w:spacing w:line="391" w:lineRule="exact"/>
        <w:ind w:left="567" w:firstLine="567"/>
        <w:jc w:val="both"/>
        <w:rPr>
          <w:sz w:val="28"/>
          <w:szCs w:val="28"/>
        </w:rPr>
      </w:pPr>
      <w:r w:rsidRPr="00034E50">
        <w:rPr>
          <w:rFonts w:hAnsi="標楷體"/>
          <w:sz w:val="28"/>
          <w:szCs w:val="28"/>
        </w:rPr>
        <w:t>以本案而言，立法院調查權所涉及之範圍至多至廣，其爭議之解決，難以期待畢其功於一役，試圖以一個解釋將全部問題解決。倘容透過釋憲機關逐一面對問題，就具體發生之機關權限爭議逐一處理，假以時日當能</w:t>
      </w:r>
      <w:r w:rsidRPr="00034E50">
        <w:rPr>
          <w:rFonts w:hAnsi="標楷體"/>
          <w:sz w:val="28"/>
          <w:szCs w:val="28"/>
        </w:rPr>
        <w:lastRenderedPageBreak/>
        <w:t>形成穩定、和諧的權力分立制度。本號解釋如一時真有困難，就立法院職權行使法第四十五條，仍不適合率然解釋調閱內容與原本相同之影本，應與原本一樣，先經院會之決議；極其量應僅可解釋，由立法院以立法的方式，再次確認關於影本的調閱是否需要經立法院院會決議。在其以立法方式明確規定後，各方皆應遵守國會之立法權威，不得抗拒。</w:t>
      </w:r>
    </w:p>
    <w:p w:rsidR="00F2632E" w:rsidRPr="00034E50" w:rsidRDefault="00F2632E" w:rsidP="00F2632E">
      <w:pPr>
        <w:spacing w:line="391" w:lineRule="exact"/>
        <w:jc w:val="both"/>
        <w:rPr>
          <w:sz w:val="28"/>
          <w:szCs w:val="28"/>
        </w:rPr>
      </w:pPr>
    </w:p>
    <w:p w:rsidR="009A10CB" w:rsidRPr="00946876" w:rsidRDefault="009A10CB" w:rsidP="009A10CB">
      <w:pPr>
        <w:kinsoku w:val="0"/>
        <w:overflowPunct w:val="0"/>
        <w:spacing w:line="391" w:lineRule="exact"/>
        <w:jc w:val="both"/>
        <w:rPr>
          <w:rFonts w:ascii="華康粗黑體" w:eastAsia="華康粗黑體" w:hAnsi="標楷體"/>
          <w:bCs/>
          <w:color w:val="000000"/>
          <w:kern w:val="0"/>
          <w:sz w:val="28"/>
          <w:szCs w:val="28"/>
        </w:rPr>
      </w:pPr>
      <w:r>
        <w:rPr>
          <w:rFonts w:ascii="華康粗黑體" w:eastAsia="華康粗黑體" w:hAnsi="標楷體" w:hint="eastAsia"/>
          <w:bCs/>
          <w:color w:val="000000"/>
          <w:kern w:val="0"/>
          <w:sz w:val="28"/>
          <w:szCs w:val="28"/>
        </w:rPr>
        <w:t>【</w:t>
      </w:r>
      <w:r w:rsidRPr="00946876">
        <w:rPr>
          <w:rFonts w:ascii="華康粗黑體" w:eastAsia="華康粗黑體" w:hAnsi="標楷體"/>
          <w:bCs/>
          <w:color w:val="000000"/>
          <w:kern w:val="0"/>
          <w:sz w:val="28"/>
          <w:szCs w:val="28"/>
        </w:rPr>
        <w:t>編按：以下照錄釋憲聲請書原文</w:t>
      </w:r>
      <w:r>
        <w:rPr>
          <w:rFonts w:ascii="華康粗黑體" w:eastAsia="華康粗黑體" w:hAnsi="標楷體" w:hint="eastAsia"/>
          <w:bCs/>
          <w:color w:val="000000"/>
          <w:kern w:val="0"/>
          <w:sz w:val="28"/>
          <w:szCs w:val="28"/>
        </w:rPr>
        <w:t>】</w:t>
      </w:r>
    </w:p>
    <w:p w:rsidR="009A10CB" w:rsidRPr="003618C7" w:rsidRDefault="009A10CB" w:rsidP="009A10CB">
      <w:pPr>
        <w:kinsoku w:val="0"/>
        <w:overflowPunct w:val="0"/>
        <w:spacing w:line="391" w:lineRule="exact"/>
        <w:jc w:val="both"/>
        <w:rPr>
          <w:rFonts w:ascii="華康粗黑體" w:eastAsia="華康粗黑體" w:hAnsi="標楷體"/>
          <w:bCs/>
          <w:color w:val="000000"/>
          <w:kern w:val="0"/>
          <w:sz w:val="28"/>
          <w:szCs w:val="28"/>
        </w:rPr>
      </w:pPr>
      <w:r w:rsidRPr="003618C7">
        <w:rPr>
          <w:rFonts w:ascii="華康粗黑體" w:eastAsia="華康粗黑體" w:hAnsi="標楷體"/>
          <w:bCs/>
          <w:color w:val="000000"/>
          <w:kern w:val="0"/>
          <w:sz w:val="28"/>
          <w:szCs w:val="28"/>
        </w:rPr>
        <w:t>抄</w:t>
      </w:r>
      <w:r w:rsidRPr="009A10CB">
        <w:rPr>
          <w:rFonts w:ascii="華康粗黑體" w:eastAsia="華康粗黑體" w:hAnsi="標楷體" w:hint="eastAsia"/>
          <w:bCs/>
          <w:color w:val="000000"/>
          <w:kern w:val="0"/>
          <w:sz w:val="28"/>
          <w:szCs w:val="28"/>
        </w:rPr>
        <w:t>最高法院檢察署</w:t>
      </w:r>
      <w:r w:rsidRPr="003618C7">
        <w:rPr>
          <w:rFonts w:ascii="華康粗黑體" w:eastAsia="華康粗黑體" w:hAnsi="標楷體"/>
          <w:bCs/>
          <w:color w:val="000000"/>
          <w:kern w:val="0"/>
          <w:sz w:val="28"/>
          <w:szCs w:val="28"/>
        </w:rPr>
        <w:t>聲請書</w:t>
      </w:r>
    </w:p>
    <w:p w:rsidR="003247EA" w:rsidRPr="004F3B2F" w:rsidRDefault="003247EA" w:rsidP="004A01B9">
      <w:pPr>
        <w:widowControl/>
        <w:spacing w:line="391" w:lineRule="exact"/>
        <w:ind w:left="1120" w:right="42" w:hangingChars="400" w:hanging="1120"/>
        <w:jc w:val="both"/>
        <w:rPr>
          <w:color w:val="000000"/>
          <w:kern w:val="0"/>
          <w:sz w:val="28"/>
          <w:szCs w:val="28"/>
          <w:lang w:val="en-US"/>
        </w:rPr>
      </w:pPr>
      <w:r w:rsidRPr="004F3B2F">
        <w:rPr>
          <w:rFonts w:hAnsi="標楷體"/>
          <w:color w:val="000000"/>
          <w:kern w:val="0"/>
          <w:sz w:val="28"/>
          <w:szCs w:val="28"/>
          <w:lang w:val="en-US"/>
        </w:rPr>
        <w:t>主</w:t>
      </w:r>
      <w:r>
        <w:rPr>
          <w:rFonts w:hint="eastAsia"/>
          <w:color w:val="000000"/>
          <w:kern w:val="0"/>
          <w:sz w:val="28"/>
          <w:szCs w:val="28"/>
          <w:lang w:val="en-US"/>
        </w:rPr>
        <w:t xml:space="preserve">　</w:t>
      </w:r>
      <w:r w:rsidRPr="004F3B2F">
        <w:rPr>
          <w:rFonts w:hAnsi="標楷體"/>
          <w:color w:val="000000"/>
          <w:kern w:val="0"/>
          <w:sz w:val="28"/>
          <w:szCs w:val="28"/>
          <w:lang w:val="en-US"/>
        </w:rPr>
        <w:t>旨：有關</w:t>
      </w:r>
      <w:r w:rsidRPr="004F3B2F">
        <w:rPr>
          <w:rFonts w:hAnsi="標楷體"/>
          <w:color w:val="000000"/>
          <w:sz w:val="28"/>
          <w:szCs w:val="28"/>
        </w:rPr>
        <w:t>立法院司法及法制委員會成立「監聽調閱專案小組」行使調查權及調閱權，函請本署特別偵查組檢察官提供偵查卷證資料等節</w:t>
      </w:r>
      <w:r w:rsidRPr="004F3B2F">
        <w:rPr>
          <w:rFonts w:hAnsi="標楷體"/>
          <w:color w:val="000000"/>
          <w:kern w:val="0"/>
          <w:sz w:val="28"/>
          <w:szCs w:val="28"/>
          <w:lang w:val="en-US"/>
        </w:rPr>
        <w:t>，因檢察機關是否同意調閱之職權行使</w:t>
      </w:r>
      <w:r w:rsidRPr="004F3B2F">
        <w:rPr>
          <w:rFonts w:hAnsi="標楷體"/>
          <w:color w:val="000000"/>
          <w:sz w:val="28"/>
          <w:szCs w:val="28"/>
        </w:rPr>
        <w:t>有適用憲法及牴觸憲法之疑義，</w:t>
      </w:r>
      <w:r w:rsidRPr="004F3B2F">
        <w:rPr>
          <w:rFonts w:hAnsi="標楷體"/>
          <w:color w:val="000000"/>
          <w:kern w:val="0"/>
          <w:sz w:val="28"/>
          <w:szCs w:val="28"/>
          <w:lang w:val="en-US"/>
        </w:rPr>
        <w:t>爰依司法院大法官審理案件法第</w:t>
      </w:r>
      <w:r w:rsidRPr="004F3B2F">
        <w:rPr>
          <w:color w:val="000000"/>
          <w:kern w:val="0"/>
          <w:sz w:val="28"/>
          <w:szCs w:val="28"/>
          <w:lang w:val="en-US"/>
        </w:rPr>
        <w:t>5</w:t>
      </w:r>
      <w:r w:rsidRPr="004F3B2F">
        <w:rPr>
          <w:rFonts w:hAnsi="標楷體"/>
          <w:color w:val="000000"/>
          <w:kern w:val="0"/>
          <w:sz w:val="28"/>
          <w:szCs w:val="28"/>
          <w:lang w:val="en-US"/>
        </w:rPr>
        <w:t>條第</w:t>
      </w:r>
      <w:r w:rsidRPr="004F3B2F">
        <w:rPr>
          <w:color w:val="000000"/>
          <w:kern w:val="0"/>
          <w:sz w:val="28"/>
          <w:szCs w:val="28"/>
          <w:lang w:val="en-US"/>
        </w:rPr>
        <w:t>1</w:t>
      </w:r>
      <w:r w:rsidRPr="004F3B2F">
        <w:rPr>
          <w:rFonts w:hAnsi="標楷體"/>
          <w:color w:val="000000"/>
          <w:kern w:val="0"/>
          <w:sz w:val="28"/>
          <w:szCs w:val="28"/>
          <w:lang w:val="en-US"/>
        </w:rPr>
        <w:t>項第</w:t>
      </w:r>
      <w:r w:rsidRPr="004F3B2F">
        <w:rPr>
          <w:color w:val="000000"/>
          <w:kern w:val="0"/>
          <w:sz w:val="28"/>
          <w:szCs w:val="28"/>
          <w:lang w:val="en-US"/>
        </w:rPr>
        <w:t>1</w:t>
      </w:r>
      <w:r w:rsidRPr="004F3B2F">
        <w:rPr>
          <w:rFonts w:hAnsi="標楷體"/>
          <w:color w:val="000000"/>
          <w:kern w:val="0"/>
          <w:sz w:val="28"/>
          <w:szCs w:val="28"/>
          <w:lang w:val="en-US"/>
        </w:rPr>
        <w:t>款規定，聲請</w:t>
      </w:r>
      <w:r w:rsidR="00251C64">
        <w:rPr>
          <w:rFonts w:hint="eastAsia"/>
          <w:color w:val="000000"/>
          <w:kern w:val="0"/>
          <w:sz w:val="28"/>
          <w:szCs w:val="28"/>
          <w:lang w:val="en-US"/>
        </w:rPr>
        <w:t xml:space="preserve">　</w:t>
      </w:r>
      <w:r w:rsidRPr="004F3B2F">
        <w:rPr>
          <w:rFonts w:hAnsi="標楷體"/>
          <w:color w:val="000000"/>
          <w:kern w:val="0"/>
          <w:sz w:val="28"/>
          <w:szCs w:val="28"/>
          <w:lang w:val="en-US"/>
        </w:rPr>
        <w:t>大院惠予解釋。</w:t>
      </w:r>
    </w:p>
    <w:p w:rsidR="003247EA" w:rsidRPr="004F3B2F" w:rsidRDefault="003247EA" w:rsidP="003247EA">
      <w:pPr>
        <w:widowControl/>
        <w:spacing w:line="391" w:lineRule="exact"/>
        <w:ind w:right="-58"/>
        <w:rPr>
          <w:color w:val="000000"/>
          <w:kern w:val="0"/>
          <w:sz w:val="28"/>
          <w:szCs w:val="28"/>
          <w:lang w:val="en-US"/>
        </w:rPr>
      </w:pPr>
      <w:r w:rsidRPr="004F3B2F">
        <w:rPr>
          <w:rFonts w:hAnsi="標楷體"/>
          <w:color w:val="000000"/>
          <w:kern w:val="0"/>
          <w:sz w:val="28"/>
          <w:szCs w:val="28"/>
          <w:lang w:val="en-US"/>
        </w:rPr>
        <w:t>說</w:t>
      </w:r>
      <w:r>
        <w:rPr>
          <w:rFonts w:hint="eastAsia"/>
          <w:color w:val="000000"/>
          <w:kern w:val="0"/>
          <w:sz w:val="28"/>
          <w:szCs w:val="28"/>
          <w:lang w:val="en-US"/>
        </w:rPr>
        <w:t xml:space="preserve">　</w:t>
      </w:r>
      <w:r w:rsidRPr="004F3B2F">
        <w:rPr>
          <w:rFonts w:hAnsi="標楷體"/>
          <w:color w:val="000000"/>
          <w:kern w:val="0"/>
          <w:sz w:val="28"/>
          <w:szCs w:val="28"/>
          <w:lang w:val="en-US"/>
        </w:rPr>
        <w:t>明：</w:t>
      </w:r>
    </w:p>
    <w:p w:rsidR="003247EA" w:rsidRPr="00CD04F9" w:rsidRDefault="003247EA" w:rsidP="003247EA">
      <w:pPr>
        <w:widowControl/>
        <w:spacing w:line="391" w:lineRule="exact"/>
        <w:ind w:right="-58"/>
        <w:rPr>
          <w:color w:val="000000"/>
          <w:sz w:val="28"/>
          <w:szCs w:val="28"/>
        </w:rPr>
      </w:pPr>
      <w:r w:rsidRPr="00CD04F9">
        <w:rPr>
          <w:rFonts w:hAnsi="標楷體"/>
          <w:color w:val="000000"/>
          <w:kern w:val="0"/>
          <w:sz w:val="28"/>
          <w:szCs w:val="28"/>
          <w:lang w:val="en-US"/>
        </w:rPr>
        <w:t>一、</w:t>
      </w:r>
      <w:r w:rsidRPr="00CD04F9">
        <w:rPr>
          <w:rFonts w:hAnsi="標楷體"/>
          <w:color w:val="000000"/>
          <w:sz w:val="28"/>
          <w:szCs w:val="28"/>
        </w:rPr>
        <w:t>聲請解釋憲法之目的</w:t>
      </w:r>
    </w:p>
    <w:p w:rsidR="003247EA" w:rsidRPr="004F3B2F" w:rsidRDefault="003247EA" w:rsidP="003D5A49">
      <w:pPr>
        <w:kinsoku w:val="0"/>
        <w:overflowPunct w:val="0"/>
        <w:spacing w:line="391" w:lineRule="exact"/>
        <w:ind w:left="567" w:firstLine="567"/>
        <w:jc w:val="both"/>
        <w:rPr>
          <w:color w:val="000000"/>
          <w:sz w:val="28"/>
          <w:szCs w:val="28"/>
        </w:rPr>
      </w:pPr>
      <w:r w:rsidRPr="004F3B2F">
        <w:rPr>
          <w:rFonts w:hAnsi="標楷體"/>
          <w:color w:val="000000"/>
          <w:sz w:val="28"/>
          <w:szCs w:val="28"/>
        </w:rPr>
        <w:t>立法院司法及法制委員會依立法院職權行使法第</w:t>
      </w:r>
      <w:r w:rsidRPr="004F3B2F">
        <w:rPr>
          <w:color w:val="000000"/>
          <w:sz w:val="28"/>
          <w:szCs w:val="28"/>
        </w:rPr>
        <w:t>45</w:t>
      </w:r>
      <w:r w:rsidRPr="004F3B2F">
        <w:rPr>
          <w:rFonts w:hAnsi="標楷體"/>
          <w:color w:val="000000"/>
          <w:sz w:val="28"/>
          <w:szCs w:val="28"/>
        </w:rPr>
        <w:t>條之規定，決議成立「立法院司法及法制委員會『監聽調閱專案小組』」</w:t>
      </w:r>
      <w:r>
        <w:rPr>
          <w:color w:val="000000"/>
          <w:sz w:val="28"/>
          <w:szCs w:val="28"/>
        </w:rPr>
        <w:t>（</w:t>
      </w:r>
      <w:r w:rsidRPr="004F3B2F">
        <w:rPr>
          <w:rFonts w:hAnsi="標楷體"/>
          <w:color w:val="000000"/>
          <w:sz w:val="28"/>
          <w:szCs w:val="28"/>
        </w:rPr>
        <w:t>下稱監聽調閱小組</w:t>
      </w:r>
      <w:r>
        <w:rPr>
          <w:color w:val="000000"/>
          <w:sz w:val="28"/>
          <w:szCs w:val="28"/>
        </w:rPr>
        <w:t>）</w:t>
      </w:r>
      <w:r w:rsidRPr="004F3B2F">
        <w:rPr>
          <w:rFonts w:hAnsi="標楷體"/>
          <w:color w:val="000000"/>
          <w:sz w:val="28"/>
          <w:szCs w:val="28"/>
        </w:rPr>
        <w:t>，並訂定「立法院司法及法制委員會『監聽調閱專案小組』運作要點」</w:t>
      </w:r>
      <w:r>
        <w:rPr>
          <w:color w:val="000000"/>
          <w:sz w:val="28"/>
          <w:szCs w:val="28"/>
        </w:rPr>
        <w:t>（</w:t>
      </w:r>
      <w:r w:rsidRPr="004F3B2F">
        <w:rPr>
          <w:rFonts w:hAnsi="標楷體"/>
          <w:color w:val="000000"/>
          <w:sz w:val="28"/>
          <w:szCs w:val="28"/>
        </w:rPr>
        <w:t>下稱監聽小組運作要點</w:t>
      </w:r>
      <w:r>
        <w:rPr>
          <w:color w:val="000000"/>
          <w:sz w:val="28"/>
          <w:szCs w:val="28"/>
        </w:rPr>
        <w:t>）</w:t>
      </w:r>
      <w:r w:rsidRPr="004F3B2F">
        <w:rPr>
          <w:rFonts w:hAnsi="標楷體"/>
          <w:color w:val="000000"/>
          <w:sz w:val="28"/>
          <w:szCs w:val="28"/>
        </w:rPr>
        <w:t>，據以要求本署特別偵查組</w:t>
      </w:r>
      <w:r>
        <w:rPr>
          <w:color w:val="000000"/>
          <w:sz w:val="28"/>
          <w:szCs w:val="28"/>
        </w:rPr>
        <w:t>（</w:t>
      </w:r>
      <w:r w:rsidRPr="004F3B2F">
        <w:rPr>
          <w:rFonts w:hAnsi="標楷體"/>
          <w:color w:val="000000"/>
          <w:sz w:val="28"/>
          <w:szCs w:val="28"/>
        </w:rPr>
        <w:t>下稱特偵組</w:t>
      </w:r>
      <w:r>
        <w:rPr>
          <w:color w:val="000000"/>
          <w:sz w:val="28"/>
          <w:szCs w:val="28"/>
        </w:rPr>
        <w:t>）</w:t>
      </w:r>
      <w:r w:rsidRPr="004F3B2F">
        <w:rPr>
          <w:rFonts w:hAnsi="標楷體"/>
          <w:color w:val="000000"/>
          <w:sz w:val="28"/>
          <w:szCs w:val="28"/>
        </w:rPr>
        <w:t>提供檢察官偵查卷證資料，並於監聽小組運作要點第</w:t>
      </w:r>
      <w:r w:rsidRPr="004F3B2F">
        <w:rPr>
          <w:color w:val="000000"/>
          <w:sz w:val="28"/>
          <w:szCs w:val="28"/>
        </w:rPr>
        <w:t>11</w:t>
      </w:r>
      <w:r w:rsidRPr="004F3B2F">
        <w:rPr>
          <w:rFonts w:hAnsi="標楷體"/>
          <w:color w:val="000000"/>
          <w:sz w:val="28"/>
          <w:szCs w:val="28"/>
        </w:rPr>
        <w:t>點及第</w:t>
      </w:r>
      <w:r w:rsidRPr="004F3B2F">
        <w:rPr>
          <w:color w:val="000000"/>
          <w:sz w:val="28"/>
          <w:szCs w:val="28"/>
        </w:rPr>
        <w:t>12</w:t>
      </w:r>
      <w:r w:rsidRPr="004F3B2F">
        <w:rPr>
          <w:rFonts w:hAnsi="標楷體"/>
          <w:color w:val="000000"/>
          <w:sz w:val="28"/>
          <w:szCs w:val="28"/>
        </w:rPr>
        <w:t>點明定得邀請被調閱文件之機關首長率同有關人員列席說明、得赴調閱對象之所在地或相關單位查訪及訪談相關人士之規定，本署認為立法院司法及法制委員會前述調閱及調查權之職權行使，對於檢察機關是否同意調閱之職權行使有適用憲法之爭議及適用法律與命令有牴觸憲法之疑義，爰聲請</w:t>
      </w:r>
      <w:r w:rsidR="00251C64">
        <w:rPr>
          <w:rFonts w:hint="eastAsia"/>
          <w:color w:val="000000"/>
          <w:sz w:val="28"/>
          <w:szCs w:val="28"/>
        </w:rPr>
        <w:t xml:space="preserve">　</w:t>
      </w:r>
      <w:r w:rsidRPr="004F3B2F">
        <w:rPr>
          <w:rFonts w:hAnsi="標楷體"/>
          <w:color w:val="000000"/>
          <w:sz w:val="28"/>
          <w:szCs w:val="28"/>
        </w:rPr>
        <w:t>大院大法官解釋，以釐清爭議，俾便遵從。</w:t>
      </w:r>
    </w:p>
    <w:p w:rsidR="003247EA" w:rsidRPr="00CD04F9" w:rsidRDefault="003247EA" w:rsidP="003247EA">
      <w:pPr>
        <w:pStyle w:val="af1"/>
        <w:spacing w:line="391" w:lineRule="exact"/>
        <w:rPr>
          <w:rFonts w:ascii="Times New Roman" w:eastAsia="標楷體" w:hAnsi="Times New Roman"/>
          <w:color w:val="000000"/>
          <w:sz w:val="28"/>
          <w:szCs w:val="28"/>
        </w:rPr>
      </w:pPr>
      <w:r w:rsidRPr="00CD04F9">
        <w:rPr>
          <w:rFonts w:ascii="Times New Roman" w:eastAsia="標楷體" w:hAnsi="標楷體"/>
          <w:color w:val="000000"/>
          <w:sz w:val="28"/>
          <w:szCs w:val="28"/>
        </w:rPr>
        <w:t>二、疑義性質與經過及涉及之憲法條文</w:t>
      </w:r>
    </w:p>
    <w:p w:rsidR="003247EA" w:rsidRPr="004F3B2F" w:rsidRDefault="003247EA" w:rsidP="00CD04F9">
      <w:pPr>
        <w:kinsoku w:val="0"/>
        <w:overflowPunct w:val="0"/>
        <w:spacing w:line="402" w:lineRule="exact"/>
        <w:ind w:left="1106" w:hanging="794"/>
        <w:jc w:val="both"/>
        <w:rPr>
          <w:color w:val="000000"/>
          <w:sz w:val="28"/>
          <w:szCs w:val="28"/>
        </w:rPr>
      </w:pPr>
      <w:r>
        <w:rPr>
          <w:color w:val="000000"/>
          <w:sz w:val="28"/>
          <w:szCs w:val="28"/>
        </w:rPr>
        <w:t>（</w:t>
      </w:r>
      <w:r w:rsidRPr="004F3B2F">
        <w:rPr>
          <w:rFonts w:hAnsi="標楷體"/>
          <w:color w:val="000000"/>
          <w:sz w:val="28"/>
          <w:szCs w:val="28"/>
        </w:rPr>
        <w:t>一</w:t>
      </w:r>
      <w:r>
        <w:rPr>
          <w:color w:val="000000"/>
          <w:sz w:val="28"/>
          <w:szCs w:val="28"/>
        </w:rPr>
        <w:t>）</w:t>
      </w:r>
      <w:r w:rsidRPr="004F3B2F">
        <w:rPr>
          <w:rFonts w:hAnsi="標楷體"/>
          <w:color w:val="000000"/>
          <w:sz w:val="28"/>
          <w:szCs w:val="28"/>
        </w:rPr>
        <w:t>立法院第</w:t>
      </w:r>
      <w:r w:rsidRPr="004F3B2F">
        <w:rPr>
          <w:color w:val="000000"/>
          <w:sz w:val="28"/>
          <w:szCs w:val="28"/>
        </w:rPr>
        <w:t>8</w:t>
      </w:r>
      <w:r w:rsidRPr="004F3B2F">
        <w:rPr>
          <w:rFonts w:hAnsi="標楷體"/>
          <w:color w:val="000000"/>
          <w:sz w:val="28"/>
          <w:szCs w:val="28"/>
        </w:rPr>
        <w:t>屆第</w:t>
      </w:r>
      <w:r w:rsidRPr="004F3B2F">
        <w:rPr>
          <w:color w:val="000000"/>
          <w:sz w:val="28"/>
          <w:szCs w:val="28"/>
        </w:rPr>
        <w:t>4</w:t>
      </w:r>
      <w:r w:rsidRPr="004F3B2F">
        <w:rPr>
          <w:rFonts w:hAnsi="標楷體"/>
          <w:color w:val="000000"/>
          <w:sz w:val="28"/>
          <w:szCs w:val="28"/>
        </w:rPr>
        <w:t>會期司法及法制委員會於</w:t>
      </w:r>
      <w:r w:rsidRPr="004F3B2F">
        <w:rPr>
          <w:color w:val="000000"/>
          <w:sz w:val="28"/>
          <w:szCs w:val="28"/>
        </w:rPr>
        <w:t>102</w:t>
      </w:r>
      <w:r w:rsidRPr="004F3B2F">
        <w:rPr>
          <w:rFonts w:hAnsi="標楷體"/>
          <w:color w:val="000000"/>
          <w:sz w:val="28"/>
          <w:szCs w:val="28"/>
        </w:rPr>
        <w:t>年</w:t>
      </w:r>
      <w:r w:rsidRPr="004F3B2F">
        <w:rPr>
          <w:color w:val="000000"/>
          <w:sz w:val="28"/>
          <w:szCs w:val="28"/>
        </w:rPr>
        <w:t>9</w:t>
      </w:r>
      <w:r w:rsidRPr="004F3B2F">
        <w:rPr>
          <w:rFonts w:hAnsi="標楷體"/>
          <w:color w:val="000000"/>
          <w:sz w:val="28"/>
          <w:szCs w:val="28"/>
        </w:rPr>
        <w:t>月</w:t>
      </w:r>
      <w:r w:rsidRPr="004F3B2F">
        <w:rPr>
          <w:color w:val="000000"/>
          <w:sz w:val="28"/>
          <w:szCs w:val="28"/>
        </w:rPr>
        <w:t>30</w:t>
      </w:r>
      <w:r w:rsidRPr="004F3B2F">
        <w:rPr>
          <w:rFonts w:hAnsi="標楷體"/>
          <w:color w:val="000000"/>
          <w:sz w:val="28"/>
          <w:szCs w:val="28"/>
        </w:rPr>
        <w:t>日第</w:t>
      </w:r>
      <w:r w:rsidRPr="004F3B2F">
        <w:rPr>
          <w:color w:val="000000"/>
          <w:sz w:val="28"/>
          <w:szCs w:val="28"/>
        </w:rPr>
        <w:t>3</w:t>
      </w:r>
      <w:r w:rsidRPr="004F3B2F">
        <w:rPr>
          <w:rFonts w:hAnsi="標楷體"/>
          <w:color w:val="000000"/>
          <w:sz w:val="28"/>
          <w:szCs w:val="28"/>
        </w:rPr>
        <w:t>次全體委員會議決議通過「針對最高法院檢察署特別偵查組以『</w:t>
      </w:r>
      <w:r w:rsidRPr="004F3B2F">
        <w:rPr>
          <w:color w:val="000000"/>
          <w:sz w:val="28"/>
          <w:szCs w:val="28"/>
        </w:rPr>
        <w:t>100</w:t>
      </w:r>
      <w:r w:rsidRPr="004F3B2F">
        <w:rPr>
          <w:rFonts w:hAnsi="標楷體"/>
          <w:color w:val="000000"/>
          <w:sz w:val="28"/>
          <w:szCs w:val="28"/>
        </w:rPr>
        <w:t>年度特他</w:t>
      </w:r>
      <w:r w:rsidRPr="004F3B2F">
        <w:rPr>
          <w:color w:val="000000"/>
          <w:sz w:val="28"/>
          <w:szCs w:val="28"/>
        </w:rPr>
        <w:t>61</w:t>
      </w:r>
      <w:r w:rsidRPr="004F3B2F">
        <w:rPr>
          <w:rFonts w:hAnsi="標楷體"/>
          <w:color w:val="000000"/>
          <w:sz w:val="28"/>
          <w:szCs w:val="28"/>
        </w:rPr>
        <w:t>號』案件涉嫌濫權監聽長達數年，甚至含國會總機在內之事件，充分顯示特偵組蔑視憲法揭示之權力分立制度、視人民秘密通訊自由為無物。為瞭解檢調系統是否涉及濫權違法監聽，及現行法制上通訊監察之監督機制是否妥善落實，是否符合『通訊保障及監察法』之相關規定？是否具有偵查手段之最後必要性？實有進一步了解之必要，爰建請本委員會成立文件調閱專案小組，依據立法院職權行使法進行調查，以釐清特偵組是否違法監聽。」提案，成立監聽調閱小組，並於同年</w:t>
      </w:r>
      <w:r w:rsidRPr="004F3B2F">
        <w:rPr>
          <w:color w:val="000000"/>
          <w:sz w:val="28"/>
          <w:szCs w:val="28"/>
        </w:rPr>
        <w:t>10</w:t>
      </w:r>
      <w:r w:rsidRPr="004F3B2F">
        <w:rPr>
          <w:rFonts w:hAnsi="標楷體"/>
          <w:color w:val="000000"/>
          <w:sz w:val="28"/>
          <w:szCs w:val="28"/>
        </w:rPr>
        <w:t>月</w:t>
      </w:r>
      <w:r w:rsidRPr="004F3B2F">
        <w:rPr>
          <w:color w:val="000000"/>
          <w:sz w:val="28"/>
          <w:szCs w:val="28"/>
        </w:rPr>
        <w:t>23</w:t>
      </w:r>
      <w:r w:rsidRPr="004F3B2F">
        <w:rPr>
          <w:rFonts w:hAnsi="標楷體"/>
          <w:color w:val="000000"/>
          <w:sz w:val="28"/>
          <w:szCs w:val="28"/>
        </w:rPr>
        <w:t>日第</w:t>
      </w:r>
      <w:r w:rsidRPr="004F3B2F">
        <w:rPr>
          <w:color w:val="000000"/>
          <w:sz w:val="28"/>
          <w:szCs w:val="28"/>
        </w:rPr>
        <w:t>11</w:t>
      </w:r>
      <w:r w:rsidRPr="004F3B2F">
        <w:rPr>
          <w:rFonts w:hAnsi="標楷體"/>
          <w:color w:val="000000"/>
          <w:sz w:val="28"/>
          <w:szCs w:val="28"/>
        </w:rPr>
        <w:t>次全體委員會議通過監聽小組運作要點，復於</w:t>
      </w:r>
      <w:r w:rsidRPr="004F3B2F">
        <w:rPr>
          <w:rFonts w:hAnsi="標楷體"/>
          <w:color w:val="000000"/>
          <w:sz w:val="28"/>
          <w:szCs w:val="28"/>
        </w:rPr>
        <w:lastRenderedPageBreak/>
        <w:t>同日經召開監聽調閱小組第</w:t>
      </w:r>
      <w:r w:rsidRPr="004F3B2F">
        <w:rPr>
          <w:color w:val="000000"/>
          <w:sz w:val="28"/>
          <w:szCs w:val="28"/>
        </w:rPr>
        <w:t>1</w:t>
      </w:r>
      <w:r w:rsidRPr="004F3B2F">
        <w:rPr>
          <w:rFonts w:hAnsi="標楷體"/>
          <w:color w:val="000000"/>
          <w:sz w:val="28"/>
          <w:szCs w:val="28"/>
        </w:rPr>
        <w:t>次全體委員會議，決議調閱文件內容及範圍。立法院司法及法制委員會即於同年月</w:t>
      </w:r>
      <w:r w:rsidRPr="004F3B2F">
        <w:rPr>
          <w:color w:val="000000"/>
          <w:sz w:val="28"/>
          <w:szCs w:val="28"/>
        </w:rPr>
        <w:t>29</w:t>
      </w:r>
      <w:r w:rsidRPr="004F3B2F">
        <w:rPr>
          <w:rFonts w:hAnsi="標楷體"/>
          <w:color w:val="000000"/>
          <w:sz w:val="28"/>
          <w:szCs w:val="28"/>
        </w:rPr>
        <w:t>日以台立司字第</w:t>
      </w:r>
      <w:r w:rsidRPr="004F3B2F">
        <w:rPr>
          <w:color w:val="000000"/>
          <w:sz w:val="28"/>
          <w:szCs w:val="28"/>
        </w:rPr>
        <w:t>1024300708</w:t>
      </w:r>
      <w:r w:rsidRPr="004F3B2F">
        <w:rPr>
          <w:rFonts w:hAnsi="標楷體"/>
          <w:color w:val="000000"/>
          <w:sz w:val="28"/>
          <w:szCs w:val="28"/>
        </w:rPr>
        <w:t>號函，檢附前述監聽小組運作要點及「監聽調閱專案小組」第</w:t>
      </w:r>
      <w:r w:rsidRPr="004F3B2F">
        <w:rPr>
          <w:color w:val="000000"/>
          <w:sz w:val="28"/>
          <w:szCs w:val="28"/>
        </w:rPr>
        <w:t>1</w:t>
      </w:r>
      <w:r w:rsidRPr="004F3B2F">
        <w:rPr>
          <w:rFonts w:hAnsi="標楷體"/>
          <w:color w:val="000000"/>
          <w:sz w:val="28"/>
          <w:szCs w:val="28"/>
        </w:rPr>
        <w:t>次全體委員會議議事錄及附件</w:t>
      </w:r>
      <w:r>
        <w:rPr>
          <w:color w:val="000000"/>
          <w:sz w:val="28"/>
          <w:szCs w:val="28"/>
        </w:rPr>
        <w:t>（</w:t>
      </w:r>
      <w:r w:rsidRPr="004F3B2F">
        <w:rPr>
          <w:rFonts w:hAnsi="標楷體"/>
          <w:color w:val="000000"/>
          <w:sz w:val="28"/>
          <w:szCs w:val="28"/>
        </w:rPr>
        <w:t>即調閱文件內容及範圍</w:t>
      </w:r>
      <w:r>
        <w:rPr>
          <w:color w:val="000000"/>
          <w:sz w:val="28"/>
          <w:szCs w:val="28"/>
        </w:rPr>
        <w:t>）</w:t>
      </w:r>
      <w:r w:rsidRPr="004F3B2F">
        <w:rPr>
          <w:rFonts w:hAnsi="標楷體"/>
          <w:color w:val="000000"/>
          <w:sz w:val="28"/>
          <w:szCs w:val="28"/>
        </w:rPr>
        <w:t>，要求法務部等機關於文到一週內將相關文件資料送至指定場所。而臺灣臺北地方法院檢察署</w:t>
      </w:r>
      <w:r>
        <w:rPr>
          <w:color w:val="000000"/>
          <w:sz w:val="28"/>
          <w:szCs w:val="28"/>
        </w:rPr>
        <w:t>（</w:t>
      </w:r>
      <w:r w:rsidRPr="004F3B2F">
        <w:rPr>
          <w:rFonts w:hAnsi="標楷體"/>
          <w:color w:val="000000"/>
          <w:sz w:val="28"/>
          <w:szCs w:val="28"/>
        </w:rPr>
        <w:t>下稱臺北地檢署</w:t>
      </w:r>
      <w:r>
        <w:rPr>
          <w:color w:val="000000"/>
          <w:sz w:val="28"/>
          <w:szCs w:val="28"/>
        </w:rPr>
        <w:t>）</w:t>
      </w:r>
      <w:r w:rsidRPr="004F3B2F">
        <w:rPr>
          <w:rFonts w:hAnsi="標楷體"/>
          <w:color w:val="000000"/>
          <w:sz w:val="28"/>
          <w:szCs w:val="28"/>
        </w:rPr>
        <w:t>係於</w:t>
      </w:r>
      <w:r w:rsidRPr="004F3B2F">
        <w:rPr>
          <w:color w:val="000000"/>
          <w:sz w:val="28"/>
          <w:szCs w:val="28"/>
        </w:rPr>
        <w:t>102</w:t>
      </w:r>
      <w:r w:rsidRPr="004F3B2F">
        <w:rPr>
          <w:rFonts w:hAnsi="標楷體"/>
          <w:color w:val="000000"/>
          <w:sz w:val="28"/>
          <w:szCs w:val="28"/>
        </w:rPr>
        <w:t>年</w:t>
      </w:r>
      <w:r w:rsidRPr="004F3B2F">
        <w:rPr>
          <w:color w:val="000000"/>
          <w:sz w:val="28"/>
          <w:szCs w:val="28"/>
        </w:rPr>
        <w:t>9</w:t>
      </w:r>
      <w:r w:rsidRPr="004F3B2F">
        <w:rPr>
          <w:rFonts w:hAnsi="標楷體"/>
          <w:color w:val="000000"/>
          <w:sz w:val="28"/>
          <w:szCs w:val="28"/>
        </w:rPr>
        <w:t>月初，就有關特偵組檢察官以</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號案件監聽立法院</w:t>
      </w:r>
      <w:r w:rsidRPr="004F3B2F">
        <w:rPr>
          <w:color w:val="000000"/>
          <w:sz w:val="28"/>
          <w:szCs w:val="28"/>
        </w:rPr>
        <w:t>0972</w:t>
      </w:r>
      <w:r w:rsidRPr="004F3B2F">
        <w:rPr>
          <w:rFonts w:hAnsi="標楷體"/>
          <w:color w:val="000000"/>
          <w:sz w:val="28"/>
          <w:szCs w:val="28"/>
        </w:rPr>
        <w:t>節費電話是否涉嫌違法監聽部</w:t>
      </w:r>
      <w:r w:rsidR="00CD04F9">
        <w:rPr>
          <w:rFonts w:hAnsi="標楷體" w:hint="eastAsia"/>
          <w:color w:val="000000"/>
          <w:sz w:val="28"/>
          <w:szCs w:val="28"/>
        </w:rPr>
        <w:t>分</w:t>
      </w:r>
      <w:r w:rsidRPr="004F3B2F">
        <w:rPr>
          <w:rFonts w:hAnsi="標楷體"/>
          <w:color w:val="000000"/>
          <w:sz w:val="28"/>
          <w:szCs w:val="28"/>
        </w:rPr>
        <w:t>簽分案件進行偵查，並於同年</w:t>
      </w:r>
      <w:r w:rsidRPr="004F3B2F">
        <w:rPr>
          <w:color w:val="000000"/>
          <w:sz w:val="28"/>
          <w:szCs w:val="28"/>
        </w:rPr>
        <w:t>11</w:t>
      </w:r>
      <w:r w:rsidRPr="004F3B2F">
        <w:rPr>
          <w:rFonts w:hAnsi="標楷體"/>
          <w:color w:val="000000"/>
          <w:sz w:val="28"/>
          <w:szCs w:val="28"/>
        </w:rPr>
        <w:t>月</w:t>
      </w:r>
      <w:r w:rsidRPr="004F3B2F">
        <w:rPr>
          <w:color w:val="000000"/>
          <w:sz w:val="28"/>
          <w:szCs w:val="28"/>
        </w:rPr>
        <w:t>1</w:t>
      </w:r>
      <w:r w:rsidRPr="004F3B2F">
        <w:rPr>
          <w:rFonts w:hAnsi="標楷體"/>
          <w:color w:val="000000"/>
          <w:sz w:val="28"/>
          <w:szCs w:val="28"/>
        </w:rPr>
        <w:t>日以</w:t>
      </w:r>
      <w:r w:rsidRPr="004F3B2F">
        <w:rPr>
          <w:color w:val="000000"/>
          <w:sz w:val="28"/>
          <w:szCs w:val="28"/>
        </w:rPr>
        <w:t>102</w:t>
      </w:r>
      <w:r w:rsidRPr="004F3B2F">
        <w:rPr>
          <w:rFonts w:hAnsi="標楷體"/>
          <w:color w:val="000000"/>
          <w:sz w:val="28"/>
          <w:szCs w:val="28"/>
        </w:rPr>
        <w:t>年度偵字第</w:t>
      </w:r>
      <w:r w:rsidRPr="004F3B2F">
        <w:rPr>
          <w:color w:val="000000"/>
          <w:sz w:val="28"/>
          <w:szCs w:val="28"/>
        </w:rPr>
        <w:t>21687</w:t>
      </w:r>
      <w:r w:rsidRPr="004F3B2F">
        <w:rPr>
          <w:rFonts w:hAnsi="標楷體"/>
          <w:color w:val="000000"/>
          <w:sz w:val="28"/>
          <w:szCs w:val="28"/>
        </w:rPr>
        <w:t>、</w:t>
      </w:r>
      <w:r w:rsidRPr="004F3B2F">
        <w:rPr>
          <w:color w:val="000000"/>
          <w:sz w:val="28"/>
          <w:szCs w:val="28"/>
        </w:rPr>
        <w:t>21688</w:t>
      </w:r>
      <w:r w:rsidRPr="004F3B2F">
        <w:rPr>
          <w:rFonts w:hAnsi="標楷體"/>
          <w:color w:val="000000"/>
          <w:sz w:val="28"/>
          <w:szCs w:val="28"/>
        </w:rPr>
        <w:t>及</w:t>
      </w:r>
      <w:r w:rsidRPr="004F3B2F">
        <w:rPr>
          <w:color w:val="000000"/>
          <w:sz w:val="28"/>
          <w:szCs w:val="28"/>
        </w:rPr>
        <w:t>21689</w:t>
      </w:r>
      <w:r w:rsidRPr="004F3B2F">
        <w:rPr>
          <w:rFonts w:hAnsi="標楷體"/>
          <w:color w:val="000000"/>
          <w:sz w:val="28"/>
          <w:szCs w:val="28"/>
        </w:rPr>
        <w:t>號為不起訴之處分確定在案。</w:t>
      </w:r>
    </w:p>
    <w:p w:rsidR="003247EA" w:rsidRPr="004F3B2F" w:rsidRDefault="003247EA" w:rsidP="00CD04F9">
      <w:pPr>
        <w:kinsoku w:val="0"/>
        <w:overflowPunct w:val="0"/>
        <w:spacing w:line="402" w:lineRule="exact"/>
        <w:ind w:left="1106" w:hanging="794"/>
        <w:jc w:val="both"/>
        <w:rPr>
          <w:color w:val="000000"/>
          <w:sz w:val="28"/>
          <w:szCs w:val="28"/>
        </w:rPr>
      </w:pPr>
      <w:r>
        <w:rPr>
          <w:color w:val="000000"/>
          <w:sz w:val="28"/>
          <w:szCs w:val="28"/>
        </w:rPr>
        <w:t>（</w:t>
      </w:r>
      <w:r w:rsidRPr="004F3B2F">
        <w:rPr>
          <w:rFonts w:hAnsi="標楷體"/>
          <w:color w:val="000000"/>
          <w:sz w:val="28"/>
          <w:szCs w:val="28"/>
        </w:rPr>
        <w:t>二</w:t>
      </w:r>
      <w:r>
        <w:rPr>
          <w:color w:val="000000"/>
          <w:sz w:val="28"/>
          <w:szCs w:val="28"/>
        </w:rPr>
        <w:t>）</w:t>
      </w:r>
      <w:r w:rsidRPr="004F3B2F">
        <w:rPr>
          <w:rFonts w:hAnsi="標楷體"/>
          <w:color w:val="000000"/>
          <w:sz w:val="28"/>
          <w:szCs w:val="28"/>
        </w:rPr>
        <w:t>所要求調閱之文件內容及範圍部分：</w:t>
      </w:r>
    </w:p>
    <w:p w:rsidR="003247EA" w:rsidRPr="004F3B2F" w:rsidRDefault="003247EA" w:rsidP="004A01B9">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t>立法院司法及法制委員會函示所要求調閱之文件編號第</w:t>
      </w:r>
      <w:r w:rsidRPr="004F3B2F">
        <w:rPr>
          <w:rFonts w:ascii="Times New Roman" w:eastAsia="標楷體" w:hAnsi="Times New Roman"/>
          <w:color w:val="000000"/>
          <w:sz w:val="28"/>
          <w:szCs w:val="28"/>
        </w:rPr>
        <w:t>1</w:t>
      </w:r>
      <w:r w:rsidRPr="004F3B2F">
        <w:rPr>
          <w:rFonts w:ascii="Times New Roman" w:eastAsia="標楷體" w:hAnsi="標楷體"/>
          <w:color w:val="000000"/>
          <w:sz w:val="28"/>
          <w:szCs w:val="28"/>
        </w:rPr>
        <w:t>項特他字第</w:t>
      </w:r>
      <w:r w:rsidRPr="004F3B2F">
        <w:rPr>
          <w:rFonts w:ascii="Times New Roman" w:eastAsia="標楷體" w:hAnsi="Times New Roman"/>
          <w:color w:val="000000"/>
          <w:sz w:val="28"/>
          <w:szCs w:val="28"/>
        </w:rPr>
        <w:t>61</w:t>
      </w:r>
      <w:r w:rsidRPr="004F3B2F">
        <w:rPr>
          <w:rFonts w:ascii="Times New Roman" w:eastAsia="標楷體" w:hAnsi="標楷體"/>
          <w:color w:val="000000"/>
          <w:sz w:val="28"/>
          <w:szCs w:val="28"/>
        </w:rPr>
        <w:t>號之卷證；第</w:t>
      </w:r>
      <w:r w:rsidRPr="004F3B2F">
        <w:rPr>
          <w:rFonts w:ascii="Times New Roman" w:eastAsia="標楷體" w:hAnsi="Times New Roman"/>
          <w:color w:val="000000"/>
          <w:sz w:val="28"/>
          <w:szCs w:val="28"/>
        </w:rPr>
        <w:t>6</w:t>
      </w:r>
      <w:r w:rsidRPr="004F3B2F">
        <w:rPr>
          <w:rFonts w:ascii="Times New Roman" w:eastAsia="標楷體" w:hAnsi="標楷體"/>
          <w:color w:val="000000"/>
          <w:sz w:val="28"/>
          <w:szCs w:val="28"/>
        </w:rPr>
        <w:t>項特偵組成立以來，監聽柯建銘委員使用立法院</w:t>
      </w:r>
      <w:r w:rsidRPr="004F3B2F">
        <w:rPr>
          <w:rFonts w:ascii="Times New Roman" w:eastAsia="標楷體" w:hAnsi="Times New Roman"/>
          <w:color w:val="000000"/>
          <w:sz w:val="28"/>
          <w:szCs w:val="28"/>
        </w:rPr>
        <w:t>0972</w:t>
      </w:r>
      <w:r w:rsidRPr="004F3B2F">
        <w:rPr>
          <w:rFonts w:ascii="Times New Roman" w:eastAsia="標楷體" w:hAnsi="標楷體"/>
          <w:color w:val="000000"/>
          <w:sz w:val="28"/>
          <w:szCs w:val="28"/>
        </w:rPr>
        <w:t>節費電話之監聽票、電信通信紀錄</w:t>
      </w:r>
      <w:r>
        <w:rPr>
          <w:rFonts w:ascii="Times New Roman" w:eastAsia="標楷體" w:hAnsi="Times New Roman"/>
          <w:color w:val="000000"/>
          <w:sz w:val="28"/>
          <w:szCs w:val="28"/>
        </w:rPr>
        <w:t>（</w:t>
      </w:r>
      <w:r w:rsidRPr="004F3B2F">
        <w:rPr>
          <w:rFonts w:ascii="Times New Roman" w:eastAsia="標楷體" w:hAnsi="Times New Roman"/>
          <w:color w:val="000000"/>
          <w:sz w:val="28"/>
          <w:szCs w:val="28"/>
        </w:rPr>
        <w:t>CDR</w:t>
      </w:r>
      <w:r>
        <w:rPr>
          <w:rFonts w:ascii="Times New Roman" w:eastAsia="標楷體" w:hAnsi="Times New Roman"/>
          <w:color w:val="000000"/>
          <w:sz w:val="28"/>
          <w:szCs w:val="28"/>
        </w:rPr>
        <w:t>）</w:t>
      </w:r>
      <w:r w:rsidRPr="004F3B2F">
        <w:rPr>
          <w:rFonts w:ascii="Times New Roman" w:eastAsia="標楷體" w:hAnsi="標楷體"/>
          <w:color w:val="000000"/>
          <w:sz w:val="28"/>
          <w:szCs w:val="28"/>
        </w:rPr>
        <w:t>電子檔及七支節費電話之各通聯總數；第</w:t>
      </w:r>
      <w:r w:rsidRPr="004F3B2F">
        <w:rPr>
          <w:rFonts w:ascii="Times New Roman" w:eastAsia="標楷體" w:hAnsi="Times New Roman"/>
          <w:color w:val="000000"/>
          <w:sz w:val="28"/>
          <w:szCs w:val="28"/>
        </w:rPr>
        <w:t>7</w:t>
      </w:r>
      <w:r w:rsidRPr="004F3B2F">
        <w:rPr>
          <w:rFonts w:ascii="Times New Roman" w:eastAsia="標楷體" w:hAnsi="標楷體"/>
          <w:color w:val="000000"/>
          <w:sz w:val="28"/>
          <w:szCs w:val="28"/>
        </w:rPr>
        <w:t>項黃世銘檢察總長自</w:t>
      </w:r>
      <w:r w:rsidRPr="004F3B2F">
        <w:rPr>
          <w:rFonts w:ascii="Times New Roman" w:eastAsia="標楷體" w:hAnsi="Times New Roman"/>
          <w:color w:val="000000"/>
          <w:sz w:val="28"/>
          <w:szCs w:val="28"/>
        </w:rPr>
        <w:t>2010</w:t>
      </w:r>
      <w:r w:rsidRPr="004F3B2F">
        <w:rPr>
          <w:rFonts w:ascii="Times New Roman" w:eastAsia="標楷體" w:hAnsi="標楷體"/>
          <w:color w:val="000000"/>
          <w:sz w:val="28"/>
          <w:szCs w:val="28"/>
        </w:rPr>
        <w:t>年上任後進入總統府及官邸之會客紀錄；第</w:t>
      </w:r>
      <w:r w:rsidRPr="004F3B2F">
        <w:rPr>
          <w:rFonts w:ascii="Times New Roman" w:eastAsia="標楷體" w:hAnsi="Times New Roman"/>
          <w:color w:val="000000"/>
          <w:sz w:val="28"/>
          <w:szCs w:val="28"/>
        </w:rPr>
        <w:t>8</w:t>
      </w:r>
      <w:r w:rsidRPr="004F3B2F">
        <w:rPr>
          <w:rFonts w:ascii="Times New Roman" w:eastAsia="標楷體" w:hAnsi="標楷體"/>
          <w:color w:val="000000"/>
          <w:sz w:val="28"/>
          <w:szCs w:val="28"/>
        </w:rPr>
        <w:t>項特偵組自成立以來，特偵組總機、黃世銘總長及楊榮宗檢察官等人自上任以來之通聯紀錄等部分，為與特偵組有關之資料部分，其中編號第</w:t>
      </w:r>
      <w:r w:rsidRPr="004F3B2F">
        <w:rPr>
          <w:rFonts w:ascii="Times New Roman" w:eastAsia="標楷體" w:hAnsi="Times New Roman"/>
          <w:color w:val="000000"/>
          <w:sz w:val="28"/>
          <w:szCs w:val="28"/>
        </w:rPr>
        <w:t>1</w:t>
      </w:r>
      <w:r w:rsidRPr="004F3B2F">
        <w:rPr>
          <w:rFonts w:ascii="Times New Roman" w:eastAsia="標楷體" w:hAnsi="標楷體"/>
          <w:color w:val="000000"/>
          <w:sz w:val="28"/>
          <w:szCs w:val="28"/>
        </w:rPr>
        <w:t>項及第</w:t>
      </w:r>
      <w:r w:rsidRPr="004F3B2F">
        <w:rPr>
          <w:rFonts w:ascii="Times New Roman" w:eastAsia="標楷體" w:hAnsi="Times New Roman"/>
          <w:color w:val="000000"/>
          <w:sz w:val="28"/>
          <w:szCs w:val="28"/>
        </w:rPr>
        <w:t>6</w:t>
      </w:r>
      <w:r w:rsidRPr="004F3B2F">
        <w:rPr>
          <w:rFonts w:ascii="Times New Roman" w:eastAsia="標楷體" w:hAnsi="標楷體"/>
          <w:color w:val="000000"/>
          <w:sz w:val="28"/>
          <w:szCs w:val="28"/>
        </w:rPr>
        <w:t>項部分為特偵組</w:t>
      </w:r>
      <w:r w:rsidRPr="004F3B2F">
        <w:rPr>
          <w:rFonts w:ascii="Times New Roman" w:eastAsia="標楷體" w:hAnsi="Times New Roman"/>
          <w:color w:val="000000"/>
          <w:sz w:val="28"/>
          <w:szCs w:val="28"/>
        </w:rPr>
        <w:t>100</w:t>
      </w:r>
      <w:r w:rsidRPr="004F3B2F">
        <w:rPr>
          <w:rFonts w:ascii="Times New Roman" w:eastAsia="標楷體" w:hAnsi="標楷體"/>
          <w:color w:val="000000"/>
          <w:sz w:val="28"/>
          <w:szCs w:val="28"/>
        </w:rPr>
        <w:t>年度特他字第</w:t>
      </w:r>
      <w:r w:rsidRPr="004F3B2F">
        <w:rPr>
          <w:rFonts w:ascii="Times New Roman" w:eastAsia="標楷體" w:hAnsi="Times New Roman"/>
          <w:color w:val="000000"/>
          <w:sz w:val="28"/>
          <w:szCs w:val="28"/>
        </w:rPr>
        <w:t>61</w:t>
      </w:r>
      <w:r w:rsidRPr="004F3B2F">
        <w:rPr>
          <w:rFonts w:ascii="Times New Roman" w:eastAsia="標楷體" w:hAnsi="標楷體"/>
          <w:color w:val="000000"/>
          <w:sz w:val="28"/>
          <w:szCs w:val="28"/>
        </w:rPr>
        <w:t>號刑事個案之卷證，係檢察官獨立行使職權所為偵查行為之一部，依</w:t>
      </w:r>
      <w:r w:rsidR="004A01B9">
        <w:rPr>
          <w:rFonts w:ascii="Times New Roman" w:eastAsia="標楷體" w:hAnsi="Times New Roman" w:hint="eastAsia"/>
          <w:color w:val="000000"/>
          <w:sz w:val="28"/>
          <w:szCs w:val="28"/>
        </w:rPr>
        <w:t xml:space="preserve">　</w:t>
      </w:r>
      <w:r w:rsidRPr="004F3B2F">
        <w:rPr>
          <w:rFonts w:ascii="Times New Roman" w:eastAsia="標楷體" w:hAnsi="標楷體"/>
          <w:color w:val="000000"/>
          <w:sz w:val="28"/>
          <w:szCs w:val="28"/>
        </w:rPr>
        <w:t>大院大法官釋字第</w:t>
      </w:r>
      <w:r w:rsidRPr="004F3B2F">
        <w:rPr>
          <w:rFonts w:ascii="Times New Roman" w:eastAsia="標楷體" w:hAnsi="Times New Roman"/>
          <w:color w:val="000000"/>
          <w:sz w:val="28"/>
          <w:szCs w:val="28"/>
        </w:rPr>
        <w:t>325</w:t>
      </w:r>
      <w:r w:rsidRPr="004F3B2F">
        <w:rPr>
          <w:rFonts w:ascii="Times New Roman" w:eastAsia="標楷體" w:hAnsi="標楷體"/>
          <w:color w:val="000000"/>
          <w:sz w:val="28"/>
          <w:szCs w:val="28"/>
        </w:rPr>
        <w:t>號解釋檢察官獨立行使職權受憲法保障，以及第</w:t>
      </w:r>
      <w:r w:rsidRPr="004F3B2F">
        <w:rPr>
          <w:rFonts w:ascii="Times New Roman" w:eastAsia="標楷體" w:hAnsi="Times New Roman"/>
          <w:color w:val="000000"/>
          <w:sz w:val="28"/>
          <w:szCs w:val="28"/>
        </w:rPr>
        <w:t>585</w:t>
      </w:r>
      <w:r w:rsidRPr="004F3B2F">
        <w:rPr>
          <w:rFonts w:ascii="Times New Roman" w:eastAsia="標楷體" w:hAnsi="標楷體"/>
          <w:color w:val="000000"/>
          <w:sz w:val="28"/>
          <w:szCs w:val="28"/>
        </w:rPr>
        <w:t>號、第</w:t>
      </w:r>
      <w:r w:rsidRPr="004F3B2F">
        <w:rPr>
          <w:rFonts w:ascii="Times New Roman" w:eastAsia="標楷體" w:hAnsi="Times New Roman"/>
          <w:color w:val="000000"/>
          <w:sz w:val="28"/>
          <w:szCs w:val="28"/>
        </w:rPr>
        <w:t>633</w:t>
      </w:r>
      <w:r w:rsidRPr="004F3B2F">
        <w:rPr>
          <w:rFonts w:ascii="Times New Roman" w:eastAsia="標楷體" w:hAnsi="標楷體"/>
          <w:color w:val="000000"/>
          <w:sz w:val="28"/>
          <w:szCs w:val="28"/>
        </w:rPr>
        <w:t>號解釋有關立法院對</w:t>
      </w:r>
      <w:r w:rsidR="008D7FDE">
        <w:rPr>
          <w:rFonts w:ascii="Times New Roman" w:eastAsia="標楷體" w:hAnsi="標楷體"/>
          <w:color w:val="000000"/>
          <w:sz w:val="28"/>
          <w:szCs w:val="28"/>
        </w:rPr>
        <w:t>獨立機關行使調閱權應受限制之意旨，應非立法院所得調閱、調查之事</w:t>
      </w:r>
      <w:r w:rsidR="008D7FDE">
        <w:rPr>
          <w:rFonts w:ascii="Times New Roman" w:eastAsia="標楷體" w:hAnsi="標楷體" w:hint="eastAsia"/>
          <w:color w:val="000000"/>
          <w:sz w:val="28"/>
          <w:szCs w:val="28"/>
        </w:rPr>
        <w:t>物</w:t>
      </w:r>
      <w:r w:rsidRPr="004F3B2F">
        <w:rPr>
          <w:rFonts w:ascii="Times New Roman" w:eastAsia="標楷體" w:hAnsi="標楷體"/>
          <w:color w:val="000000"/>
          <w:sz w:val="28"/>
          <w:szCs w:val="28"/>
        </w:rPr>
        <w:t>範圍。另依憲法第</w:t>
      </w:r>
      <w:r w:rsidRPr="004F3B2F">
        <w:rPr>
          <w:rFonts w:ascii="Times New Roman" w:eastAsia="標楷體" w:hAnsi="Times New Roman"/>
          <w:color w:val="000000"/>
          <w:sz w:val="28"/>
          <w:szCs w:val="28"/>
        </w:rPr>
        <w:t>95</w:t>
      </w:r>
      <w:r w:rsidRPr="004F3B2F">
        <w:rPr>
          <w:rFonts w:ascii="Times New Roman" w:eastAsia="標楷體" w:hAnsi="標楷體"/>
          <w:color w:val="000000"/>
          <w:sz w:val="28"/>
          <w:szCs w:val="28"/>
        </w:rPr>
        <w:t>條、第</w:t>
      </w:r>
      <w:r w:rsidRPr="004F3B2F">
        <w:rPr>
          <w:rFonts w:ascii="Times New Roman" w:eastAsia="標楷體" w:hAnsi="Times New Roman"/>
          <w:color w:val="000000"/>
          <w:sz w:val="28"/>
          <w:szCs w:val="28"/>
        </w:rPr>
        <w:t>96</w:t>
      </w:r>
      <w:r w:rsidRPr="004F3B2F">
        <w:rPr>
          <w:rFonts w:ascii="Times New Roman" w:eastAsia="標楷體" w:hAnsi="標楷體"/>
          <w:color w:val="000000"/>
          <w:sz w:val="28"/>
          <w:szCs w:val="28"/>
        </w:rPr>
        <w:t>條有關監察院行使調查權之規定，及</w:t>
      </w:r>
      <w:r w:rsidR="008D7FDE">
        <w:rPr>
          <w:rFonts w:ascii="Times New Roman" w:eastAsia="標楷體" w:hAnsi="Times New Roman" w:hint="eastAsia"/>
          <w:color w:val="000000"/>
          <w:sz w:val="28"/>
          <w:szCs w:val="28"/>
        </w:rPr>
        <w:t xml:space="preserve">　</w:t>
      </w:r>
      <w:r w:rsidRPr="004F3B2F">
        <w:rPr>
          <w:rFonts w:ascii="Times New Roman" w:eastAsia="標楷體" w:hAnsi="標楷體"/>
          <w:color w:val="000000"/>
          <w:sz w:val="28"/>
          <w:szCs w:val="28"/>
        </w:rPr>
        <w:t>大院大法官釋字第</w:t>
      </w:r>
      <w:r w:rsidRPr="004F3B2F">
        <w:rPr>
          <w:rFonts w:ascii="Times New Roman" w:eastAsia="標楷體" w:hAnsi="Times New Roman"/>
          <w:color w:val="000000"/>
          <w:sz w:val="28"/>
          <w:szCs w:val="28"/>
        </w:rPr>
        <w:t>585</w:t>
      </w:r>
      <w:r w:rsidRPr="004F3B2F">
        <w:rPr>
          <w:rFonts w:ascii="Times New Roman" w:eastAsia="標楷體" w:hAnsi="標楷體"/>
          <w:color w:val="000000"/>
          <w:sz w:val="28"/>
          <w:szCs w:val="28"/>
        </w:rPr>
        <w:t>號解釋意旨，有關檢察官偵查終結後案卷資料之調閱及調查檢察官有無濫權監聽之違失等節，應專屬監察院行使調查權之範圍，立法院司法及法制委員會為釐清特偵組等是否違法監聽等節，調閱特偵組檢察官個案偵查卷證資料等行使職權之行為，顯與憲法上權力分立及制衡原則有違。</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三</w:t>
      </w:r>
      <w:r>
        <w:rPr>
          <w:color w:val="000000"/>
          <w:sz w:val="28"/>
          <w:szCs w:val="28"/>
        </w:rPr>
        <w:t>）</w:t>
      </w:r>
      <w:r w:rsidRPr="004F3B2F">
        <w:rPr>
          <w:rFonts w:hAnsi="標楷體"/>
          <w:color w:val="000000"/>
          <w:sz w:val="28"/>
          <w:szCs w:val="28"/>
        </w:rPr>
        <w:t>有關監聽小組運作要點部分：</w:t>
      </w:r>
    </w:p>
    <w:p w:rsidR="003247EA" w:rsidRPr="004F3B2F" w:rsidRDefault="003247EA" w:rsidP="00ED05BC">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t>立法院司法及法制委員會決議通過之監聽小組運作要點第</w:t>
      </w:r>
      <w:r w:rsidRPr="004F3B2F">
        <w:rPr>
          <w:rFonts w:ascii="Times New Roman" w:eastAsia="標楷體" w:hAnsi="Times New Roman"/>
          <w:color w:val="000000"/>
          <w:sz w:val="28"/>
          <w:szCs w:val="28"/>
        </w:rPr>
        <w:t>11</w:t>
      </w:r>
      <w:r w:rsidRPr="004F3B2F">
        <w:rPr>
          <w:rFonts w:ascii="Times New Roman" w:eastAsia="標楷體" w:hAnsi="標楷體"/>
          <w:color w:val="000000"/>
          <w:sz w:val="28"/>
          <w:szCs w:val="28"/>
        </w:rPr>
        <w:t>點、第</w:t>
      </w:r>
      <w:r w:rsidRPr="004F3B2F">
        <w:rPr>
          <w:rFonts w:ascii="Times New Roman" w:eastAsia="標楷體" w:hAnsi="Times New Roman"/>
          <w:color w:val="000000"/>
          <w:sz w:val="28"/>
          <w:szCs w:val="28"/>
        </w:rPr>
        <w:t>12</w:t>
      </w:r>
      <w:r w:rsidRPr="004F3B2F">
        <w:rPr>
          <w:rFonts w:ascii="Times New Roman" w:eastAsia="標楷體" w:hAnsi="標楷體"/>
          <w:color w:val="000000"/>
          <w:sz w:val="28"/>
          <w:szCs w:val="28"/>
        </w:rPr>
        <w:t>點分別規定：「本小組</w:t>
      </w:r>
      <w:r w:rsidR="008D7FDE">
        <w:rPr>
          <w:rFonts w:ascii="Times New Roman" w:eastAsia="標楷體" w:hAnsi="標楷體"/>
          <w:color w:val="000000"/>
          <w:sz w:val="28"/>
          <w:szCs w:val="28"/>
        </w:rPr>
        <w:t>會議召開時，得邀請被調閱文件之機關首長率同有關人員列席說明。」</w:t>
      </w:r>
      <w:r w:rsidRPr="004F3B2F">
        <w:rPr>
          <w:rFonts w:ascii="Times New Roman" w:eastAsia="標楷體" w:hAnsi="標楷體"/>
          <w:color w:val="000000"/>
          <w:sz w:val="28"/>
          <w:szCs w:val="28"/>
        </w:rPr>
        <w:t>「本小組為應調閱文件需要，得赴調閱對象之所在地或相關單位查訪；及訪談相關人士。」其中，有關要求機關首長率同有關人員列席說明，及查訪相關機關、訪談相關人士等部分，顯已逾越立法院職權行使法第</w:t>
      </w:r>
      <w:r w:rsidRPr="004F3B2F">
        <w:rPr>
          <w:rFonts w:ascii="Times New Roman" w:eastAsia="標楷體" w:hAnsi="Times New Roman"/>
          <w:color w:val="000000"/>
          <w:sz w:val="28"/>
          <w:szCs w:val="28"/>
        </w:rPr>
        <w:t>45</w:t>
      </w:r>
      <w:r w:rsidRPr="004F3B2F">
        <w:rPr>
          <w:rFonts w:ascii="Times New Roman" w:eastAsia="標楷體" w:hAnsi="標楷體"/>
          <w:color w:val="000000"/>
          <w:sz w:val="28"/>
          <w:szCs w:val="28"/>
        </w:rPr>
        <w:t>條有關立法院經委員會之決議，得設調閱專案小組，要求有關機關就特定議案涉及事項提供參考資料。監聽調閱小組於必要時，得經院會之決議，向有關機關調閱</w:t>
      </w:r>
      <w:r w:rsidRPr="004F3B2F">
        <w:rPr>
          <w:rFonts w:ascii="Times New Roman" w:eastAsia="標楷體" w:hAnsi="標楷體"/>
          <w:color w:val="000000"/>
          <w:sz w:val="28"/>
          <w:szCs w:val="28"/>
        </w:rPr>
        <w:lastRenderedPageBreak/>
        <w:t>前項議案涉及事項之文件原本之規定之母法授權範圍，並與</w:t>
      </w:r>
      <w:r w:rsidR="004A01B9">
        <w:rPr>
          <w:rFonts w:ascii="Times New Roman" w:eastAsia="標楷體" w:hAnsi="Times New Roman" w:hint="eastAsia"/>
          <w:color w:val="000000"/>
          <w:sz w:val="28"/>
          <w:szCs w:val="28"/>
        </w:rPr>
        <w:t xml:space="preserve">　</w:t>
      </w:r>
      <w:r w:rsidRPr="004F3B2F">
        <w:rPr>
          <w:rFonts w:ascii="Times New Roman" w:eastAsia="標楷體" w:hAnsi="標楷體"/>
          <w:color w:val="000000"/>
          <w:sz w:val="28"/>
          <w:szCs w:val="28"/>
        </w:rPr>
        <w:t>大院大法官釋字第</w:t>
      </w:r>
      <w:r w:rsidRPr="004F3B2F">
        <w:rPr>
          <w:rFonts w:ascii="Times New Roman" w:eastAsia="標楷體" w:hAnsi="Times New Roman"/>
          <w:color w:val="000000"/>
          <w:sz w:val="28"/>
          <w:szCs w:val="28"/>
        </w:rPr>
        <w:t>585</w:t>
      </w:r>
      <w:r w:rsidRPr="004F3B2F">
        <w:rPr>
          <w:rFonts w:ascii="Times New Roman" w:eastAsia="標楷體" w:hAnsi="標楷體"/>
          <w:color w:val="000000"/>
          <w:sz w:val="28"/>
          <w:szCs w:val="28"/>
        </w:rPr>
        <w:t>號解釋於立法院必要時並得經院會決議，要求與調查事項相關之人民或政府人員，陳述證言或表示意見等之意旨不符。</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四</w:t>
      </w:r>
      <w:r>
        <w:rPr>
          <w:color w:val="000000"/>
          <w:sz w:val="28"/>
          <w:szCs w:val="28"/>
        </w:rPr>
        <w:t>）</w:t>
      </w:r>
      <w:r w:rsidRPr="004F3B2F">
        <w:rPr>
          <w:rFonts w:hAnsi="標楷體"/>
          <w:color w:val="000000"/>
          <w:sz w:val="28"/>
          <w:szCs w:val="28"/>
        </w:rPr>
        <w:t>對檢察官偵查中及不起訴確定後之同一案件，行使調閱權及調查權部分：</w:t>
      </w:r>
    </w:p>
    <w:p w:rsidR="003247EA" w:rsidRPr="004F3B2F" w:rsidRDefault="003247EA" w:rsidP="00C70472">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t>立法院司法及法制</w:t>
      </w:r>
      <w:r w:rsidRPr="00836FB8">
        <w:rPr>
          <w:rFonts w:ascii="Times New Roman" w:eastAsia="標楷體" w:hAnsi="標楷體"/>
          <w:color w:val="000000"/>
          <w:sz w:val="28"/>
          <w:szCs w:val="28"/>
          <w:lang w:eastAsia="zh-TW"/>
        </w:rPr>
        <w:t>委員會</w:t>
      </w:r>
      <w:r w:rsidRPr="004F3B2F">
        <w:rPr>
          <w:rFonts w:ascii="Times New Roman" w:eastAsia="標楷體" w:hAnsi="標楷體"/>
          <w:color w:val="000000"/>
          <w:sz w:val="28"/>
          <w:szCs w:val="28"/>
        </w:rPr>
        <w:t>於臺北地檢署檢察官偵辦期間，即於</w:t>
      </w:r>
      <w:r w:rsidRPr="004F3B2F">
        <w:rPr>
          <w:rFonts w:ascii="Times New Roman" w:eastAsia="標楷體" w:hAnsi="Times New Roman"/>
          <w:color w:val="000000"/>
          <w:sz w:val="28"/>
          <w:szCs w:val="28"/>
        </w:rPr>
        <w:t>102</w:t>
      </w:r>
      <w:r w:rsidRPr="004F3B2F">
        <w:rPr>
          <w:rFonts w:ascii="Times New Roman" w:eastAsia="標楷體" w:hAnsi="標楷體"/>
          <w:color w:val="000000"/>
          <w:sz w:val="28"/>
          <w:szCs w:val="28"/>
        </w:rPr>
        <w:t>年</w:t>
      </w:r>
      <w:r w:rsidRPr="004F3B2F">
        <w:rPr>
          <w:rFonts w:ascii="Times New Roman" w:eastAsia="標楷體" w:hAnsi="Times New Roman"/>
          <w:color w:val="000000"/>
          <w:sz w:val="28"/>
          <w:szCs w:val="28"/>
        </w:rPr>
        <w:t>9</w:t>
      </w:r>
      <w:r w:rsidRPr="004F3B2F">
        <w:rPr>
          <w:rFonts w:ascii="Times New Roman" w:eastAsia="標楷體" w:hAnsi="標楷體"/>
          <w:color w:val="000000"/>
          <w:sz w:val="28"/>
          <w:szCs w:val="28"/>
        </w:rPr>
        <w:t>月</w:t>
      </w:r>
      <w:r w:rsidRPr="004F3B2F">
        <w:rPr>
          <w:rFonts w:ascii="Times New Roman" w:eastAsia="標楷體" w:hAnsi="Times New Roman"/>
          <w:color w:val="000000"/>
          <w:sz w:val="28"/>
          <w:szCs w:val="28"/>
        </w:rPr>
        <w:t>30</w:t>
      </w:r>
      <w:r w:rsidRPr="004F3B2F">
        <w:rPr>
          <w:rFonts w:ascii="Times New Roman" w:eastAsia="標楷體" w:hAnsi="標楷體"/>
          <w:color w:val="000000"/>
          <w:sz w:val="28"/>
          <w:szCs w:val="28"/>
        </w:rPr>
        <w:t>日通過以瞭解特偵組「</w:t>
      </w:r>
      <w:r w:rsidRPr="004F3B2F">
        <w:rPr>
          <w:rFonts w:ascii="Times New Roman" w:eastAsia="標楷體" w:hAnsi="Times New Roman"/>
          <w:color w:val="000000"/>
          <w:sz w:val="28"/>
          <w:szCs w:val="28"/>
        </w:rPr>
        <w:t>100</w:t>
      </w:r>
      <w:r w:rsidRPr="004F3B2F">
        <w:rPr>
          <w:rFonts w:ascii="Times New Roman" w:eastAsia="標楷體" w:hAnsi="標楷體"/>
          <w:color w:val="000000"/>
          <w:sz w:val="28"/>
          <w:szCs w:val="28"/>
        </w:rPr>
        <w:t>年度特他</w:t>
      </w:r>
      <w:r w:rsidRPr="004F3B2F">
        <w:rPr>
          <w:rFonts w:ascii="Times New Roman" w:eastAsia="標楷體" w:hAnsi="Times New Roman"/>
          <w:color w:val="000000"/>
          <w:sz w:val="28"/>
          <w:szCs w:val="28"/>
        </w:rPr>
        <w:t>61</w:t>
      </w:r>
      <w:r w:rsidRPr="004F3B2F">
        <w:rPr>
          <w:rFonts w:ascii="Times New Roman" w:eastAsia="標楷體" w:hAnsi="標楷體"/>
          <w:color w:val="000000"/>
          <w:sz w:val="28"/>
          <w:szCs w:val="28"/>
        </w:rPr>
        <w:t>號」案件是否違法監聽等由，成立監聽調閱小組，並在檢察官偵查中即同年</w:t>
      </w:r>
      <w:r w:rsidRPr="004F3B2F">
        <w:rPr>
          <w:rFonts w:ascii="Times New Roman" w:eastAsia="標楷體" w:hAnsi="Times New Roman"/>
          <w:color w:val="000000"/>
          <w:sz w:val="28"/>
          <w:szCs w:val="28"/>
        </w:rPr>
        <w:t>10</w:t>
      </w:r>
      <w:r w:rsidRPr="004F3B2F">
        <w:rPr>
          <w:rFonts w:ascii="Times New Roman" w:eastAsia="標楷體" w:hAnsi="標楷體"/>
          <w:color w:val="000000"/>
          <w:sz w:val="28"/>
          <w:szCs w:val="28"/>
        </w:rPr>
        <w:t>月</w:t>
      </w:r>
      <w:r w:rsidRPr="004F3B2F">
        <w:rPr>
          <w:rFonts w:ascii="Times New Roman" w:eastAsia="標楷體" w:hAnsi="Times New Roman"/>
          <w:color w:val="000000"/>
          <w:sz w:val="28"/>
          <w:szCs w:val="28"/>
        </w:rPr>
        <w:t>29</w:t>
      </w:r>
      <w:r w:rsidRPr="004F3B2F">
        <w:rPr>
          <w:rFonts w:ascii="Times New Roman" w:eastAsia="標楷體" w:hAnsi="標楷體"/>
          <w:color w:val="000000"/>
          <w:sz w:val="28"/>
          <w:szCs w:val="28"/>
        </w:rPr>
        <w:t>日函請法務部提供相關卷證，顯係</w:t>
      </w:r>
      <w:r w:rsidRPr="00836FB8">
        <w:rPr>
          <w:rFonts w:ascii="Times New Roman" w:eastAsia="標楷體" w:hAnsi="標楷體"/>
          <w:sz w:val="28"/>
          <w:szCs w:val="28"/>
        </w:rPr>
        <w:t>針對</w:t>
      </w:r>
      <w:r w:rsidRPr="004F3B2F">
        <w:rPr>
          <w:rFonts w:ascii="Times New Roman" w:eastAsia="標楷體" w:hAnsi="標楷體"/>
          <w:color w:val="000000"/>
          <w:sz w:val="28"/>
          <w:szCs w:val="28"/>
        </w:rPr>
        <w:t>偵查中之個案，行使調閱權及調查權，有違前述大法官釋字第</w:t>
      </w:r>
      <w:r w:rsidRPr="004F3B2F">
        <w:rPr>
          <w:rFonts w:ascii="Times New Roman" w:eastAsia="標楷體" w:hAnsi="Times New Roman"/>
          <w:color w:val="000000"/>
          <w:sz w:val="28"/>
          <w:szCs w:val="28"/>
        </w:rPr>
        <w:t>325</w:t>
      </w:r>
      <w:r w:rsidRPr="004F3B2F">
        <w:rPr>
          <w:rFonts w:ascii="Times New Roman" w:eastAsia="標楷體" w:hAnsi="標楷體"/>
          <w:color w:val="000000"/>
          <w:sz w:val="28"/>
          <w:szCs w:val="28"/>
        </w:rPr>
        <w:t>號解釋之意旨。又雖臺北地檢署檢察官於</w:t>
      </w:r>
      <w:r w:rsidRPr="004F3B2F">
        <w:rPr>
          <w:rFonts w:ascii="Times New Roman" w:eastAsia="標楷體" w:hAnsi="Times New Roman"/>
          <w:color w:val="000000"/>
          <w:sz w:val="28"/>
          <w:szCs w:val="28"/>
        </w:rPr>
        <w:t>102</w:t>
      </w:r>
      <w:r w:rsidRPr="004F3B2F">
        <w:rPr>
          <w:rFonts w:ascii="Times New Roman" w:eastAsia="標楷體" w:hAnsi="標楷體"/>
          <w:color w:val="000000"/>
          <w:sz w:val="28"/>
          <w:szCs w:val="28"/>
        </w:rPr>
        <w:t>年</w:t>
      </w:r>
      <w:r w:rsidRPr="004F3B2F">
        <w:rPr>
          <w:rFonts w:ascii="Times New Roman" w:eastAsia="標楷體" w:hAnsi="Times New Roman"/>
          <w:color w:val="000000"/>
          <w:sz w:val="28"/>
          <w:szCs w:val="28"/>
        </w:rPr>
        <w:t>11</w:t>
      </w:r>
      <w:r w:rsidRPr="004F3B2F">
        <w:rPr>
          <w:rFonts w:ascii="Times New Roman" w:eastAsia="標楷體" w:hAnsi="標楷體"/>
          <w:color w:val="000000"/>
          <w:sz w:val="28"/>
          <w:szCs w:val="28"/>
        </w:rPr>
        <w:t>月</w:t>
      </w:r>
      <w:r w:rsidRPr="004F3B2F">
        <w:rPr>
          <w:rFonts w:ascii="Times New Roman" w:eastAsia="標楷體" w:hAnsi="Times New Roman"/>
          <w:color w:val="000000"/>
          <w:sz w:val="28"/>
          <w:szCs w:val="28"/>
        </w:rPr>
        <w:t>1</w:t>
      </w:r>
      <w:r w:rsidRPr="004F3B2F">
        <w:rPr>
          <w:rFonts w:ascii="Times New Roman" w:eastAsia="標楷體" w:hAnsi="標楷體"/>
          <w:color w:val="000000"/>
          <w:sz w:val="28"/>
          <w:szCs w:val="28"/>
        </w:rPr>
        <w:t>日就特偵組檢察官是否有違法監聽部分為不起訴之處分確定在案，惟立法院司法及法制委員會於檢察官偵查終結後，仍以為瞭解同案有無違法監聽等由，行使文件調閱權及調查權，形同對個別刑事案件重新調查，對司法獨立性造成直接或間接影響之侵害，並有違前揭大法官釋字第</w:t>
      </w:r>
      <w:r w:rsidRPr="004F3B2F">
        <w:rPr>
          <w:rFonts w:ascii="Times New Roman" w:eastAsia="標楷體" w:hAnsi="Times New Roman"/>
          <w:color w:val="000000"/>
          <w:sz w:val="28"/>
          <w:szCs w:val="28"/>
        </w:rPr>
        <w:t>325</w:t>
      </w:r>
      <w:r w:rsidRPr="004F3B2F">
        <w:rPr>
          <w:rFonts w:ascii="Times New Roman" w:eastAsia="標楷體" w:hAnsi="標楷體"/>
          <w:color w:val="000000"/>
          <w:sz w:val="28"/>
          <w:szCs w:val="28"/>
        </w:rPr>
        <w:t>號解釋意旨。</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五</w:t>
      </w:r>
      <w:r>
        <w:rPr>
          <w:color w:val="000000"/>
          <w:sz w:val="28"/>
          <w:szCs w:val="28"/>
        </w:rPr>
        <w:t>）</w:t>
      </w:r>
      <w:r w:rsidRPr="004F3B2F">
        <w:rPr>
          <w:rFonts w:hAnsi="標楷體"/>
          <w:color w:val="000000"/>
          <w:sz w:val="28"/>
          <w:szCs w:val="28"/>
        </w:rPr>
        <w:t>按中央機關因行使職權與其他機關之職權，發生適用憲法之爭議，或適用法律與</w:t>
      </w:r>
      <w:r w:rsidRPr="00836FB8">
        <w:rPr>
          <w:rFonts w:hAnsi="標楷體"/>
          <w:sz w:val="28"/>
          <w:szCs w:val="28"/>
        </w:rPr>
        <w:t>命令</w:t>
      </w:r>
      <w:r w:rsidRPr="004F3B2F">
        <w:rPr>
          <w:rFonts w:hAnsi="標楷體"/>
          <w:color w:val="000000"/>
          <w:sz w:val="28"/>
          <w:szCs w:val="28"/>
        </w:rPr>
        <w:t>發生有牴觸憲法之疑義者，得聲請解釋憲法，司法院大法官審理案件法第</w:t>
      </w:r>
      <w:r w:rsidRPr="004F3B2F">
        <w:rPr>
          <w:color w:val="000000"/>
          <w:sz w:val="28"/>
          <w:szCs w:val="28"/>
        </w:rPr>
        <w:t>5</w:t>
      </w:r>
      <w:r w:rsidRPr="004F3B2F">
        <w:rPr>
          <w:rFonts w:hAnsi="標楷體"/>
          <w:color w:val="000000"/>
          <w:sz w:val="28"/>
          <w:szCs w:val="28"/>
        </w:rPr>
        <w:t>條第</w:t>
      </w:r>
      <w:r w:rsidRPr="004F3B2F">
        <w:rPr>
          <w:color w:val="000000"/>
          <w:sz w:val="28"/>
          <w:szCs w:val="28"/>
        </w:rPr>
        <w:t>1</w:t>
      </w:r>
      <w:r w:rsidRPr="004F3B2F">
        <w:rPr>
          <w:rFonts w:hAnsi="標楷體"/>
          <w:color w:val="000000"/>
          <w:sz w:val="28"/>
          <w:szCs w:val="28"/>
        </w:rPr>
        <w:t>項第</w:t>
      </w:r>
      <w:r w:rsidRPr="004F3B2F">
        <w:rPr>
          <w:color w:val="000000"/>
          <w:sz w:val="28"/>
          <w:szCs w:val="28"/>
        </w:rPr>
        <w:t>1</w:t>
      </w:r>
      <w:r w:rsidRPr="004F3B2F">
        <w:rPr>
          <w:rFonts w:hAnsi="標楷體"/>
          <w:color w:val="000000"/>
          <w:sz w:val="28"/>
          <w:szCs w:val="28"/>
        </w:rPr>
        <w:t>款定有明文，是綜前所述，立法院司法及法制委員會前述職權之行使，與檢察機關是否同意調閱之職權行使</w:t>
      </w:r>
      <w:r>
        <w:rPr>
          <w:color w:val="000000"/>
          <w:sz w:val="28"/>
          <w:szCs w:val="28"/>
        </w:rPr>
        <w:t>（</w:t>
      </w:r>
      <w:r w:rsidRPr="004F3B2F">
        <w:rPr>
          <w:rFonts w:hAnsi="標楷體"/>
          <w:color w:val="000000"/>
          <w:sz w:val="28"/>
          <w:szCs w:val="28"/>
        </w:rPr>
        <w:t>詳後述</w:t>
      </w:r>
      <w:r>
        <w:rPr>
          <w:color w:val="000000"/>
          <w:sz w:val="28"/>
          <w:szCs w:val="28"/>
        </w:rPr>
        <w:t>）</w:t>
      </w:r>
      <w:r w:rsidRPr="004F3B2F">
        <w:rPr>
          <w:rFonts w:hAnsi="標楷體"/>
          <w:color w:val="000000"/>
          <w:sz w:val="28"/>
          <w:szCs w:val="28"/>
        </w:rPr>
        <w:t>確有適用憲法之爭議，適用法律與命令亦有牴觸憲法之疑義，爰依法聲請</w:t>
      </w:r>
      <w:r>
        <w:rPr>
          <w:rFonts w:hint="eastAsia"/>
          <w:color w:val="000000"/>
          <w:sz w:val="28"/>
          <w:szCs w:val="28"/>
        </w:rPr>
        <w:t xml:space="preserve">　</w:t>
      </w:r>
      <w:r w:rsidRPr="004F3B2F">
        <w:rPr>
          <w:rFonts w:hAnsi="標楷體"/>
          <w:color w:val="000000"/>
          <w:sz w:val="28"/>
          <w:szCs w:val="28"/>
        </w:rPr>
        <w:t>大院解釋。</w:t>
      </w:r>
    </w:p>
    <w:p w:rsidR="003247EA" w:rsidRPr="008D7FDE" w:rsidRDefault="003247EA" w:rsidP="008D7FDE">
      <w:pPr>
        <w:pStyle w:val="af1"/>
        <w:spacing w:line="391" w:lineRule="exact"/>
        <w:ind w:left="560" w:hangingChars="200" w:hanging="560"/>
        <w:rPr>
          <w:rFonts w:ascii="Times New Roman" w:eastAsia="標楷體" w:hAnsi="Times New Roman"/>
          <w:color w:val="000000"/>
          <w:sz w:val="28"/>
          <w:szCs w:val="28"/>
        </w:rPr>
      </w:pPr>
      <w:r w:rsidRPr="008D7FDE">
        <w:rPr>
          <w:rFonts w:ascii="Times New Roman" w:eastAsia="標楷體" w:hAnsi="標楷體"/>
          <w:color w:val="000000"/>
          <w:sz w:val="28"/>
          <w:szCs w:val="28"/>
        </w:rPr>
        <w:t>三、本件聲請解釋憲法的理由，以及聲請人對本案所主張的立場及見解。</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一</w:t>
      </w:r>
      <w:r>
        <w:rPr>
          <w:color w:val="000000"/>
          <w:sz w:val="28"/>
          <w:szCs w:val="28"/>
        </w:rPr>
        <w:t>）</w:t>
      </w:r>
      <w:r w:rsidRPr="004F3B2F">
        <w:rPr>
          <w:rFonts w:hAnsi="標楷體"/>
          <w:color w:val="000000"/>
          <w:sz w:val="28"/>
          <w:szCs w:val="28"/>
        </w:rPr>
        <w:t>檢察</w:t>
      </w:r>
      <w:r w:rsidRPr="00836FB8">
        <w:rPr>
          <w:rFonts w:hAnsi="標楷體"/>
          <w:sz w:val="28"/>
          <w:szCs w:val="28"/>
        </w:rPr>
        <w:t>機關</w:t>
      </w:r>
      <w:r w:rsidRPr="004F3B2F">
        <w:rPr>
          <w:rFonts w:hAnsi="標楷體"/>
          <w:color w:val="000000"/>
          <w:sz w:val="28"/>
          <w:szCs w:val="28"/>
        </w:rPr>
        <w:t>是否同意立法院之調閱係屬職權行使之行為</w:t>
      </w:r>
    </w:p>
    <w:p w:rsidR="003247EA" w:rsidRPr="004F3B2F" w:rsidRDefault="003247EA" w:rsidP="004A01B9">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t>按政府機關或公務人員違反本法（註：指立法院職權行使法</w:t>
      </w:r>
      <w:r>
        <w:rPr>
          <w:rFonts w:ascii="Times New Roman" w:eastAsia="標楷體" w:hAnsi="標楷體"/>
          <w:color w:val="000000"/>
          <w:sz w:val="28"/>
          <w:szCs w:val="28"/>
        </w:rPr>
        <w:t>）</w:t>
      </w:r>
      <w:r w:rsidRPr="004F3B2F">
        <w:rPr>
          <w:rFonts w:ascii="Times New Roman" w:eastAsia="標楷體" w:hAnsi="標楷體"/>
          <w:color w:val="000000"/>
          <w:sz w:val="28"/>
          <w:szCs w:val="28"/>
        </w:rPr>
        <w:t>規定，於立法院調閱文件時拒絕、拖延或隱匿不提供者，得經立法院院會之決議，將其移送監察院</w:t>
      </w:r>
      <w:r w:rsidRPr="004F3B2F">
        <w:rPr>
          <w:rFonts w:ascii="Times New Roman" w:eastAsia="標楷體" w:hAnsi="標楷體"/>
          <w:color w:val="000000"/>
          <w:sz w:val="28"/>
          <w:szCs w:val="28"/>
          <w:lang w:eastAsia="zh-TW"/>
        </w:rPr>
        <w:t>依法</w:t>
      </w:r>
      <w:r w:rsidRPr="004F3B2F">
        <w:rPr>
          <w:rFonts w:ascii="Times New Roman" w:eastAsia="標楷體" w:hAnsi="標楷體"/>
          <w:color w:val="000000"/>
          <w:sz w:val="28"/>
          <w:szCs w:val="28"/>
        </w:rPr>
        <w:t>提出糾正、糾舉或彈劾；彈劾案經監察委員九人以上之審查及決定成立後，監察院應即向懲戒機關提出之；又公務員應受懲戒之情事限於有違法、廢弛職務或其他失職行為，此有立法院職權行使法第</w:t>
      </w:r>
      <w:r w:rsidRPr="004F3B2F">
        <w:rPr>
          <w:rFonts w:ascii="Times New Roman" w:eastAsia="標楷體" w:hAnsi="Times New Roman"/>
          <w:color w:val="000000"/>
          <w:sz w:val="28"/>
          <w:szCs w:val="28"/>
        </w:rPr>
        <w:t>48</w:t>
      </w:r>
      <w:r w:rsidRPr="004F3B2F">
        <w:rPr>
          <w:rFonts w:ascii="Times New Roman" w:eastAsia="標楷體" w:hAnsi="標楷體"/>
          <w:color w:val="000000"/>
          <w:sz w:val="28"/>
          <w:szCs w:val="28"/>
        </w:rPr>
        <w:t>條、監察法第</w:t>
      </w:r>
      <w:r w:rsidRPr="004F3B2F">
        <w:rPr>
          <w:rFonts w:ascii="Times New Roman" w:eastAsia="標楷體" w:hAnsi="Times New Roman"/>
          <w:color w:val="000000"/>
          <w:sz w:val="28"/>
          <w:szCs w:val="28"/>
        </w:rPr>
        <w:t>8</w:t>
      </w:r>
      <w:r w:rsidRPr="004F3B2F">
        <w:rPr>
          <w:rFonts w:ascii="Times New Roman" w:eastAsia="標楷體" w:hAnsi="標楷體"/>
          <w:color w:val="000000"/>
          <w:sz w:val="28"/>
          <w:szCs w:val="28"/>
        </w:rPr>
        <w:t>條及公務員懲戒法第</w:t>
      </w:r>
      <w:r w:rsidRPr="004F3B2F">
        <w:rPr>
          <w:rFonts w:ascii="Times New Roman" w:eastAsia="標楷體" w:hAnsi="Times New Roman"/>
          <w:color w:val="000000"/>
          <w:sz w:val="28"/>
          <w:szCs w:val="28"/>
        </w:rPr>
        <w:t>2</w:t>
      </w:r>
      <w:r w:rsidRPr="004F3B2F">
        <w:rPr>
          <w:rFonts w:ascii="Times New Roman" w:eastAsia="標楷體" w:hAnsi="標楷體"/>
          <w:color w:val="000000"/>
          <w:sz w:val="28"/>
          <w:szCs w:val="28"/>
        </w:rPr>
        <w:t>條之規定可資參照。是對於本件立法院司法及法制委員會所要求調閱檢察官偵查案件卷證乙節，檢察官如不同意調閱，即有受懲戒之可能，而檢察官應受懲戒之事由，以其行為有無違法或失職為限，本件檢察官如不同意調閱，則有可能構成懲戒事由，足見本件檢察官同意調閱與否，即為檢察官職權行使之行為，事理至明。</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二</w:t>
      </w:r>
      <w:r>
        <w:rPr>
          <w:color w:val="000000"/>
          <w:sz w:val="28"/>
          <w:szCs w:val="28"/>
        </w:rPr>
        <w:t>）</w:t>
      </w:r>
      <w:r w:rsidRPr="004F3B2F">
        <w:rPr>
          <w:rFonts w:hAnsi="標楷體"/>
          <w:color w:val="000000"/>
          <w:sz w:val="28"/>
          <w:szCs w:val="28"/>
        </w:rPr>
        <w:t>檢察官獨立行使職權受憲法保障，犯罪偵查資訊之不公開「行政特權」，應不容任意侵犯</w:t>
      </w:r>
    </w:p>
    <w:p w:rsidR="003247EA" w:rsidRPr="004F3B2F" w:rsidRDefault="003247EA" w:rsidP="004A01B9">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lastRenderedPageBreak/>
        <w:t>按「國家機關獨立行使職權受憲法之保障者，例如法官依據法律獨立審判，不受任何干涉，考試委員、監察委員獨立行使職權，憲法第</w:t>
      </w:r>
      <w:r w:rsidRPr="004F3B2F">
        <w:rPr>
          <w:rFonts w:ascii="Times New Roman" w:eastAsia="標楷體" w:hAnsi="Times New Roman"/>
          <w:color w:val="000000"/>
          <w:sz w:val="28"/>
          <w:szCs w:val="28"/>
        </w:rPr>
        <w:t>80</w:t>
      </w:r>
      <w:r w:rsidRPr="004F3B2F">
        <w:rPr>
          <w:rFonts w:ascii="Times New Roman" w:eastAsia="標楷體" w:hAnsi="標楷體"/>
          <w:color w:val="000000"/>
          <w:sz w:val="28"/>
          <w:szCs w:val="28"/>
        </w:rPr>
        <w:t>條、第</w:t>
      </w:r>
      <w:r w:rsidRPr="004F3B2F">
        <w:rPr>
          <w:rFonts w:ascii="Times New Roman" w:eastAsia="標楷體" w:hAnsi="Times New Roman"/>
          <w:color w:val="000000"/>
          <w:sz w:val="28"/>
          <w:szCs w:val="28"/>
        </w:rPr>
        <w:t>88</w:t>
      </w:r>
      <w:r w:rsidRPr="004F3B2F">
        <w:rPr>
          <w:rFonts w:ascii="Times New Roman" w:eastAsia="標楷體" w:hAnsi="標楷體"/>
          <w:color w:val="000000"/>
          <w:sz w:val="28"/>
          <w:szCs w:val="28"/>
        </w:rPr>
        <w:t>條、憲法增修條文第</w:t>
      </w:r>
      <w:r w:rsidRPr="004F3B2F">
        <w:rPr>
          <w:rFonts w:ascii="Times New Roman" w:eastAsia="標楷體" w:hAnsi="Times New Roman"/>
          <w:color w:val="000000"/>
          <w:sz w:val="28"/>
          <w:szCs w:val="28"/>
        </w:rPr>
        <w:t>15</w:t>
      </w:r>
      <w:r w:rsidRPr="004F3B2F">
        <w:rPr>
          <w:rFonts w:ascii="Times New Roman" w:eastAsia="標楷體" w:hAnsi="標楷體"/>
          <w:color w:val="000000"/>
          <w:sz w:val="28"/>
          <w:szCs w:val="28"/>
        </w:rPr>
        <w:t>條第</w:t>
      </w:r>
      <w:r w:rsidRPr="004F3B2F">
        <w:rPr>
          <w:rFonts w:ascii="Times New Roman" w:eastAsia="標楷體" w:hAnsi="Times New Roman"/>
          <w:color w:val="000000"/>
          <w:sz w:val="28"/>
          <w:szCs w:val="28"/>
        </w:rPr>
        <w:t>6</w:t>
      </w:r>
      <w:r w:rsidRPr="004F3B2F">
        <w:rPr>
          <w:rFonts w:ascii="Times New Roman" w:eastAsia="標楷體" w:hAnsi="標楷體"/>
          <w:color w:val="000000"/>
          <w:sz w:val="28"/>
          <w:szCs w:val="28"/>
        </w:rPr>
        <w:t>項均有明文保障；而檢察官之偵查與法官之刑事審判，同為國家刑罰權正確行使之重要程序，兩者具有密切關係，除受檢察一體之拘束外，其對外獨立行使職權，亦應同受保障。本院釋字第</w:t>
      </w:r>
      <w:r w:rsidRPr="004F3B2F">
        <w:rPr>
          <w:rFonts w:ascii="Times New Roman" w:eastAsia="標楷體" w:hAnsi="Times New Roman"/>
          <w:color w:val="000000"/>
          <w:sz w:val="28"/>
          <w:szCs w:val="28"/>
        </w:rPr>
        <w:t>13</w:t>
      </w:r>
      <w:r w:rsidRPr="004F3B2F">
        <w:rPr>
          <w:rFonts w:ascii="Times New Roman" w:eastAsia="標楷體" w:hAnsi="標楷體"/>
          <w:color w:val="000000"/>
          <w:sz w:val="28"/>
          <w:szCs w:val="28"/>
        </w:rPr>
        <w:t>號解釋並認實任檢察官之保障，除轉調外，與實任推事</w:t>
      </w:r>
      <w:r>
        <w:rPr>
          <w:rFonts w:ascii="Times New Roman" w:eastAsia="標楷體" w:hAnsi="Times New Roman"/>
          <w:color w:val="000000"/>
          <w:sz w:val="28"/>
          <w:szCs w:val="28"/>
        </w:rPr>
        <w:t>（</w:t>
      </w:r>
      <w:r w:rsidRPr="004F3B2F">
        <w:rPr>
          <w:rFonts w:ascii="Times New Roman" w:eastAsia="標楷體" w:hAnsi="標楷體"/>
          <w:color w:val="000000"/>
          <w:sz w:val="28"/>
          <w:szCs w:val="28"/>
        </w:rPr>
        <w:t>法官</w:t>
      </w:r>
      <w:r>
        <w:rPr>
          <w:rFonts w:ascii="Times New Roman" w:eastAsia="標楷體" w:hAnsi="Times New Roman"/>
          <w:color w:val="000000"/>
          <w:sz w:val="28"/>
          <w:szCs w:val="28"/>
        </w:rPr>
        <w:t>）</w:t>
      </w:r>
      <w:r w:rsidRPr="004F3B2F">
        <w:rPr>
          <w:rFonts w:ascii="Times New Roman" w:eastAsia="標楷體" w:hAnsi="標楷體"/>
          <w:color w:val="000000"/>
          <w:sz w:val="28"/>
          <w:szCs w:val="28"/>
        </w:rPr>
        <w:t>同，可供參證。上述人員之職權，既應獨立行使，自必須在免於外力干涉下獨立判斷。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w:t>
      </w:r>
      <w:r w:rsidR="000D728B">
        <w:rPr>
          <w:rFonts w:ascii="Times New Roman" w:eastAsia="標楷體" w:hAnsi="標楷體" w:hint="eastAsia"/>
          <w:color w:val="000000"/>
          <w:sz w:val="28"/>
          <w:szCs w:val="28"/>
        </w:rPr>
        <w:t xml:space="preserve">　</w:t>
      </w:r>
      <w:r w:rsidRPr="004F3B2F">
        <w:rPr>
          <w:rFonts w:ascii="Times New Roman" w:eastAsia="標楷體" w:hAnsi="標楷體"/>
          <w:color w:val="000000"/>
          <w:sz w:val="28"/>
          <w:szCs w:val="28"/>
        </w:rPr>
        <w:t>大院大法官釋字第</w:t>
      </w:r>
      <w:r w:rsidRPr="004F3B2F">
        <w:rPr>
          <w:rFonts w:ascii="Times New Roman" w:eastAsia="標楷體" w:hAnsi="Times New Roman"/>
          <w:color w:val="000000"/>
          <w:sz w:val="28"/>
          <w:szCs w:val="28"/>
        </w:rPr>
        <w:t>325</w:t>
      </w:r>
      <w:r w:rsidRPr="004F3B2F">
        <w:rPr>
          <w:rFonts w:ascii="Times New Roman" w:eastAsia="標楷體" w:hAnsi="標楷體"/>
          <w:color w:val="000000"/>
          <w:sz w:val="28"/>
          <w:szCs w:val="28"/>
        </w:rPr>
        <w:t>號解釋理由書闡明甚詳，是檢察官對外獨立行使職權，並享有與法官相同之身分保障，乃直接根植憲法而受保障。</w:t>
      </w:r>
    </w:p>
    <w:p w:rsidR="003247EA" w:rsidRPr="004F3B2F" w:rsidRDefault="003247EA" w:rsidP="00ED05BC">
      <w:pPr>
        <w:pStyle w:val="af1"/>
        <w:spacing w:line="391" w:lineRule="exact"/>
        <w:ind w:left="1134" w:firstLine="595"/>
        <w:jc w:val="both"/>
        <w:rPr>
          <w:rFonts w:ascii="Times New Roman" w:eastAsia="標楷體" w:hAnsi="Times New Roman"/>
          <w:color w:val="000000"/>
          <w:sz w:val="28"/>
          <w:szCs w:val="28"/>
        </w:rPr>
      </w:pPr>
      <w:r w:rsidRPr="004F3B2F">
        <w:rPr>
          <w:rFonts w:ascii="Times New Roman" w:eastAsia="標楷體" w:hAnsi="標楷體"/>
          <w:color w:val="000000"/>
          <w:sz w:val="28"/>
          <w:szCs w:val="28"/>
        </w:rPr>
        <w:t>大院大法官釋字第</w:t>
      </w:r>
      <w:r w:rsidRPr="004F3B2F">
        <w:rPr>
          <w:rFonts w:ascii="Times New Roman" w:eastAsia="標楷體" w:hAnsi="Times New Roman"/>
          <w:color w:val="000000"/>
          <w:sz w:val="28"/>
          <w:szCs w:val="28"/>
        </w:rPr>
        <w:t>585</w:t>
      </w:r>
      <w:r w:rsidRPr="004F3B2F">
        <w:rPr>
          <w:rFonts w:ascii="Times New Roman" w:eastAsia="標楷體" w:hAnsi="標楷體"/>
          <w:color w:val="000000"/>
          <w:sz w:val="28"/>
          <w:szCs w:val="28"/>
        </w:rPr>
        <w:t>號解釋謂：「</w:t>
      </w:r>
      <w:r>
        <w:rPr>
          <w:rFonts w:ascii="Times New Roman" w:eastAsia="標楷體" w:hAnsi="Times New Roman" w:hint="eastAsia"/>
          <w:color w:val="000000"/>
          <w:sz w:val="28"/>
          <w:szCs w:val="28"/>
        </w:rPr>
        <w:t>……</w:t>
      </w:r>
      <w:r w:rsidRPr="004F3B2F">
        <w:rPr>
          <w:rFonts w:ascii="Times New Roman" w:eastAsia="標楷體" w:hAnsi="標楷體"/>
          <w:color w:val="000000"/>
          <w:sz w:val="28"/>
          <w:szCs w:val="28"/>
        </w:rPr>
        <w:t>立法院調查權乃立法院行使其憲法職權所必要之輔助性權力。基於權力分立與制衡原則，立法院調查權所得調查之對象或事項，並非毫無限制。除所欲調查之事項必須與其行使憲法所賦予之職權有重大關聯者外，凡國家機關獨立行使職權受憲法之保障者，即非立法院所得調查之事物範圍（本院釋字第</w:t>
      </w:r>
      <w:r w:rsidRPr="004F3B2F">
        <w:rPr>
          <w:rFonts w:ascii="Times New Roman" w:eastAsia="標楷體" w:hAnsi="Times New Roman"/>
          <w:color w:val="000000"/>
          <w:sz w:val="28"/>
          <w:szCs w:val="28"/>
        </w:rPr>
        <w:t>325</w:t>
      </w:r>
      <w:r w:rsidRPr="004F3B2F">
        <w:rPr>
          <w:rFonts w:ascii="Times New Roman" w:eastAsia="標楷體" w:hAnsi="標楷體"/>
          <w:color w:val="000000"/>
          <w:sz w:val="28"/>
          <w:szCs w:val="28"/>
        </w:rPr>
        <w:t>號、第</w:t>
      </w:r>
      <w:r w:rsidRPr="004F3B2F">
        <w:rPr>
          <w:rFonts w:ascii="Times New Roman" w:eastAsia="標楷體" w:hAnsi="Times New Roman"/>
          <w:color w:val="000000"/>
          <w:sz w:val="28"/>
          <w:szCs w:val="28"/>
        </w:rPr>
        <w:t>461</w:t>
      </w:r>
      <w:r w:rsidRPr="004F3B2F">
        <w:rPr>
          <w:rFonts w:ascii="Times New Roman" w:eastAsia="標楷體" w:hAnsi="標楷體"/>
          <w:color w:val="000000"/>
          <w:sz w:val="28"/>
          <w:szCs w:val="28"/>
        </w:rPr>
        <w:t>號解釋參照</w:t>
      </w:r>
      <w:r>
        <w:rPr>
          <w:rFonts w:ascii="Times New Roman" w:eastAsia="標楷體" w:hAnsi="標楷體"/>
          <w:color w:val="000000"/>
          <w:sz w:val="28"/>
          <w:szCs w:val="28"/>
        </w:rPr>
        <w:t>）</w:t>
      </w:r>
      <w:r w:rsidRPr="004F3B2F">
        <w:rPr>
          <w:rFonts w:ascii="Times New Roman" w:eastAsia="標楷體" w:hAnsi="標楷體"/>
          <w:color w:val="000000"/>
          <w:sz w:val="28"/>
          <w:szCs w:val="28"/>
        </w:rPr>
        <w:t>。又如行政首長依其行政權固有之權能，對於可能影響或干預行政部門有效運作之資訊，例如涉及國家安全、國防或外交之國家機密事項，有關政策形成過程之內部討論資訊，以及有關正在進行中之犯罪偵查之相關資訊等，均有決定不予公開之權力，乃屬行政權本質所具有之行政特權（</w:t>
      </w:r>
      <w:r w:rsidRPr="004F3B2F">
        <w:rPr>
          <w:rFonts w:ascii="Times New Roman" w:eastAsia="標楷體" w:hAnsi="Times New Roman"/>
          <w:color w:val="000000"/>
          <w:sz w:val="28"/>
          <w:szCs w:val="28"/>
        </w:rPr>
        <w:t>executive privilege</w:t>
      </w:r>
      <w:r>
        <w:rPr>
          <w:rFonts w:ascii="Times New Roman" w:eastAsia="標楷體" w:hAnsi="標楷體"/>
          <w:color w:val="000000"/>
          <w:sz w:val="28"/>
          <w:szCs w:val="28"/>
        </w:rPr>
        <w:t>）</w:t>
      </w:r>
      <w:r w:rsidRPr="004F3B2F">
        <w:rPr>
          <w:rFonts w:ascii="Times New Roman" w:eastAsia="標楷體" w:hAnsi="標楷體"/>
          <w:color w:val="000000"/>
          <w:sz w:val="28"/>
          <w:szCs w:val="28"/>
        </w:rPr>
        <w:t>。立法院行使調查權如涉及此類事項，即應予以適當之尊重，而不宜逕自強制行政部門必須公開此類資訊或提供相關文書。如於具體案件，就所調查事項是否屬於國家機關獨立行使職權或行政特權之範疇，或就屬於行政特權之資訊應否接受調查或公開而有爭執時，立法院與其他國家機關宜循合理之途徑協商解決，或以法律明定相關要件與程序，由司法機關審理解決之。」是堪可認檢察官之偵查犯罪，係獨立行使國家刑罰權，應受憲法保障，其犯罪偵查之相關資訊之不公開，係屬行政權具有之「行政特權」，要不因立法院行使調查權，而有強制行政部門公開此類資訊或提供相關文書之適用。</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三</w:t>
      </w:r>
      <w:r>
        <w:rPr>
          <w:color w:val="000000"/>
          <w:sz w:val="28"/>
          <w:szCs w:val="28"/>
        </w:rPr>
        <w:t>）</w:t>
      </w:r>
      <w:r w:rsidRPr="004F3B2F">
        <w:rPr>
          <w:rFonts w:hAnsi="標楷體"/>
          <w:color w:val="000000"/>
          <w:sz w:val="28"/>
          <w:szCs w:val="28"/>
        </w:rPr>
        <w:t>立法院之文件調閱權有憲法上限制</w:t>
      </w:r>
    </w:p>
    <w:p w:rsidR="003247EA" w:rsidRPr="004F3B2F" w:rsidRDefault="003247EA" w:rsidP="008D7FDE">
      <w:pPr>
        <w:autoSpaceDE w:val="0"/>
        <w:autoSpaceDN w:val="0"/>
        <w:adjustRightInd w:val="0"/>
        <w:spacing w:line="391" w:lineRule="exact"/>
        <w:ind w:leftChars="370" w:left="1548" w:hangingChars="130" w:hanging="364"/>
        <w:rPr>
          <w:color w:val="000000"/>
          <w:sz w:val="28"/>
          <w:szCs w:val="28"/>
        </w:rPr>
      </w:pPr>
      <w:r w:rsidRPr="004F3B2F">
        <w:rPr>
          <w:color w:val="000000"/>
          <w:sz w:val="28"/>
          <w:szCs w:val="28"/>
        </w:rPr>
        <w:t>1</w:t>
      </w:r>
      <w:r w:rsidRPr="004F3B2F">
        <w:rPr>
          <w:rFonts w:hAnsi="標楷體"/>
          <w:color w:val="000000"/>
          <w:sz w:val="28"/>
          <w:szCs w:val="28"/>
        </w:rPr>
        <w:t>、立法院行使調閱權不僅侵犯監察院職權，且國家機關獨立行使職權受憲法之保障者，監察院對之行使調查權本受有限制，基於同一理</w:t>
      </w:r>
      <w:r w:rsidRPr="004F3B2F">
        <w:rPr>
          <w:rFonts w:hAnsi="標楷體"/>
          <w:color w:val="000000"/>
          <w:sz w:val="28"/>
          <w:szCs w:val="28"/>
        </w:rPr>
        <w:lastRenderedPageBreak/>
        <w:t>由，立法院之調閱文件亦同受限制</w:t>
      </w:r>
    </w:p>
    <w:p w:rsidR="003247EA" w:rsidRPr="004F3B2F" w:rsidRDefault="003247EA" w:rsidP="00ED05BC">
      <w:pPr>
        <w:pStyle w:val="HTML"/>
        <w:overflowPunct w:val="0"/>
        <w:spacing w:line="391" w:lineRule="exact"/>
        <w:ind w:left="1559" w:firstLine="567"/>
        <w:jc w:val="both"/>
        <w:rPr>
          <w:rFonts w:ascii="Times New Roman" w:eastAsia="標楷體" w:hAnsi="Times New Roman" w:cs="Times New Roman"/>
          <w:color w:val="000000"/>
          <w:sz w:val="28"/>
          <w:szCs w:val="28"/>
        </w:rPr>
      </w:pPr>
      <w:r w:rsidRPr="004F3B2F">
        <w:rPr>
          <w:rFonts w:ascii="Times New Roman" w:eastAsia="標楷體" w:hAnsi="標楷體" w:cs="Times New Roman"/>
          <w:color w:val="000000"/>
          <w:sz w:val="28"/>
          <w:szCs w:val="28"/>
        </w:rPr>
        <w:t>按「本院釋字第</w:t>
      </w:r>
      <w:r w:rsidRPr="004F3B2F">
        <w:rPr>
          <w:rFonts w:ascii="Times New Roman" w:eastAsia="標楷體" w:hAnsi="Times New Roman" w:cs="Times New Roman"/>
          <w:color w:val="000000"/>
          <w:sz w:val="28"/>
          <w:szCs w:val="28"/>
        </w:rPr>
        <w:t>76</w:t>
      </w:r>
      <w:r w:rsidRPr="004F3B2F">
        <w:rPr>
          <w:rFonts w:ascii="Times New Roman" w:eastAsia="標楷體" w:hAnsi="標楷體" w:cs="Times New Roman"/>
          <w:color w:val="000000"/>
          <w:sz w:val="28"/>
          <w:szCs w:val="28"/>
        </w:rPr>
        <w:t>號解釋認監察院與其他中央民意機構共同相當於民主國家之國會，於憲法增修條文第</w:t>
      </w:r>
      <w:r w:rsidRPr="004F3B2F">
        <w:rPr>
          <w:rFonts w:ascii="Times New Roman" w:eastAsia="標楷體" w:hAnsi="Times New Roman" w:cs="Times New Roman"/>
          <w:color w:val="000000"/>
          <w:sz w:val="28"/>
          <w:szCs w:val="28"/>
        </w:rPr>
        <w:t>15</w:t>
      </w:r>
      <w:r w:rsidRPr="004F3B2F">
        <w:rPr>
          <w:rFonts w:ascii="Times New Roman" w:eastAsia="標楷體" w:hAnsi="標楷體" w:cs="Times New Roman"/>
          <w:color w:val="000000"/>
          <w:sz w:val="28"/>
          <w:szCs w:val="28"/>
        </w:rPr>
        <w:t>條規定施行後，監察院已非中央民意機構，其地位及職權亦有所變更，上開解釋自不再適用於監察院。惟憲法之五院體制並未改變，原屬於監察院職權中之彈劾、糾舉、糾正權及為行使此等職權，依憲法第</w:t>
      </w:r>
      <w:r w:rsidRPr="004F3B2F">
        <w:rPr>
          <w:rFonts w:ascii="Times New Roman" w:eastAsia="標楷體" w:hAnsi="Times New Roman" w:cs="Times New Roman"/>
          <w:color w:val="000000"/>
          <w:sz w:val="28"/>
          <w:szCs w:val="28"/>
        </w:rPr>
        <w:t>95</w:t>
      </w:r>
      <w:r w:rsidRPr="004F3B2F">
        <w:rPr>
          <w:rFonts w:ascii="Times New Roman" w:eastAsia="標楷體" w:hAnsi="標楷體" w:cs="Times New Roman"/>
          <w:color w:val="000000"/>
          <w:sz w:val="28"/>
          <w:szCs w:val="28"/>
        </w:rPr>
        <w:t>條、第</w:t>
      </w:r>
      <w:r w:rsidRPr="004F3B2F">
        <w:rPr>
          <w:rFonts w:ascii="Times New Roman" w:eastAsia="標楷體" w:hAnsi="Times New Roman" w:cs="Times New Roman"/>
          <w:color w:val="000000"/>
          <w:sz w:val="28"/>
          <w:szCs w:val="28"/>
        </w:rPr>
        <w:t>96</w:t>
      </w:r>
      <w:r w:rsidRPr="004F3B2F">
        <w:rPr>
          <w:rFonts w:ascii="Times New Roman" w:eastAsia="標楷體" w:hAnsi="標楷體" w:cs="Times New Roman"/>
          <w:color w:val="000000"/>
          <w:sz w:val="28"/>
          <w:szCs w:val="28"/>
        </w:rPr>
        <w:t>條具有之調查權，憲法增修條文亦未修改，此項調查權仍應專由監察院行使。立法院為行使憲法所賦予之職權，除依憲法第</w:t>
      </w:r>
      <w:r w:rsidRPr="004F3B2F">
        <w:rPr>
          <w:rFonts w:ascii="Times New Roman" w:eastAsia="標楷體" w:hAnsi="Times New Roman" w:cs="Times New Roman"/>
          <w:color w:val="000000"/>
          <w:sz w:val="28"/>
          <w:szCs w:val="28"/>
        </w:rPr>
        <w:t>97</w:t>
      </w:r>
      <w:r w:rsidRPr="004F3B2F">
        <w:rPr>
          <w:rFonts w:ascii="Times New Roman" w:eastAsia="標楷體" w:hAnsi="標楷體" w:cs="Times New Roman"/>
          <w:color w:val="000000"/>
          <w:sz w:val="28"/>
          <w:szCs w:val="28"/>
        </w:rPr>
        <w:t>條第</w:t>
      </w:r>
      <w:r w:rsidRPr="004F3B2F">
        <w:rPr>
          <w:rFonts w:ascii="Times New Roman" w:eastAsia="標楷體" w:hAnsi="Times New Roman" w:cs="Times New Roman"/>
          <w:color w:val="000000"/>
          <w:sz w:val="28"/>
          <w:szCs w:val="28"/>
        </w:rPr>
        <w:t>1</w:t>
      </w:r>
      <w:r w:rsidRPr="004F3B2F">
        <w:rPr>
          <w:rFonts w:ascii="Times New Roman" w:eastAsia="標楷體" w:hAnsi="標楷體" w:cs="Times New Roman"/>
          <w:color w:val="000000"/>
          <w:sz w:val="28"/>
          <w:szCs w:val="28"/>
        </w:rPr>
        <w:t>款及第</w:t>
      </w:r>
      <w:r w:rsidRPr="004F3B2F">
        <w:rPr>
          <w:rFonts w:ascii="Times New Roman" w:eastAsia="標楷體" w:hAnsi="Times New Roman" w:cs="Times New Roman"/>
          <w:color w:val="000000"/>
          <w:sz w:val="28"/>
          <w:szCs w:val="28"/>
        </w:rPr>
        <w:t>67</w:t>
      </w:r>
      <w:r w:rsidRPr="004F3B2F">
        <w:rPr>
          <w:rFonts w:ascii="Times New Roman" w:eastAsia="標楷體" w:hAnsi="標楷體" w:cs="Times New Roman"/>
          <w:color w:val="000000"/>
          <w:sz w:val="28"/>
          <w:szCs w:val="28"/>
        </w:rPr>
        <w:t>條第</w:t>
      </w:r>
      <w:r w:rsidRPr="004F3B2F">
        <w:rPr>
          <w:rFonts w:ascii="Times New Roman" w:eastAsia="標楷體" w:hAnsi="Times New Roman" w:cs="Times New Roman"/>
          <w:color w:val="000000"/>
          <w:sz w:val="28"/>
          <w:szCs w:val="28"/>
        </w:rPr>
        <w:t>2</w:t>
      </w:r>
      <w:r w:rsidRPr="004F3B2F">
        <w:rPr>
          <w:rFonts w:ascii="Times New Roman" w:eastAsia="標楷體" w:hAnsi="標楷體" w:cs="Times New Roman"/>
          <w:color w:val="000000"/>
          <w:sz w:val="28"/>
          <w:szCs w:val="28"/>
        </w:rPr>
        <w:t>項辦理外，得經院會或委員會之決議，要求有關機關就議案涉及事項提供參考資料，必要時並得經院會決議調閱文件原本，受要求之機關非依法律規定或其他正當理由不得拒絕。但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　大院大法官釋字第</w:t>
      </w:r>
      <w:r w:rsidRPr="004F3B2F">
        <w:rPr>
          <w:rFonts w:ascii="Times New Roman" w:eastAsia="標楷體" w:hAnsi="Times New Roman" w:cs="Times New Roman"/>
          <w:color w:val="000000"/>
          <w:sz w:val="28"/>
          <w:szCs w:val="28"/>
        </w:rPr>
        <w:t>325</w:t>
      </w:r>
      <w:r w:rsidRPr="004F3B2F">
        <w:rPr>
          <w:rFonts w:ascii="Times New Roman" w:eastAsia="標楷體" w:hAnsi="標楷體" w:cs="Times New Roman"/>
          <w:color w:val="000000"/>
          <w:sz w:val="28"/>
          <w:szCs w:val="28"/>
        </w:rPr>
        <w:t>號解釋已有明文。另「監察院為國家最高監察機關，其為行使憲法所賦予之彈劾、糾舉、糾正、審計權，依憲法第</w:t>
      </w:r>
      <w:r w:rsidRPr="004F3B2F">
        <w:rPr>
          <w:rFonts w:ascii="Times New Roman" w:eastAsia="標楷體" w:hAnsi="Times New Roman" w:cs="Times New Roman"/>
          <w:color w:val="000000"/>
          <w:sz w:val="28"/>
          <w:szCs w:val="28"/>
        </w:rPr>
        <w:t>95</w:t>
      </w:r>
      <w:r w:rsidRPr="004F3B2F">
        <w:rPr>
          <w:rFonts w:ascii="Times New Roman" w:eastAsia="標楷體" w:hAnsi="標楷體" w:cs="Times New Roman"/>
          <w:color w:val="000000"/>
          <w:sz w:val="28"/>
          <w:szCs w:val="28"/>
        </w:rPr>
        <w:t>條、第</w:t>
      </w:r>
      <w:r w:rsidRPr="004F3B2F">
        <w:rPr>
          <w:rFonts w:ascii="Times New Roman" w:eastAsia="標楷體" w:hAnsi="Times New Roman" w:cs="Times New Roman"/>
          <w:color w:val="000000"/>
          <w:sz w:val="28"/>
          <w:szCs w:val="28"/>
        </w:rPr>
        <w:t>96</w:t>
      </w:r>
      <w:r w:rsidRPr="004F3B2F">
        <w:rPr>
          <w:rFonts w:ascii="Times New Roman" w:eastAsia="標楷體" w:hAnsi="標楷體" w:cs="Times New Roman"/>
          <w:color w:val="000000"/>
          <w:sz w:val="28"/>
          <w:szCs w:val="28"/>
        </w:rPr>
        <w:t>條具有之調查權，仍應專由監察院行使。其與立法院於憲法之職能各有所司，各自所行使之調查權在權力性質、功能與目的上並不相同，亦無重疊扞格之處。」</w:t>
      </w:r>
      <w:r w:rsidR="000669E3">
        <w:rPr>
          <w:rFonts w:ascii="Times New Roman" w:eastAsia="標楷體" w:hAnsi="標楷體" w:cs="Times New Roman" w:hint="eastAsia"/>
          <w:color w:val="000000"/>
          <w:sz w:val="28"/>
          <w:szCs w:val="28"/>
        </w:rPr>
        <w:t xml:space="preserve">　</w:t>
      </w:r>
      <w:r w:rsidRPr="004F3B2F">
        <w:rPr>
          <w:rFonts w:ascii="Times New Roman" w:eastAsia="標楷體" w:hAnsi="標楷體" w:cs="Times New Roman"/>
          <w:color w:val="000000"/>
          <w:sz w:val="28"/>
          <w:szCs w:val="28"/>
        </w:rPr>
        <w:t>大院大法官釋字第</w:t>
      </w:r>
      <w:r w:rsidRPr="004F3B2F">
        <w:rPr>
          <w:rFonts w:ascii="Times New Roman" w:eastAsia="標楷體" w:hAnsi="Times New Roman" w:cs="Times New Roman"/>
          <w:color w:val="000000"/>
          <w:sz w:val="28"/>
          <w:szCs w:val="28"/>
        </w:rPr>
        <w:t>585</w:t>
      </w:r>
      <w:r w:rsidRPr="004F3B2F">
        <w:rPr>
          <w:rFonts w:ascii="Times New Roman" w:eastAsia="標楷體" w:hAnsi="標楷體" w:cs="Times New Roman"/>
          <w:color w:val="000000"/>
          <w:sz w:val="28"/>
          <w:szCs w:val="28"/>
        </w:rPr>
        <w:t>號解釋理由書亦同此意旨。是立法院與監察院行使之調查權各別，前者僅能就議決法律案、預算案等通案調查，後者則能就個案予以調查，兩者並不相同，惟監察院調查權之行使，針對受憲法保障獨立行使職權之機關，都受有限制，則立法院對於通案之調查，對於上述機關亦應同受限制。是本件立法院司法及法制委員會函示所要求調閱之文件編號：</w:t>
      </w:r>
      <w:r w:rsidRPr="004F3B2F">
        <w:rPr>
          <w:rFonts w:ascii="Times New Roman" w:eastAsia="標楷體" w:hAnsi="Times New Roman" w:cs="Times New Roman"/>
          <w:color w:val="000000"/>
          <w:sz w:val="28"/>
          <w:szCs w:val="28"/>
        </w:rPr>
        <w:t>1</w:t>
      </w:r>
      <w:r w:rsidRPr="004F3B2F">
        <w:rPr>
          <w:rFonts w:ascii="Times New Roman" w:eastAsia="標楷體" w:hAnsi="標楷體" w:cs="Times New Roman"/>
          <w:color w:val="000000"/>
          <w:sz w:val="28"/>
          <w:szCs w:val="28"/>
        </w:rPr>
        <w:t>、特他字第</w:t>
      </w:r>
      <w:r w:rsidRPr="004F3B2F">
        <w:rPr>
          <w:rFonts w:ascii="Times New Roman" w:eastAsia="標楷體" w:hAnsi="Times New Roman" w:cs="Times New Roman"/>
          <w:color w:val="000000"/>
          <w:sz w:val="28"/>
          <w:szCs w:val="28"/>
        </w:rPr>
        <w:t>61</w:t>
      </w:r>
      <w:r w:rsidRPr="004F3B2F">
        <w:rPr>
          <w:rFonts w:ascii="Times New Roman" w:eastAsia="標楷體" w:hAnsi="標楷體" w:cs="Times New Roman"/>
          <w:color w:val="000000"/>
          <w:sz w:val="28"/>
          <w:szCs w:val="28"/>
        </w:rPr>
        <w:t>號之卷證，包括：</w:t>
      </w:r>
      <w:r w:rsidRPr="004F3B2F">
        <w:rPr>
          <w:rFonts w:ascii="Times New Roman" w:eastAsia="標楷體" w:hAnsi="Times New Roman" w:cs="Times New Roman"/>
          <w:color w:val="000000"/>
          <w:sz w:val="28"/>
          <w:szCs w:val="28"/>
        </w:rPr>
        <w:t>1.1</w:t>
      </w:r>
      <w:r w:rsidRPr="004F3B2F">
        <w:rPr>
          <w:rFonts w:ascii="Times New Roman" w:eastAsia="標楷體" w:hAnsi="標楷體" w:cs="Times New Roman"/>
          <w:color w:val="000000"/>
          <w:sz w:val="28"/>
          <w:szCs w:val="28"/>
        </w:rPr>
        <w:t>通訊監察聲請書及附件偵查計畫書</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含事證資料</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1.2</w:t>
      </w:r>
      <w:r w:rsidRPr="004F3B2F">
        <w:rPr>
          <w:rFonts w:ascii="Times New Roman" w:eastAsia="標楷體" w:hAnsi="標楷體" w:cs="Times New Roman"/>
          <w:color w:val="000000"/>
          <w:sz w:val="28"/>
          <w:szCs w:val="28"/>
        </w:rPr>
        <w:t>通訊監察書（監聽票</w:t>
      </w:r>
      <w:r>
        <w:rPr>
          <w:rFonts w:ascii="Times New Roman" w:eastAsia="標楷體" w:hAnsi="標楷體"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1.3</w:t>
      </w:r>
      <w:r w:rsidRPr="004F3B2F">
        <w:rPr>
          <w:rFonts w:ascii="Times New Roman" w:eastAsia="標楷體" w:hAnsi="標楷體" w:cs="Times New Roman"/>
          <w:color w:val="000000"/>
          <w:sz w:val="28"/>
          <w:szCs w:val="28"/>
        </w:rPr>
        <w:t>執行單位期中報告書（通保法第</w:t>
      </w:r>
      <w:r w:rsidRPr="004F3B2F">
        <w:rPr>
          <w:rFonts w:ascii="Times New Roman" w:eastAsia="標楷體" w:hAnsi="Times New Roman" w:cs="Times New Roman"/>
          <w:color w:val="000000"/>
          <w:sz w:val="28"/>
          <w:szCs w:val="28"/>
        </w:rPr>
        <w:t>5</w:t>
      </w:r>
      <w:r w:rsidRPr="004F3B2F">
        <w:rPr>
          <w:rFonts w:ascii="Times New Roman" w:eastAsia="標楷體" w:hAnsi="標楷體" w:cs="Times New Roman"/>
          <w:color w:val="000000"/>
          <w:sz w:val="28"/>
          <w:szCs w:val="28"/>
        </w:rPr>
        <w:t>條第</w:t>
      </w:r>
      <w:r w:rsidRPr="004F3B2F">
        <w:rPr>
          <w:rFonts w:ascii="Times New Roman" w:eastAsia="標楷體" w:hAnsi="Times New Roman" w:cs="Times New Roman"/>
          <w:color w:val="000000"/>
          <w:sz w:val="28"/>
          <w:szCs w:val="28"/>
        </w:rPr>
        <w:t>4</w:t>
      </w:r>
      <w:r w:rsidRPr="004F3B2F">
        <w:rPr>
          <w:rFonts w:ascii="Times New Roman" w:eastAsia="標楷體" w:hAnsi="標楷體" w:cs="Times New Roman"/>
          <w:color w:val="000000"/>
          <w:sz w:val="28"/>
          <w:szCs w:val="28"/>
        </w:rPr>
        <w:t>項</w:t>
      </w:r>
      <w:r>
        <w:rPr>
          <w:rFonts w:ascii="Times New Roman" w:eastAsia="標楷體" w:hAnsi="標楷體"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1.4</w:t>
      </w:r>
      <w:r w:rsidRPr="004F3B2F">
        <w:rPr>
          <w:rFonts w:ascii="Times New Roman" w:eastAsia="標楷體" w:hAnsi="標楷體" w:cs="Times New Roman"/>
          <w:color w:val="000000"/>
          <w:sz w:val="28"/>
          <w:szCs w:val="28"/>
        </w:rPr>
        <w:t>通訊監察續監聲請書（續監監聽票，含事證資料</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1.5</w:t>
      </w:r>
      <w:r w:rsidRPr="004F3B2F">
        <w:rPr>
          <w:rFonts w:ascii="Times New Roman" w:eastAsia="標楷體" w:hAnsi="標楷體" w:cs="Times New Roman"/>
          <w:color w:val="000000"/>
          <w:sz w:val="28"/>
          <w:szCs w:val="28"/>
        </w:rPr>
        <w:t>陳報通知書（通保法第</w:t>
      </w:r>
      <w:r w:rsidRPr="004F3B2F">
        <w:rPr>
          <w:rFonts w:ascii="Times New Roman" w:eastAsia="標楷體" w:hAnsi="Times New Roman" w:cs="Times New Roman"/>
          <w:color w:val="000000"/>
          <w:sz w:val="28"/>
          <w:szCs w:val="28"/>
        </w:rPr>
        <w:t>15</w:t>
      </w:r>
      <w:r w:rsidRPr="004F3B2F">
        <w:rPr>
          <w:rFonts w:ascii="Times New Roman" w:eastAsia="標楷體" w:hAnsi="標楷體" w:cs="Times New Roman"/>
          <w:color w:val="000000"/>
          <w:sz w:val="28"/>
          <w:szCs w:val="28"/>
        </w:rPr>
        <w:t>條</w:t>
      </w:r>
      <w:r>
        <w:rPr>
          <w:rFonts w:ascii="Times New Roman" w:eastAsia="標楷體" w:hAnsi="標楷體"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1.6</w:t>
      </w:r>
      <w:r w:rsidRPr="004F3B2F">
        <w:rPr>
          <w:rFonts w:ascii="Times New Roman" w:eastAsia="標楷體" w:hAnsi="標楷體" w:cs="Times New Roman"/>
          <w:color w:val="000000"/>
          <w:sz w:val="28"/>
          <w:szCs w:val="28"/>
        </w:rPr>
        <w:t>約詢計畫及卷內所有全文筆錄、完整監聽譯文；</w:t>
      </w:r>
      <w:r w:rsidRPr="004F3B2F">
        <w:rPr>
          <w:rFonts w:ascii="Times New Roman" w:eastAsia="標楷體" w:hAnsi="Times New Roman" w:cs="Times New Roman"/>
          <w:color w:val="000000"/>
          <w:sz w:val="28"/>
          <w:szCs w:val="28"/>
        </w:rPr>
        <w:t>1.7</w:t>
      </w:r>
      <w:r w:rsidRPr="004F3B2F">
        <w:rPr>
          <w:rFonts w:ascii="Times New Roman" w:eastAsia="標楷體" w:hAnsi="標楷體" w:cs="Times New Roman"/>
          <w:color w:val="000000"/>
          <w:sz w:val="28"/>
          <w:szCs w:val="28"/>
        </w:rPr>
        <w:t>簽結公文</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含內簽</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以及發交地檢署偵辦之公文</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含內簽</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w:t>
      </w:r>
      <w:r w:rsidRPr="004F3B2F">
        <w:rPr>
          <w:rFonts w:ascii="Times New Roman" w:eastAsia="標楷體" w:hAnsi="Times New Roman" w:cs="Times New Roman"/>
          <w:color w:val="000000"/>
          <w:sz w:val="28"/>
          <w:szCs w:val="28"/>
        </w:rPr>
        <w:t>1.8</w:t>
      </w:r>
      <w:r w:rsidRPr="004F3B2F">
        <w:rPr>
          <w:rFonts w:ascii="Times New Roman" w:eastAsia="標楷體" w:hAnsi="標楷體" w:cs="Times New Roman"/>
          <w:color w:val="000000"/>
          <w:sz w:val="28"/>
          <w:szCs w:val="28"/>
        </w:rPr>
        <w:t>申請通聯紀錄之公文及文件；</w:t>
      </w:r>
      <w:r w:rsidRPr="004F3B2F">
        <w:rPr>
          <w:rFonts w:ascii="Times New Roman" w:eastAsia="標楷體" w:hAnsi="Times New Roman" w:cs="Times New Roman"/>
          <w:color w:val="000000"/>
          <w:sz w:val="28"/>
          <w:szCs w:val="28"/>
        </w:rPr>
        <w:t>1.9</w:t>
      </w:r>
      <w:r w:rsidRPr="004F3B2F">
        <w:rPr>
          <w:rFonts w:ascii="Times New Roman" w:eastAsia="標楷體" w:hAnsi="標楷體" w:cs="Times New Roman"/>
          <w:color w:val="000000"/>
          <w:sz w:val="28"/>
          <w:szCs w:val="28"/>
        </w:rPr>
        <w:t>監聽之所有原始光碟；</w:t>
      </w:r>
      <w:r w:rsidRPr="004F3B2F">
        <w:rPr>
          <w:rFonts w:ascii="Times New Roman" w:eastAsia="標楷體" w:hAnsi="Times New Roman" w:cs="Times New Roman"/>
          <w:color w:val="000000"/>
          <w:sz w:val="28"/>
          <w:szCs w:val="28"/>
        </w:rPr>
        <w:t>6</w:t>
      </w:r>
      <w:r w:rsidRPr="004F3B2F">
        <w:rPr>
          <w:rFonts w:ascii="Times New Roman" w:eastAsia="標楷體" w:hAnsi="標楷體" w:cs="Times New Roman"/>
          <w:color w:val="000000"/>
          <w:sz w:val="28"/>
          <w:szCs w:val="28"/>
        </w:rPr>
        <w:t>、特偵組自成立以來，監聽柯建銘委員使用立法院</w:t>
      </w:r>
      <w:r w:rsidRPr="004F3B2F">
        <w:rPr>
          <w:rFonts w:ascii="Times New Roman" w:eastAsia="標楷體" w:hAnsi="Times New Roman" w:cs="Times New Roman"/>
          <w:color w:val="000000"/>
          <w:sz w:val="28"/>
          <w:szCs w:val="28"/>
        </w:rPr>
        <w:t>0972</w:t>
      </w:r>
      <w:r w:rsidRPr="004F3B2F">
        <w:rPr>
          <w:rFonts w:ascii="Times New Roman" w:eastAsia="標楷體" w:hAnsi="標楷體" w:cs="Times New Roman"/>
          <w:color w:val="000000"/>
          <w:sz w:val="28"/>
          <w:szCs w:val="28"/>
        </w:rPr>
        <w:t>節費電話之監聽票及電信通信紀錄</w:t>
      </w:r>
      <w:r>
        <w:rPr>
          <w:rFonts w:ascii="Times New Roman" w:eastAsia="標楷體" w:hAnsi="Times New Roman" w:cs="Times New Roman"/>
          <w:color w:val="000000"/>
          <w:sz w:val="28"/>
          <w:szCs w:val="28"/>
        </w:rPr>
        <w:t>（</w:t>
      </w:r>
      <w:r w:rsidRPr="004F3B2F">
        <w:rPr>
          <w:rFonts w:ascii="Times New Roman" w:eastAsia="標楷體" w:hAnsi="Times New Roman" w:cs="Times New Roman"/>
          <w:color w:val="000000"/>
          <w:sz w:val="28"/>
          <w:szCs w:val="28"/>
        </w:rPr>
        <w:t>CDR</w:t>
      </w:r>
      <w:r>
        <w:rPr>
          <w:rFonts w:ascii="Times New Roman" w:eastAsia="標楷體" w:hAnsi="Times New Roman" w:cs="Times New Roman"/>
          <w:color w:val="000000"/>
          <w:sz w:val="28"/>
          <w:szCs w:val="28"/>
        </w:rPr>
        <w:t>）</w:t>
      </w:r>
      <w:r w:rsidRPr="004F3B2F">
        <w:rPr>
          <w:rFonts w:ascii="Times New Roman" w:eastAsia="標楷體" w:hAnsi="標楷體" w:cs="Times New Roman"/>
          <w:color w:val="000000"/>
          <w:sz w:val="28"/>
          <w:szCs w:val="28"/>
        </w:rPr>
        <w:t>之電子檔及七支節費電話之各通聯總數；</w:t>
      </w:r>
      <w:r w:rsidRPr="004F3B2F">
        <w:rPr>
          <w:rFonts w:ascii="Times New Roman" w:eastAsia="標楷體" w:hAnsi="Times New Roman" w:cs="Times New Roman"/>
          <w:color w:val="000000"/>
          <w:sz w:val="28"/>
          <w:szCs w:val="28"/>
        </w:rPr>
        <w:lastRenderedPageBreak/>
        <w:t>6.1</w:t>
      </w:r>
      <w:r w:rsidRPr="004F3B2F">
        <w:rPr>
          <w:rFonts w:ascii="Times New Roman" w:eastAsia="標楷體" w:hAnsi="標楷體" w:cs="Times New Roman"/>
          <w:color w:val="000000"/>
          <w:sz w:val="28"/>
          <w:szCs w:val="28"/>
        </w:rPr>
        <w:t>若本院其他委員有意願調閱者，比照辦理等部分，係屬刑事個案之偵查資料，並不在立法院行使調查權、調閱權之適用範圍。</w:t>
      </w:r>
    </w:p>
    <w:p w:rsidR="003247EA" w:rsidRPr="004F3B2F" w:rsidRDefault="003247EA" w:rsidP="00ED05BC">
      <w:pPr>
        <w:autoSpaceDE w:val="0"/>
        <w:autoSpaceDN w:val="0"/>
        <w:adjustRightInd w:val="0"/>
        <w:spacing w:line="391" w:lineRule="exact"/>
        <w:ind w:leftChars="350" w:left="1540" w:hangingChars="150" w:hanging="420"/>
        <w:jc w:val="both"/>
        <w:rPr>
          <w:color w:val="000000"/>
          <w:sz w:val="28"/>
          <w:szCs w:val="28"/>
        </w:rPr>
      </w:pPr>
      <w:r w:rsidRPr="004F3B2F">
        <w:rPr>
          <w:color w:val="000000"/>
          <w:sz w:val="28"/>
          <w:szCs w:val="28"/>
        </w:rPr>
        <w:t>2</w:t>
      </w:r>
      <w:r w:rsidRPr="004F3B2F">
        <w:rPr>
          <w:rFonts w:hAnsi="標楷體"/>
          <w:color w:val="000000"/>
          <w:sz w:val="28"/>
          <w:szCs w:val="28"/>
        </w:rPr>
        <w:t>、基於權力分立及制衡原則，凡受憲法保障獨立行使職權之國家機關，即非立法院所得調查之事物範圍</w:t>
      </w:r>
    </w:p>
    <w:p w:rsidR="003247EA" w:rsidRPr="004F3B2F" w:rsidRDefault="003247EA" w:rsidP="00ED05BC">
      <w:pPr>
        <w:pStyle w:val="HTML"/>
        <w:overflowPunct w:val="0"/>
        <w:spacing w:line="391" w:lineRule="exact"/>
        <w:ind w:left="1559" w:firstLine="567"/>
        <w:jc w:val="both"/>
        <w:rPr>
          <w:rFonts w:ascii="Times New Roman" w:eastAsia="標楷體" w:hAnsi="Times New Roman" w:cs="Times New Roman"/>
          <w:color w:val="000000"/>
          <w:sz w:val="28"/>
          <w:szCs w:val="28"/>
        </w:rPr>
      </w:pPr>
      <w:r w:rsidRPr="004F3B2F">
        <w:rPr>
          <w:rFonts w:ascii="Times New Roman" w:eastAsia="標楷體" w:hAnsi="標楷體" w:cs="Times New Roman"/>
          <w:color w:val="000000"/>
          <w:sz w:val="28"/>
          <w:szCs w:val="28"/>
        </w:rPr>
        <w:t>依</w:t>
      </w:r>
      <w:r>
        <w:rPr>
          <w:rFonts w:ascii="Times New Roman" w:eastAsia="標楷體" w:hAnsi="標楷體" w:cs="Times New Roman" w:hint="eastAsia"/>
          <w:color w:val="000000"/>
          <w:sz w:val="28"/>
          <w:szCs w:val="28"/>
        </w:rPr>
        <w:t xml:space="preserve">　</w:t>
      </w:r>
      <w:r w:rsidRPr="004F3B2F">
        <w:rPr>
          <w:rFonts w:ascii="Times New Roman" w:eastAsia="標楷體" w:hAnsi="標楷體" w:cs="Times New Roman"/>
          <w:color w:val="000000"/>
          <w:sz w:val="28"/>
          <w:szCs w:val="28"/>
        </w:rPr>
        <w:t>大院大法官釋字第</w:t>
      </w:r>
      <w:r w:rsidRPr="004F3B2F">
        <w:rPr>
          <w:rFonts w:ascii="Times New Roman" w:eastAsia="標楷體" w:hAnsi="Times New Roman" w:cs="Times New Roman"/>
          <w:color w:val="000000"/>
          <w:sz w:val="28"/>
          <w:szCs w:val="28"/>
        </w:rPr>
        <w:t>585</w:t>
      </w:r>
      <w:r w:rsidRPr="004F3B2F">
        <w:rPr>
          <w:rFonts w:ascii="Times New Roman" w:eastAsia="標楷體" w:hAnsi="標楷體" w:cs="Times New Roman"/>
          <w:color w:val="000000"/>
          <w:sz w:val="28"/>
          <w:szCs w:val="28"/>
        </w:rPr>
        <w:t>號解釋明示：「立法院為有效行使憲法所賦予之立法職權，本其固有之權能自得享有一定之調查權，主動獲取行使職權所需之相關資訊，俾能充分思辯，審慎決定，以善盡民意機關之職責，發揮權力分立與制衡之機能。立法院調查權乃立法院行使其憲法職權所必要之輔助性權力，基於權力分立與制衡原則，立法院調查權所得調查之對象或事項，並非毫無限制。除所欲調查之事項必須與其行使憲法所賦予之職權有重大關聯者外，凡國家機關獨立行使職權受憲法之保障者，即非立法院所得調查之事物範圍。」可知立法院調查權所得調查之對象或事項，亦必須與其行使憲法所賦予之職權有重大關聯，而基於憲法上之權力分立及制衡原則，對於受憲法保障獨立行使職權之機關，即非屬立法院所得調查之事物範圍。</w:t>
      </w:r>
    </w:p>
    <w:p w:rsidR="003247EA" w:rsidRPr="004F3B2F" w:rsidRDefault="003247EA" w:rsidP="00ED05BC">
      <w:pPr>
        <w:autoSpaceDE w:val="0"/>
        <w:autoSpaceDN w:val="0"/>
        <w:adjustRightInd w:val="0"/>
        <w:spacing w:line="391" w:lineRule="exact"/>
        <w:ind w:leftChars="350" w:left="1540" w:hangingChars="150" w:hanging="420"/>
        <w:jc w:val="both"/>
        <w:rPr>
          <w:color w:val="000000"/>
          <w:sz w:val="28"/>
          <w:szCs w:val="28"/>
        </w:rPr>
      </w:pPr>
      <w:r w:rsidRPr="004F3B2F">
        <w:rPr>
          <w:color w:val="000000"/>
          <w:sz w:val="28"/>
          <w:szCs w:val="28"/>
        </w:rPr>
        <w:t>3</w:t>
      </w:r>
      <w:r w:rsidRPr="004F3B2F">
        <w:rPr>
          <w:rFonts w:hAnsi="標楷體"/>
          <w:color w:val="000000"/>
          <w:sz w:val="28"/>
          <w:szCs w:val="28"/>
        </w:rPr>
        <w:t>、調閱檢察官於偵查中執行通訊監察之文件，依我國憲法規定，係專屬監察院行使調查權之範圍，立法院上開所為，已逾越其調查權所行使之範圍</w:t>
      </w:r>
    </w:p>
    <w:p w:rsidR="003247EA" w:rsidRPr="004F3B2F" w:rsidRDefault="003247EA" w:rsidP="00ED05BC">
      <w:pPr>
        <w:autoSpaceDE w:val="0"/>
        <w:autoSpaceDN w:val="0"/>
        <w:adjustRightInd w:val="0"/>
        <w:spacing w:line="391" w:lineRule="exact"/>
        <w:ind w:leftChars="500" w:left="2300" w:hangingChars="250" w:hanging="700"/>
        <w:jc w:val="both"/>
        <w:rPr>
          <w:color w:val="000000"/>
          <w:sz w:val="28"/>
          <w:szCs w:val="28"/>
        </w:rPr>
      </w:pPr>
      <w:r>
        <w:rPr>
          <w:color w:val="000000"/>
          <w:sz w:val="28"/>
          <w:szCs w:val="28"/>
        </w:rPr>
        <w:t>（</w:t>
      </w:r>
      <w:r w:rsidRPr="004F3B2F">
        <w:rPr>
          <w:color w:val="000000"/>
          <w:sz w:val="28"/>
          <w:szCs w:val="28"/>
        </w:rPr>
        <w:t>1</w:t>
      </w:r>
      <w:r>
        <w:rPr>
          <w:color w:val="000000"/>
          <w:sz w:val="28"/>
          <w:szCs w:val="28"/>
        </w:rPr>
        <w:t>）</w:t>
      </w:r>
      <w:r w:rsidRPr="004F3B2F">
        <w:rPr>
          <w:rFonts w:hAnsi="標楷體"/>
          <w:color w:val="000000"/>
          <w:sz w:val="28"/>
          <w:szCs w:val="28"/>
        </w:rPr>
        <w:t>依</w:t>
      </w:r>
      <w:r>
        <w:rPr>
          <w:rFonts w:hint="eastAsia"/>
          <w:color w:val="000000"/>
          <w:sz w:val="28"/>
          <w:szCs w:val="28"/>
        </w:rPr>
        <w:t xml:space="preserve">　</w:t>
      </w:r>
      <w:r w:rsidRPr="004F3B2F">
        <w:rPr>
          <w:rFonts w:hAnsi="標楷體"/>
          <w:color w:val="000000"/>
          <w:sz w:val="28"/>
          <w:szCs w:val="28"/>
        </w:rPr>
        <w:t>大院大法官釋字第</w:t>
      </w:r>
      <w:r w:rsidRPr="004F3B2F">
        <w:rPr>
          <w:color w:val="000000"/>
          <w:sz w:val="28"/>
          <w:szCs w:val="28"/>
        </w:rPr>
        <w:t>585</w:t>
      </w:r>
      <w:r w:rsidRPr="004F3B2F">
        <w:rPr>
          <w:rFonts w:hAnsi="標楷體"/>
          <w:color w:val="000000"/>
          <w:sz w:val="28"/>
          <w:szCs w:val="28"/>
        </w:rPr>
        <w:t>號解釋意旨：「其個案調查事項之範圍，不能違反權力分立與制衡原則，亦不得侵害其他憲法機關之權力核心範圍，或對其他憲法機關權力之行使造成實質妨礙。」因此同號解釋針對三一九槍擊事件真相調查特別委員會條例（下稱真調會條例</w:t>
      </w:r>
      <w:r>
        <w:rPr>
          <w:rFonts w:hAnsi="標楷體"/>
          <w:color w:val="000000"/>
          <w:sz w:val="28"/>
          <w:szCs w:val="28"/>
        </w:rPr>
        <w:t>）</w:t>
      </w:r>
      <w:r w:rsidRPr="004F3B2F">
        <w:rPr>
          <w:rFonts w:hAnsi="標楷體"/>
          <w:color w:val="000000"/>
          <w:sz w:val="28"/>
          <w:szCs w:val="28"/>
        </w:rPr>
        <w:t>相關條文之合憲性表示：「『本會行使職權，不受國家機密保護法、營業秘密法、刑事訴訟法及其他法律規定之限制』、『本會或本會委員行使職權，得指定事項，要求有關機關、團體或個人提出說明或提供協助。受請求者不得以涉及國家機密、營業秘密、偵查保密、個人隱私或其他任何理由規避、拖延或拒絕』其中關於專屬管轄、移交卷證與涉及國家機關獨立行使職權而受憲法保障者之部分，有違權力分立與制衡原則，並逾越立法院調查權所得行使之範圍；規定涉及國家機密或偵查保密事項，一概不得拒絕之部分，應予適當修正。」真調會條例即因立法權兼刑事犯罪偵查權侵害檢察官之權力核心範圍，違反權力分立及制衡原則，而遭宣告違憲。</w:t>
      </w:r>
    </w:p>
    <w:p w:rsidR="003247EA" w:rsidRPr="004F3B2F" w:rsidRDefault="003247EA" w:rsidP="00ED05BC">
      <w:pPr>
        <w:autoSpaceDE w:val="0"/>
        <w:autoSpaceDN w:val="0"/>
        <w:adjustRightInd w:val="0"/>
        <w:spacing w:line="391" w:lineRule="exact"/>
        <w:ind w:leftChars="500" w:left="2300" w:hangingChars="250" w:hanging="700"/>
        <w:jc w:val="both"/>
        <w:rPr>
          <w:color w:val="000000"/>
          <w:sz w:val="28"/>
          <w:szCs w:val="28"/>
        </w:rPr>
      </w:pPr>
      <w:r>
        <w:rPr>
          <w:color w:val="000000"/>
          <w:sz w:val="28"/>
          <w:szCs w:val="28"/>
        </w:rPr>
        <w:t>（</w:t>
      </w:r>
      <w:r w:rsidRPr="00ED05BC">
        <w:rPr>
          <w:color w:val="000000"/>
          <w:spacing w:val="4"/>
          <w:sz w:val="28"/>
          <w:szCs w:val="28"/>
        </w:rPr>
        <w:t>2</w:t>
      </w:r>
      <w:r w:rsidRPr="00ED05BC">
        <w:rPr>
          <w:color w:val="000000"/>
          <w:spacing w:val="4"/>
          <w:sz w:val="28"/>
          <w:szCs w:val="28"/>
        </w:rPr>
        <w:t>）</w:t>
      </w:r>
      <w:r w:rsidRPr="00ED05BC">
        <w:rPr>
          <w:rFonts w:hAnsi="標楷體"/>
          <w:color w:val="000000"/>
          <w:spacing w:val="4"/>
          <w:sz w:val="28"/>
          <w:szCs w:val="28"/>
        </w:rPr>
        <w:t>本案立法院司法及法制委員會係因特偵組偵辦</w:t>
      </w:r>
      <w:r w:rsidRPr="00ED05BC">
        <w:rPr>
          <w:color w:val="000000"/>
          <w:spacing w:val="4"/>
          <w:sz w:val="28"/>
          <w:szCs w:val="28"/>
        </w:rPr>
        <w:t>100</w:t>
      </w:r>
      <w:r w:rsidRPr="004F3B2F">
        <w:rPr>
          <w:rFonts w:hAnsi="標楷體"/>
          <w:color w:val="000000"/>
          <w:sz w:val="28"/>
          <w:szCs w:val="28"/>
        </w:rPr>
        <w:t>年度特他</w:t>
      </w:r>
      <w:r w:rsidRPr="004F3B2F">
        <w:rPr>
          <w:rFonts w:hAnsi="標楷體"/>
          <w:color w:val="000000"/>
          <w:sz w:val="28"/>
          <w:szCs w:val="28"/>
        </w:rPr>
        <w:lastRenderedPageBreak/>
        <w:t>字第</w:t>
      </w:r>
      <w:r w:rsidRPr="004F3B2F">
        <w:rPr>
          <w:color w:val="000000"/>
          <w:sz w:val="28"/>
          <w:szCs w:val="28"/>
        </w:rPr>
        <w:t>61</w:t>
      </w:r>
      <w:r w:rsidRPr="004F3B2F">
        <w:rPr>
          <w:rFonts w:hAnsi="標楷體"/>
          <w:color w:val="000000"/>
          <w:sz w:val="28"/>
          <w:szCs w:val="28"/>
        </w:rPr>
        <w:t>號案，對登記為立法院使用之</w:t>
      </w:r>
      <w:r w:rsidRPr="004F3B2F">
        <w:rPr>
          <w:color w:val="000000"/>
          <w:sz w:val="28"/>
          <w:szCs w:val="28"/>
        </w:rPr>
        <w:t>0972XXXXXX</w:t>
      </w:r>
      <w:r w:rsidRPr="004F3B2F">
        <w:rPr>
          <w:rFonts w:hAnsi="標楷體"/>
          <w:color w:val="000000"/>
          <w:sz w:val="28"/>
          <w:szCs w:val="28"/>
        </w:rPr>
        <w:t>號電話實施通訊監察，然宣稱未錄得任何內容，因認有調查之必要而來函調閱上開文件。惟不論本署</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號通訊監察部分卷證（編號</w:t>
      </w:r>
      <w:r w:rsidRPr="004F3B2F">
        <w:rPr>
          <w:color w:val="000000"/>
          <w:sz w:val="28"/>
          <w:szCs w:val="28"/>
        </w:rPr>
        <w:t>1</w:t>
      </w:r>
      <w:r w:rsidRPr="004F3B2F">
        <w:rPr>
          <w:rFonts w:hAnsi="標楷體"/>
          <w:color w:val="000000"/>
          <w:sz w:val="28"/>
          <w:szCs w:val="28"/>
        </w:rPr>
        <w:t>部分</w:t>
      </w:r>
      <w:r>
        <w:rPr>
          <w:rFonts w:hAnsi="標楷體"/>
          <w:color w:val="000000"/>
          <w:sz w:val="28"/>
          <w:szCs w:val="28"/>
        </w:rPr>
        <w:t>）</w:t>
      </w:r>
      <w:r w:rsidRPr="004F3B2F">
        <w:rPr>
          <w:rFonts w:hAnsi="標楷體"/>
          <w:color w:val="000000"/>
          <w:sz w:val="28"/>
          <w:szCs w:val="28"/>
        </w:rPr>
        <w:t>，以及特偵組自成立以來，對柯建銘委員使用</w:t>
      </w:r>
      <w:r w:rsidRPr="004F3B2F">
        <w:rPr>
          <w:color w:val="000000"/>
          <w:sz w:val="28"/>
          <w:szCs w:val="28"/>
        </w:rPr>
        <w:t>0972XXXXXX</w:t>
      </w:r>
      <w:r w:rsidRPr="004F3B2F">
        <w:rPr>
          <w:rFonts w:hAnsi="標楷體"/>
          <w:color w:val="000000"/>
          <w:sz w:val="28"/>
          <w:szCs w:val="28"/>
        </w:rPr>
        <w:t>電話實施通訊監察部分（編號</w:t>
      </w:r>
      <w:r w:rsidRPr="004F3B2F">
        <w:rPr>
          <w:color w:val="000000"/>
          <w:sz w:val="28"/>
          <w:szCs w:val="28"/>
        </w:rPr>
        <w:t>6</w:t>
      </w:r>
      <w:r w:rsidRPr="004F3B2F">
        <w:rPr>
          <w:rFonts w:hAnsi="標楷體"/>
          <w:color w:val="000000"/>
          <w:sz w:val="28"/>
          <w:szCs w:val="28"/>
        </w:rPr>
        <w:t>部分</w:t>
      </w:r>
      <w:r>
        <w:rPr>
          <w:rFonts w:hAnsi="標楷體"/>
          <w:color w:val="000000"/>
          <w:sz w:val="28"/>
          <w:szCs w:val="28"/>
        </w:rPr>
        <w:t>）</w:t>
      </w:r>
      <w:r w:rsidRPr="004F3B2F">
        <w:rPr>
          <w:rFonts w:hAnsi="標楷體"/>
          <w:color w:val="000000"/>
          <w:sz w:val="28"/>
          <w:szCs w:val="28"/>
        </w:rPr>
        <w:t>，均係檢察官獨立行使職權所為偵查行為之一部。若發現有個人違法、不當情事，係由監察院依憲法第</w:t>
      </w:r>
      <w:r w:rsidRPr="004F3B2F">
        <w:rPr>
          <w:color w:val="000000"/>
          <w:sz w:val="28"/>
          <w:szCs w:val="28"/>
        </w:rPr>
        <w:t>95</w:t>
      </w:r>
      <w:r w:rsidRPr="004F3B2F">
        <w:rPr>
          <w:rFonts w:hAnsi="標楷體"/>
          <w:color w:val="000000"/>
          <w:sz w:val="28"/>
          <w:szCs w:val="28"/>
        </w:rPr>
        <w:t>條、</w:t>
      </w:r>
      <w:r w:rsidR="00ED05BC">
        <w:rPr>
          <w:rFonts w:hAnsi="標楷體" w:hint="eastAsia"/>
          <w:color w:val="000000"/>
          <w:sz w:val="28"/>
          <w:szCs w:val="28"/>
        </w:rPr>
        <w:t>第</w:t>
      </w:r>
      <w:r w:rsidRPr="004F3B2F">
        <w:rPr>
          <w:color w:val="000000"/>
          <w:sz w:val="28"/>
          <w:szCs w:val="28"/>
        </w:rPr>
        <w:t>96</w:t>
      </w:r>
      <w:r w:rsidRPr="004F3B2F">
        <w:rPr>
          <w:rFonts w:hAnsi="標楷體"/>
          <w:color w:val="000000"/>
          <w:sz w:val="28"/>
          <w:szCs w:val="28"/>
        </w:rPr>
        <w:t>條規定行使調查權後，依憲法第</w:t>
      </w:r>
      <w:r w:rsidRPr="004F3B2F">
        <w:rPr>
          <w:color w:val="000000"/>
          <w:sz w:val="28"/>
          <w:szCs w:val="28"/>
        </w:rPr>
        <w:t>97</w:t>
      </w:r>
      <w:r w:rsidRPr="004F3B2F">
        <w:rPr>
          <w:rFonts w:hAnsi="標楷體"/>
          <w:color w:val="000000"/>
          <w:sz w:val="28"/>
          <w:szCs w:val="28"/>
        </w:rPr>
        <w:t>條第</w:t>
      </w:r>
      <w:r w:rsidRPr="004F3B2F">
        <w:rPr>
          <w:color w:val="000000"/>
          <w:sz w:val="28"/>
          <w:szCs w:val="28"/>
        </w:rPr>
        <w:t>2</w:t>
      </w:r>
      <w:r w:rsidRPr="004F3B2F">
        <w:rPr>
          <w:rFonts w:hAnsi="標楷體"/>
          <w:color w:val="000000"/>
          <w:sz w:val="28"/>
          <w:szCs w:val="28"/>
        </w:rPr>
        <w:t>項、第</w:t>
      </w:r>
      <w:r w:rsidRPr="004F3B2F">
        <w:rPr>
          <w:color w:val="000000"/>
          <w:sz w:val="28"/>
          <w:szCs w:val="28"/>
        </w:rPr>
        <w:t>98</w:t>
      </w:r>
      <w:r w:rsidRPr="004F3B2F">
        <w:rPr>
          <w:rFonts w:hAnsi="標楷體"/>
          <w:color w:val="000000"/>
          <w:sz w:val="28"/>
          <w:szCs w:val="28"/>
        </w:rPr>
        <w:t>條行使糾舉或彈劾權；若發現係機關涉有違失，則依憲法第</w:t>
      </w:r>
      <w:r w:rsidRPr="004F3B2F">
        <w:rPr>
          <w:color w:val="000000"/>
          <w:sz w:val="28"/>
          <w:szCs w:val="28"/>
        </w:rPr>
        <w:t>97</w:t>
      </w:r>
      <w:r w:rsidRPr="004F3B2F">
        <w:rPr>
          <w:rFonts w:hAnsi="標楷體"/>
          <w:color w:val="000000"/>
          <w:sz w:val="28"/>
          <w:szCs w:val="28"/>
        </w:rPr>
        <w:t>條第</w:t>
      </w:r>
      <w:r w:rsidRPr="004F3B2F">
        <w:rPr>
          <w:color w:val="000000"/>
          <w:sz w:val="28"/>
          <w:szCs w:val="28"/>
        </w:rPr>
        <w:t>1</w:t>
      </w:r>
      <w:r w:rsidRPr="004F3B2F">
        <w:rPr>
          <w:rFonts w:hAnsi="標楷體"/>
          <w:color w:val="000000"/>
          <w:sz w:val="28"/>
          <w:szCs w:val="28"/>
        </w:rPr>
        <w:t>項規定提出糾正案，此為前述</w:t>
      </w:r>
      <w:r>
        <w:rPr>
          <w:rFonts w:hint="eastAsia"/>
          <w:color w:val="000000"/>
          <w:sz w:val="28"/>
          <w:szCs w:val="28"/>
        </w:rPr>
        <w:t xml:space="preserve">　</w:t>
      </w:r>
      <w:r w:rsidRPr="004F3B2F">
        <w:rPr>
          <w:rFonts w:hAnsi="標楷體"/>
          <w:color w:val="000000"/>
          <w:sz w:val="28"/>
          <w:szCs w:val="28"/>
        </w:rPr>
        <w:t>大院大法官解釋所指憲法機關之權力核心範圍，不容侵犯。亦即，立法院司法及法制委員會自不得無視憲法明文規定及權力分立、制衡原則之要求，向本署調閱上開偵查案卷。</w:t>
      </w:r>
    </w:p>
    <w:p w:rsidR="003247EA" w:rsidRPr="004F3B2F" w:rsidRDefault="003247EA" w:rsidP="00ED05BC">
      <w:pPr>
        <w:autoSpaceDE w:val="0"/>
        <w:autoSpaceDN w:val="0"/>
        <w:adjustRightInd w:val="0"/>
        <w:spacing w:line="391" w:lineRule="exact"/>
        <w:ind w:leftChars="500" w:left="2300" w:hangingChars="250" w:hanging="700"/>
        <w:jc w:val="both"/>
        <w:rPr>
          <w:color w:val="000000"/>
          <w:sz w:val="28"/>
          <w:szCs w:val="28"/>
        </w:rPr>
      </w:pPr>
      <w:r>
        <w:rPr>
          <w:color w:val="000000"/>
          <w:sz w:val="28"/>
          <w:szCs w:val="28"/>
        </w:rPr>
        <w:t>（</w:t>
      </w:r>
      <w:r w:rsidRPr="004F3B2F">
        <w:rPr>
          <w:color w:val="000000"/>
          <w:sz w:val="28"/>
          <w:szCs w:val="28"/>
        </w:rPr>
        <w:t>3</w:t>
      </w:r>
      <w:r>
        <w:rPr>
          <w:color w:val="000000"/>
          <w:sz w:val="28"/>
          <w:szCs w:val="28"/>
        </w:rPr>
        <w:t>）</w:t>
      </w:r>
      <w:r w:rsidRPr="004F3B2F">
        <w:rPr>
          <w:rFonts w:hAnsi="標楷體"/>
          <w:color w:val="000000"/>
          <w:sz w:val="28"/>
          <w:szCs w:val="28"/>
        </w:rPr>
        <w:t>況本署</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號案經簽結後，因認有其他涉嫌犯罪事實，共簽分</w:t>
      </w:r>
      <w:r w:rsidRPr="004F3B2F">
        <w:rPr>
          <w:color w:val="000000"/>
          <w:sz w:val="28"/>
          <w:szCs w:val="28"/>
        </w:rPr>
        <w:t>3</w:t>
      </w:r>
      <w:r w:rsidRPr="004F3B2F">
        <w:rPr>
          <w:rFonts w:hAnsi="標楷體"/>
          <w:color w:val="000000"/>
          <w:sz w:val="28"/>
          <w:szCs w:val="28"/>
        </w:rPr>
        <w:t>案，其中本署繼續偵辦</w:t>
      </w:r>
      <w:r w:rsidRPr="004F3B2F">
        <w:rPr>
          <w:color w:val="000000"/>
          <w:sz w:val="28"/>
          <w:szCs w:val="28"/>
        </w:rPr>
        <w:t>1</w:t>
      </w:r>
      <w:r w:rsidRPr="004F3B2F">
        <w:rPr>
          <w:rFonts w:hAnsi="標楷體"/>
          <w:color w:val="000000"/>
          <w:sz w:val="28"/>
          <w:szCs w:val="28"/>
        </w:rPr>
        <w:t>案，</w:t>
      </w:r>
      <w:r w:rsidRPr="004F3B2F">
        <w:rPr>
          <w:color w:val="000000"/>
          <w:sz w:val="28"/>
          <w:szCs w:val="28"/>
        </w:rPr>
        <w:t>2</w:t>
      </w:r>
      <w:r w:rsidRPr="004F3B2F">
        <w:rPr>
          <w:rFonts w:hAnsi="標楷體"/>
          <w:color w:val="000000"/>
          <w:sz w:val="28"/>
          <w:szCs w:val="28"/>
        </w:rPr>
        <w:t>案發交臺北地檢署續行偵查，是原</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號卷內，仍有涉及該</w:t>
      </w:r>
      <w:r w:rsidRPr="004F3B2F">
        <w:rPr>
          <w:color w:val="000000"/>
          <w:sz w:val="28"/>
          <w:szCs w:val="28"/>
        </w:rPr>
        <w:t>3</w:t>
      </w:r>
      <w:r w:rsidRPr="004F3B2F">
        <w:rPr>
          <w:rFonts w:hAnsi="標楷體"/>
          <w:color w:val="000000"/>
          <w:sz w:val="28"/>
          <w:szCs w:val="28"/>
        </w:rPr>
        <w:t>案之偵查秘密之虞，若予調閱將有礙檢察官偵查權之行使，依</w:t>
      </w:r>
      <w:r w:rsidR="00E21F2F">
        <w:rPr>
          <w:rFonts w:hint="eastAsia"/>
          <w:color w:val="000000"/>
          <w:sz w:val="28"/>
          <w:szCs w:val="28"/>
        </w:rPr>
        <w:t xml:space="preserve">　</w:t>
      </w:r>
      <w:r w:rsidRPr="004F3B2F">
        <w:rPr>
          <w:rFonts w:hAnsi="標楷體"/>
          <w:color w:val="000000"/>
          <w:sz w:val="28"/>
          <w:szCs w:val="28"/>
        </w:rPr>
        <w:t>大院大法官釋字第</w:t>
      </w:r>
      <w:r w:rsidRPr="004F3B2F">
        <w:rPr>
          <w:color w:val="000000"/>
          <w:sz w:val="28"/>
          <w:szCs w:val="28"/>
        </w:rPr>
        <w:t>325</w:t>
      </w:r>
      <w:r w:rsidRPr="004F3B2F">
        <w:rPr>
          <w:rFonts w:hAnsi="標楷體"/>
          <w:color w:val="000000"/>
          <w:sz w:val="28"/>
          <w:szCs w:val="28"/>
        </w:rPr>
        <w:t>號及第</w:t>
      </w:r>
      <w:r w:rsidRPr="004F3B2F">
        <w:rPr>
          <w:color w:val="000000"/>
          <w:sz w:val="28"/>
          <w:szCs w:val="28"/>
        </w:rPr>
        <w:t>585</w:t>
      </w:r>
      <w:r w:rsidRPr="004F3B2F">
        <w:rPr>
          <w:rFonts w:hAnsi="標楷體"/>
          <w:color w:val="000000"/>
          <w:sz w:val="28"/>
          <w:szCs w:val="28"/>
        </w:rPr>
        <w:t>號解釋意旨，亦不應提供與立法院。</w:t>
      </w:r>
    </w:p>
    <w:p w:rsidR="003247EA" w:rsidRPr="004F3B2F" w:rsidRDefault="003247EA" w:rsidP="00ED05BC">
      <w:pPr>
        <w:autoSpaceDE w:val="0"/>
        <w:autoSpaceDN w:val="0"/>
        <w:adjustRightInd w:val="0"/>
        <w:spacing w:line="391" w:lineRule="exact"/>
        <w:ind w:leftChars="350" w:left="1540" w:hangingChars="150" w:hanging="420"/>
        <w:jc w:val="both"/>
        <w:rPr>
          <w:color w:val="000000"/>
          <w:sz w:val="28"/>
          <w:szCs w:val="28"/>
        </w:rPr>
      </w:pPr>
      <w:r w:rsidRPr="004F3B2F">
        <w:rPr>
          <w:color w:val="000000"/>
          <w:sz w:val="28"/>
          <w:szCs w:val="28"/>
        </w:rPr>
        <w:t>4</w:t>
      </w:r>
      <w:r w:rsidRPr="004F3B2F">
        <w:rPr>
          <w:rFonts w:hAnsi="標楷體"/>
          <w:color w:val="000000"/>
          <w:sz w:val="28"/>
          <w:szCs w:val="28"/>
        </w:rPr>
        <w:t>、偵查終結後之個案卷證資料，不應同意立法院調取</w:t>
      </w:r>
    </w:p>
    <w:p w:rsidR="003247EA" w:rsidRPr="004F3B2F" w:rsidRDefault="003247EA" w:rsidP="00ED05BC">
      <w:pPr>
        <w:autoSpaceDE w:val="0"/>
        <w:autoSpaceDN w:val="0"/>
        <w:adjustRightInd w:val="0"/>
        <w:spacing w:line="391" w:lineRule="exact"/>
        <w:ind w:leftChars="500" w:left="2300" w:hangingChars="250" w:hanging="700"/>
        <w:jc w:val="both"/>
        <w:rPr>
          <w:color w:val="000000"/>
          <w:sz w:val="28"/>
          <w:szCs w:val="28"/>
        </w:rPr>
      </w:pPr>
      <w:r>
        <w:rPr>
          <w:color w:val="000000"/>
          <w:sz w:val="28"/>
          <w:szCs w:val="28"/>
        </w:rPr>
        <w:t>（</w:t>
      </w:r>
      <w:r w:rsidRPr="004F3B2F">
        <w:rPr>
          <w:color w:val="000000"/>
          <w:sz w:val="28"/>
          <w:szCs w:val="28"/>
        </w:rPr>
        <w:t>1</w:t>
      </w:r>
      <w:r>
        <w:rPr>
          <w:color w:val="000000"/>
          <w:sz w:val="28"/>
          <w:szCs w:val="28"/>
        </w:rPr>
        <w:t>）</w:t>
      </w:r>
      <w:r w:rsidRPr="004F3B2F">
        <w:rPr>
          <w:rFonts w:hAnsi="標楷體"/>
          <w:color w:val="000000"/>
          <w:sz w:val="28"/>
          <w:szCs w:val="28"/>
        </w:rPr>
        <w:t>再「同條例（即真調會條例</w:t>
      </w:r>
      <w:r>
        <w:rPr>
          <w:rFonts w:hAnsi="標楷體"/>
          <w:color w:val="000000"/>
          <w:sz w:val="28"/>
          <w:szCs w:val="28"/>
        </w:rPr>
        <w:t>）</w:t>
      </w:r>
      <w:r w:rsidRPr="004F3B2F">
        <w:rPr>
          <w:rFonts w:hAnsi="標楷體"/>
          <w:color w:val="000000"/>
          <w:sz w:val="28"/>
          <w:szCs w:val="28"/>
        </w:rPr>
        <w:t>第</w:t>
      </w:r>
      <w:r w:rsidRPr="004F3B2F">
        <w:rPr>
          <w:color w:val="000000"/>
          <w:sz w:val="28"/>
          <w:szCs w:val="28"/>
        </w:rPr>
        <w:t>8</w:t>
      </w:r>
      <w:r w:rsidRPr="004F3B2F">
        <w:rPr>
          <w:rFonts w:hAnsi="標楷體"/>
          <w:color w:val="000000"/>
          <w:sz w:val="28"/>
          <w:szCs w:val="28"/>
        </w:rPr>
        <w:t>條第</w:t>
      </w:r>
      <w:r w:rsidRPr="004F3B2F">
        <w:rPr>
          <w:color w:val="000000"/>
          <w:sz w:val="28"/>
          <w:szCs w:val="28"/>
        </w:rPr>
        <w:t>1</w:t>
      </w:r>
      <w:r w:rsidRPr="004F3B2F">
        <w:rPr>
          <w:rFonts w:hAnsi="標楷體"/>
          <w:color w:val="000000"/>
          <w:sz w:val="28"/>
          <w:szCs w:val="28"/>
        </w:rPr>
        <w:t>項第</w:t>
      </w:r>
      <w:r w:rsidRPr="004F3B2F">
        <w:rPr>
          <w:color w:val="000000"/>
          <w:sz w:val="28"/>
          <w:szCs w:val="28"/>
        </w:rPr>
        <w:t>2</w:t>
      </w:r>
      <w:r w:rsidRPr="004F3B2F">
        <w:rPr>
          <w:rFonts w:hAnsi="標楷體"/>
          <w:color w:val="000000"/>
          <w:sz w:val="28"/>
          <w:szCs w:val="28"/>
        </w:rPr>
        <w:t>款但書規定，審判中案件資料之調閱，應經該繫屬法院之同意，乃維護法院依法獨立行使審判權所必要。而國家機關</w:t>
      </w:r>
      <w:r w:rsidRPr="009A5F52">
        <w:rPr>
          <w:color w:val="000000"/>
          <w:sz w:val="28"/>
          <w:szCs w:val="28"/>
        </w:rPr>
        <w:t>獨立</w:t>
      </w:r>
      <w:r w:rsidRPr="004F3B2F">
        <w:rPr>
          <w:rFonts w:hAnsi="標楷體"/>
          <w:color w:val="000000"/>
          <w:sz w:val="28"/>
          <w:szCs w:val="28"/>
        </w:rPr>
        <w:t>行使職權受憲法之保障者，即非立法院所得調查之事物範圍，業經本院釋字第</w:t>
      </w:r>
      <w:r w:rsidRPr="004F3B2F">
        <w:rPr>
          <w:color w:val="000000"/>
          <w:sz w:val="28"/>
          <w:szCs w:val="28"/>
        </w:rPr>
        <w:t>585</w:t>
      </w:r>
      <w:r w:rsidRPr="004F3B2F">
        <w:rPr>
          <w:rFonts w:hAnsi="標楷體"/>
          <w:color w:val="000000"/>
          <w:sz w:val="28"/>
          <w:szCs w:val="28"/>
        </w:rPr>
        <w:t>號解釋在案。是依同項第</w:t>
      </w:r>
      <w:r w:rsidRPr="004F3B2F">
        <w:rPr>
          <w:color w:val="000000"/>
          <w:sz w:val="28"/>
          <w:szCs w:val="28"/>
        </w:rPr>
        <w:t>2</w:t>
      </w:r>
      <w:r w:rsidRPr="004F3B2F">
        <w:rPr>
          <w:rFonts w:hAnsi="標楷體"/>
          <w:color w:val="000000"/>
          <w:sz w:val="28"/>
          <w:szCs w:val="28"/>
        </w:rPr>
        <w:t>款規定向前述機關調閱資料或證物，應經各該機關之同意，乃屬當然。」</w:t>
      </w:r>
      <w:r w:rsidR="00E21F2F">
        <w:rPr>
          <w:rFonts w:hAnsi="標楷體" w:hint="eastAsia"/>
          <w:color w:val="000000"/>
          <w:sz w:val="28"/>
          <w:szCs w:val="28"/>
        </w:rPr>
        <w:t xml:space="preserve">　</w:t>
      </w:r>
      <w:r w:rsidRPr="004F3B2F">
        <w:rPr>
          <w:rFonts w:hAnsi="標楷體"/>
          <w:color w:val="000000"/>
          <w:sz w:val="28"/>
          <w:szCs w:val="28"/>
        </w:rPr>
        <w:t>大院大法官釋字第</w:t>
      </w:r>
      <w:r w:rsidRPr="004F3B2F">
        <w:rPr>
          <w:color w:val="000000"/>
          <w:sz w:val="28"/>
          <w:szCs w:val="28"/>
        </w:rPr>
        <w:t>633</w:t>
      </w:r>
      <w:r w:rsidRPr="004F3B2F">
        <w:rPr>
          <w:rFonts w:hAnsi="標楷體"/>
          <w:color w:val="000000"/>
          <w:sz w:val="28"/>
          <w:szCs w:val="28"/>
        </w:rPr>
        <w:t>號解釋理由書雖有明文。然為維護我國現行憲法之權力分立及制衡原則，對於檢察官、法官處理個案是否有違法不當，除刑事不法與一般公務員相同，均由檢察官起訴、法院審理外，涉及行政不法部分無論係由檢察官、法官評鑑委員會發動，或由監察院、公務員懲戒委員會所為，立法權僅能在制度、預算、法律等通案上對司法權進行監督，要無立法權介入個案之餘地，否則與立法、行政權相互制衡之司法權，將因立法權介入個案，而全然喪失獨立行使職權之意義，我國憲法第</w:t>
      </w:r>
      <w:r w:rsidRPr="004F3B2F">
        <w:rPr>
          <w:color w:val="000000"/>
          <w:sz w:val="28"/>
          <w:szCs w:val="28"/>
        </w:rPr>
        <w:t>80</w:t>
      </w:r>
      <w:r w:rsidRPr="004F3B2F">
        <w:rPr>
          <w:rFonts w:hAnsi="標楷體"/>
          <w:color w:val="000000"/>
          <w:sz w:val="28"/>
          <w:szCs w:val="28"/>
        </w:rPr>
        <w:t>條保障法官依據法律獨立審判，及前述釋憲機關認定檢察官對外獨立行使職權，亦將形同具文。</w:t>
      </w:r>
    </w:p>
    <w:p w:rsidR="003247EA" w:rsidRPr="004F3B2F" w:rsidRDefault="003247EA" w:rsidP="00ED05BC">
      <w:pPr>
        <w:autoSpaceDE w:val="0"/>
        <w:autoSpaceDN w:val="0"/>
        <w:adjustRightInd w:val="0"/>
        <w:spacing w:line="391" w:lineRule="exact"/>
        <w:ind w:leftChars="500" w:left="2300" w:hangingChars="250" w:hanging="700"/>
        <w:jc w:val="both"/>
        <w:rPr>
          <w:color w:val="000000"/>
          <w:sz w:val="28"/>
          <w:szCs w:val="28"/>
        </w:rPr>
      </w:pPr>
      <w:r>
        <w:rPr>
          <w:color w:val="000000"/>
          <w:sz w:val="28"/>
          <w:szCs w:val="28"/>
        </w:rPr>
        <w:lastRenderedPageBreak/>
        <w:t>（</w:t>
      </w:r>
      <w:r w:rsidRPr="004F3B2F">
        <w:rPr>
          <w:color w:val="000000"/>
          <w:sz w:val="28"/>
          <w:szCs w:val="28"/>
        </w:rPr>
        <w:t>2</w:t>
      </w:r>
      <w:r>
        <w:rPr>
          <w:color w:val="000000"/>
          <w:sz w:val="28"/>
          <w:szCs w:val="28"/>
        </w:rPr>
        <w:t>）</w:t>
      </w:r>
      <w:r w:rsidRPr="004F3B2F">
        <w:rPr>
          <w:rFonts w:hAnsi="標楷體"/>
          <w:color w:val="000000"/>
          <w:sz w:val="28"/>
          <w:szCs w:val="28"/>
        </w:rPr>
        <w:t>立法院調閱權既無從介入個案，憲法亦未賦予事後監督之權力，則刑事案件終結後，亦僅監察院等有權機關可行使調查權而調閱卷證，故立法院調取個案卷證，礙難同意。</w:t>
      </w:r>
    </w:p>
    <w:p w:rsidR="003247EA" w:rsidRPr="004F3B2F" w:rsidRDefault="003247EA" w:rsidP="003247EA">
      <w:pPr>
        <w:kinsoku w:val="0"/>
        <w:overflowPunct w:val="0"/>
        <w:spacing w:line="402" w:lineRule="exact"/>
        <w:ind w:left="1163" w:hanging="851"/>
        <w:jc w:val="both"/>
        <w:rPr>
          <w:color w:val="000000"/>
          <w:sz w:val="28"/>
          <w:szCs w:val="28"/>
        </w:rPr>
      </w:pPr>
      <w:r>
        <w:rPr>
          <w:color w:val="000000"/>
          <w:sz w:val="28"/>
          <w:szCs w:val="28"/>
        </w:rPr>
        <w:t>（</w:t>
      </w:r>
      <w:r w:rsidRPr="004F3B2F">
        <w:rPr>
          <w:rFonts w:hAnsi="標楷體"/>
          <w:color w:val="000000"/>
          <w:sz w:val="28"/>
          <w:szCs w:val="28"/>
        </w:rPr>
        <w:t>四</w:t>
      </w:r>
      <w:r>
        <w:rPr>
          <w:color w:val="000000"/>
          <w:sz w:val="28"/>
          <w:szCs w:val="28"/>
        </w:rPr>
        <w:t>）</w:t>
      </w:r>
      <w:r w:rsidRPr="004F3B2F">
        <w:rPr>
          <w:rFonts w:hAnsi="標楷體"/>
          <w:color w:val="000000"/>
          <w:sz w:val="28"/>
          <w:szCs w:val="28"/>
        </w:rPr>
        <w:t>對司法獨立性及檢察官獨立行使職權造成直接或間接之侵害，並逾越立法院調查權所得行使之範圍</w:t>
      </w:r>
    </w:p>
    <w:p w:rsidR="003247EA" w:rsidRPr="004F3B2F" w:rsidRDefault="003247EA" w:rsidP="009B2AFE">
      <w:pPr>
        <w:autoSpaceDE w:val="0"/>
        <w:autoSpaceDN w:val="0"/>
        <w:adjustRightInd w:val="0"/>
        <w:spacing w:line="391" w:lineRule="exact"/>
        <w:ind w:leftChars="370" w:left="1562" w:hangingChars="135" w:hanging="378"/>
        <w:jc w:val="both"/>
        <w:rPr>
          <w:color w:val="000000"/>
          <w:sz w:val="28"/>
          <w:szCs w:val="28"/>
        </w:rPr>
      </w:pPr>
      <w:r w:rsidRPr="004F3B2F">
        <w:rPr>
          <w:color w:val="000000"/>
          <w:sz w:val="28"/>
          <w:szCs w:val="28"/>
        </w:rPr>
        <w:t>1</w:t>
      </w:r>
      <w:r w:rsidRPr="004F3B2F">
        <w:rPr>
          <w:rFonts w:hAnsi="標楷體"/>
          <w:color w:val="000000"/>
          <w:sz w:val="28"/>
          <w:szCs w:val="28"/>
        </w:rPr>
        <w:t>、按立法院行使調查權，針對司法機關部分，基本上應限於整體性之司法制度，例如是否符合立法目的，以及整體運作情形有關者，針對特定個案部分之調查應受限制，尤其對於法官或檢察官之審判或偵查會造成直接、間接影響之調查，或可能對司法獨立造成壓力或影響者，均應該嚴格限制。國會調查權在案件進行司法程序之後，應即停止介入調查，在司法程序終結後，調查亦應受限制，雖然立法院行使調查權不會改變案件之確定判決或偵查結果，惟立法院行使調查所認定之結果，與案件判決或偵查結果不同時，必然會對司法獨立性造成危害。</w:t>
      </w:r>
    </w:p>
    <w:p w:rsidR="003247EA" w:rsidRPr="004F3B2F" w:rsidRDefault="003247EA" w:rsidP="009B2AFE">
      <w:pPr>
        <w:autoSpaceDE w:val="0"/>
        <w:autoSpaceDN w:val="0"/>
        <w:adjustRightInd w:val="0"/>
        <w:spacing w:line="391" w:lineRule="exact"/>
        <w:ind w:leftChars="370" w:left="1562" w:hangingChars="135" w:hanging="378"/>
        <w:jc w:val="both"/>
        <w:rPr>
          <w:color w:val="000000"/>
          <w:sz w:val="28"/>
          <w:szCs w:val="28"/>
        </w:rPr>
      </w:pPr>
      <w:r w:rsidRPr="004F3B2F">
        <w:rPr>
          <w:color w:val="000000"/>
          <w:sz w:val="28"/>
          <w:szCs w:val="28"/>
        </w:rPr>
        <w:t>2</w:t>
      </w:r>
      <w:r w:rsidRPr="004F3B2F">
        <w:rPr>
          <w:rFonts w:hAnsi="標楷體"/>
          <w:color w:val="000000"/>
          <w:sz w:val="28"/>
          <w:szCs w:val="28"/>
        </w:rPr>
        <w:t>、有關本</w:t>
      </w:r>
      <w:r w:rsidRPr="009B2AFE">
        <w:rPr>
          <w:color w:val="000000"/>
          <w:sz w:val="28"/>
          <w:szCs w:val="28"/>
        </w:rPr>
        <w:t>署特偵組檢察官以</w:t>
      </w:r>
      <w:r w:rsidRPr="004F3B2F">
        <w:rPr>
          <w:color w:val="000000"/>
          <w:sz w:val="28"/>
          <w:szCs w:val="28"/>
        </w:rPr>
        <w:t>100</w:t>
      </w:r>
      <w:r w:rsidRPr="009B2AFE">
        <w:rPr>
          <w:color w:val="000000"/>
          <w:sz w:val="28"/>
          <w:szCs w:val="28"/>
        </w:rPr>
        <w:t>年度特他字第</w:t>
      </w:r>
      <w:r w:rsidRPr="004F3B2F">
        <w:rPr>
          <w:color w:val="000000"/>
          <w:sz w:val="28"/>
          <w:szCs w:val="28"/>
        </w:rPr>
        <w:t>61</w:t>
      </w:r>
      <w:r w:rsidRPr="009B2AFE">
        <w:rPr>
          <w:color w:val="000000"/>
          <w:sz w:val="28"/>
          <w:szCs w:val="28"/>
        </w:rPr>
        <w:t>號案件，監聽立法院</w:t>
      </w:r>
      <w:r w:rsidRPr="004F3B2F">
        <w:rPr>
          <w:color w:val="000000"/>
          <w:sz w:val="28"/>
          <w:szCs w:val="28"/>
        </w:rPr>
        <w:t>0972</w:t>
      </w:r>
      <w:r w:rsidRPr="009B2AFE">
        <w:rPr>
          <w:color w:val="000000"/>
          <w:sz w:val="28"/>
          <w:szCs w:val="28"/>
        </w:rPr>
        <w:t>節</w:t>
      </w:r>
      <w:r w:rsidRPr="004F3B2F">
        <w:rPr>
          <w:rFonts w:hAnsi="標楷體"/>
          <w:color w:val="000000"/>
          <w:sz w:val="28"/>
          <w:szCs w:val="28"/>
        </w:rPr>
        <w:t>費電話是否涉嫌違法監聽部分，臺北地檢署業於</w:t>
      </w:r>
      <w:r w:rsidRPr="004F3B2F">
        <w:rPr>
          <w:color w:val="000000"/>
          <w:sz w:val="28"/>
          <w:szCs w:val="28"/>
        </w:rPr>
        <w:t>102</w:t>
      </w:r>
      <w:r w:rsidRPr="004F3B2F">
        <w:rPr>
          <w:rFonts w:hAnsi="標楷體"/>
          <w:color w:val="000000"/>
          <w:sz w:val="28"/>
          <w:szCs w:val="28"/>
        </w:rPr>
        <w:t>年</w:t>
      </w:r>
      <w:r w:rsidRPr="004F3B2F">
        <w:rPr>
          <w:color w:val="000000"/>
          <w:sz w:val="28"/>
          <w:szCs w:val="28"/>
        </w:rPr>
        <w:t>9</w:t>
      </w:r>
      <w:r w:rsidRPr="004F3B2F">
        <w:rPr>
          <w:rFonts w:hAnsi="標楷體"/>
          <w:color w:val="000000"/>
          <w:sz w:val="28"/>
          <w:szCs w:val="28"/>
        </w:rPr>
        <w:t>月初分案進行偵辦調查，並於</w:t>
      </w:r>
      <w:r w:rsidRPr="004F3B2F">
        <w:rPr>
          <w:color w:val="000000"/>
          <w:sz w:val="28"/>
          <w:szCs w:val="28"/>
        </w:rPr>
        <w:t>102</w:t>
      </w:r>
      <w:r w:rsidRPr="004F3B2F">
        <w:rPr>
          <w:rFonts w:hAnsi="標楷體"/>
          <w:color w:val="000000"/>
          <w:sz w:val="28"/>
          <w:szCs w:val="28"/>
        </w:rPr>
        <w:t>年</w:t>
      </w:r>
      <w:r w:rsidRPr="009A5F52">
        <w:rPr>
          <w:rFonts w:hAnsi="標楷體"/>
          <w:color w:val="000000"/>
          <w:sz w:val="28"/>
          <w:szCs w:val="28"/>
        </w:rPr>
        <w:t>11</w:t>
      </w:r>
      <w:r w:rsidRPr="004F3B2F">
        <w:rPr>
          <w:rFonts w:hAnsi="標楷體"/>
          <w:color w:val="000000"/>
          <w:sz w:val="28"/>
          <w:szCs w:val="28"/>
        </w:rPr>
        <w:t>月</w:t>
      </w:r>
      <w:r w:rsidRPr="004F3B2F">
        <w:rPr>
          <w:color w:val="000000"/>
          <w:sz w:val="28"/>
          <w:szCs w:val="28"/>
        </w:rPr>
        <w:t>1</w:t>
      </w:r>
      <w:r w:rsidRPr="004F3B2F">
        <w:rPr>
          <w:rFonts w:hAnsi="標楷體"/>
          <w:color w:val="000000"/>
          <w:sz w:val="28"/>
          <w:szCs w:val="28"/>
        </w:rPr>
        <w:t>日以</w:t>
      </w:r>
      <w:r w:rsidRPr="004F3B2F">
        <w:rPr>
          <w:color w:val="000000"/>
          <w:sz w:val="28"/>
          <w:szCs w:val="28"/>
        </w:rPr>
        <w:t>102</w:t>
      </w:r>
      <w:r w:rsidRPr="004F3B2F">
        <w:rPr>
          <w:rFonts w:hAnsi="標楷體"/>
          <w:color w:val="000000"/>
          <w:sz w:val="28"/>
          <w:szCs w:val="28"/>
        </w:rPr>
        <w:t>年度偵字第</w:t>
      </w:r>
      <w:r w:rsidRPr="004F3B2F">
        <w:rPr>
          <w:color w:val="000000"/>
          <w:sz w:val="28"/>
          <w:szCs w:val="28"/>
        </w:rPr>
        <w:t>21687</w:t>
      </w:r>
      <w:r w:rsidRPr="004F3B2F">
        <w:rPr>
          <w:rFonts w:hAnsi="標楷體"/>
          <w:color w:val="000000"/>
          <w:sz w:val="28"/>
          <w:szCs w:val="28"/>
        </w:rPr>
        <w:t>、</w:t>
      </w:r>
      <w:r w:rsidRPr="004F3B2F">
        <w:rPr>
          <w:color w:val="000000"/>
          <w:sz w:val="28"/>
          <w:szCs w:val="28"/>
        </w:rPr>
        <w:t>21688</w:t>
      </w:r>
      <w:r w:rsidRPr="004F3B2F">
        <w:rPr>
          <w:rFonts w:hAnsi="標楷體"/>
          <w:color w:val="000000"/>
          <w:sz w:val="28"/>
          <w:szCs w:val="28"/>
        </w:rPr>
        <w:t>及</w:t>
      </w:r>
      <w:r w:rsidRPr="004F3B2F">
        <w:rPr>
          <w:color w:val="000000"/>
          <w:sz w:val="28"/>
          <w:szCs w:val="28"/>
        </w:rPr>
        <w:t>21689</w:t>
      </w:r>
      <w:r w:rsidRPr="004F3B2F">
        <w:rPr>
          <w:rFonts w:hAnsi="標楷體"/>
          <w:color w:val="000000"/>
          <w:sz w:val="28"/>
          <w:szCs w:val="28"/>
        </w:rPr>
        <w:t>號為不起訴之處分確定在案。是立法院司法及法制委員會於檢察官偵辦期間，即於</w:t>
      </w:r>
      <w:r w:rsidRPr="004F3B2F">
        <w:rPr>
          <w:color w:val="000000"/>
          <w:sz w:val="28"/>
          <w:szCs w:val="28"/>
        </w:rPr>
        <w:t>102</w:t>
      </w:r>
      <w:r w:rsidRPr="004F3B2F">
        <w:rPr>
          <w:rFonts w:hAnsi="標楷體"/>
          <w:color w:val="000000"/>
          <w:sz w:val="28"/>
          <w:szCs w:val="28"/>
        </w:rPr>
        <w:t>年</w:t>
      </w:r>
      <w:r w:rsidRPr="004F3B2F">
        <w:rPr>
          <w:color w:val="000000"/>
          <w:sz w:val="28"/>
          <w:szCs w:val="28"/>
        </w:rPr>
        <w:t>9</w:t>
      </w:r>
      <w:r w:rsidRPr="004F3B2F">
        <w:rPr>
          <w:rFonts w:hAnsi="標楷體"/>
          <w:color w:val="000000"/>
          <w:sz w:val="28"/>
          <w:szCs w:val="28"/>
        </w:rPr>
        <w:t>月</w:t>
      </w:r>
      <w:r w:rsidRPr="004F3B2F">
        <w:rPr>
          <w:color w:val="000000"/>
          <w:sz w:val="28"/>
          <w:szCs w:val="28"/>
        </w:rPr>
        <w:t>30</w:t>
      </w:r>
      <w:r w:rsidRPr="004F3B2F">
        <w:rPr>
          <w:rFonts w:hAnsi="標楷體"/>
          <w:color w:val="000000"/>
          <w:sz w:val="28"/>
          <w:szCs w:val="28"/>
        </w:rPr>
        <w:t>日通過「針對最高法院檢察署特別偵查組以『</w:t>
      </w:r>
      <w:r w:rsidRPr="004F3B2F">
        <w:rPr>
          <w:color w:val="000000"/>
          <w:sz w:val="28"/>
          <w:szCs w:val="28"/>
        </w:rPr>
        <w:t>100</w:t>
      </w:r>
      <w:r w:rsidRPr="004F3B2F">
        <w:rPr>
          <w:rFonts w:hAnsi="標楷體"/>
          <w:color w:val="000000"/>
          <w:sz w:val="28"/>
          <w:szCs w:val="28"/>
        </w:rPr>
        <w:t>年度特他</w:t>
      </w:r>
      <w:r w:rsidRPr="004F3B2F">
        <w:rPr>
          <w:color w:val="000000"/>
          <w:sz w:val="28"/>
          <w:szCs w:val="28"/>
        </w:rPr>
        <w:t>61</w:t>
      </w:r>
      <w:r w:rsidRPr="004F3B2F">
        <w:rPr>
          <w:rFonts w:hAnsi="標楷體"/>
          <w:color w:val="000000"/>
          <w:sz w:val="28"/>
          <w:szCs w:val="28"/>
        </w:rPr>
        <w:t>號』案件涉嫌濫權監聽長達數年，甚至含國會總機在內之事件，</w:t>
      </w:r>
      <w:r w:rsidR="00E21F2F">
        <w:rPr>
          <w:rFonts w:hAnsi="標楷體" w:hint="eastAsia"/>
          <w:color w:val="000000"/>
          <w:sz w:val="28"/>
          <w:szCs w:val="28"/>
        </w:rPr>
        <w:t>……</w:t>
      </w:r>
      <w:r w:rsidRPr="004F3B2F">
        <w:rPr>
          <w:rFonts w:hAnsi="標楷體"/>
          <w:color w:val="000000"/>
          <w:sz w:val="28"/>
          <w:szCs w:val="28"/>
        </w:rPr>
        <w:t>，爰建請本委員會成立文件調閱專案小組，依據立法院職權行使法進行調查，以釐清特偵組是否違法監聽。」之提案，成立監聽調閱小組，並在偵查中即同年</w:t>
      </w:r>
      <w:r w:rsidRPr="004F3B2F">
        <w:rPr>
          <w:color w:val="000000"/>
          <w:sz w:val="28"/>
          <w:szCs w:val="28"/>
        </w:rPr>
        <w:t>10</w:t>
      </w:r>
      <w:r w:rsidRPr="004F3B2F">
        <w:rPr>
          <w:rFonts w:hAnsi="標楷體"/>
          <w:color w:val="000000"/>
          <w:sz w:val="28"/>
          <w:szCs w:val="28"/>
        </w:rPr>
        <w:t>月</w:t>
      </w:r>
      <w:r w:rsidRPr="004F3B2F">
        <w:rPr>
          <w:color w:val="000000"/>
          <w:sz w:val="28"/>
          <w:szCs w:val="28"/>
        </w:rPr>
        <w:t>29</w:t>
      </w:r>
      <w:r w:rsidRPr="004F3B2F">
        <w:rPr>
          <w:rFonts w:hAnsi="標楷體"/>
          <w:color w:val="000000"/>
          <w:sz w:val="28"/>
          <w:szCs w:val="28"/>
        </w:rPr>
        <w:t>日函請法務部提供</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號相關卷證，顯係針對本署特偵組</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號案件有無違法監聽之個案，行使調閱權及調查權，此已對偵查中之個別案件形成干擾，有違前述大法官釋字第</w:t>
      </w:r>
      <w:r w:rsidRPr="004F3B2F">
        <w:rPr>
          <w:color w:val="000000"/>
          <w:sz w:val="28"/>
          <w:szCs w:val="28"/>
        </w:rPr>
        <w:t>325</w:t>
      </w:r>
      <w:r w:rsidRPr="004F3B2F">
        <w:rPr>
          <w:rFonts w:hAnsi="標楷體"/>
          <w:color w:val="000000"/>
          <w:sz w:val="28"/>
          <w:szCs w:val="28"/>
        </w:rPr>
        <w:t>號解釋「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之意旨。</w:t>
      </w:r>
    </w:p>
    <w:p w:rsidR="003247EA" w:rsidRPr="004F3B2F" w:rsidRDefault="003247EA" w:rsidP="009B2AFE">
      <w:pPr>
        <w:autoSpaceDE w:val="0"/>
        <w:autoSpaceDN w:val="0"/>
        <w:adjustRightInd w:val="0"/>
        <w:spacing w:line="391" w:lineRule="exact"/>
        <w:ind w:leftChars="370" w:left="1562" w:hangingChars="135" w:hanging="378"/>
        <w:jc w:val="both"/>
        <w:rPr>
          <w:color w:val="000000"/>
          <w:sz w:val="28"/>
          <w:szCs w:val="28"/>
          <w:lang w:val="en-US"/>
        </w:rPr>
      </w:pPr>
      <w:r w:rsidRPr="004F3B2F">
        <w:rPr>
          <w:color w:val="000000"/>
          <w:sz w:val="28"/>
          <w:szCs w:val="28"/>
        </w:rPr>
        <w:t>3</w:t>
      </w:r>
      <w:r w:rsidRPr="004F3B2F">
        <w:rPr>
          <w:rFonts w:hAnsi="標楷體"/>
          <w:color w:val="000000"/>
          <w:sz w:val="28"/>
          <w:szCs w:val="28"/>
        </w:rPr>
        <w:t>、又臺北地檢署雖已於</w:t>
      </w:r>
      <w:r w:rsidRPr="004F3B2F">
        <w:rPr>
          <w:color w:val="000000"/>
          <w:sz w:val="28"/>
          <w:szCs w:val="28"/>
        </w:rPr>
        <w:t>102</w:t>
      </w:r>
      <w:r w:rsidRPr="004F3B2F">
        <w:rPr>
          <w:rFonts w:hAnsi="標楷體"/>
          <w:color w:val="000000"/>
          <w:sz w:val="28"/>
          <w:szCs w:val="28"/>
        </w:rPr>
        <w:t>年</w:t>
      </w:r>
      <w:r w:rsidRPr="004F3B2F">
        <w:rPr>
          <w:color w:val="000000"/>
          <w:sz w:val="28"/>
          <w:szCs w:val="28"/>
        </w:rPr>
        <w:t>11</w:t>
      </w:r>
      <w:r w:rsidRPr="004F3B2F">
        <w:rPr>
          <w:rFonts w:hAnsi="標楷體"/>
          <w:color w:val="000000"/>
          <w:sz w:val="28"/>
          <w:szCs w:val="28"/>
        </w:rPr>
        <w:t>月</w:t>
      </w:r>
      <w:r w:rsidRPr="004F3B2F">
        <w:rPr>
          <w:color w:val="000000"/>
          <w:sz w:val="28"/>
          <w:szCs w:val="28"/>
        </w:rPr>
        <w:t>1</w:t>
      </w:r>
      <w:r w:rsidRPr="004F3B2F">
        <w:rPr>
          <w:rFonts w:hAnsi="標楷體"/>
          <w:color w:val="000000"/>
          <w:sz w:val="28"/>
          <w:szCs w:val="28"/>
        </w:rPr>
        <w:t>日為不起訴之處分確定在案，亦即承辦檢察官業就</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t>號案有無違法監聽部分，本於司法獨立之職權而為不起訴處分之認定，是立法院司法及法制委員會於檢察官偵查終結後，要無以為瞭解特偵組</w:t>
      </w:r>
      <w:r w:rsidRPr="004F3B2F">
        <w:rPr>
          <w:color w:val="000000"/>
          <w:sz w:val="28"/>
          <w:szCs w:val="28"/>
        </w:rPr>
        <w:t>100</w:t>
      </w:r>
      <w:r w:rsidRPr="004F3B2F">
        <w:rPr>
          <w:rFonts w:hAnsi="標楷體"/>
          <w:color w:val="000000"/>
          <w:sz w:val="28"/>
          <w:szCs w:val="28"/>
        </w:rPr>
        <w:t>年度特他字第</w:t>
      </w:r>
      <w:r w:rsidRPr="004F3B2F">
        <w:rPr>
          <w:color w:val="000000"/>
          <w:sz w:val="28"/>
          <w:szCs w:val="28"/>
        </w:rPr>
        <w:t>61</w:t>
      </w:r>
      <w:r w:rsidRPr="004F3B2F">
        <w:rPr>
          <w:rFonts w:hAnsi="標楷體"/>
          <w:color w:val="000000"/>
          <w:sz w:val="28"/>
          <w:szCs w:val="28"/>
        </w:rPr>
        <w:lastRenderedPageBreak/>
        <w:t>號案件有無違法監聽等由，行使文件調閱權及調查權，否則形同對個別刑事案件重新調查，對司法獨立性造成直接或間接影響之侵害，並有違前揭大法官釋字第</w:t>
      </w:r>
      <w:r w:rsidRPr="004F3B2F">
        <w:rPr>
          <w:color w:val="000000"/>
          <w:sz w:val="28"/>
          <w:szCs w:val="28"/>
        </w:rPr>
        <w:t>325</w:t>
      </w:r>
      <w:r w:rsidRPr="004F3B2F">
        <w:rPr>
          <w:rFonts w:hAnsi="標楷體"/>
          <w:color w:val="000000"/>
          <w:sz w:val="28"/>
          <w:szCs w:val="28"/>
        </w:rPr>
        <w:t>號解釋「不能違反權力分立與制衡原則，亦不得侵害其他憲法機關之權力核心範圍，或對其他憲法機關權力之行使造成實質妨礙。」之解釋意旨。</w:t>
      </w:r>
    </w:p>
    <w:p w:rsidR="003247EA" w:rsidRPr="009B2AFE" w:rsidRDefault="003247EA" w:rsidP="003247EA">
      <w:pPr>
        <w:spacing w:line="391" w:lineRule="exact"/>
        <w:rPr>
          <w:color w:val="000000"/>
          <w:sz w:val="28"/>
          <w:szCs w:val="28"/>
        </w:rPr>
      </w:pPr>
      <w:r w:rsidRPr="009B2AFE">
        <w:rPr>
          <w:rFonts w:hAnsi="標楷體"/>
          <w:color w:val="000000"/>
          <w:sz w:val="28"/>
          <w:szCs w:val="28"/>
        </w:rPr>
        <w:t>四、言詞辯論及其代理</w:t>
      </w:r>
    </w:p>
    <w:p w:rsidR="003247EA" w:rsidRPr="004F3B2F" w:rsidRDefault="003247EA" w:rsidP="009B2AFE">
      <w:pPr>
        <w:spacing w:line="391" w:lineRule="exact"/>
        <w:ind w:left="539" w:firstLine="567"/>
        <w:rPr>
          <w:color w:val="000000"/>
          <w:sz w:val="28"/>
          <w:szCs w:val="28"/>
        </w:rPr>
      </w:pPr>
      <w:r w:rsidRPr="004F3B2F">
        <w:rPr>
          <w:rFonts w:hAnsi="標楷體"/>
          <w:color w:val="000000"/>
          <w:sz w:val="28"/>
          <w:szCs w:val="28"/>
        </w:rPr>
        <w:t>聲請人依司法院大法官審理案件法第</w:t>
      </w:r>
      <w:r w:rsidRPr="004F3B2F">
        <w:rPr>
          <w:color w:val="000000"/>
          <w:sz w:val="28"/>
          <w:szCs w:val="28"/>
        </w:rPr>
        <w:t>13</w:t>
      </w:r>
      <w:r w:rsidRPr="004F3B2F">
        <w:rPr>
          <w:rFonts w:hAnsi="標楷體"/>
          <w:color w:val="000000"/>
          <w:sz w:val="28"/>
          <w:szCs w:val="28"/>
        </w:rPr>
        <w:t>條第</w:t>
      </w:r>
      <w:r w:rsidRPr="004F3B2F">
        <w:rPr>
          <w:color w:val="000000"/>
          <w:sz w:val="28"/>
          <w:szCs w:val="28"/>
        </w:rPr>
        <w:t>1</w:t>
      </w:r>
      <w:r w:rsidRPr="004F3B2F">
        <w:rPr>
          <w:rFonts w:hAnsi="標楷體"/>
          <w:color w:val="000000"/>
          <w:sz w:val="28"/>
          <w:szCs w:val="28"/>
        </w:rPr>
        <w:t>項之規定，聲請</w:t>
      </w:r>
      <w:r>
        <w:rPr>
          <w:rFonts w:hAnsi="標楷體" w:hint="eastAsia"/>
          <w:color w:val="000000"/>
          <w:sz w:val="28"/>
          <w:szCs w:val="28"/>
        </w:rPr>
        <w:t xml:space="preserve">　</w:t>
      </w:r>
      <w:r w:rsidRPr="004F3B2F">
        <w:rPr>
          <w:rFonts w:hAnsi="標楷體"/>
          <w:color w:val="000000"/>
          <w:sz w:val="28"/>
          <w:szCs w:val="28"/>
        </w:rPr>
        <w:t>大院就本聲請進行言詞辯論，並惠予許可聲請代理人出席辯論。</w:t>
      </w:r>
    </w:p>
    <w:p w:rsidR="003247EA" w:rsidRPr="009B2AFE" w:rsidRDefault="003247EA" w:rsidP="003247EA">
      <w:pPr>
        <w:spacing w:line="391" w:lineRule="exact"/>
        <w:rPr>
          <w:color w:val="000000"/>
          <w:sz w:val="28"/>
          <w:szCs w:val="28"/>
        </w:rPr>
      </w:pPr>
      <w:r w:rsidRPr="009B2AFE">
        <w:rPr>
          <w:rFonts w:hAnsi="標楷體"/>
          <w:color w:val="000000"/>
          <w:sz w:val="28"/>
          <w:szCs w:val="28"/>
        </w:rPr>
        <w:t>五、關係文件之名稱及件數</w:t>
      </w:r>
    </w:p>
    <w:p w:rsidR="003247EA" w:rsidRPr="004F3B2F" w:rsidRDefault="003247EA" w:rsidP="009B2AFE">
      <w:pPr>
        <w:spacing w:line="391" w:lineRule="exact"/>
        <w:ind w:left="567"/>
        <w:rPr>
          <w:color w:val="000000"/>
          <w:sz w:val="28"/>
          <w:szCs w:val="28"/>
        </w:rPr>
      </w:pPr>
      <w:r w:rsidRPr="004F3B2F">
        <w:rPr>
          <w:rFonts w:hAnsi="標楷體"/>
          <w:color w:val="000000"/>
          <w:sz w:val="28"/>
          <w:szCs w:val="28"/>
        </w:rPr>
        <w:t>附件：</w:t>
      </w:r>
    </w:p>
    <w:p w:rsidR="003247EA" w:rsidRPr="004F3B2F" w:rsidRDefault="003247EA" w:rsidP="009B2AFE">
      <w:pPr>
        <w:spacing w:line="391" w:lineRule="exact"/>
        <w:ind w:leftChars="100" w:left="1160" w:hangingChars="300" w:hanging="840"/>
        <w:jc w:val="both"/>
        <w:rPr>
          <w:color w:val="000000"/>
          <w:sz w:val="28"/>
          <w:szCs w:val="28"/>
        </w:rPr>
      </w:pPr>
      <w:r>
        <w:rPr>
          <w:color w:val="000000"/>
          <w:sz w:val="28"/>
          <w:szCs w:val="28"/>
        </w:rPr>
        <w:t>（</w:t>
      </w:r>
      <w:r w:rsidRPr="004F3B2F">
        <w:rPr>
          <w:rFonts w:hAnsi="標楷體"/>
          <w:color w:val="000000"/>
          <w:sz w:val="28"/>
          <w:szCs w:val="28"/>
        </w:rPr>
        <w:t>一</w:t>
      </w:r>
      <w:r>
        <w:rPr>
          <w:color w:val="000000"/>
          <w:sz w:val="28"/>
          <w:szCs w:val="28"/>
        </w:rPr>
        <w:t>）</w:t>
      </w:r>
      <w:r w:rsidRPr="004F3B2F">
        <w:rPr>
          <w:color w:val="000000"/>
          <w:sz w:val="28"/>
          <w:szCs w:val="28"/>
        </w:rPr>
        <w:t>102</w:t>
      </w:r>
      <w:r w:rsidRPr="004F3B2F">
        <w:rPr>
          <w:rFonts w:hAnsi="標楷體"/>
          <w:color w:val="000000"/>
          <w:sz w:val="28"/>
          <w:szCs w:val="28"/>
        </w:rPr>
        <w:t>年</w:t>
      </w:r>
      <w:r w:rsidRPr="004F3B2F">
        <w:rPr>
          <w:color w:val="000000"/>
          <w:sz w:val="28"/>
          <w:szCs w:val="28"/>
        </w:rPr>
        <w:t>9</w:t>
      </w:r>
      <w:r w:rsidRPr="004F3B2F">
        <w:rPr>
          <w:rFonts w:hAnsi="標楷體"/>
          <w:color w:val="000000"/>
          <w:sz w:val="28"/>
          <w:szCs w:val="28"/>
        </w:rPr>
        <w:t>月</w:t>
      </w:r>
      <w:r w:rsidRPr="004F3B2F">
        <w:rPr>
          <w:color w:val="000000"/>
          <w:sz w:val="28"/>
          <w:szCs w:val="28"/>
        </w:rPr>
        <w:t>30</w:t>
      </w:r>
      <w:r w:rsidRPr="004F3B2F">
        <w:rPr>
          <w:rFonts w:hAnsi="標楷體"/>
          <w:color w:val="000000"/>
          <w:sz w:val="28"/>
          <w:szCs w:val="28"/>
        </w:rPr>
        <w:t>日立法院第</w:t>
      </w:r>
      <w:r w:rsidRPr="004F3B2F">
        <w:rPr>
          <w:color w:val="000000"/>
          <w:sz w:val="28"/>
          <w:szCs w:val="28"/>
        </w:rPr>
        <w:t>8</w:t>
      </w:r>
      <w:r w:rsidRPr="004F3B2F">
        <w:rPr>
          <w:rFonts w:hAnsi="標楷體"/>
          <w:color w:val="000000"/>
          <w:sz w:val="28"/>
          <w:szCs w:val="28"/>
        </w:rPr>
        <w:t>屆第</w:t>
      </w:r>
      <w:r w:rsidRPr="004F3B2F">
        <w:rPr>
          <w:color w:val="000000"/>
          <w:sz w:val="28"/>
          <w:szCs w:val="28"/>
        </w:rPr>
        <w:t>4</w:t>
      </w:r>
      <w:r w:rsidRPr="004F3B2F">
        <w:rPr>
          <w:rFonts w:hAnsi="標楷體"/>
          <w:color w:val="000000"/>
          <w:sz w:val="28"/>
          <w:szCs w:val="28"/>
        </w:rPr>
        <w:t>會期司法及法制委員會第</w:t>
      </w:r>
      <w:r w:rsidRPr="004F3B2F">
        <w:rPr>
          <w:color w:val="000000"/>
          <w:sz w:val="28"/>
          <w:szCs w:val="28"/>
        </w:rPr>
        <w:t>3</w:t>
      </w:r>
      <w:r w:rsidRPr="004F3B2F">
        <w:rPr>
          <w:rFonts w:hAnsi="標楷體"/>
          <w:color w:val="000000"/>
          <w:sz w:val="28"/>
          <w:szCs w:val="28"/>
        </w:rPr>
        <w:t>次全體委員會議議事錄。</w:t>
      </w:r>
    </w:p>
    <w:p w:rsidR="003247EA" w:rsidRPr="004F3B2F" w:rsidRDefault="003247EA" w:rsidP="009B2AFE">
      <w:pPr>
        <w:spacing w:line="391" w:lineRule="exact"/>
        <w:ind w:leftChars="100" w:left="1160" w:hangingChars="300" w:hanging="840"/>
        <w:jc w:val="both"/>
        <w:rPr>
          <w:color w:val="000000"/>
          <w:sz w:val="28"/>
          <w:szCs w:val="28"/>
        </w:rPr>
      </w:pPr>
      <w:r>
        <w:rPr>
          <w:color w:val="000000"/>
          <w:sz w:val="28"/>
          <w:szCs w:val="28"/>
        </w:rPr>
        <w:t>（</w:t>
      </w:r>
      <w:r w:rsidRPr="004F3B2F">
        <w:rPr>
          <w:rFonts w:hAnsi="標楷體"/>
          <w:color w:val="000000"/>
          <w:sz w:val="28"/>
          <w:szCs w:val="28"/>
        </w:rPr>
        <w:t>二</w:t>
      </w:r>
      <w:r>
        <w:rPr>
          <w:color w:val="000000"/>
          <w:sz w:val="28"/>
          <w:szCs w:val="28"/>
        </w:rPr>
        <w:t>）</w:t>
      </w:r>
      <w:r w:rsidRPr="006C72CF">
        <w:rPr>
          <w:rFonts w:hAnsi="標楷體"/>
          <w:color w:val="000000"/>
          <w:sz w:val="28"/>
          <w:szCs w:val="28"/>
        </w:rPr>
        <w:t>102</w:t>
      </w:r>
      <w:r w:rsidRPr="006C72CF">
        <w:rPr>
          <w:rFonts w:hAnsi="標楷體"/>
          <w:color w:val="000000"/>
          <w:sz w:val="28"/>
          <w:szCs w:val="28"/>
        </w:rPr>
        <w:t>年</w:t>
      </w:r>
      <w:r w:rsidRPr="006C72CF">
        <w:rPr>
          <w:rFonts w:hAnsi="標楷體"/>
          <w:color w:val="000000"/>
          <w:sz w:val="28"/>
          <w:szCs w:val="28"/>
        </w:rPr>
        <w:t>10</w:t>
      </w:r>
      <w:r w:rsidRPr="004F3B2F">
        <w:rPr>
          <w:rFonts w:hAnsi="標楷體"/>
          <w:color w:val="000000"/>
          <w:sz w:val="28"/>
          <w:szCs w:val="28"/>
        </w:rPr>
        <w:t>月</w:t>
      </w:r>
      <w:r w:rsidRPr="004F3B2F">
        <w:rPr>
          <w:color w:val="000000"/>
          <w:sz w:val="28"/>
          <w:szCs w:val="28"/>
        </w:rPr>
        <w:t>23</w:t>
      </w:r>
      <w:r w:rsidRPr="004F3B2F">
        <w:rPr>
          <w:rFonts w:hAnsi="標楷體"/>
          <w:color w:val="000000"/>
          <w:sz w:val="28"/>
          <w:szCs w:val="28"/>
        </w:rPr>
        <w:t>日立法院第</w:t>
      </w:r>
      <w:r w:rsidRPr="004F3B2F">
        <w:rPr>
          <w:color w:val="000000"/>
          <w:sz w:val="28"/>
          <w:szCs w:val="28"/>
        </w:rPr>
        <w:t>8</w:t>
      </w:r>
      <w:r w:rsidRPr="004F3B2F">
        <w:rPr>
          <w:rFonts w:hAnsi="標楷體"/>
          <w:color w:val="000000"/>
          <w:sz w:val="28"/>
          <w:szCs w:val="28"/>
        </w:rPr>
        <w:t>屆第</w:t>
      </w:r>
      <w:r w:rsidRPr="004F3B2F">
        <w:rPr>
          <w:color w:val="000000"/>
          <w:sz w:val="28"/>
          <w:szCs w:val="28"/>
        </w:rPr>
        <w:t>4</w:t>
      </w:r>
      <w:r w:rsidRPr="004F3B2F">
        <w:rPr>
          <w:rFonts w:hAnsi="標楷體"/>
          <w:color w:val="000000"/>
          <w:sz w:val="28"/>
          <w:szCs w:val="28"/>
        </w:rPr>
        <w:t>會期司法及法制委員會第</w:t>
      </w:r>
      <w:r w:rsidRPr="004F3B2F">
        <w:rPr>
          <w:color w:val="000000"/>
          <w:sz w:val="28"/>
          <w:szCs w:val="28"/>
        </w:rPr>
        <w:t>11</w:t>
      </w:r>
      <w:r w:rsidRPr="004F3B2F">
        <w:rPr>
          <w:rFonts w:hAnsi="標楷體"/>
          <w:color w:val="000000"/>
          <w:sz w:val="28"/>
          <w:szCs w:val="28"/>
        </w:rPr>
        <w:t>次全體委員會議議事錄。</w:t>
      </w:r>
    </w:p>
    <w:p w:rsidR="003247EA" w:rsidRPr="004F3B2F" w:rsidRDefault="003247EA" w:rsidP="009B2AFE">
      <w:pPr>
        <w:spacing w:line="391" w:lineRule="exact"/>
        <w:ind w:leftChars="100" w:left="1160" w:hangingChars="300" w:hanging="840"/>
        <w:jc w:val="both"/>
        <w:rPr>
          <w:color w:val="000000"/>
          <w:sz w:val="28"/>
          <w:szCs w:val="28"/>
        </w:rPr>
      </w:pPr>
      <w:r>
        <w:rPr>
          <w:color w:val="000000"/>
          <w:sz w:val="28"/>
          <w:szCs w:val="28"/>
        </w:rPr>
        <w:t>（</w:t>
      </w:r>
      <w:r w:rsidRPr="004F3B2F">
        <w:rPr>
          <w:rFonts w:hAnsi="標楷體"/>
          <w:color w:val="000000"/>
          <w:sz w:val="28"/>
          <w:szCs w:val="28"/>
        </w:rPr>
        <w:t>三</w:t>
      </w:r>
      <w:r>
        <w:rPr>
          <w:color w:val="000000"/>
          <w:sz w:val="28"/>
          <w:szCs w:val="28"/>
        </w:rPr>
        <w:t>）</w:t>
      </w:r>
      <w:r w:rsidRPr="009B2AFE">
        <w:rPr>
          <w:color w:val="000000"/>
          <w:spacing w:val="6"/>
          <w:sz w:val="28"/>
          <w:szCs w:val="28"/>
        </w:rPr>
        <w:t>102</w:t>
      </w:r>
      <w:r w:rsidRPr="009B2AFE">
        <w:rPr>
          <w:rFonts w:hAnsi="標楷體"/>
          <w:color w:val="000000"/>
          <w:spacing w:val="6"/>
          <w:sz w:val="28"/>
          <w:szCs w:val="28"/>
        </w:rPr>
        <w:t>年</w:t>
      </w:r>
      <w:r w:rsidRPr="009B2AFE">
        <w:rPr>
          <w:color w:val="000000"/>
          <w:spacing w:val="6"/>
          <w:sz w:val="28"/>
          <w:szCs w:val="28"/>
        </w:rPr>
        <w:t>10</w:t>
      </w:r>
      <w:r w:rsidRPr="009B2AFE">
        <w:rPr>
          <w:rFonts w:hAnsi="標楷體"/>
          <w:color w:val="000000"/>
          <w:spacing w:val="6"/>
          <w:sz w:val="28"/>
          <w:szCs w:val="28"/>
        </w:rPr>
        <w:t>月</w:t>
      </w:r>
      <w:r w:rsidRPr="009B2AFE">
        <w:rPr>
          <w:color w:val="000000"/>
          <w:spacing w:val="6"/>
          <w:sz w:val="28"/>
          <w:szCs w:val="28"/>
        </w:rPr>
        <w:t>23</w:t>
      </w:r>
      <w:r w:rsidRPr="009B2AFE">
        <w:rPr>
          <w:rFonts w:hAnsi="標楷體"/>
          <w:color w:val="000000"/>
          <w:spacing w:val="6"/>
          <w:sz w:val="28"/>
          <w:szCs w:val="28"/>
        </w:rPr>
        <w:t>日立法院第</w:t>
      </w:r>
      <w:r w:rsidRPr="009B2AFE">
        <w:rPr>
          <w:color w:val="000000"/>
          <w:spacing w:val="6"/>
          <w:sz w:val="28"/>
          <w:szCs w:val="28"/>
        </w:rPr>
        <w:t>8</w:t>
      </w:r>
      <w:r w:rsidRPr="009B2AFE">
        <w:rPr>
          <w:rFonts w:hAnsi="標楷體"/>
          <w:color w:val="000000"/>
          <w:spacing w:val="6"/>
          <w:sz w:val="28"/>
          <w:szCs w:val="28"/>
        </w:rPr>
        <w:t>屆第</w:t>
      </w:r>
      <w:r w:rsidRPr="009B2AFE">
        <w:rPr>
          <w:color w:val="000000"/>
          <w:spacing w:val="6"/>
          <w:sz w:val="28"/>
          <w:szCs w:val="28"/>
        </w:rPr>
        <w:t>4</w:t>
      </w:r>
      <w:r w:rsidRPr="009B2AFE">
        <w:rPr>
          <w:rFonts w:hAnsi="標楷體"/>
          <w:color w:val="000000"/>
          <w:spacing w:val="6"/>
          <w:sz w:val="28"/>
          <w:szCs w:val="28"/>
        </w:rPr>
        <w:t>會期司法及法制委員會「監聽調</w:t>
      </w:r>
      <w:r w:rsidRPr="004F3B2F">
        <w:rPr>
          <w:rFonts w:hAnsi="標楷體"/>
          <w:color w:val="000000"/>
          <w:sz w:val="28"/>
          <w:szCs w:val="28"/>
        </w:rPr>
        <w:t>閱專案小組」第</w:t>
      </w:r>
      <w:r w:rsidRPr="004F3B2F">
        <w:rPr>
          <w:color w:val="000000"/>
          <w:sz w:val="28"/>
          <w:szCs w:val="28"/>
        </w:rPr>
        <w:t>1</w:t>
      </w:r>
      <w:r w:rsidRPr="004F3B2F">
        <w:rPr>
          <w:rFonts w:hAnsi="標楷體"/>
          <w:color w:val="000000"/>
          <w:sz w:val="28"/>
          <w:szCs w:val="28"/>
        </w:rPr>
        <w:t>次全體委員會議議事錄。</w:t>
      </w:r>
    </w:p>
    <w:p w:rsidR="003247EA" w:rsidRPr="004F3B2F" w:rsidRDefault="003247EA" w:rsidP="009B2AFE">
      <w:pPr>
        <w:spacing w:line="391" w:lineRule="exact"/>
        <w:ind w:leftChars="100" w:left="1160" w:hangingChars="300" w:hanging="840"/>
        <w:jc w:val="both"/>
        <w:rPr>
          <w:color w:val="000000"/>
          <w:sz w:val="28"/>
          <w:szCs w:val="28"/>
        </w:rPr>
      </w:pPr>
      <w:r>
        <w:rPr>
          <w:color w:val="000000"/>
          <w:sz w:val="28"/>
          <w:szCs w:val="28"/>
        </w:rPr>
        <w:t>（</w:t>
      </w:r>
      <w:r w:rsidRPr="004F3B2F">
        <w:rPr>
          <w:rFonts w:hAnsi="標楷體"/>
          <w:color w:val="000000"/>
          <w:sz w:val="28"/>
          <w:szCs w:val="28"/>
        </w:rPr>
        <w:t>四</w:t>
      </w:r>
      <w:r>
        <w:rPr>
          <w:color w:val="000000"/>
          <w:sz w:val="28"/>
          <w:szCs w:val="28"/>
        </w:rPr>
        <w:t>）</w:t>
      </w:r>
      <w:r w:rsidRPr="009B2AFE">
        <w:rPr>
          <w:color w:val="000000"/>
          <w:sz w:val="28"/>
          <w:szCs w:val="28"/>
        </w:rPr>
        <w:t>102</w:t>
      </w:r>
      <w:r w:rsidRPr="009B2AFE">
        <w:rPr>
          <w:rFonts w:hAnsi="標楷體"/>
          <w:color w:val="000000"/>
          <w:sz w:val="28"/>
          <w:szCs w:val="28"/>
        </w:rPr>
        <w:t>年</w:t>
      </w:r>
      <w:r w:rsidRPr="009B2AFE">
        <w:rPr>
          <w:color w:val="000000"/>
          <w:sz w:val="28"/>
          <w:szCs w:val="28"/>
        </w:rPr>
        <w:t>10</w:t>
      </w:r>
      <w:r w:rsidRPr="006C72CF">
        <w:rPr>
          <w:rFonts w:hAnsi="標楷體"/>
          <w:color w:val="000000"/>
          <w:spacing w:val="8"/>
          <w:sz w:val="28"/>
          <w:szCs w:val="28"/>
        </w:rPr>
        <w:t>月</w:t>
      </w:r>
      <w:r w:rsidRPr="006C72CF">
        <w:rPr>
          <w:color w:val="000000"/>
          <w:spacing w:val="8"/>
          <w:sz w:val="28"/>
          <w:szCs w:val="28"/>
        </w:rPr>
        <w:t>29</w:t>
      </w:r>
      <w:r w:rsidRPr="006C72CF">
        <w:rPr>
          <w:rFonts w:hAnsi="標楷體"/>
          <w:color w:val="000000"/>
          <w:spacing w:val="8"/>
          <w:sz w:val="28"/>
          <w:szCs w:val="28"/>
        </w:rPr>
        <w:t>日立法院司法及法</w:t>
      </w:r>
      <w:r w:rsidRPr="004F3B2F">
        <w:rPr>
          <w:rFonts w:hAnsi="標楷體"/>
          <w:color w:val="000000"/>
          <w:sz w:val="28"/>
          <w:szCs w:val="28"/>
        </w:rPr>
        <w:t>制委員會台立司字第</w:t>
      </w:r>
      <w:r w:rsidRPr="004F3B2F">
        <w:rPr>
          <w:color w:val="000000"/>
          <w:sz w:val="28"/>
          <w:szCs w:val="28"/>
        </w:rPr>
        <w:t>1024300708</w:t>
      </w:r>
      <w:r w:rsidRPr="004F3B2F">
        <w:rPr>
          <w:rFonts w:hAnsi="標楷體"/>
          <w:color w:val="000000"/>
          <w:sz w:val="28"/>
          <w:szCs w:val="28"/>
        </w:rPr>
        <w:t>號函。</w:t>
      </w:r>
    </w:p>
    <w:p w:rsidR="003247EA" w:rsidRPr="004F3B2F" w:rsidRDefault="003247EA" w:rsidP="009B2AFE">
      <w:pPr>
        <w:spacing w:line="391" w:lineRule="exact"/>
        <w:ind w:leftChars="100" w:left="1160" w:hangingChars="300" w:hanging="840"/>
        <w:jc w:val="both"/>
        <w:rPr>
          <w:color w:val="000000"/>
          <w:sz w:val="28"/>
          <w:szCs w:val="28"/>
        </w:rPr>
      </w:pPr>
      <w:r>
        <w:rPr>
          <w:color w:val="000000"/>
          <w:sz w:val="28"/>
          <w:szCs w:val="28"/>
        </w:rPr>
        <w:t>（</w:t>
      </w:r>
      <w:r w:rsidRPr="004F3B2F">
        <w:rPr>
          <w:rFonts w:hAnsi="標楷體"/>
          <w:color w:val="000000"/>
          <w:sz w:val="28"/>
          <w:szCs w:val="28"/>
        </w:rPr>
        <w:t>五</w:t>
      </w:r>
      <w:r w:rsidRPr="009B2AFE">
        <w:rPr>
          <w:color w:val="000000"/>
          <w:spacing w:val="6"/>
          <w:sz w:val="28"/>
          <w:szCs w:val="28"/>
        </w:rPr>
        <w:t>）</w:t>
      </w:r>
      <w:r w:rsidRPr="009B2AFE">
        <w:rPr>
          <w:rFonts w:hAnsi="標楷體"/>
          <w:color w:val="000000"/>
          <w:spacing w:val="6"/>
          <w:sz w:val="28"/>
          <w:szCs w:val="28"/>
        </w:rPr>
        <w:t>102</w:t>
      </w:r>
      <w:r w:rsidRPr="009B2AFE">
        <w:rPr>
          <w:rFonts w:hAnsi="標楷體"/>
          <w:color w:val="000000"/>
          <w:spacing w:val="6"/>
          <w:sz w:val="28"/>
          <w:szCs w:val="28"/>
        </w:rPr>
        <w:t>年</w:t>
      </w:r>
      <w:r w:rsidRPr="009B2AFE">
        <w:rPr>
          <w:rFonts w:hAnsi="標楷體"/>
          <w:color w:val="000000"/>
          <w:spacing w:val="6"/>
          <w:sz w:val="28"/>
          <w:szCs w:val="28"/>
        </w:rPr>
        <w:t>11</w:t>
      </w:r>
      <w:r w:rsidRPr="009B2AFE">
        <w:rPr>
          <w:rFonts w:hAnsi="標楷體"/>
          <w:color w:val="000000"/>
          <w:spacing w:val="6"/>
          <w:sz w:val="28"/>
          <w:szCs w:val="28"/>
        </w:rPr>
        <w:t>月</w:t>
      </w:r>
      <w:r w:rsidRPr="009B2AFE">
        <w:rPr>
          <w:rFonts w:hAnsi="標楷體"/>
          <w:color w:val="000000"/>
          <w:spacing w:val="6"/>
          <w:sz w:val="28"/>
          <w:szCs w:val="28"/>
        </w:rPr>
        <w:t>1</w:t>
      </w:r>
      <w:r w:rsidRPr="009B2AFE">
        <w:rPr>
          <w:rFonts w:hAnsi="標楷體"/>
          <w:color w:val="000000"/>
          <w:spacing w:val="6"/>
          <w:sz w:val="28"/>
          <w:szCs w:val="28"/>
        </w:rPr>
        <w:t>日臺灣臺北地方法院檢察署</w:t>
      </w:r>
      <w:r w:rsidRPr="009B2AFE">
        <w:rPr>
          <w:color w:val="000000"/>
          <w:spacing w:val="6"/>
          <w:sz w:val="28"/>
          <w:szCs w:val="28"/>
        </w:rPr>
        <w:t>102</w:t>
      </w:r>
      <w:r w:rsidRPr="009B2AFE">
        <w:rPr>
          <w:rFonts w:hAnsi="標楷體"/>
          <w:color w:val="000000"/>
          <w:spacing w:val="6"/>
          <w:sz w:val="28"/>
          <w:szCs w:val="28"/>
        </w:rPr>
        <w:t>年度偵字第</w:t>
      </w:r>
      <w:r w:rsidRPr="009B2AFE">
        <w:rPr>
          <w:color w:val="000000"/>
          <w:spacing w:val="6"/>
          <w:sz w:val="28"/>
          <w:szCs w:val="28"/>
        </w:rPr>
        <w:t>21687</w:t>
      </w:r>
      <w:r w:rsidRPr="009B2AFE">
        <w:rPr>
          <w:rFonts w:hAnsi="標楷體"/>
          <w:color w:val="000000"/>
          <w:spacing w:val="6"/>
          <w:sz w:val="28"/>
          <w:szCs w:val="28"/>
        </w:rPr>
        <w:t>、</w:t>
      </w:r>
      <w:r w:rsidRPr="009B2AFE">
        <w:rPr>
          <w:color w:val="000000"/>
          <w:spacing w:val="6"/>
          <w:sz w:val="28"/>
          <w:szCs w:val="28"/>
        </w:rPr>
        <w:t>21</w:t>
      </w:r>
      <w:r w:rsidRPr="004F3B2F">
        <w:rPr>
          <w:color w:val="000000"/>
          <w:sz w:val="28"/>
          <w:szCs w:val="28"/>
        </w:rPr>
        <w:t>688</w:t>
      </w:r>
      <w:r w:rsidRPr="004F3B2F">
        <w:rPr>
          <w:rFonts w:hAnsi="標楷體"/>
          <w:color w:val="000000"/>
          <w:sz w:val="28"/>
          <w:szCs w:val="28"/>
        </w:rPr>
        <w:t>及</w:t>
      </w:r>
      <w:r w:rsidRPr="004F3B2F">
        <w:rPr>
          <w:color w:val="000000"/>
          <w:sz w:val="28"/>
          <w:szCs w:val="28"/>
        </w:rPr>
        <w:t>21689</w:t>
      </w:r>
      <w:r w:rsidRPr="004F3B2F">
        <w:rPr>
          <w:rFonts w:hAnsi="標楷體"/>
          <w:color w:val="000000"/>
          <w:sz w:val="28"/>
          <w:szCs w:val="28"/>
        </w:rPr>
        <w:t>號檢察官不起訴處分書。</w:t>
      </w:r>
    </w:p>
    <w:p w:rsidR="003247EA" w:rsidRPr="004F3B2F" w:rsidRDefault="003247EA" w:rsidP="009B2AFE">
      <w:pPr>
        <w:spacing w:line="391" w:lineRule="exact"/>
        <w:ind w:leftChars="100" w:left="1160" w:hangingChars="300" w:hanging="840"/>
        <w:rPr>
          <w:color w:val="000000"/>
          <w:sz w:val="28"/>
          <w:szCs w:val="28"/>
        </w:rPr>
      </w:pPr>
      <w:r>
        <w:rPr>
          <w:color w:val="000000"/>
          <w:sz w:val="28"/>
          <w:szCs w:val="28"/>
        </w:rPr>
        <w:t>（</w:t>
      </w:r>
      <w:r w:rsidRPr="004F3B2F">
        <w:rPr>
          <w:rFonts w:hAnsi="標楷體"/>
          <w:color w:val="000000"/>
          <w:sz w:val="28"/>
          <w:szCs w:val="28"/>
        </w:rPr>
        <w:t>六</w:t>
      </w:r>
      <w:r>
        <w:rPr>
          <w:color w:val="000000"/>
          <w:sz w:val="28"/>
          <w:szCs w:val="28"/>
        </w:rPr>
        <w:t>）</w:t>
      </w:r>
      <w:r w:rsidRPr="004F3B2F">
        <w:rPr>
          <w:color w:val="000000"/>
          <w:sz w:val="28"/>
          <w:szCs w:val="28"/>
        </w:rPr>
        <w:t>102</w:t>
      </w:r>
      <w:r w:rsidRPr="004F3B2F">
        <w:rPr>
          <w:rFonts w:hAnsi="標楷體"/>
          <w:color w:val="000000"/>
          <w:sz w:val="28"/>
          <w:szCs w:val="28"/>
        </w:rPr>
        <w:t>年</w:t>
      </w:r>
      <w:r w:rsidRPr="004F3B2F">
        <w:rPr>
          <w:color w:val="000000"/>
          <w:sz w:val="28"/>
          <w:szCs w:val="28"/>
        </w:rPr>
        <w:t>11</w:t>
      </w:r>
      <w:r w:rsidRPr="004F3B2F">
        <w:rPr>
          <w:rFonts w:hAnsi="標楷體"/>
          <w:color w:val="000000"/>
          <w:sz w:val="28"/>
          <w:szCs w:val="28"/>
        </w:rPr>
        <w:t>月</w:t>
      </w:r>
      <w:r w:rsidRPr="004F3B2F">
        <w:rPr>
          <w:color w:val="000000"/>
          <w:sz w:val="28"/>
          <w:szCs w:val="28"/>
        </w:rPr>
        <w:t>15</w:t>
      </w:r>
      <w:r w:rsidRPr="004F3B2F">
        <w:rPr>
          <w:rFonts w:hAnsi="標楷體"/>
          <w:color w:val="000000"/>
          <w:sz w:val="28"/>
          <w:szCs w:val="28"/>
        </w:rPr>
        <w:t>日立法院司法及法制委員會台立司字第</w:t>
      </w:r>
      <w:r w:rsidRPr="004F3B2F">
        <w:rPr>
          <w:color w:val="000000"/>
          <w:sz w:val="28"/>
          <w:szCs w:val="28"/>
        </w:rPr>
        <w:t>1024300778</w:t>
      </w:r>
      <w:r w:rsidRPr="004F3B2F">
        <w:rPr>
          <w:rFonts w:hAnsi="標楷體"/>
          <w:color w:val="000000"/>
          <w:sz w:val="28"/>
          <w:szCs w:val="28"/>
        </w:rPr>
        <w:t>號函。</w:t>
      </w:r>
    </w:p>
    <w:p w:rsidR="003247EA" w:rsidRPr="004F3B2F" w:rsidRDefault="003247EA" w:rsidP="003247EA">
      <w:pPr>
        <w:kinsoku w:val="0"/>
        <w:overflowPunct w:val="0"/>
        <w:spacing w:line="391" w:lineRule="exact"/>
        <w:ind w:left="267"/>
        <w:jc w:val="both"/>
        <w:rPr>
          <w:color w:val="000000"/>
          <w:sz w:val="28"/>
          <w:szCs w:val="28"/>
        </w:rPr>
      </w:pPr>
      <w:r w:rsidRPr="004F3B2F">
        <w:rPr>
          <w:rFonts w:hAnsi="標楷體"/>
          <w:color w:val="000000"/>
          <w:sz w:val="28"/>
          <w:szCs w:val="28"/>
        </w:rPr>
        <w:t>此　致</w:t>
      </w:r>
    </w:p>
    <w:p w:rsidR="003247EA" w:rsidRPr="004F3B2F" w:rsidRDefault="003247EA" w:rsidP="003247EA">
      <w:pPr>
        <w:kinsoku w:val="0"/>
        <w:overflowPunct w:val="0"/>
        <w:spacing w:line="391" w:lineRule="exact"/>
        <w:jc w:val="both"/>
        <w:rPr>
          <w:color w:val="000000"/>
          <w:sz w:val="28"/>
          <w:szCs w:val="28"/>
        </w:rPr>
      </w:pPr>
      <w:r w:rsidRPr="004F3B2F">
        <w:rPr>
          <w:rFonts w:hAnsi="標楷體"/>
          <w:color w:val="000000"/>
          <w:sz w:val="28"/>
          <w:szCs w:val="28"/>
        </w:rPr>
        <w:t>司</w:t>
      </w:r>
      <w:r>
        <w:rPr>
          <w:rFonts w:hAnsi="標楷體" w:hint="eastAsia"/>
          <w:color w:val="000000"/>
          <w:sz w:val="28"/>
          <w:szCs w:val="28"/>
        </w:rPr>
        <w:t xml:space="preserve">　</w:t>
      </w:r>
      <w:r w:rsidRPr="004F3B2F">
        <w:rPr>
          <w:rFonts w:hAnsi="標楷體"/>
          <w:color w:val="000000"/>
          <w:sz w:val="28"/>
          <w:szCs w:val="28"/>
        </w:rPr>
        <w:t>法</w:t>
      </w:r>
      <w:r>
        <w:rPr>
          <w:rFonts w:hAnsi="標楷體" w:hint="eastAsia"/>
          <w:color w:val="000000"/>
          <w:sz w:val="28"/>
          <w:szCs w:val="28"/>
        </w:rPr>
        <w:t xml:space="preserve">　</w:t>
      </w:r>
      <w:r w:rsidRPr="004F3B2F">
        <w:rPr>
          <w:rFonts w:hAnsi="標楷體"/>
          <w:color w:val="000000"/>
          <w:sz w:val="28"/>
          <w:szCs w:val="28"/>
        </w:rPr>
        <w:t>院　公鑒</w:t>
      </w:r>
    </w:p>
    <w:p w:rsidR="003247EA" w:rsidRPr="004F3B2F" w:rsidRDefault="003247EA" w:rsidP="003247EA">
      <w:pPr>
        <w:kinsoku w:val="0"/>
        <w:overflowPunct w:val="0"/>
        <w:spacing w:line="391" w:lineRule="exact"/>
        <w:ind w:left="5041"/>
        <w:jc w:val="both"/>
        <w:rPr>
          <w:color w:val="000000"/>
          <w:kern w:val="0"/>
          <w:sz w:val="28"/>
          <w:szCs w:val="28"/>
          <w:lang w:val="en-US"/>
        </w:rPr>
      </w:pPr>
      <w:r w:rsidRPr="000669E3">
        <w:rPr>
          <w:rFonts w:hAnsi="標楷體"/>
          <w:color w:val="000000"/>
          <w:kern w:val="0"/>
          <w:sz w:val="28"/>
          <w:szCs w:val="28"/>
          <w:fitText w:val="1400" w:id="893662208"/>
          <w:lang w:val="en-US" w:eastAsia="zh-TW"/>
        </w:rPr>
        <w:t>聲</w:t>
      </w:r>
      <w:r w:rsidRPr="000669E3">
        <w:rPr>
          <w:rFonts w:hint="eastAsia"/>
          <w:color w:val="000000"/>
          <w:kern w:val="0"/>
          <w:sz w:val="28"/>
          <w:szCs w:val="28"/>
          <w:fitText w:val="1400" w:id="893662208"/>
          <w:lang w:val="en-US"/>
        </w:rPr>
        <w:t xml:space="preserve">　</w:t>
      </w:r>
      <w:r w:rsidRPr="000669E3">
        <w:rPr>
          <w:rFonts w:hAnsi="標楷體"/>
          <w:color w:val="000000"/>
          <w:kern w:val="0"/>
          <w:sz w:val="28"/>
          <w:szCs w:val="28"/>
          <w:fitText w:val="1400" w:id="893662208"/>
          <w:lang w:val="en-US" w:eastAsia="zh-TW"/>
        </w:rPr>
        <w:t>請</w:t>
      </w:r>
      <w:r w:rsidRPr="000669E3">
        <w:rPr>
          <w:rFonts w:hAnsi="標楷體" w:hint="eastAsia"/>
          <w:color w:val="000000"/>
          <w:kern w:val="0"/>
          <w:sz w:val="28"/>
          <w:szCs w:val="28"/>
          <w:fitText w:val="1400" w:id="893662208"/>
          <w:lang w:val="en-US"/>
        </w:rPr>
        <w:t xml:space="preserve">　</w:t>
      </w:r>
      <w:r w:rsidRPr="000669E3">
        <w:rPr>
          <w:rFonts w:hAnsi="標楷體"/>
          <w:color w:val="000000"/>
          <w:kern w:val="0"/>
          <w:sz w:val="28"/>
          <w:szCs w:val="28"/>
          <w:fitText w:val="1400" w:id="893662208"/>
          <w:lang w:val="en-US" w:eastAsia="zh-TW"/>
        </w:rPr>
        <w:t>人</w:t>
      </w:r>
      <w:r w:rsidRPr="004F3B2F">
        <w:rPr>
          <w:rFonts w:hAnsi="標楷體"/>
          <w:color w:val="000000"/>
          <w:kern w:val="0"/>
          <w:sz w:val="28"/>
          <w:szCs w:val="28"/>
          <w:lang w:val="en-US" w:eastAsia="zh-TW"/>
        </w:rPr>
        <w:t>：</w:t>
      </w:r>
      <w:r w:rsidRPr="004F3B2F">
        <w:rPr>
          <w:rFonts w:hAnsi="標楷體"/>
          <w:color w:val="000000"/>
          <w:kern w:val="0"/>
          <w:sz w:val="28"/>
          <w:szCs w:val="28"/>
          <w:lang w:val="en-US"/>
        </w:rPr>
        <w:t>最高法院</w:t>
      </w:r>
      <w:r w:rsidRPr="00E94DF6">
        <w:rPr>
          <w:sz w:val="28"/>
          <w:szCs w:val="28"/>
        </w:rPr>
        <w:t>檢察署</w:t>
      </w:r>
    </w:p>
    <w:p w:rsidR="003247EA" w:rsidRDefault="003247EA" w:rsidP="003247EA">
      <w:pPr>
        <w:kinsoku w:val="0"/>
        <w:overflowPunct w:val="0"/>
        <w:spacing w:line="391" w:lineRule="exact"/>
        <w:ind w:left="5041"/>
        <w:jc w:val="both"/>
        <w:rPr>
          <w:rFonts w:hAnsi="標楷體" w:hint="eastAsia"/>
          <w:color w:val="000000"/>
          <w:kern w:val="0"/>
          <w:sz w:val="28"/>
          <w:szCs w:val="28"/>
          <w:lang w:val="en-US"/>
        </w:rPr>
      </w:pPr>
      <w:r w:rsidRPr="003247EA">
        <w:rPr>
          <w:rFonts w:hAnsi="標楷體"/>
          <w:color w:val="000000"/>
          <w:kern w:val="0"/>
          <w:sz w:val="28"/>
          <w:szCs w:val="28"/>
          <w:fitText w:val="1400" w:id="893662209"/>
          <w:lang w:val="en-US"/>
        </w:rPr>
        <w:t>法定代理人</w:t>
      </w:r>
      <w:r w:rsidRPr="004F3B2F">
        <w:rPr>
          <w:rFonts w:hAnsi="標楷體"/>
          <w:color w:val="000000"/>
          <w:kern w:val="0"/>
          <w:sz w:val="28"/>
          <w:szCs w:val="28"/>
          <w:lang w:val="en-US"/>
        </w:rPr>
        <w:t>：黃世銘</w:t>
      </w:r>
    </w:p>
    <w:p w:rsidR="003247EA" w:rsidRPr="004F3B2F" w:rsidRDefault="003247EA" w:rsidP="003247EA">
      <w:pPr>
        <w:widowControl/>
        <w:spacing w:line="391" w:lineRule="exact"/>
        <w:jc w:val="distribute"/>
        <w:rPr>
          <w:color w:val="000000"/>
          <w:kern w:val="0"/>
          <w:sz w:val="28"/>
          <w:szCs w:val="28"/>
          <w:lang w:val="en-US"/>
        </w:rPr>
      </w:pPr>
      <w:r w:rsidRPr="004F3B2F">
        <w:rPr>
          <w:rFonts w:hAnsi="標楷體"/>
          <w:color w:val="000000"/>
          <w:kern w:val="0"/>
          <w:sz w:val="28"/>
          <w:szCs w:val="28"/>
          <w:lang w:val="en-US"/>
        </w:rPr>
        <w:t>中</w:t>
      </w:r>
      <w:r>
        <w:rPr>
          <w:rFonts w:hAnsi="標楷體" w:hint="eastAsia"/>
          <w:color w:val="000000"/>
          <w:kern w:val="0"/>
          <w:sz w:val="28"/>
          <w:szCs w:val="28"/>
          <w:lang w:val="en-US"/>
        </w:rPr>
        <w:t xml:space="preserve">　</w:t>
      </w:r>
      <w:r w:rsidRPr="004F3B2F">
        <w:rPr>
          <w:rFonts w:hAnsi="標楷體"/>
          <w:color w:val="000000"/>
          <w:kern w:val="0"/>
          <w:sz w:val="28"/>
          <w:szCs w:val="28"/>
          <w:lang w:val="en-US"/>
        </w:rPr>
        <w:t>華</w:t>
      </w:r>
      <w:r>
        <w:rPr>
          <w:rFonts w:hAnsi="標楷體" w:hint="eastAsia"/>
          <w:color w:val="000000"/>
          <w:kern w:val="0"/>
          <w:sz w:val="28"/>
          <w:szCs w:val="28"/>
          <w:lang w:val="en-US"/>
        </w:rPr>
        <w:t xml:space="preserve">　</w:t>
      </w:r>
      <w:r w:rsidRPr="004F3B2F">
        <w:rPr>
          <w:rFonts w:hAnsi="標楷體"/>
          <w:color w:val="000000"/>
          <w:kern w:val="0"/>
          <w:sz w:val="28"/>
          <w:szCs w:val="28"/>
          <w:lang w:val="en-US"/>
        </w:rPr>
        <w:t>民</w:t>
      </w:r>
      <w:r>
        <w:rPr>
          <w:rFonts w:hAnsi="標楷體" w:hint="eastAsia"/>
          <w:color w:val="000000"/>
          <w:kern w:val="0"/>
          <w:sz w:val="28"/>
          <w:szCs w:val="28"/>
          <w:lang w:val="en-US"/>
        </w:rPr>
        <w:t xml:space="preserve">　</w:t>
      </w:r>
      <w:r w:rsidRPr="004F3B2F">
        <w:rPr>
          <w:rFonts w:hAnsi="標楷體"/>
          <w:color w:val="000000"/>
          <w:kern w:val="0"/>
          <w:sz w:val="28"/>
          <w:szCs w:val="28"/>
          <w:lang w:val="en-US"/>
        </w:rPr>
        <w:t>國</w:t>
      </w:r>
      <w:r>
        <w:rPr>
          <w:rFonts w:hAnsi="標楷體" w:hint="eastAsia"/>
          <w:color w:val="000000"/>
          <w:kern w:val="0"/>
          <w:sz w:val="28"/>
          <w:szCs w:val="28"/>
          <w:lang w:val="en-US"/>
        </w:rPr>
        <w:t xml:space="preserve">　</w:t>
      </w:r>
      <w:r w:rsidRPr="004F3B2F">
        <w:rPr>
          <w:color w:val="000000"/>
          <w:kern w:val="0"/>
          <w:sz w:val="28"/>
          <w:szCs w:val="28"/>
          <w:lang w:val="en-US"/>
        </w:rPr>
        <w:t>102</w:t>
      </w:r>
      <w:r>
        <w:rPr>
          <w:rFonts w:hint="eastAsia"/>
          <w:color w:val="000000"/>
          <w:kern w:val="0"/>
          <w:sz w:val="28"/>
          <w:szCs w:val="28"/>
          <w:lang w:val="en-US"/>
        </w:rPr>
        <w:t xml:space="preserve">　</w:t>
      </w:r>
      <w:r w:rsidRPr="004F3B2F">
        <w:rPr>
          <w:rFonts w:hAnsi="標楷體"/>
          <w:color w:val="000000"/>
          <w:kern w:val="0"/>
          <w:sz w:val="28"/>
          <w:szCs w:val="28"/>
          <w:lang w:val="en-US"/>
        </w:rPr>
        <w:t>年</w:t>
      </w:r>
      <w:r>
        <w:rPr>
          <w:rFonts w:hAnsi="標楷體" w:hint="eastAsia"/>
          <w:color w:val="000000"/>
          <w:kern w:val="0"/>
          <w:sz w:val="28"/>
          <w:szCs w:val="28"/>
          <w:lang w:val="en-US"/>
        </w:rPr>
        <w:t xml:space="preserve">　</w:t>
      </w:r>
      <w:r w:rsidRPr="004F3B2F">
        <w:rPr>
          <w:color w:val="000000"/>
          <w:kern w:val="0"/>
          <w:sz w:val="28"/>
          <w:szCs w:val="28"/>
          <w:lang w:val="en-US"/>
        </w:rPr>
        <w:t>11</w:t>
      </w:r>
      <w:r>
        <w:rPr>
          <w:rFonts w:hint="eastAsia"/>
          <w:color w:val="000000"/>
          <w:kern w:val="0"/>
          <w:sz w:val="28"/>
          <w:szCs w:val="28"/>
          <w:lang w:val="en-US"/>
        </w:rPr>
        <w:t xml:space="preserve">　</w:t>
      </w:r>
      <w:r w:rsidRPr="004F3B2F">
        <w:rPr>
          <w:rFonts w:hAnsi="標楷體"/>
          <w:color w:val="000000"/>
          <w:kern w:val="0"/>
          <w:sz w:val="28"/>
          <w:szCs w:val="28"/>
          <w:lang w:val="en-US"/>
        </w:rPr>
        <w:t>月</w:t>
      </w:r>
      <w:r>
        <w:rPr>
          <w:rFonts w:hAnsi="標楷體" w:hint="eastAsia"/>
          <w:color w:val="000000"/>
          <w:kern w:val="0"/>
          <w:sz w:val="28"/>
          <w:szCs w:val="28"/>
          <w:lang w:val="en-US"/>
        </w:rPr>
        <w:t xml:space="preserve">　</w:t>
      </w:r>
      <w:r w:rsidRPr="004F3B2F">
        <w:rPr>
          <w:color w:val="000000"/>
          <w:kern w:val="0"/>
          <w:sz w:val="28"/>
          <w:szCs w:val="28"/>
          <w:lang w:val="en-US"/>
        </w:rPr>
        <w:t>29</w:t>
      </w:r>
      <w:r>
        <w:rPr>
          <w:rFonts w:hint="eastAsia"/>
          <w:color w:val="000000"/>
          <w:kern w:val="0"/>
          <w:sz w:val="28"/>
          <w:szCs w:val="28"/>
          <w:lang w:val="en-US"/>
        </w:rPr>
        <w:t xml:space="preserve">　</w:t>
      </w:r>
      <w:r w:rsidRPr="004F3B2F">
        <w:rPr>
          <w:rFonts w:hAnsi="標楷體"/>
          <w:color w:val="000000"/>
          <w:kern w:val="0"/>
          <w:sz w:val="28"/>
          <w:szCs w:val="28"/>
          <w:lang w:val="en-US"/>
        </w:rPr>
        <w:t>日</w:t>
      </w:r>
    </w:p>
    <w:p w:rsidR="003247EA" w:rsidRPr="00E94DF6" w:rsidRDefault="003247EA" w:rsidP="003247EA">
      <w:pPr>
        <w:kinsoku w:val="0"/>
        <w:overflowPunct w:val="0"/>
        <w:rPr>
          <w:rFonts w:ascii="標楷體" w:hAnsi="標楷體"/>
          <w:bCs/>
          <w:color w:val="000000"/>
          <w:sz w:val="28"/>
          <w:szCs w:val="28"/>
        </w:rPr>
      </w:pPr>
      <w:r w:rsidRPr="00E94DF6">
        <w:rPr>
          <w:rFonts w:ascii="標楷體" w:hAnsi="標楷體"/>
          <w:bCs/>
          <w:color w:val="000000"/>
          <w:sz w:val="28"/>
          <w:szCs w:val="28"/>
        </w:rPr>
        <w:t>（本件聲請書附件略）</w:t>
      </w:r>
    </w:p>
    <w:p w:rsidR="003247EA" w:rsidRPr="00E94DF6" w:rsidRDefault="003247EA" w:rsidP="003247EA">
      <w:pPr>
        <w:spacing w:line="391" w:lineRule="exact"/>
        <w:rPr>
          <w:color w:val="000000"/>
          <w:sz w:val="28"/>
          <w:szCs w:val="28"/>
        </w:rPr>
      </w:pPr>
    </w:p>
    <w:p w:rsidR="00F2632E" w:rsidRPr="003247EA" w:rsidRDefault="00F2632E" w:rsidP="00EB17FC">
      <w:pPr>
        <w:overflowPunct w:val="0"/>
        <w:spacing w:line="391" w:lineRule="exact"/>
        <w:ind w:left="682" w:hangingChars="310" w:hanging="682"/>
        <w:jc w:val="both"/>
        <w:rPr>
          <w:rFonts w:ascii="標楷體" w:hAnsi="標楷體"/>
          <w:color w:val="000000"/>
          <w:sz w:val="22"/>
          <w:szCs w:val="22"/>
        </w:rPr>
      </w:pPr>
    </w:p>
    <w:sectPr w:rsidR="00F2632E" w:rsidRPr="003247EA" w:rsidSect="004851ED">
      <w:footerReference w:type="default" r:id="rId13"/>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139" w:rsidRDefault="00175139" w:rsidP="009C679D">
      <w:r>
        <w:separator/>
      </w:r>
    </w:p>
  </w:endnote>
  <w:endnote w:type="continuationSeparator" w:id="0">
    <w:p w:rsidR="00175139" w:rsidRDefault="00175139"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CD" w:rsidRDefault="00D138CD">
    <w:pPr>
      <w:pStyle w:val="a6"/>
      <w:jc w:val="center"/>
    </w:pPr>
  </w:p>
  <w:p w:rsidR="00D138CD" w:rsidRDefault="00D138CD" w:rsidP="004851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CD" w:rsidRDefault="00D138CD">
    <w:pPr>
      <w:pStyle w:val="a6"/>
      <w:jc w:val="center"/>
    </w:pPr>
    <w:r>
      <w:fldChar w:fldCharType="begin"/>
    </w:r>
    <w:r>
      <w:instrText xml:space="preserve"> PAGE   \* MERGEFORMAT </w:instrText>
    </w:r>
    <w:r>
      <w:fldChar w:fldCharType="separate"/>
    </w:r>
    <w:r w:rsidR="00593FFA" w:rsidRPr="00593FFA">
      <w:rPr>
        <w:noProof/>
        <w:lang w:val="zh-TW"/>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139" w:rsidRDefault="00175139" w:rsidP="009C679D">
      <w:r>
        <w:separator/>
      </w:r>
    </w:p>
  </w:footnote>
  <w:footnote w:type="continuationSeparator" w:id="0">
    <w:p w:rsidR="00175139" w:rsidRDefault="00175139" w:rsidP="009C6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oNotTrackMoves/>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E41"/>
    <w:rsid w:val="000060A8"/>
    <w:rsid w:val="000110E8"/>
    <w:rsid w:val="000163D5"/>
    <w:rsid w:val="00020144"/>
    <w:rsid w:val="000260C9"/>
    <w:rsid w:val="000267A7"/>
    <w:rsid w:val="00043FAE"/>
    <w:rsid w:val="0005233C"/>
    <w:rsid w:val="0006317B"/>
    <w:rsid w:val="000669E3"/>
    <w:rsid w:val="00086210"/>
    <w:rsid w:val="0009426E"/>
    <w:rsid w:val="00097AD3"/>
    <w:rsid w:val="000A5C17"/>
    <w:rsid w:val="000B1D1E"/>
    <w:rsid w:val="000C0571"/>
    <w:rsid w:val="000D728B"/>
    <w:rsid w:val="000E1212"/>
    <w:rsid w:val="00111659"/>
    <w:rsid w:val="00116F46"/>
    <w:rsid w:val="001175B9"/>
    <w:rsid w:val="00135C5D"/>
    <w:rsid w:val="001466FF"/>
    <w:rsid w:val="00155EBC"/>
    <w:rsid w:val="00173265"/>
    <w:rsid w:val="00175139"/>
    <w:rsid w:val="0018469A"/>
    <w:rsid w:val="001A05D6"/>
    <w:rsid w:val="001A0993"/>
    <w:rsid w:val="001B400B"/>
    <w:rsid w:val="001C23ED"/>
    <w:rsid w:val="001C4568"/>
    <w:rsid w:val="001D3AD1"/>
    <w:rsid w:val="001D68CF"/>
    <w:rsid w:val="001F152D"/>
    <w:rsid w:val="001F5B1E"/>
    <w:rsid w:val="001F6ABB"/>
    <w:rsid w:val="00200B97"/>
    <w:rsid w:val="00207839"/>
    <w:rsid w:val="00227E85"/>
    <w:rsid w:val="00247541"/>
    <w:rsid w:val="00251C64"/>
    <w:rsid w:val="002527FE"/>
    <w:rsid w:val="00265590"/>
    <w:rsid w:val="00266842"/>
    <w:rsid w:val="0027594F"/>
    <w:rsid w:val="00282628"/>
    <w:rsid w:val="00287B0E"/>
    <w:rsid w:val="002A31B9"/>
    <w:rsid w:val="002A7B9A"/>
    <w:rsid w:val="002B4433"/>
    <w:rsid w:val="002B4F57"/>
    <w:rsid w:val="002C2D61"/>
    <w:rsid w:val="002C3E19"/>
    <w:rsid w:val="002C5CF4"/>
    <w:rsid w:val="002D096B"/>
    <w:rsid w:val="002F4087"/>
    <w:rsid w:val="00324155"/>
    <w:rsid w:val="003247EA"/>
    <w:rsid w:val="003270C6"/>
    <w:rsid w:val="003363A8"/>
    <w:rsid w:val="00336A8E"/>
    <w:rsid w:val="00345FFC"/>
    <w:rsid w:val="0034678D"/>
    <w:rsid w:val="00357EC6"/>
    <w:rsid w:val="00367CC8"/>
    <w:rsid w:val="003732DB"/>
    <w:rsid w:val="00376560"/>
    <w:rsid w:val="00376924"/>
    <w:rsid w:val="003856CF"/>
    <w:rsid w:val="0039544E"/>
    <w:rsid w:val="003965CC"/>
    <w:rsid w:val="003A1D03"/>
    <w:rsid w:val="003D5A49"/>
    <w:rsid w:val="003F3CDB"/>
    <w:rsid w:val="00413B92"/>
    <w:rsid w:val="00427685"/>
    <w:rsid w:val="0043003E"/>
    <w:rsid w:val="004312D8"/>
    <w:rsid w:val="00447C01"/>
    <w:rsid w:val="004618A4"/>
    <w:rsid w:val="00473747"/>
    <w:rsid w:val="004851ED"/>
    <w:rsid w:val="00491752"/>
    <w:rsid w:val="00496F66"/>
    <w:rsid w:val="004A01B9"/>
    <w:rsid w:val="004B0792"/>
    <w:rsid w:val="004B6397"/>
    <w:rsid w:val="004F540D"/>
    <w:rsid w:val="00500377"/>
    <w:rsid w:val="00501C02"/>
    <w:rsid w:val="00504528"/>
    <w:rsid w:val="005057B5"/>
    <w:rsid w:val="00514FA0"/>
    <w:rsid w:val="00526522"/>
    <w:rsid w:val="00535AF5"/>
    <w:rsid w:val="0054042F"/>
    <w:rsid w:val="00550071"/>
    <w:rsid w:val="00563C43"/>
    <w:rsid w:val="0058659A"/>
    <w:rsid w:val="005907BC"/>
    <w:rsid w:val="00593FFA"/>
    <w:rsid w:val="005A170B"/>
    <w:rsid w:val="005C0BCE"/>
    <w:rsid w:val="005C616C"/>
    <w:rsid w:val="005D18FA"/>
    <w:rsid w:val="005D2159"/>
    <w:rsid w:val="005E362F"/>
    <w:rsid w:val="005E529F"/>
    <w:rsid w:val="0062689D"/>
    <w:rsid w:val="00637556"/>
    <w:rsid w:val="00637C39"/>
    <w:rsid w:val="006411E2"/>
    <w:rsid w:val="00645589"/>
    <w:rsid w:val="00646B5E"/>
    <w:rsid w:val="00647559"/>
    <w:rsid w:val="0066189C"/>
    <w:rsid w:val="00693E09"/>
    <w:rsid w:val="006A3AA3"/>
    <w:rsid w:val="006A4E84"/>
    <w:rsid w:val="006B3C31"/>
    <w:rsid w:val="006B5FA9"/>
    <w:rsid w:val="006C2C04"/>
    <w:rsid w:val="006D2BE2"/>
    <w:rsid w:val="006D2F90"/>
    <w:rsid w:val="006D78AE"/>
    <w:rsid w:val="006E7F0B"/>
    <w:rsid w:val="006F0D14"/>
    <w:rsid w:val="006F7247"/>
    <w:rsid w:val="00710F1A"/>
    <w:rsid w:val="007229C6"/>
    <w:rsid w:val="007243DD"/>
    <w:rsid w:val="007442FB"/>
    <w:rsid w:val="007445F3"/>
    <w:rsid w:val="00756309"/>
    <w:rsid w:val="00762EB4"/>
    <w:rsid w:val="00775BF2"/>
    <w:rsid w:val="007804C1"/>
    <w:rsid w:val="0078309D"/>
    <w:rsid w:val="007949A7"/>
    <w:rsid w:val="007B62F7"/>
    <w:rsid w:val="007C2024"/>
    <w:rsid w:val="007C356B"/>
    <w:rsid w:val="007C6F4A"/>
    <w:rsid w:val="007D0955"/>
    <w:rsid w:val="007D2668"/>
    <w:rsid w:val="007E02ED"/>
    <w:rsid w:val="007E5D81"/>
    <w:rsid w:val="007F3BE5"/>
    <w:rsid w:val="00800E94"/>
    <w:rsid w:val="00801C5F"/>
    <w:rsid w:val="008349BC"/>
    <w:rsid w:val="008403F8"/>
    <w:rsid w:val="00840839"/>
    <w:rsid w:val="008518A8"/>
    <w:rsid w:val="00854B58"/>
    <w:rsid w:val="00855D3C"/>
    <w:rsid w:val="00877C76"/>
    <w:rsid w:val="00881381"/>
    <w:rsid w:val="00884558"/>
    <w:rsid w:val="008959FF"/>
    <w:rsid w:val="008A5AB0"/>
    <w:rsid w:val="008A78E0"/>
    <w:rsid w:val="008B6291"/>
    <w:rsid w:val="008C608B"/>
    <w:rsid w:val="008D0A57"/>
    <w:rsid w:val="008D30B0"/>
    <w:rsid w:val="008D72B4"/>
    <w:rsid w:val="008D7786"/>
    <w:rsid w:val="008D785F"/>
    <w:rsid w:val="008D7FDE"/>
    <w:rsid w:val="008E3CAD"/>
    <w:rsid w:val="008E5F41"/>
    <w:rsid w:val="008E7B24"/>
    <w:rsid w:val="008F330E"/>
    <w:rsid w:val="008F4B4B"/>
    <w:rsid w:val="009001A9"/>
    <w:rsid w:val="00904964"/>
    <w:rsid w:val="00925AB8"/>
    <w:rsid w:val="00925D98"/>
    <w:rsid w:val="00943DFF"/>
    <w:rsid w:val="00946876"/>
    <w:rsid w:val="009622BE"/>
    <w:rsid w:val="0096295B"/>
    <w:rsid w:val="009664ED"/>
    <w:rsid w:val="009677C3"/>
    <w:rsid w:val="00971F77"/>
    <w:rsid w:val="00977FDC"/>
    <w:rsid w:val="0098310E"/>
    <w:rsid w:val="009A10CB"/>
    <w:rsid w:val="009A272D"/>
    <w:rsid w:val="009B2AFE"/>
    <w:rsid w:val="009C5E16"/>
    <w:rsid w:val="009C679D"/>
    <w:rsid w:val="009D3A7C"/>
    <w:rsid w:val="009F0F14"/>
    <w:rsid w:val="009F661B"/>
    <w:rsid w:val="00A01C7D"/>
    <w:rsid w:val="00A10C0F"/>
    <w:rsid w:val="00A2056D"/>
    <w:rsid w:val="00A3139A"/>
    <w:rsid w:val="00A3222F"/>
    <w:rsid w:val="00A33187"/>
    <w:rsid w:val="00A34BC1"/>
    <w:rsid w:val="00A36E41"/>
    <w:rsid w:val="00A430F4"/>
    <w:rsid w:val="00A55A6A"/>
    <w:rsid w:val="00A55C56"/>
    <w:rsid w:val="00A73CCA"/>
    <w:rsid w:val="00A90D69"/>
    <w:rsid w:val="00AA0500"/>
    <w:rsid w:val="00AA4FFE"/>
    <w:rsid w:val="00AB6A06"/>
    <w:rsid w:val="00AC2284"/>
    <w:rsid w:val="00AC24E7"/>
    <w:rsid w:val="00AF41AB"/>
    <w:rsid w:val="00AF6AB0"/>
    <w:rsid w:val="00B066EB"/>
    <w:rsid w:val="00B079E4"/>
    <w:rsid w:val="00B13071"/>
    <w:rsid w:val="00B26712"/>
    <w:rsid w:val="00B36806"/>
    <w:rsid w:val="00B50E71"/>
    <w:rsid w:val="00B5284D"/>
    <w:rsid w:val="00B6532F"/>
    <w:rsid w:val="00B713E6"/>
    <w:rsid w:val="00B72FCB"/>
    <w:rsid w:val="00B754AD"/>
    <w:rsid w:val="00B755CC"/>
    <w:rsid w:val="00B93D7F"/>
    <w:rsid w:val="00BA26BF"/>
    <w:rsid w:val="00BB52C8"/>
    <w:rsid w:val="00BC06E6"/>
    <w:rsid w:val="00BC288B"/>
    <w:rsid w:val="00BD40E3"/>
    <w:rsid w:val="00BF00C1"/>
    <w:rsid w:val="00BF0566"/>
    <w:rsid w:val="00C03670"/>
    <w:rsid w:val="00C151EC"/>
    <w:rsid w:val="00C15406"/>
    <w:rsid w:val="00C208C4"/>
    <w:rsid w:val="00C23706"/>
    <w:rsid w:val="00C23C32"/>
    <w:rsid w:val="00C35CBD"/>
    <w:rsid w:val="00C360BA"/>
    <w:rsid w:val="00C57CC8"/>
    <w:rsid w:val="00C65553"/>
    <w:rsid w:val="00C70472"/>
    <w:rsid w:val="00C87171"/>
    <w:rsid w:val="00C918FA"/>
    <w:rsid w:val="00CA7CC1"/>
    <w:rsid w:val="00CC482E"/>
    <w:rsid w:val="00CC6A65"/>
    <w:rsid w:val="00CD04F9"/>
    <w:rsid w:val="00CE57F8"/>
    <w:rsid w:val="00CF53C9"/>
    <w:rsid w:val="00D053B3"/>
    <w:rsid w:val="00D138CD"/>
    <w:rsid w:val="00D3102C"/>
    <w:rsid w:val="00D47CDA"/>
    <w:rsid w:val="00D54EFA"/>
    <w:rsid w:val="00D60585"/>
    <w:rsid w:val="00D712E6"/>
    <w:rsid w:val="00D7333B"/>
    <w:rsid w:val="00D737E1"/>
    <w:rsid w:val="00DB5E05"/>
    <w:rsid w:val="00DC3092"/>
    <w:rsid w:val="00DC3AA7"/>
    <w:rsid w:val="00DC768D"/>
    <w:rsid w:val="00DD1315"/>
    <w:rsid w:val="00DD71EF"/>
    <w:rsid w:val="00DE01FB"/>
    <w:rsid w:val="00DF4DD3"/>
    <w:rsid w:val="00E06DDC"/>
    <w:rsid w:val="00E14350"/>
    <w:rsid w:val="00E21F2F"/>
    <w:rsid w:val="00E65CA3"/>
    <w:rsid w:val="00E76574"/>
    <w:rsid w:val="00EA2D63"/>
    <w:rsid w:val="00EA3D02"/>
    <w:rsid w:val="00EB17FC"/>
    <w:rsid w:val="00EB62A5"/>
    <w:rsid w:val="00ED009B"/>
    <w:rsid w:val="00ED05BC"/>
    <w:rsid w:val="00ED493C"/>
    <w:rsid w:val="00EE66B6"/>
    <w:rsid w:val="00EE7F89"/>
    <w:rsid w:val="00EF59D5"/>
    <w:rsid w:val="00F0265D"/>
    <w:rsid w:val="00F107E5"/>
    <w:rsid w:val="00F173D6"/>
    <w:rsid w:val="00F25474"/>
    <w:rsid w:val="00F2632E"/>
    <w:rsid w:val="00F32606"/>
    <w:rsid w:val="00F34EB3"/>
    <w:rsid w:val="00F362DC"/>
    <w:rsid w:val="00F468FD"/>
    <w:rsid w:val="00F64D16"/>
    <w:rsid w:val="00F70849"/>
    <w:rsid w:val="00F9039C"/>
    <w:rsid w:val="00F9122F"/>
    <w:rsid w:val="00FA07E6"/>
    <w:rsid w:val="00FA17A9"/>
    <w:rsid w:val="00FB051A"/>
    <w:rsid w:val="00FC0CC6"/>
    <w:rsid w:val="00FC1284"/>
    <w:rsid w:val="00FC7C77"/>
    <w:rsid w:val="00FD08A4"/>
    <w:rsid w:val="00FD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AEB00C2-A553-49CD-A60E-62796B34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link w:val="a4"/>
    <w:uiPriority w:val="99"/>
    <w:rsid w:val="009C679D"/>
    <w:rPr>
      <w:rFonts w:ascii="Times New Roman" w:eastAsia="標楷體" w:hAnsi="Times New Roman"/>
      <w:kern w:val="2"/>
    </w:rPr>
  </w:style>
  <w:style w:type="paragraph" w:styleId="a6">
    <w:name w:val="footer"/>
    <w:basedOn w:val="a"/>
    <w:link w:val="a7"/>
    <w:unhideWhenUsed/>
    <w:rsid w:val="009C679D"/>
    <w:pPr>
      <w:tabs>
        <w:tab w:val="center" w:pos="4153"/>
        <w:tab w:val="right" w:pos="8306"/>
      </w:tabs>
      <w:snapToGrid w:val="0"/>
    </w:pPr>
    <w:rPr>
      <w:sz w:val="20"/>
      <w:szCs w:val="20"/>
    </w:rPr>
  </w:style>
  <w:style w:type="character" w:customStyle="1" w:styleId="a7">
    <w:name w:val="頁尾 字元"/>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9677C3"/>
    <w:rPr>
      <w:rFonts w:ascii="細明體" w:eastAsia="細明體" w:hAnsi="細明體" w:cs="細明體"/>
      <w:sz w:val="24"/>
      <w:szCs w:val="24"/>
    </w:rPr>
  </w:style>
  <w:style w:type="character" w:styleId="a8">
    <w:name w:val="Hyperlink"/>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link w:val="a9"/>
    <w:rsid w:val="00647559"/>
    <w:rPr>
      <w:rFonts w:ascii="Times New Roman" w:hAnsi="Times New Roman"/>
      <w:kern w:val="2"/>
    </w:rPr>
  </w:style>
  <w:style w:type="character" w:styleId="ab">
    <w:name w:val="footnote reference"/>
    <w:uiPriority w:val="99"/>
    <w:semiHidden/>
    <w:unhideWhenUsed/>
    <w:rsid w:val="00710F1A"/>
    <w:rPr>
      <w:vertAlign w:val="superscript"/>
    </w:rPr>
  </w:style>
  <w:style w:type="character" w:customStyle="1" w:styleId="ac">
    <w:name w:val="註解方塊文字 字元"/>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link w:val="1"/>
    <w:rsid w:val="00A10C0F"/>
    <w:rPr>
      <w:rFonts w:ascii="Times New Roman" w:eastAsia="標楷體" w:hAnsi="Times New Roman"/>
      <w:sz w:val="32"/>
    </w:rPr>
  </w:style>
  <w:style w:type="character" w:customStyle="1" w:styleId="af0">
    <w:name w:val="純文字 字元"/>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0">
    <w:name w:val="純文字 字元1"/>
    <w:link w:val="af1"/>
    <w:uiPriority w:val="99"/>
    <w:semiHidden/>
    <w:rsid w:val="003247EA"/>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htliche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3229-E73A-4AFA-8B57-CF9277C2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15905</Words>
  <Characters>90660</Characters>
  <Application>Microsoft Office Word</Application>
  <DocSecurity>0</DocSecurity>
  <Lines>755</Lines>
  <Paragraphs>212</Paragraphs>
  <ScaleCrop>false</ScaleCrop>
  <Company/>
  <LinksUpToDate>false</LinksUpToDate>
  <CharactersWithSpaces>106353</CharactersWithSpaces>
  <SharedDoc>false</SharedDoc>
  <HLinks>
    <vt:vector size="6" baseType="variant">
      <vt:variant>
        <vt:i4>7798908</vt:i4>
      </vt:variant>
      <vt:variant>
        <vt:i4>0</vt:i4>
      </vt:variant>
      <vt:variant>
        <vt:i4>0</vt:i4>
      </vt:variant>
      <vt:variant>
        <vt:i4>5</vt:i4>
      </vt:variant>
      <vt:variant>
        <vt:lpwstr>http://www.rechtliches.de/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陳銀泉</cp:lastModifiedBy>
  <cp:revision>2</cp:revision>
  <cp:lastPrinted>2015-07-03T01:40:00Z</cp:lastPrinted>
  <dcterms:created xsi:type="dcterms:W3CDTF">2015-09-04T12:15:00Z</dcterms:created>
  <dcterms:modified xsi:type="dcterms:W3CDTF">2015-09-04T12:15:00Z</dcterms:modified>
</cp:coreProperties>
</file>