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pPr>
        <w:spacing w:line="240" w:lineRule="exact"/>
        <w:jc w:val="left"/>
        <w:rPr>
          <w:sz w:val="56"/>
        </w:rPr>
      </w:pPr>
      <w:r>
        <w:rPr>
          <w:rFonts w:hint="eastAsia"/>
          <w:b/>
          <w:spacing w:val="-100"/>
          <w:sz w:val="56"/>
        </w:rPr>
        <w:t>﹏﹏﹏﹏﹏﹏﹏﹏﹏﹏﹏﹏﹏﹏﹏﹏﹏﹏﹏﹏﹏﹏﹏</w:t>
      </w:r>
    </w:p>
    <w:p w:rsidR="00004B55" w:rsidRDefault="00004B55">
      <w:pPr>
        <w:spacing w:line="1000" w:lineRule="exact"/>
        <w:rPr>
          <w:rFonts w:hint="eastAsia"/>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70</w:t>
      </w:r>
      <w:r w:rsidR="009C59A6">
        <w:rPr>
          <w:rFonts w:hint="eastAsia"/>
          <w:b/>
          <w:bCs/>
          <w:caps/>
          <w:spacing w:val="24"/>
          <w:position w:val="26"/>
          <w:sz w:val="36"/>
        </w:rPr>
        <w:t>2</w:t>
      </w:r>
      <w:r w:rsidR="00A50734">
        <w:rPr>
          <w:rFonts w:hint="eastAsia"/>
          <w:b/>
          <w:bCs/>
          <w:caps/>
          <w:spacing w:val="24"/>
          <w:position w:val="26"/>
          <w:sz w:val="36"/>
        </w:rPr>
        <w:t>9</w:t>
      </w:r>
      <w:r>
        <w:rPr>
          <w:rFonts w:hint="eastAsia"/>
          <w:b/>
          <w:bCs/>
          <w:caps/>
          <w:position w:val="26"/>
          <w:sz w:val="36"/>
        </w:rPr>
        <w:t>號</w:t>
      </w:r>
    </w:p>
    <w:p w:rsidR="00004B55" w:rsidRDefault="00004B55">
      <w:pPr>
        <w:jc w:val="right"/>
        <w:rPr>
          <w:rFonts w:hint="eastAsia"/>
        </w:rPr>
      </w:pPr>
      <w:smartTag w:uri="urn:schemas-microsoft-com:office:smarttags" w:element="chsdate">
        <w:smartTagPr>
          <w:attr w:name="Year" w:val="2012"/>
          <w:attr w:name="Month" w:val="4"/>
          <w:attr w:name="Day" w:val="25"/>
          <w:attr w:name="IsLunarDate" w:val="False"/>
          <w:attr w:name="IsROCDate" w:val="True"/>
        </w:smartTagPr>
        <w:r>
          <w:rPr>
            <w:rFonts w:hint="eastAsia"/>
          </w:rPr>
          <w:t>中華民國</w:t>
        </w:r>
        <w:r w:rsidR="002F29FC">
          <w:rPr>
            <w:rFonts w:hint="eastAsia"/>
          </w:rPr>
          <w:t>10</w:t>
        </w:r>
        <w:r w:rsidR="007A7AC1">
          <w:rPr>
            <w:rFonts w:hint="eastAsia"/>
          </w:rPr>
          <w:t>1</w:t>
        </w:r>
        <w:r>
          <w:rPr>
            <w:rFonts w:hint="eastAsia"/>
          </w:rPr>
          <w:t>年</w:t>
        </w:r>
        <w:r w:rsidR="009C59A6">
          <w:rPr>
            <w:rFonts w:hint="eastAsia"/>
          </w:rPr>
          <w:t>4</w:t>
        </w:r>
        <w:r>
          <w:rPr>
            <w:rFonts w:hint="eastAsia"/>
          </w:rPr>
          <w:t>月</w:t>
        </w:r>
        <w:r w:rsidR="00A50734">
          <w:rPr>
            <w:rFonts w:hint="eastAsia"/>
          </w:rPr>
          <w:t>25</w:t>
        </w:r>
        <w:r>
          <w:rPr>
            <w:rFonts w:hint="eastAsia"/>
          </w:rPr>
          <w:t>日</w:t>
        </w:r>
      </w:smartTag>
      <w:r>
        <w:rPr>
          <w:rFonts w:hint="eastAsia"/>
        </w:rPr>
        <w:t>（星期三）</w:t>
      </w:r>
    </w:p>
    <w:p w:rsidR="00004B55" w:rsidRDefault="00004B55">
      <w:pPr>
        <w:spacing w:line="240" w:lineRule="exact"/>
        <w:jc w:val="left"/>
        <w:rPr>
          <w:sz w:val="56"/>
        </w:rPr>
      </w:pPr>
      <w:r>
        <w:rPr>
          <w:rFonts w:hint="eastAsia"/>
          <w:b/>
          <w:spacing w:val="-100"/>
          <w:sz w:val="56"/>
        </w:rPr>
        <w:t>﹏﹏﹏﹏﹏﹏﹏﹏﹏﹏﹏﹏﹏﹏﹏﹏﹏﹏﹏﹏﹏﹏﹏</w:t>
      </w:r>
    </w:p>
    <w:p w:rsidR="00004B55" w:rsidRDefault="00004B55" w:rsidP="00F94B37">
      <w:pPr>
        <w:tabs>
          <w:tab w:val="left" w:pos="142"/>
          <w:tab w:val="left" w:pos="3600"/>
          <w:tab w:val="left" w:pos="3960"/>
        </w:tabs>
        <w:spacing w:beforeLines="200" w:before="480" w:afterLines="100" w:after="24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004B55" w:rsidP="00F94B37">
      <w:pPr>
        <w:spacing w:beforeLines="50" w:before="120" w:afterLines="50" w:after="120" w:line="240" w:lineRule="auto"/>
        <w:ind w:leftChars="100" w:left="280"/>
        <w:jc w:val="distribute"/>
        <w:rPr>
          <w:rFonts w:hint="eastAsia"/>
          <w:sz w:val="32"/>
        </w:rPr>
      </w:pPr>
      <w:r>
        <w:rPr>
          <w:rFonts w:hint="eastAsia"/>
          <w:sz w:val="32"/>
        </w:rPr>
        <w:t>任免官員………</w:t>
      </w:r>
      <w:r w:rsidR="00CE7C44">
        <w:rPr>
          <w:rFonts w:hint="eastAsia"/>
          <w:sz w:val="32"/>
        </w:rPr>
        <w:t>………</w:t>
      </w:r>
      <w:r>
        <w:rPr>
          <w:rFonts w:hint="eastAsia"/>
          <w:sz w:val="32"/>
        </w:rPr>
        <w:t>……………</w:t>
      </w:r>
      <w:r>
        <w:rPr>
          <w:rFonts w:hint="eastAsia"/>
          <w:bCs/>
          <w:sz w:val="32"/>
        </w:rPr>
        <w:t>…</w:t>
      </w:r>
      <w:r w:rsidR="00D931C8">
        <w:rPr>
          <w:rFonts w:hint="eastAsia"/>
          <w:sz w:val="32"/>
        </w:rPr>
        <w:t>…</w:t>
      </w:r>
      <w:r>
        <w:rPr>
          <w:rFonts w:hint="eastAsia"/>
          <w:bCs/>
          <w:sz w:val="32"/>
        </w:rPr>
        <w:t>………</w:t>
      </w:r>
      <w:r>
        <w:rPr>
          <w:rFonts w:hint="eastAsia"/>
          <w:sz w:val="32"/>
        </w:rPr>
        <w:t>……………</w:t>
      </w:r>
      <w:r w:rsidR="001E4121">
        <w:rPr>
          <w:rFonts w:hint="eastAsia"/>
          <w:sz w:val="32"/>
        </w:rPr>
        <w:t>2</w:t>
      </w:r>
    </w:p>
    <w:p w:rsidR="00004B55" w:rsidRDefault="00655E45">
      <w:pPr>
        <w:spacing w:beforeLines="50" w:before="120" w:afterLines="50" w:after="120" w:line="240" w:lineRule="auto"/>
        <w:rPr>
          <w:rFonts w:hint="eastAsia"/>
          <w:b/>
          <w:bCs/>
          <w:sz w:val="36"/>
        </w:rPr>
      </w:pPr>
      <w:r>
        <w:rPr>
          <w:rFonts w:hint="eastAsia"/>
          <w:b/>
          <w:bCs/>
          <w:sz w:val="36"/>
        </w:rPr>
        <w:t>貳</w:t>
      </w:r>
      <w:r w:rsidR="00004B55">
        <w:rPr>
          <w:rFonts w:hint="eastAsia"/>
          <w:b/>
          <w:bCs/>
          <w:sz w:val="36"/>
        </w:rPr>
        <w:t>、總統及副總統活動紀要</w:t>
      </w:r>
    </w:p>
    <w:p w:rsidR="00004B55" w:rsidRDefault="00004B55" w:rsidP="00483519">
      <w:pPr>
        <w:spacing w:beforeLines="50" w:before="120" w:afterLines="50" w:after="120" w:line="240" w:lineRule="auto"/>
        <w:ind w:leftChars="100" w:left="280"/>
        <w:jc w:val="distribute"/>
        <w:rPr>
          <w:bCs/>
          <w:sz w:val="32"/>
        </w:rPr>
      </w:pPr>
      <w:r>
        <w:rPr>
          <w:rFonts w:hint="eastAsia"/>
          <w:bCs/>
          <w:caps/>
          <w:sz w:val="32"/>
        </w:rPr>
        <w:t>一、總統</w:t>
      </w:r>
      <w:r>
        <w:rPr>
          <w:rFonts w:hint="eastAsia"/>
          <w:sz w:val="32"/>
        </w:rPr>
        <w:t>活動</w:t>
      </w:r>
      <w:r>
        <w:rPr>
          <w:rFonts w:hint="eastAsia"/>
          <w:bCs/>
          <w:caps/>
          <w:sz w:val="32"/>
        </w:rPr>
        <w:t>紀要</w:t>
      </w:r>
      <w:r>
        <w:rPr>
          <w:rFonts w:hint="eastAsia"/>
          <w:bCs/>
          <w:sz w:val="32"/>
        </w:rPr>
        <w:t>…………</w:t>
      </w:r>
      <w:r w:rsidR="00F94B37">
        <w:rPr>
          <w:rFonts w:hint="eastAsia"/>
          <w:bCs/>
          <w:sz w:val="32"/>
        </w:rPr>
        <w:t>…</w:t>
      </w:r>
      <w:r>
        <w:rPr>
          <w:rFonts w:hint="eastAsia"/>
          <w:bCs/>
          <w:sz w:val="32"/>
        </w:rPr>
        <w:t>……………………………</w:t>
      </w:r>
      <w:r>
        <w:rPr>
          <w:rFonts w:hint="eastAsia"/>
          <w:sz w:val="32"/>
        </w:rPr>
        <w:t>…</w:t>
      </w:r>
      <w:r w:rsidR="001E4121">
        <w:rPr>
          <w:rFonts w:hint="eastAsia"/>
          <w:bCs/>
          <w:sz w:val="32"/>
        </w:rPr>
        <w:t>5</w:t>
      </w:r>
    </w:p>
    <w:p w:rsidR="00004B55" w:rsidRDefault="00004B55">
      <w:pPr>
        <w:spacing w:afterLines="50" w:after="120" w:line="240" w:lineRule="auto"/>
        <w:ind w:leftChars="100" w:left="280"/>
        <w:jc w:val="distribute"/>
        <w:rPr>
          <w:rFonts w:hint="eastAsia"/>
          <w:bCs/>
          <w:sz w:val="32"/>
        </w:rPr>
      </w:pPr>
      <w:r>
        <w:rPr>
          <w:rFonts w:hint="eastAsia"/>
          <w:bCs/>
          <w:caps/>
          <w:sz w:val="32"/>
        </w:rPr>
        <w:t>二、</w:t>
      </w:r>
      <w:r>
        <w:rPr>
          <w:rFonts w:hint="eastAsia"/>
          <w:sz w:val="32"/>
        </w:rPr>
        <w:t>副總統</w:t>
      </w:r>
      <w:r>
        <w:rPr>
          <w:rFonts w:hint="eastAsia"/>
          <w:bCs/>
          <w:caps/>
          <w:sz w:val="32"/>
        </w:rPr>
        <w:t>活動紀要</w:t>
      </w:r>
      <w:r>
        <w:rPr>
          <w:rFonts w:hint="eastAsia"/>
          <w:bCs/>
          <w:sz w:val="32"/>
        </w:rPr>
        <w:t>……</w:t>
      </w:r>
      <w:r w:rsidR="00F94B37">
        <w:rPr>
          <w:rFonts w:hint="eastAsia"/>
          <w:bCs/>
          <w:sz w:val="32"/>
        </w:rPr>
        <w:t>…</w:t>
      </w:r>
      <w:r>
        <w:rPr>
          <w:rFonts w:hint="eastAsia"/>
          <w:bCs/>
          <w:sz w:val="32"/>
        </w:rPr>
        <w:t>……………………</w:t>
      </w:r>
      <w:r>
        <w:rPr>
          <w:rFonts w:hint="eastAsia"/>
          <w:sz w:val="32"/>
        </w:rPr>
        <w:t>…</w:t>
      </w:r>
      <w:r>
        <w:rPr>
          <w:rFonts w:hint="eastAsia"/>
          <w:bCs/>
          <w:sz w:val="32"/>
        </w:rPr>
        <w:t>…………</w:t>
      </w:r>
      <w:r w:rsidR="001E4121">
        <w:rPr>
          <w:rFonts w:hint="eastAsia"/>
          <w:bCs/>
          <w:sz w:val="32"/>
        </w:rPr>
        <w:t>6</w:t>
      </w:r>
    </w:p>
    <w:p w:rsidR="00CE7C44" w:rsidRDefault="00F94B37" w:rsidP="00CE7C44">
      <w:pPr>
        <w:spacing w:beforeLines="50" w:before="120" w:afterLines="50" w:after="120" w:line="240" w:lineRule="auto"/>
        <w:rPr>
          <w:rFonts w:hint="eastAsia"/>
          <w:b/>
          <w:bCs/>
          <w:sz w:val="36"/>
        </w:rPr>
      </w:pPr>
      <w:r>
        <w:rPr>
          <w:rFonts w:hint="eastAsia"/>
          <w:b/>
          <w:bCs/>
          <w:sz w:val="36"/>
        </w:rPr>
        <w:t>參</w:t>
      </w:r>
      <w:r w:rsidR="00CE7C44">
        <w:rPr>
          <w:rFonts w:hint="eastAsia"/>
          <w:b/>
          <w:bCs/>
          <w:sz w:val="36"/>
        </w:rPr>
        <w:t>、</w:t>
      </w:r>
      <w:r>
        <w:rPr>
          <w:rFonts w:hint="eastAsia"/>
          <w:b/>
          <w:bCs/>
          <w:sz w:val="36"/>
        </w:rPr>
        <w:t>中央研究院公告</w:t>
      </w:r>
    </w:p>
    <w:p w:rsidR="00CE7C44" w:rsidRDefault="00F94B37" w:rsidP="00CE7C44">
      <w:pPr>
        <w:spacing w:beforeLines="50" w:before="120" w:afterLines="50" w:after="120" w:line="240" w:lineRule="auto"/>
        <w:ind w:leftChars="100" w:left="280"/>
        <w:jc w:val="distribute"/>
        <w:rPr>
          <w:bCs/>
          <w:sz w:val="32"/>
        </w:rPr>
      </w:pPr>
      <w:r w:rsidRPr="00F94B37">
        <w:rPr>
          <w:rFonts w:hint="eastAsia"/>
          <w:bCs/>
          <w:caps/>
          <w:sz w:val="32"/>
          <w:szCs w:val="32"/>
        </w:rPr>
        <w:t>公告</w:t>
      </w:r>
      <w:r w:rsidRPr="00F94B37">
        <w:rPr>
          <w:sz w:val="32"/>
          <w:szCs w:val="32"/>
        </w:rPr>
        <w:t>中央研究院第</w:t>
      </w:r>
      <w:r w:rsidRPr="00F94B37">
        <w:rPr>
          <w:sz w:val="32"/>
          <w:szCs w:val="32"/>
        </w:rPr>
        <w:t>2</w:t>
      </w:r>
      <w:r w:rsidRPr="00F94B37">
        <w:rPr>
          <w:rFonts w:hint="eastAsia"/>
          <w:sz w:val="32"/>
          <w:szCs w:val="32"/>
        </w:rPr>
        <w:t>9</w:t>
      </w:r>
      <w:r w:rsidRPr="00F94B37">
        <w:rPr>
          <w:sz w:val="32"/>
          <w:szCs w:val="32"/>
        </w:rPr>
        <w:t>屆院士候選人名單</w:t>
      </w:r>
      <w:r w:rsidR="00CE7C44">
        <w:rPr>
          <w:rFonts w:hint="eastAsia"/>
          <w:bCs/>
          <w:sz w:val="32"/>
        </w:rPr>
        <w:t>…</w:t>
      </w:r>
      <w:r>
        <w:rPr>
          <w:rFonts w:hint="eastAsia"/>
          <w:bCs/>
          <w:sz w:val="32"/>
        </w:rPr>
        <w:t>…</w:t>
      </w:r>
      <w:r w:rsidR="00CE7C44">
        <w:rPr>
          <w:rFonts w:hint="eastAsia"/>
          <w:bCs/>
          <w:sz w:val="32"/>
        </w:rPr>
        <w:t>…………</w:t>
      </w:r>
      <w:r w:rsidR="00CE7C44">
        <w:rPr>
          <w:rFonts w:hint="eastAsia"/>
          <w:sz w:val="32"/>
        </w:rPr>
        <w:t>…</w:t>
      </w:r>
      <w:r w:rsidR="001E4121">
        <w:rPr>
          <w:rFonts w:hint="eastAsia"/>
          <w:bCs/>
          <w:sz w:val="32"/>
        </w:rPr>
        <w:t>7</w:t>
      </w:r>
    </w:p>
    <w:p w:rsidR="00004B55" w:rsidRDefault="00F94B37">
      <w:pPr>
        <w:spacing w:beforeLines="50" w:before="120" w:afterLines="50" w:after="120" w:line="240" w:lineRule="auto"/>
        <w:rPr>
          <w:b/>
          <w:bCs/>
          <w:sz w:val="36"/>
        </w:rPr>
      </w:pPr>
      <w:r>
        <w:rPr>
          <w:rFonts w:hint="eastAsia"/>
          <w:b/>
          <w:bCs/>
          <w:sz w:val="36"/>
        </w:rPr>
        <w:t>肆</w:t>
      </w:r>
      <w:r w:rsidR="00004B55">
        <w:rPr>
          <w:rFonts w:hint="eastAsia"/>
          <w:b/>
          <w:bCs/>
          <w:sz w:val="36"/>
        </w:rPr>
        <w:t>、司法院令</w:t>
      </w:r>
    </w:p>
    <w:p w:rsidR="007A7AC1" w:rsidRDefault="007A7AC1" w:rsidP="007A7AC1">
      <w:pPr>
        <w:spacing w:line="240" w:lineRule="auto"/>
        <w:ind w:leftChars="100" w:left="280"/>
        <w:jc w:val="left"/>
        <w:rPr>
          <w:rFonts w:hint="eastAsia"/>
          <w:sz w:val="32"/>
        </w:rPr>
      </w:pPr>
      <w:r>
        <w:rPr>
          <w:rFonts w:hint="eastAsia"/>
          <w:sz w:val="32"/>
        </w:rPr>
        <w:t>轉載</w:t>
      </w:r>
    </w:p>
    <w:p w:rsidR="00004B55" w:rsidRDefault="007A7AC1">
      <w:pPr>
        <w:spacing w:line="240" w:lineRule="auto"/>
        <w:ind w:leftChars="100" w:left="280"/>
        <w:jc w:val="distribute"/>
        <w:rPr>
          <w:rFonts w:hint="eastAsia"/>
          <w:sz w:val="32"/>
        </w:rPr>
      </w:pPr>
      <w:r>
        <w:rPr>
          <w:rFonts w:hint="eastAsia"/>
          <w:sz w:val="32"/>
        </w:rPr>
        <w:t>司法院</w:t>
      </w:r>
      <w:r w:rsidR="00004B55">
        <w:rPr>
          <w:rFonts w:hint="eastAsia"/>
          <w:sz w:val="32"/>
        </w:rPr>
        <w:t>大法官議決釋字第</w:t>
      </w:r>
      <w:r>
        <w:rPr>
          <w:rFonts w:hint="eastAsia"/>
          <w:sz w:val="32"/>
        </w:rPr>
        <w:t>69</w:t>
      </w:r>
      <w:r w:rsidR="00731D3E">
        <w:rPr>
          <w:rFonts w:hint="eastAsia"/>
          <w:sz w:val="32"/>
        </w:rPr>
        <w:t>3</w:t>
      </w:r>
      <w:r w:rsidR="00004B55">
        <w:rPr>
          <w:rFonts w:hint="eastAsia"/>
          <w:sz w:val="32"/>
        </w:rPr>
        <w:t>號解釋……</w:t>
      </w:r>
      <w:r w:rsidR="00004B55">
        <w:rPr>
          <w:rFonts w:hint="eastAsia"/>
          <w:bCs/>
          <w:sz w:val="32"/>
        </w:rPr>
        <w:t>…</w:t>
      </w:r>
      <w:r w:rsidR="00004B55">
        <w:rPr>
          <w:rFonts w:hint="eastAsia"/>
          <w:sz w:val="32"/>
        </w:rPr>
        <w:t>……………</w:t>
      </w:r>
      <w:r w:rsidR="00004B55">
        <w:rPr>
          <w:rFonts w:hint="eastAsia"/>
          <w:sz w:val="32"/>
        </w:rPr>
        <w:t>2</w:t>
      </w:r>
      <w:r w:rsidR="001E4121">
        <w:rPr>
          <w:rFonts w:hint="eastAsia"/>
          <w:sz w:val="32"/>
        </w:rPr>
        <w:t>3</w:t>
      </w:r>
    </w:p>
    <w:p w:rsidR="00F94B37" w:rsidRDefault="00F94B37">
      <w:pPr>
        <w:spacing w:beforeLines="150" w:before="360" w:line="240" w:lineRule="exact"/>
        <w:jc w:val="center"/>
        <w:rPr>
          <w:rFonts w:hint="eastAsia"/>
          <w:b/>
          <w:spacing w:val="-100"/>
          <w:sz w:val="56"/>
        </w:rPr>
      </w:pPr>
    </w:p>
    <w:p w:rsidR="00F94B37" w:rsidRDefault="00F94B37">
      <w:pPr>
        <w:spacing w:beforeLines="150" w:before="360" w:line="240" w:lineRule="exact"/>
        <w:jc w:val="center"/>
        <w:rPr>
          <w:rFonts w:hint="eastAsia"/>
          <w:b/>
          <w:spacing w:val="-100"/>
          <w:sz w:val="56"/>
        </w:rPr>
      </w:pPr>
    </w:p>
    <w:p w:rsidR="00F94B37" w:rsidRDefault="00F94B37">
      <w:pPr>
        <w:spacing w:beforeLines="150" w:before="360" w:line="240" w:lineRule="exact"/>
        <w:jc w:val="center"/>
        <w:rPr>
          <w:rFonts w:hint="eastAsia"/>
          <w:b/>
          <w:spacing w:val="-100"/>
          <w:sz w:val="56"/>
        </w:rPr>
      </w:pPr>
    </w:p>
    <w:p w:rsidR="00666E4C" w:rsidRDefault="00666E4C">
      <w:pPr>
        <w:spacing w:beforeLines="150" w:before="360" w:line="240" w:lineRule="exact"/>
        <w:jc w:val="center"/>
        <w:rPr>
          <w:b/>
          <w:spacing w:val="-100"/>
          <w:sz w:val="56"/>
        </w:rPr>
      </w:pPr>
    </w:p>
    <w:p w:rsidR="00004B55" w:rsidRDefault="00004B55">
      <w:pPr>
        <w:spacing w:beforeLines="150" w:before="360" w:line="240" w:lineRule="exact"/>
        <w:jc w:val="center"/>
        <w:rPr>
          <w:sz w:val="56"/>
        </w:rPr>
      </w:pPr>
      <w:bookmarkStart w:id="0" w:name="_GoBack"/>
      <w:bookmarkEnd w:id="0"/>
      <w:r>
        <w:rPr>
          <w:rFonts w:hint="eastAsia"/>
          <w:b/>
          <w:spacing w:val="-100"/>
          <w:sz w:val="56"/>
        </w:rPr>
        <w:lastRenderedPageBreak/>
        <w:t>﹏﹏﹏﹏﹏﹏﹏﹏﹏﹏﹏﹏</w:t>
      </w:r>
    </w:p>
    <w:p w:rsidR="00004B55" w:rsidRDefault="00004B55">
      <w:pPr>
        <w:spacing w:beforeLines="50" w:before="120" w:afterLines="50" w:after="120" w:line="560" w:lineRule="exact"/>
        <w:ind w:leftChars="50" w:left="140"/>
        <w:jc w:val="center"/>
        <w:rPr>
          <w:b/>
          <w:sz w:val="48"/>
        </w:rPr>
      </w:pPr>
      <w:r>
        <w:rPr>
          <w:rFonts w:hint="eastAsia"/>
          <w:b/>
          <w:sz w:val="48"/>
        </w:rPr>
        <w:t>總　　統　　令</w:t>
      </w:r>
    </w:p>
    <w:p w:rsidR="00004B55" w:rsidRDefault="00004B55">
      <w:pPr>
        <w:spacing w:afterLines="150" w:after="360" w:line="240" w:lineRule="exact"/>
        <w:jc w:val="center"/>
        <w:rPr>
          <w:rFonts w:hint="eastAsia"/>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B395F" w:rsidTr="00FE749E">
        <w:tblPrEx>
          <w:tblCellMar>
            <w:top w:w="0" w:type="dxa"/>
            <w:bottom w:w="0" w:type="dxa"/>
          </w:tblCellMar>
        </w:tblPrEx>
        <w:trPr>
          <w:trHeight w:hRule="exact" w:val="851"/>
        </w:trPr>
        <w:tc>
          <w:tcPr>
            <w:tcW w:w="1988" w:type="dxa"/>
            <w:vAlign w:val="center"/>
          </w:tcPr>
          <w:p w:rsidR="003B395F" w:rsidRDefault="003B395F" w:rsidP="00FE749E">
            <w:pPr>
              <w:pStyle w:val="afa"/>
            </w:pPr>
            <w:r>
              <w:br w:type="page"/>
            </w:r>
            <w:r>
              <w:br w:type="page"/>
            </w:r>
            <w:r>
              <w:rPr>
                <w:rFonts w:hint="eastAsia"/>
              </w:rPr>
              <w:t>總統令</w:t>
            </w:r>
          </w:p>
        </w:tc>
        <w:tc>
          <w:tcPr>
            <w:tcW w:w="4759" w:type="dxa"/>
            <w:vAlign w:val="center"/>
          </w:tcPr>
          <w:p w:rsidR="003B395F" w:rsidRDefault="003B395F" w:rsidP="00FE749E">
            <w:pPr>
              <w:spacing w:line="240" w:lineRule="auto"/>
              <w:jc w:val="distribute"/>
            </w:pPr>
            <w:smartTag w:uri="urn:schemas-microsoft-com:office:smarttags" w:element="chsdate">
              <w:smartTagPr>
                <w:attr w:name="IsROCDate" w:val="True"/>
                <w:attr w:name="IsLunarDate" w:val="False"/>
                <w:attr w:name="Day" w:val="17"/>
                <w:attr w:name="Month" w:val="4"/>
                <w:attr w:name="Year" w:val="2012"/>
              </w:smartTagPr>
              <w:r>
                <w:rPr>
                  <w:rFonts w:hint="eastAsia"/>
                </w:rPr>
                <w:t>中華民國</w:t>
              </w:r>
              <w:r>
                <w:rPr>
                  <w:rFonts w:hint="eastAsia"/>
                </w:rPr>
                <w:t>101</w:t>
              </w:r>
              <w:r>
                <w:rPr>
                  <w:rFonts w:hint="eastAsia"/>
                </w:rPr>
                <w:t>年</w:t>
              </w:r>
              <w:r w:rsidR="006B0086">
                <w:rPr>
                  <w:rFonts w:hint="eastAsia"/>
                </w:rPr>
                <w:t>4</w:t>
              </w:r>
              <w:r>
                <w:rPr>
                  <w:rFonts w:hint="eastAsia"/>
                </w:rPr>
                <w:t>月</w:t>
              </w:r>
              <w:r w:rsidR="002C6B3C">
                <w:rPr>
                  <w:rFonts w:hint="eastAsia"/>
                </w:rPr>
                <w:t>17</w:t>
              </w:r>
              <w:r>
                <w:rPr>
                  <w:rFonts w:hint="eastAsia"/>
                </w:rPr>
                <w:t>日</w:t>
              </w:r>
            </w:smartTag>
          </w:p>
        </w:tc>
      </w:tr>
    </w:tbl>
    <w:p w:rsidR="002C6B3C" w:rsidRDefault="002C6B3C" w:rsidP="00BE5872">
      <w:pPr>
        <w:spacing w:line="444" w:lineRule="exact"/>
        <w:rPr>
          <w:rFonts w:hint="eastAsia"/>
        </w:rPr>
      </w:pPr>
      <w:r>
        <w:rPr>
          <w:rFonts w:hint="eastAsia"/>
        </w:rPr>
        <w:t xml:space="preserve">　　任命石增剛為行政院簡任第十二職等主任。</w:t>
      </w:r>
    </w:p>
    <w:p w:rsidR="002C6B3C" w:rsidRDefault="002C6B3C" w:rsidP="00BE5872">
      <w:pPr>
        <w:spacing w:line="444" w:lineRule="exact"/>
        <w:rPr>
          <w:rFonts w:hint="eastAsia"/>
        </w:rPr>
      </w:pPr>
      <w:r>
        <w:rPr>
          <w:rFonts w:hint="eastAsia"/>
        </w:rPr>
        <w:t xml:space="preserve">　　任命陳明哲、毛燕明、李少珍、呂穎悟、蔡淑鈴、鄧世輝、沈茂庭、方志琳、陳寶國為行政院衛生署中央健康保險局簡任第十一職等組長，李丞華為行政院衛生署中央健康保險局簡任第十二職等副局長，吳文偉為行政院衛生署中央健康保險局簡任第十一職等參議，蔡魯為行政院衛生署中央健康保險局簡任第十一職等主任秘書。</w:t>
      </w:r>
    </w:p>
    <w:p w:rsidR="002C6B3C" w:rsidRDefault="002C6B3C" w:rsidP="00BE5872">
      <w:pPr>
        <w:spacing w:line="444" w:lineRule="exact"/>
        <w:rPr>
          <w:rFonts w:hint="eastAsia"/>
        </w:rPr>
      </w:pPr>
      <w:r>
        <w:rPr>
          <w:rFonts w:hint="eastAsia"/>
        </w:rPr>
        <w:t xml:space="preserve">　　任命李少民為行政院國軍退除役官兵輔導委員會花蓮榮民自費安養中心簡任第十職等副主任。</w:t>
      </w:r>
    </w:p>
    <w:p w:rsidR="002C6B3C" w:rsidRDefault="002C6B3C" w:rsidP="00BE5872">
      <w:pPr>
        <w:spacing w:line="444" w:lineRule="exact"/>
        <w:rPr>
          <w:rFonts w:hint="eastAsia"/>
        </w:rPr>
      </w:pPr>
      <w:r>
        <w:rPr>
          <w:rFonts w:hint="eastAsia"/>
        </w:rPr>
        <w:t xml:space="preserve">　　任命陳琦玲為行政院農業委員會農業試驗所簡任第十職等研究員，郭慶老為行政院農業委員會水產試驗所簡任第十二職等所長。</w:t>
      </w:r>
    </w:p>
    <w:p w:rsidR="002C6B3C" w:rsidRDefault="002C6B3C" w:rsidP="00BE5872">
      <w:pPr>
        <w:spacing w:line="444" w:lineRule="exact"/>
        <w:rPr>
          <w:rFonts w:hint="eastAsia"/>
        </w:rPr>
      </w:pPr>
      <w:r>
        <w:rPr>
          <w:rFonts w:hint="eastAsia"/>
        </w:rPr>
        <w:t xml:space="preserve">　　任命章正文為行政院原住民族委員會簡任第十職等技正。</w:t>
      </w:r>
    </w:p>
    <w:p w:rsidR="002C6B3C" w:rsidRDefault="002C6B3C" w:rsidP="00BE5872">
      <w:pPr>
        <w:spacing w:line="444" w:lineRule="exact"/>
        <w:rPr>
          <w:rFonts w:ascii="標楷體" w:hAnsi="標楷體" w:cs="標楷體" w:hint="eastAsia"/>
        </w:rPr>
      </w:pPr>
      <w:r>
        <w:rPr>
          <w:rFonts w:hint="eastAsia"/>
        </w:rPr>
        <w:t xml:space="preserve">　　任命</w:t>
      </w:r>
      <w:r w:rsidRPr="002C6B3C">
        <w:rPr>
          <w:rFonts w:ascii="標楷體" w:hAnsi="標楷體"/>
        </w:rPr>
        <w:t>玉枝</w:t>
      </w:r>
      <w:r>
        <w:rPr>
          <w:rFonts w:ascii="標楷體" w:hAnsi="標楷體" w:cs="標楷體" w:hint="eastAsia"/>
        </w:rPr>
        <w:t>為立法院預算中心簡任第十職等副研究員。</w:t>
      </w:r>
    </w:p>
    <w:p w:rsidR="002C6B3C" w:rsidRDefault="002C6B3C" w:rsidP="00BE5872">
      <w:pPr>
        <w:spacing w:line="444" w:lineRule="exact"/>
        <w:rPr>
          <w:rFonts w:ascii="標楷體" w:hAnsi="標楷體" w:cs="標楷體"/>
        </w:rPr>
      </w:pPr>
      <w:r>
        <w:rPr>
          <w:rFonts w:ascii="標楷體" w:hAnsi="標楷體" w:cs="標楷體" w:hint="eastAsia"/>
        </w:rPr>
        <w:t xml:space="preserve">　　任命朱竹青為司法院統計處簡任第十一職等副統計長，詹惟堯為司法院簡任第十職等專門委員。</w:t>
      </w:r>
    </w:p>
    <w:p w:rsidR="002C6B3C" w:rsidRDefault="002C6B3C" w:rsidP="00BE5872">
      <w:pPr>
        <w:spacing w:line="444" w:lineRule="exact"/>
        <w:rPr>
          <w:rFonts w:ascii="標楷體" w:hAnsi="標楷體" w:cs="標楷體" w:hint="eastAsia"/>
        </w:rPr>
      </w:pPr>
      <w:r>
        <w:rPr>
          <w:rFonts w:ascii="標楷體" w:hAnsi="標楷體" w:cs="標楷體" w:hint="eastAsia"/>
        </w:rPr>
        <w:t xml:space="preserve">　　任命陳紹元為銓敘部簡任第十一職等副司長。</w:t>
      </w:r>
    </w:p>
    <w:p w:rsidR="002C6B3C" w:rsidRDefault="002C6B3C" w:rsidP="00BE5872">
      <w:pPr>
        <w:spacing w:line="444" w:lineRule="exact"/>
        <w:rPr>
          <w:rFonts w:ascii="標楷體" w:hAnsi="標楷體" w:cs="標楷體" w:hint="eastAsia"/>
        </w:rPr>
      </w:pPr>
      <w:r>
        <w:rPr>
          <w:rFonts w:ascii="標楷體" w:hAnsi="標楷體" w:cs="標楷體" w:hint="eastAsia"/>
        </w:rPr>
        <w:t xml:space="preserve">　　任命林素純為公務人員保障暨培訓委員會會計室簡任第十一職等會計主任。</w:t>
      </w:r>
    </w:p>
    <w:p w:rsidR="002C6B3C" w:rsidRDefault="002C6B3C" w:rsidP="00BE5872">
      <w:pPr>
        <w:spacing w:line="444" w:lineRule="exact"/>
        <w:rPr>
          <w:rFonts w:ascii="標楷體" w:hAnsi="標楷體" w:cs="標楷體" w:hint="eastAsia"/>
        </w:rPr>
      </w:pPr>
      <w:r>
        <w:rPr>
          <w:rFonts w:ascii="標楷體" w:hAnsi="標楷體" w:cs="標楷體" w:hint="eastAsia"/>
        </w:rPr>
        <w:t xml:space="preserve">　　任命鄒憲民為審計部簡任第十職等秘書，曾石明為審計部交通建設審計處簡任第十二職等審計官兼處長。</w:t>
      </w:r>
    </w:p>
    <w:p w:rsidR="002C6B3C" w:rsidRDefault="002C6B3C" w:rsidP="00BE5872">
      <w:pPr>
        <w:spacing w:line="444" w:lineRule="exact"/>
        <w:rPr>
          <w:rFonts w:hint="eastAsia"/>
        </w:rPr>
      </w:pPr>
      <w:r>
        <w:rPr>
          <w:rFonts w:hint="eastAsia"/>
        </w:rPr>
        <w:t xml:space="preserve">　　任命陳世欽為薦任公務人員。</w:t>
      </w:r>
    </w:p>
    <w:p w:rsidR="002C6B3C" w:rsidRDefault="002C6B3C" w:rsidP="00BE5872">
      <w:pPr>
        <w:spacing w:line="420" w:lineRule="exact"/>
        <w:rPr>
          <w:rFonts w:hint="eastAsia"/>
        </w:rPr>
      </w:pPr>
      <w:r>
        <w:rPr>
          <w:rFonts w:hint="eastAsia"/>
        </w:rPr>
        <w:lastRenderedPageBreak/>
        <w:t xml:space="preserve">　　任命楊雅蘭為薦任公務人員。</w:t>
      </w:r>
    </w:p>
    <w:p w:rsidR="002C6B3C" w:rsidRDefault="002C6B3C" w:rsidP="00BE5872">
      <w:pPr>
        <w:spacing w:line="420" w:lineRule="exact"/>
        <w:rPr>
          <w:rFonts w:hint="eastAsia"/>
        </w:rPr>
      </w:pPr>
      <w:r>
        <w:rPr>
          <w:rFonts w:hint="eastAsia"/>
        </w:rPr>
        <w:t xml:space="preserve">　　任命樊丕愉為薦任公務人員。</w:t>
      </w:r>
    </w:p>
    <w:p w:rsidR="00534AD6" w:rsidRDefault="00534AD6" w:rsidP="00BE5872">
      <w:pPr>
        <w:spacing w:line="420" w:lineRule="exact"/>
        <w:rPr>
          <w:rFonts w:hint="eastAsia"/>
        </w:rPr>
      </w:pPr>
      <w:r>
        <w:rPr>
          <w:rFonts w:hint="eastAsia"/>
        </w:rPr>
        <w:t xml:space="preserve">　　任命翁郁雯為薦任公務人員。</w:t>
      </w:r>
    </w:p>
    <w:p w:rsidR="00534AD6" w:rsidRDefault="00534AD6" w:rsidP="00BE5872">
      <w:pPr>
        <w:spacing w:line="420" w:lineRule="exact"/>
        <w:rPr>
          <w:rFonts w:hint="eastAsia"/>
        </w:rPr>
      </w:pPr>
      <w:r>
        <w:rPr>
          <w:rFonts w:hint="eastAsia"/>
        </w:rPr>
        <w:t xml:space="preserve">　　任命王倩怡為薦任公務人員。</w:t>
      </w:r>
    </w:p>
    <w:p w:rsidR="00534AD6" w:rsidRDefault="00534AD6" w:rsidP="00BE5872">
      <w:pPr>
        <w:spacing w:line="420" w:lineRule="exact"/>
        <w:rPr>
          <w:rFonts w:ascii="標楷體" w:hAnsi="標楷體" w:cs="標楷體" w:hint="eastAsia"/>
        </w:rPr>
      </w:pPr>
      <w:r>
        <w:rPr>
          <w:rFonts w:ascii="標楷體" w:hAnsi="標楷體" w:cs="標楷體" w:hint="eastAsia"/>
        </w:rPr>
        <w:t xml:space="preserve">　　任命金和國、簡青根、戴尚榮為薦任公務人員。</w:t>
      </w:r>
    </w:p>
    <w:p w:rsidR="002C6B3C" w:rsidRDefault="002C6B3C" w:rsidP="00BE5872">
      <w:pPr>
        <w:spacing w:line="420" w:lineRule="exact"/>
        <w:rPr>
          <w:rFonts w:hint="eastAsia"/>
        </w:rPr>
      </w:pPr>
      <w:r>
        <w:rPr>
          <w:rFonts w:hint="eastAsia"/>
        </w:rPr>
        <w:t xml:space="preserve">　　任命張光甫、蔡承璋為薦任公務人員。</w:t>
      </w:r>
    </w:p>
    <w:p w:rsidR="002C6B3C" w:rsidRDefault="002C6B3C" w:rsidP="00BE5872">
      <w:pPr>
        <w:spacing w:line="420" w:lineRule="exact"/>
        <w:rPr>
          <w:rFonts w:hint="eastAsia"/>
        </w:rPr>
      </w:pPr>
      <w:r>
        <w:rPr>
          <w:rFonts w:hint="eastAsia"/>
        </w:rPr>
        <w:t xml:space="preserve">　　任命塗凱帝為薦任關務人員。</w:t>
      </w:r>
    </w:p>
    <w:p w:rsidR="003B395F" w:rsidRDefault="003B395F" w:rsidP="003B395F">
      <w:pPr>
        <w:spacing w:beforeLines="100" w:before="240"/>
        <w:rPr>
          <w:rFonts w:hint="eastAsia"/>
        </w:rPr>
      </w:pPr>
      <w:r>
        <w:rPr>
          <w:rFonts w:hint="eastAsia"/>
        </w:rPr>
        <w:t>總　　　統　馬英九</w:t>
      </w:r>
    </w:p>
    <w:p w:rsidR="00CE7C44" w:rsidRDefault="003B395F" w:rsidP="003B395F">
      <w:pPr>
        <w:spacing w:afterLines="100" w:after="240"/>
        <w:rPr>
          <w:rFonts w:ascii="標楷體" w:hAnsi="標楷體"/>
        </w:rPr>
      </w:pPr>
      <w:r>
        <w:rPr>
          <w:rFonts w:hint="eastAsia"/>
        </w:rPr>
        <w:t xml:space="preserve">行政院院長　</w:t>
      </w:r>
      <w:r w:rsidRPr="00183E5A">
        <w:rPr>
          <w:rFonts w:ascii="標楷體" w:hAnsi="標楷體"/>
        </w:rPr>
        <w:t>陳</w:t>
      </w:r>
      <w:r>
        <w:rPr>
          <w:rFonts w:hint="eastAsia"/>
        </w:rPr>
        <w:t xml:space="preserve">　</w:t>
      </w:r>
      <w:r w:rsidRPr="00183E5A">
        <w:rPr>
          <w:rFonts w:ascii="標楷體" w:hAnsi="標楷體"/>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1356" w:rsidTr="000334EC">
        <w:tblPrEx>
          <w:tblCellMar>
            <w:top w:w="0" w:type="dxa"/>
            <w:bottom w:w="0" w:type="dxa"/>
          </w:tblCellMar>
        </w:tblPrEx>
        <w:trPr>
          <w:trHeight w:hRule="exact" w:val="851"/>
        </w:trPr>
        <w:tc>
          <w:tcPr>
            <w:tcW w:w="1988" w:type="dxa"/>
            <w:vAlign w:val="center"/>
          </w:tcPr>
          <w:p w:rsidR="00171356" w:rsidRDefault="00171356" w:rsidP="000334EC">
            <w:pPr>
              <w:pStyle w:val="afa"/>
            </w:pPr>
            <w:r>
              <w:br w:type="page"/>
            </w:r>
            <w:r>
              <w:br w:type="page"/>
            </w:r>
            <w:r>
              <w:rPr>
                <w:rFonts w:hint="eastAsia"/>
              </w:rPr>
              <w:t>總統令</w:t>
            </w:r>
          </w:p>
        </w:tc>
        <w:tc>
          <w:tcPr>
            <w:tcW w:w="4759" w:type="dxa"/>
            <w:vAlign w:val="center"/>
          </w:tcPr>
          <w:p w:rsidR="00171356" w:rsidRDefault="00171356" w:rsidP="000334EC">
            <w:pPr>
              <w:spacing w:line="240" w:lineRule="auto"/>
              <w:jc w:val="distribute"/>
            </w:pPr>
            <w:smartTag w:uri="urn:schemas-microsoft-com:office:smarttags" w:element="chsdate">
              <w:smartTagPr>
                <w:attr w:name="IsROCDate" w:val="True"/>
                <w:attr w:name="IsLunarDate" w:val="False"/>
                <w:attr w:name="Day" w:val="18"/>
                <w:attr w:name="Month" w:val="4"/>
                <w:attr w:name="Year" w:val="2012"/>
              </w:smartTagPr>
              <w:r>
                <w:rPr>
                  <w:rFonts w:hint="eastAsia"/>
                </w:rPr>
                <w:t>中華民國</w:t>
              </w:r>
              <w:r>
                <w:rPr>
                  <w:rFonts w:hint="eastAsia"/>
                </w:rPr>
                <w:t>101</w:t>
              </w:r>
              <w:r>
                <w:rPr>
                  <w:rFonts w:hint="eastAsia"/>
                </w:rPr>
                <w:t>年</w:t>
              </w:r>
              <w:r>
                <w:rPr>
                  <w:rFonts w:hint="eastAsia"/>
                </w:rPr>
                <w:t>4</w:t>
              </w:r>
              <w:r>
                <w:rPr>
                  <w:rFonts w:hint="eastAsia"/>
                </w:rPr>
                <w:t>月</w:t>
              </w:r>
              <w:r>
                <w:rPr>
                  <w:rFonts w:hint="eastAsia"/>
                </w:rPr>
                <w:t>18</w:t>
              </w:r>
              <w:r>
                <w:rPr>
                  <w:rFonts w:hint="eastAsia"/>
                </w:rPr>
                <w:t>日</w:t>
              </w:r>
            </w:smartTag>
          </w:p>
        </w:tc>
      </w:tr>
    </w:tbl>
    <w:p w:rsidR="00171356" w:rsidRDefault="00171356" w:rsidP="00BE5872">
      <w:pPr>
        <w:spacing w:line="420" w:lineRule="exact"/>
        <w:rPr>
          <w:rFonts w:hint="eastAsia"/>
        </w:rPr>
      </w:pPr>
      <w:r>
        <w:rPr>
          <w:rFonts w:hint="eastAsia"/>
        </w:rPr>
        <w:t xml:space="preserve">　　特任伍錦霖為考試院第十一屆副院長，趙麗雲、黃錦堂為考試院第十一屆考試委員。</w:t>
      </w:r>
    </w:p>
    <w:p w:rsidR="00171356" w:rsidRDefault="00171356" w:rsidP="00BE5872">
      <w:pPr>
        <w:spacing w:line="420" w:lineRule="exact"/>
        <w:rPr>
          <w:rFonts w:hint="eastAsia"/>
        </w:rPr>
      </w:pPr>
      <w:r>
        <w:rPr>
          <w:rFonts w:hint="eastAsia"/>
        </w:rPr>
        <w:t xml:space="preserve">　　任期均至</w:t>
      </w:r>
      <w:smartTag w:uri="urn:schemas-microsoft-com:office:smarttags" w:element="chsdate">
        <w:smartTagPr>
          <w:attr w:name="IsROCDate" w:val="True"/>
          <w:attr w:name="IsLunarDate" w:val="False"/>
          <w:attr w:name="Day" w:val="31"/>
          <w:attr w:name="Month" w:val="8"/>
          <w:attr w:name="Year" w:val="2014"/>
        </w:smartTagPr>
        <w:r>
          <w:rPr>
            <w:rFonts w:hint="eastAsia"/>
          </w:rPr>
          <w:t>中華民國</w:t>
        </w:r>
        <w:r>
          <w:rPr>
            <w:rFonts w:hint="eastAsia"/>
          </w:rPr>
          <w:t>103</w:t>
        </w:r>
        <w:r>
          <w:rPr>
            <w:rFonts w:hint="eastAsia"/>
          </w:rPr>
          <w:t>年</w:t>
        </w:r>
        <w:r>
          <w:rPr>
            <w:rFonts w:hint="eastAsia"/>
          </w:rPr>
          <w:t>8</w:t>
        </w:r>
        <w:r>
          <w:rPr>
            <w:rFonts w:hint="eastAsia"/>
          </w:rPr>
          <w:t>月</w:t>
        </w:r>
        <w:r>
          <w:rPr>
            <w:rFonts w:hint="eastAsia"/>
          </w:rPr>
          <w:t>31</w:t>
        </w:r>
        <w:r>
          <w:rPr>
            <w:rFonts w:hint="eastAsia"/>
          </w:rPr>
          <w:t>日</w:t>
        </w:r>
      </w:smartTag>
      <w:r>
        <w:rPr>
          <w:rFonts w:hint="eastAsia"/>
        </w:rPr>
        <w:t>止。</w:t>
      </w:r>
    </w:p>
    <w:p w:rsidR="00171356" w:rsidRDefault="00171356" w:rsidP="00171356">
      <w:pPr>
        <w:spacing w:beforeLines="100" w:before="240" w:afterLines="100" w:after="240"/>
        <w:rPr>
          <w:rFonts w:hint="eastAsia"/>
        </w:rPr>
      </w:pPr>
      <w:r>
        <w:rPr>
          <w:rFonts w:hint="eastAsia"/>
        </w:rPr>
        <w:t>總　　　統　馬英九</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828D5" w:rsidTr="00B51A47">
        <w:tblPrEx>
          <w:tblCellMar>
            <w:top w:w="0" w:type="dxa"/>
            <w:bottom w:w="0" w:type="dxa"/>
          </w:tblCellMar>
        </w:tblPrEx>
        <w:trPr>
          <w:trHeight w:hRule="exact" w:val="851"/>
        </w:trPr>
        <w:tc>
          <w:tcPr>
            <w:tcW w:w="1988" w:type="dxa"/>
            <w:vAlign w:val="center"/>
          </w:tcPr>
          <w:p w:rsidR="008828D5" w:rsidRDefault="008828D5" w:rsidP="00B51A47">
            <w:pPr>
              <w:pStyle w:val="afa"/>
            </w:pPr>
            <w:r>
              <w:br w:type="page"/>
            </w:r>
            <w:r>
              <w:br w:type="page"/>
            </w:r>
            <w:r>
              <w:rPr>
                <w:rFonts w:hint="eastAsia"/>
              </w:rPr>
              <w:t>總統令</w:t>
            </w:r>
          </w:p>
        </w:tc>
        <w:tc>
          <w:tcPr>
            <w:tcW w:w="4759" w:type="dxa"/>
            <w:vAlign w:val="center"/>
          </w:tcPr>
          <w:p w:rsidR="008828D5" w:rsidRDefault="008828D5" w:rsidP="00B51A47">
            <w:pPr>
              <w:spacing w:line="240" w:lineRule="auto"/>
              <w:jc w:val="distribute"/>
            </w:pPr>
            <w:smartTag w:uri="urn:schemas-microsoft-com:office:smarttags" w:element="chsdate">
              <w:smartTagPr>
                <w:attr w:name="Year" w:val="2012"/>
                <w:attr w:name="Month" w:val="4"/>
                <w:attr w:name="Day" w:val="19"/>
                <w:attr w:name="IsLunarDate" w:val="False"/>
                <w:attr w:name="IsROCDate" w:val="True"/>
              </w:smartTagPr>
              <w:r>
                <w:rPr>
                  <w:rFonts w:hint="eastAsia"/>
                </w:rPr>
                <w:t>中華民國</w:t>
              </w:r>
              <w:r>
                <w:rPr>
                  <w:rFonts w:hint="eastAsia"/>
                </w:rPr>
                <w:t>101</w:t>
              </w:r>
              <w:r>
                <w:rPr>
                  <w:rFonts w:hint="eastAsia"/>
                </w:rPr>
                <w:t>年</w:t>
              </w:r>
              <w:r>
                <w:rPr>
                  <w:rFonts w:hint="eastAsia"/>
                </w:rPr>
                <w:t>4</w:t>
              </w:r>
              <w:r>
                <w:rPr>
                  <w:rFonts w:hint="eastAsia"/>
                </w:rPr>
                <w:t>月</w:t>
              </w:r>
              <w:r w:rsidR="00171356">
                <w:rPr>
                  <w:rFonts w:hint="eastAsia"/>
                </w:rPr>
                <w:t>1</w:t>
              </w:r>
              <w:r w:rsidR="00CE7C44">
                <w:rPr>
                  <w:rFonts w:hint="eastAsia"/>
                </w:rPr>
                <w:t>9</w:t>
              </w:r>
              <w:r>
                <w:rPr>
                  <w:rFonts w:hint="eastAsia"/>
                </w:rPr>
                <w:t>日</w:t>
              </w:r>
            </w:smartTag>
          </w:p>
        </w:tc>
      </w:tr>
    </w:tbl>
    <w:p w:rsidR="00CE7C44" w:rsidRDefault="00CE7C44" w:rsidP="00BE5872">
      <w:pPr>
        <w:spacing w:line="428" w:lineRule="exact"/>
        <w:rPr>
          <w:rFonts w:hint="eastAsia"/>
        </w:rPr>
      </w:pPr>
      <w:r>
        <w:rPr>
          <w:rFonts w:hint="eastAsia"/>
        </w:rPr>
        <w:t xml:space="preserve">　　任命簡慧娟為內政部簡任第十二職等司長，呂志廣為海洋國家公園管理處簡任第十職等副處長。</w:t>
      </w:r>
    </w:p>
    <w:p w:rsidR="00CE7C44" w:rsidRDefault="00CE7C44" w:rsidP="00BE5872">
      <w:pPr>
        <w:spacing w:line="428" w:lineRule="exact"/>
        <w:rPr>
          <w:rFonts w:hint="eastAsia"/>
        </w:rPr>
      </w:pPr>
      <w:r>
        <w:rPr>
          <w:rFonts w:hint="eastAsia"/>
        </w:rPr>
        <w:t xml:space="preserve">　　任命張玉燕為外交部會計處簡任第十二職等會計長。</w:t>
      </w:r>
    </w:p>
    <w:p w:rsidR="00CE7C44" w:rsidRDefault="00CE7C44" w:rsidP="00BE5872">
      <w:pPr>
        <w:spacing w:line="428" w:lineRule="exact"/>
        <w:rPr>
          <w:rFonts w:hint="eastAsia"/>
        </w:rPr>
      </w:pPr>
      <w:r>
        <w:rPr>
          <w:rFonts w:hint="eastAsia"/>
        </w:rPr>
        <w:t xml:space="preserve">　　任命張素貞為財政部臺北市國稅局簡任第十職等督導，李慶華為財政部臺灣省北區國稅局簡任第十三職等局長。</w:t>
      </w:r>
    </w:p>
    <w:p w:rsidR="00CE7C44" w:rsidRDefault="00CE7C44" w:rsidP="00BE5872">
      <w:pPr>
        <w:spacing w:line="428" w:lineRule="exact"/>
        <w:rPr>
          <w:rFonts w:hint="eastAsia"/>
        </w:rPr>
      </w:pPr>
      <w:r>
        <w:rPr>
          <w:rFonts w:hint="eastAsia"/>
        </w:rPr>
        <w:t xml:space="preserve">　　任命陳艷凰為國立東華大學人事室簡任第十職等主任，陳約宏為國立臺北藝術大學簡任第十二職等總務長。</w:t>
      </w:r>
    </w:p>
    <w:p w:rsidR="00CE7C44" w:rsidRDefault="00CE7C44" w:rsidP="00CE7C44">
      <w:pPr>
        <w:spacing w:line="440" w:lineRule="exact"/>
        <w:rPr>
          <w:rFonts w:hint="eastAsia"/>
        </w:rPr>
      </w:pPr>
      <w:r>
        <w:rPr>
          <w:rFonts w:hint="eastAsia"/>
        </w:rPr>
        <w:t xml:space="preserve">　　任命黃建裕為法務部矯正署澎湖監獄簡任第十一職等典獄長，林</w:t>
      </w:r>
      <w:r>
        <w:rPr>
          <w:rFonts w:hint="eastAsia"/>
        </w:rPr>
        <w:lastRenderedPageBreak/>
        <w:t>志雄為法務部矯正署綠島監獄簡任第十職等典獄長，吳澤生為法務部矯正署屏東看守所簡任第十職等所長。</w:t>
      </w:r>
    </w:p>
    <w:p w:rsidR="00CE7C44" w:rsidRDefault="00CE7C44" w:rsidP="00CE7C44">
      <w:pPr>
        <w:spacing w:line="440" w:lineRule="exact"/>
        <w:rPr>
          <w:rFonts w:hint="eastAsia"/>
        </w:rPr>
      </w:pPr>
      <w:r>
        <w:rPr>
          <w:rFonts w:hint="eastAsia"/>
        </w:rPr>
        <w:t xml:space="preserve">　　任命何燦成為經濟部智慧財產局簡任第十職等專門委員。</w:t>
      </w:r>
    </w:p>
    <w:p w:rsidR="00CE7C44" w:rsidRDefault="00CE7C44" w:rsidP="00CE7C44">
      <w:pPr>
        <w:spacing w:line="440" w:lineRule="exact"/>
        <w:rPr>
          <w:rFonts w:hint="eastAsia"/>
        </w:rPr>
      </w:pPr>
      <w:r>
        <w:rPr>
          <w:rFonts w:hint="eastAsia"/>
        </w:rPr>
        <w:t xml:space="preserve">　　任命林振勇為交通部公路總局高雄市區監理所簡任第十職等副所長，冬啟程為交通部公路總局高雄市區監理所簡任第十一職等所長。</w:t>
      </w:r>
    </w:p>
    <w:p w:rsidR="00CE7C44" w:rsidRPr="00CE7C44" w:rsidRDefault="00CE7C44" w:rsidP="00CE7C44">
      <w:pPr>
        <w:spacing w:line="440" w:lineRule="exact"/>
        <w:rPr>
          <w:rFonts w:hint="eastAsia"/>
          <w:spacing w:val="-4"/>
        </w:rPr>
      </w:pPr>
      <w:r>
        <w:rPr>
          <w:rFonts w:hint="eastAsia"/>
        </w:rPr>
        <w:t xml:space="preserve">　　</w:t>
      </w:r>
      <w:r w:rsidRPr="00CE7C44">
        <w:rPr>
          <w:rFonts w:hint="eastAsia"/>
          <w:spacing w:val="-4"/>
        </w:rPr>
        <w:t>任命黃宗權、葉人誠、彭顯力、高銘誌、沈玉津為薦任公務人員。</w:t>
      </w:r>
    </w:p>
    <w:p w:rsidR="00CE7C44" w:rsidRDefault="00CE7C44" w:rsidP="00CE7C44">
      <w:pPr>
        <w:spacing w:line="440" w:lineRule="exact"/>
        <w:rPr>
          <w:rFonts w:hint="eastAsia"/>
        </w:rPr>
      </w:pPr>
      <w:r>
        <w:rPr>
          <w:rFonts w:hint="eastAsia"/>
        </w:rPr>
        <w:t xml:space="preserve">　　任命黃衍龍、鍾淑如、郭定盈、王淑敏、陳銹美、薛麗娟為薦任公務人員。</w:t>
      </w:r>
    </w:p>
    <w:p w:rsidR="00CE7C44" w:rsidRDefault="00CE7C44" w:rsidP="00CE7C44">
      <w:pPr>
        <w:spacing w:line="440" w:lineRule="exact"/>
        <w:rPr>
          <w:rFonts w:hint="eastAsia"/>
        </w:rPr>
      </w:pPr>
      <w:r>
        <w:rPr>
          <w:rFonts w:hint="eastAsia"/>
        </w:rPr>
        <w:t xml:space="preserve">　　任命賴怡靜、劉秀蘭、潘淑淵、謝錦嬅、陳雅薰、曹雅萍、柯逢平、呂永裕、陳秀麗、張嘉惠、吳明勳、曾威超、陳美華、呂恩羽、黃勝賢為薦任公務人員。</w:t>
      </w:r>
    </w:p>
    <w:p w:rsidR="00CE7C44" w:rsidRPr="00CE7C44" w:rsidRDefault="00CE7C44" w:rsidP="00CE7C44">
      <w:pPr>
        <w:spacing w:line="440" w:lineRule="exact"/>
        <w:rPr>
          <w:rFonts w:hint="eastAsia"/>
          <w:spacing w:val="-4"/>
        </w:rPr>
      </w:pPr>
      <w:r>
        <w:rPr>
          <w:rFonts w:hint="eastAsia"/>
        </w:rPr>
        <w:t xml:space="preserve">　　</w:t>
      </w:r>
      <w:r w:rsidRPr="00CE7C44">
        <w:rPr>
          <w:rFonts w:hint="eastAsia"/>
          <w:spacing w:val="-4"/>
        </w:rPr>
        <w:t>任命林彩鳳、郭人豪、黃俊傑、李宗憲、周宜靜為薦任公務人員。</w:t>
      </w:r>
    </w:p>
    <w:p w:rsidR="00CE7C44" w:rsidRPr="00CE7C44" w:rsidRDefault="00CE7C44" w:rsidP="00CE7C44">
      <w:pPr>
        <w:spacing w:line="440" w:lineRule="exact"/>
        <w:rPr>
          <w:rFonts w:hint="eastAsia"/>
          <w:spacing w:val="-4"/>
        </w:rPr>
      </w:pPr>
      <w:r>
        <w:rPr>
          <w:rFonts w:hint="eastAsia"/>
        </w:rPr>
        <w:t xml:space="preserve">　　</w:t>
      </w:r>
      <w:r w:rsidRPr="00CE7C44">
        <w:rPr>
          <w:rFonts w:hint="eastAsia"/>
          <w:spacing w:val="-4"/>
        </w:rPr>
        <w:t>任命張恆誠、楊玉芳、高志榮、莊麗雲、張世芳為薦任公務人員。</w:t>
      </w:r>
    </w:p>
    <w:p w:rsidR="00CE7C44" w:rsidRPr="00B100DB" w:rsidRDefault="00CE7C44" w:rsidP="00CE7C44">
      <w:pPr>
        <w:spacing w:line="440" w:lineRule="exact"/>
        <w:rPr>
          <w:rFonts w:hint="eastAsia"/>
        </w:rPr>
      </w:pPr>
      <w:r>
        <w:rPr>
          <w:rFonts w:hint="eastAsia"/>
        </w:rPr>
        <w:t xml:space="preserve">　　派林鳳地為薦派公務人員。</w:t>
      </w:r>
    </w:p>
    <w:p w:rsidR="008828D5" w:rsidRDefault="008828D5" w:rsidP="008828D5">
      <w:pPr>
        <w:spacing w:beforeLines="100" w:before="240"/>
        <w:rPr>
          <w:rFonts w:hint="eastAsia"/>
        </w:rPr>
      </w:pPr>
      <w:r>
        <w:rPr>
          <w:rFonts w:hint="eastAsia"/>
        </w:rPr>
        <w:t>總　　　統　馬英九</w:t>
      </w:r>
    </w:p>
    <w:p w:rsidR="00FD5EC3" w:rsidRDefault="008828D5" w:rsidP="008828D5">
      <w:pPr>
        <w:spacing w:afterLines="100" w:after="240"/>
        <w:rPr>
          <w:rFonts w:ascii="標楷體" w:hAnsi="標楷體" w:hint="eastAsia"/>
        </w:rPr>
      </w:pPr>
      <w:r>
        <w:rPr>
          <w:rFonts w:hint="eastAsia"/>
        </w:rPr>
        <w:t xml:space="preserve">行政院院長　</w:t>
      </w:r>
      <w:r w:rsidRPr="00183E5A">
        <w:rPr>
          <w:rFonts w:ascii="標楷體" w:hAnsi="標楷體"/>
        </w:rPr>
        <w:t>陳</w:t>
      </w:r>
      <w:r>
        <w:rPr>
          <w:rFonts w:hint="eastAsia"/>
        </w:rPr>
        <w:t xml:space="preserve">　</w:t>
      </w:r>
      <w:r w:rsidRPr="00183E5A">
        <w:rPr>
          <w:rFonts w:ascii="標楷體" w:hAnsi="標楷體"/>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CE7C44" w:rsidTr="0074578A">
        <w:tblPrEx>
          <w:tblCellMar>
            <w:top w:w="0" w:type="dxa"/>
            <w:bottom w:w="0" w:type="dxa"/>
          </w:tblCellMar>
        </w:tblPrEx>
        <w:trPr>
          <w:trHeight w:hRule="exact" w:val="851"/>
        </w:trPr>
        <w:tc>
          <w:tcPr>
            <w:tcW w:w="1988" w:type="dxa"/>
            <w:vAlign w:val="center"/>
          </w:tcPr>
          <w:p w:rsidR="00CE7C44" w:rsidRDefault="00CE7C44" w:rsidP="0074578A">
            <w:pPr>
              <w:pStyle w:val="afa"/>
            </w:pPr>
            <w:r>
              <w:br w:type="page"/>
            </w:r>
            <w:r>
              <w:br w:type="page"/>
            </w:r>
            <w:r>
              <w:rPr>
                <w:rFonts w:hint="eastAsia"/>
              </w:rPr>
              <w:t>總統令</w:t>
            </w:r>
          </w:p>
        </w:tc>
        <w:tc>
          <w:tcPr>
            <w:tcW w:w="4759" w:type="dxa"/>
            <w:vAlign w:val="center"/>
          </w:tcPr>
          <w:p w:rsidR="00CE7C44" w:rsidRDefault="00CE7C44" w:rsidP="0074578A">
            <w:pPr>
              <w:spacing w:line="240" w:lineRule="auto"/>
              <w:jc w:val="distribute"/>
            </w:pPr>
            <w:smartTag w:uri="urn:schemas-microsoft-com:office:smarttags" w:element="chsdate">
              <w:smartTagPr>
                <w:attr w:name="Year" w:val="2012"/>
                <w:attr w:name="Month" w:val="4"/>
                <w:attr w:name="Day" w:val="19"/>
                <w:attr w:name="IsLunarDate" w:val="False"/>
                <w:attr w:name="IsROCDate" w:val="True"/>
              </w:smartTagPr>
              <w:r>
                <w:rPr>
                  <w:rFonts w:hint="eastAsia"/>
                </w:rPr>
                <w:t>中華民國</w:t>
              </w:r>
              <w:r>
                <w:rPr>
                  <w:rFonts w:hint="eastAsia"/>
                </w:rPr>
                <w:t>101</w:t>
              </w:r>
              <w:r>
                <w:rPr>
                  <w:rFonts w:hint="eastAsia"/>
                </w:rPr>
                <w:t>年</w:t>
              </w:r>
              <w:r>
                <w:rPr>
                  <w:rFonts w:hint="eastAsia"/>
                </w:rPr>
                <w:t>4</w:t>
              </w:r>
              <w:r>
                <w:rPr>
                  <w:rFonts w:hint="eastAsia"/>
                </w:rPr>
                <w:t>月</w:t>
              </w:r>
              <w:r>
                <w:rPr>
                  <w:rFonts w:hint="eastAsia"/>
                </w:rPr>
                <w:t>19</w:t>
              </w:r>
              <w:r>
                <w:rPr>
                  <w:rFonts w:hint="eastAsia"/>
                </w:rPr>
                <w:t>日</w:t>
              </w:r>
            </w:smartTag>
          </w:p>
        </w:tc>
      </w:tr>
    </w:tbl>
    <w:p w:rsidR="00CE7C44" w:rsidRDefault="00CE7C44" w:rsidP="00CE7C44">
      <w:pPr>
        <w:spacing w:line="440" w:lineRule="exact"/>
        <w:rPr>
          <w:rFonts w:hint="eastAsia"/>
        </w:rPr>
      </w:pPr>
      <w:r>
        <w:rPr>
          <w:rFonts w:hint="eastAsia"/>
        </w:rPr>
        <w:t xml:space="preserve">　　任命吳振昌、黃文正、王國勇、廖志強、鍾尚攸、李文慶、蔡俊辰、陳榮祥、蘇庭鋒、張振哲、蔡世龍、蘇英碩、王志堅、洪永祥、王凱民、陳慕義、郭鴻文、吳大發、吳東憲、王柏丈、洪得明、蘇正宇、李蕙因、邱詠欽、張育豪、顏聖浩、林宜臻、廖宏祥、李瑋庭、胡耿祥、陳裕珍、韓緯、陳泯彰、</w:t>
      </w:r>
      <w:r w:rsidRPr="00726AA1">
        <w:rPr>
          <w:rFonts w:ascii="標楷體" w:hAnsi="標楷體"/>
        </w:rPr>
        <w:t>張凱</w:t>
      </w:r>
      <w:r w:rsidR="008166AC">
        <w:rPr>
          <w:rFonts w:ascii="標楷體" w:hAnsi="標楷體" w:cs="標楷體" w:hint="eastAsia"/>
        </w:rPr>
        <w:t></w:t>
      </w:r>
      <w:r>
        <w:rPr>
          <w:rFonts w:hint="eastAsia"/>
        </w:rPr>
        <w:t>為警正警察官。</w:t>
      </w:r>
    </w:p>
    <w:p w:rsidR="00CE7C44" w:rsidRDefault="00CE7C44" w:rsidP="00CE7C44">
      <w:pPr>
        <w:spacing w:beforeLines="100" w:before="240"/>
        <w:rPr>
          <w:rFonts w:hint="eastAsia"/>
        </w:rPr>
      </w:pPr>
      <w:r>
        <w:rPr>
          <w:rFonts w:hint="eastAsia"/>
        </w:rPr>
        <w:t>總　　　統　馬英九</w:t>
      </w:r>
    </w:p>
    <w:p w:rsidR="006C339A" w:rsidRDefault="00CE7C44" w:rsidP="00CE7C44">
      <w:pPr>
        <w:spacing w:afterLines="100" w:after="240"/>
        <w:rPr>
          <w:rFonts w:ascii="標楷體" w:hAnsi="標楷體"/>
        </w:rPr>
      </w:pPr>
      <w:r>
        <w:rPr>
          <w:rFonts w:hint="eastAsia"/>
        </w:rPr>
        <w:t xml:space="preserve">行政院院長　</w:t>
      </w:r>
      <w:r w:rsidRPr="00183E5A">
        <w:rPr>
          <w:rFonts w:ascii="標楷體" w:hAnsi="標楷體"/>
        </w:rPr>
        <w:t>陳</w:t>
      </w:r>
      <w:r>
        <w:rPr>
          <w:rFonts w:hint="eastAsia"/>
        </w:rPr>
        <w:t xml:space="preserve">　</w:t>
      </w:r>
      <w:r w:rsidRPr="00183E5A">
        <w:rPr>
          <w:rFonts w:ascii="標楷體" w:hAnsi="標楷體"/>
        </w:rPr>
        <w:t></w:t>
      </w:r>
    </w:p>
    <w:p w:rsidR="00004B55" w:rsidRDefault="00004B55">
      <w:pPr>
        <w:spacing w:beforeLines="150" w:before="360" w:line="240" w:lineRule="exact"/>
        <w:jc w:val="center"/>
        <w:rPr>
          <w:sz w:val="56"/>
        </w:rPr>
      </w:pPr>
      <w:r>
        <w:rPr>
          <w:rFonts w:hint="eastAsia"/>
          <w:b/>
          <w:spacing w:val="-100"/>
          <w:sz w:val="56"/>
        </w:rPr>
        <w:lastRenderedPageBreak/>
        <w:t>﹏﹏﹏﹏﹏﹏﹏﹏﹏﹏﹏﹏</w:t>
      </w:r>
    </w:p>
    <w:p w:rsidR="00004B55" w:rsidRDefault="00004B55">
      <w:pPr>
        <w:pStyle w:val="afc"/>
      </w:pPr>
      <w:r>
        <w:rPr>
          <w:rFonts w:hint="eastAsia"/>
        </w:rPr>
        <w:t>總統活動紀要</w:t>
      </w:r>
    </w:p>
    <w:p w:rsidR="00004B55" w:rsidRDefault="00004B55">
      <w:pPr>
        <w:spacing w:afterLines="150" w:after="360" w:line="240" w:lineRule="exact"/>
        <w:jc w:val="center"/>
        <w:rPr>
          <w:sz w:val="56"/>
        </w:rPr>
      </w:pPr>
      <w:r>
        <w:rPr>
          <w:rFonts w:hint="eastAsia"/>
          <w:b/>
          <w:spacing w:val="-100"/>
          <w:sz w:val="56"/>
        </w:rPr>
        <w:t>﹏﹏﹏﹏﹏﹏﹏﹏﹏﹏﹏﹏</w:t>
      </w:r>
    </w:p>
    <w:p w:rsidR="00004B55" w:rsidRDefault="00004B55">
      <w:pPr>
        <w:spacing w:line="440" w:lineRule="exact"/>
        <w:rPr>
          <w:rFonts w:hint="eastAsia"/>
          <w:b/>
          <w:bCs/>
          <w:sz w:val="32"/>
        </w:rPr>
      </w:pPr>
      <w:r>
        <w:rPr>
          <w:rFonts w:hint="eastAsia"/>
          <w:b/>
          <w:bCs/>
          <w:sz w:val="32"/>
        </w:rPr>
        <w:t>記事期間：</w:t>
      </w:r>
    </w:p>
    <w:p w:rsidR="00004B55" w:rsidRDefault="002F29FC">
      <w:pPr>
        <w:spacing w:beforeLines="50" w:before="120" w:afterLines="50" w:after="120" w:line="440" w:lineRule="exact"/>
        <w:rPr>
          <w:b/>
          <w:sz w:val="32"/>
        </w:rPr>
      </w:pPr>
      <w:r>
        <w:rPr>
          <w:rFonts w:hint="eastAsia"/>
          <w:b/>
          <w:sz w:val="32"/>
        </w:rPr>
        <w:t>10</w:t>
      </w:r>
      <w:r w:rsidR="00B14441">
        <w:rPr>
          <w:rFonts w:hint="eastAsia"/>
          <w:b/>
          <w:sz w:val="32"/>
        </w:rPr>
        <w:t>1</w:t>
      </w:r>
      <w:r w:rsidR="00004B55">
        <w:rPr>
          <w:rFonts w:hint="eastAsia"/>
          <w:b/>
          <w:sz w:val="32"/>
        </w:rPr>
        <w:t>年</w:t>
      </w:r>
      <w:r w:rsidR="006B0086">
        <w:rPr>
          <w:rFonts w:hint="eastAsia"/>
          <w:b/>
          <w:sz w:val="32"/>
        </w:rPr>
        <w:t>4</w:t>
      </w:r>
      <w:r w:rsidR="00004B55">
        <w:rPr>
          <w:rFonts w:hint="eastAsia"/>
          <w:b/>
          <w:sz w:val="32"/>
        </w:rPr>
        <w:t>月</w:t>
      </w:r>
      <w:r w:rsidR="00A50734">
        <w:rPr>
          <w:rFonts w:hint="eastAsia"/>
          <w:b/>
          <w:sz w:val="32"/>
        </w:rPr>
        <w:t>13</w:t>
      </w:r>
      <w:r w:rsidR="00004B55">
        <w:rPr>
          <w:rFonts w:hint="eastAsia"/>
          <w:b/>
          <w:sz w:val="32"/>
        </w:rPr>
        <w:t>日至</w:t>
      </w:r>
      <w:r>
        <w:rPr>
          <w:rFonts w:hint="eastAsia"/>
          <w:b/>
          <w:sz w:val="32"/>
        </w:rPr>
        <w:t>10</w:t>
      </w:r>
      <w:r w:rsidR="00B14441">
        <w:rPr>
          <w:rFonts w:hint="eastAsia"/>
          <w:b/>
          <w:sz w:val="32"/>
        </w:rPr>
        <w:t>1</w:t>
      </w:r>
      <w:r w:rsidR="00004B55">
        <w:rPr>
          <w:rFonts w:hint="eastAsia"/>
          <w:b/>
          <w:sz w:val="32"/>
        </w:rPr>
        <w:t>年</w:t>
      </w:r>
      <w:r w:rsidR="009C59A6">
        <w:rPr>
          <w:rFonts w:hint="eastAsia"/>
          <w:b/>
          <w:sz w:val="32"/>
        </w:rPr>
        <w:t>4</w:t>
      </w:r>
      <w:r w:rsidR="00004B55">
        <w:rPr>
          <w:rFonts w:hint="eastAsia"/>
          <w:b/>
          <w:sz w:val="32"/>
        </w:rPr>
        <w:t>月</w:t>
      </w:r>
      <w:r w:rsidR="00A50734">
        <w:rPr>
          <w:rFonts w:hint="eastAsia"/>
          <w:b/>
          <w:sz w:val="32"/>
        </w:rPr>
        <w:t>19</w:t>
      </w:r>
      <w:r w:rsidR="00004B55">
        <w:rPr>
          <w:rFonts w:hint="eastAsia"/>
          <w:b/>
          <w:sz w:val="32"/>
        </w:rPr>
        <w:t>日</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3"/>
          <w:attr w:name="Month" w:val="4"/>
          <w:attr w:name="Year" w:val="2012"/>
        </w:smartTagPr>
        <w:r>
          <w:rPr>
            <w:rFonts w:hint="eastAsia"/>
            <w:b/>
          </w:rPr>
          <w:t>4</w:t>
        </w:r>
        <w:r>
          <w:rPr>
            <w:rFonts w:hint="eastAsia"/>
            <w:b/>
          </w:rPr>
          <w:t>月</w:t>
        </w:r>
        <w:r>
          <w:rPr>
            <w:rFonts w:hint="eastAsia"/>
            <w:b/>
          </w:rPr>
          <w:t>13</w:t>
        </w:r>
        <w:r>
          <w:rPr>
            <w:rFonts w:hint="eastAsia"/>
            <w:b/>
          </w:rPr>
          <w:t>日</w:t>
        </w:r>
      </w:smartTag>
      <w:r>
        <w:rPr>
          <w:rFonts w:hint="eastAsia"/>
          <w:b/>
        </w:rPr>
        <w:t>（星期五）</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出訪非洲三友邦－</w:t>
      </w:r>
      <w:r w:rsidR="00557088">
        <w:rPr>
          <w:rFonts w:hint="eastAsia"/>
        </w:rPr>
        <w:t>檢閱甘比亞共和國海軍儀隊、參觀甘國國家博物館及維多利亞教學醫院、視察我駐甘國大使館並晚宴館團員眷及華航機組員</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4"/>
          <w:attr w:name="Month" w:val="4"/>
          <w:attr w:name="Year" w:val="2012"/>
        </w:smartTagPr>
        <w:r>
          <w:rPr>
            <w:rFonts w:hint="eastAsia"/>
            <w:b/>
          </w:rPr>
          <w:t>4</w:t>
        </w:r>
        <w:r>
          <w:rPr>
            <w:rFonts w:hint="eastAsia"/>
            <w:b/>
          </w:rPr>
          <w:t>月</w:t>
        </w:r>
        <w:r>
          <w:rPr>
            <w:rFonts w:hint="eastAsia"/>
            <w:b/>
          </w:rPr>
          <w:t>14</w:t>
        </w:r>
        <w:r>
          <w:rPr>
            <w:rFonts w:hint="eastAsia"/>
            <w:b/>
          </w:rPr>
          <w:t>日</w:t>
        </w:r>
      </w:smartTag>
      <w:r>
        <w:rPr>
          <w:rFonts w:hint="eastAsia"/>
          <w:b/>
        </w:rPr>
        <w:t>（星期六）</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出訪非洲三友邦－</w:t>
      </w:r>
      <w:r w:rsidR="00557088">
        <w:rPr>
          <w:rFonts w:hint="eastAsia"/>
        </w:rPr>
        <w:t>視察我國於甘國</w:t>
      </w:r>
      <w:r w:rsidR="00557088">
        <w:rPr>
          <w:rFonts w:hint="eastAsia"/>
        </w:rPr>
        <w:t>Serrekunda</w:t>
      </w:r>
      <w:r w:rsidR="00557088">
        <w:rPr>
          <w:rFonts w:hint="eastAsia"/>
        </w:rPr>
        <w:t>醫院義診之馬偕醫療團隊、與甘比亞總統賈梅簽署聯合公報並轉抵史瓦濟蘭王國</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5"/>
          <w:attr w:name="Month" w:val="4"/>
          <w:attr w:name="Year" w:val="2012"/>
        </w:smartTagPr>
        <w:r>
          <w:rPr>
            <w:rFonts w:hint="eastAsia"/>
            <w:b/>
          </w:rPr>
          <w:t>4</w:t>
        </w:r>
        <w:r>
          <w:rPr>
            <w:rFonts w:hint="eastAsia"/>
            <w:b/>
          </w:rPr>
          <w:t>月</w:t>
        </w:r>
        <w:r>
          <w:rPr>
            <w:rFonts w:hint="eastAsia"/>
            <w:b/>
          </w:rPr>
          <w:t>15</w:t>
        </w:r>
        <w:r>
          <w:rPr>
            <w:rFonts w:hint="eastAsia"/>
            <w:b/>
          </w:rPr>
          <w:t>日</w:t>
        </w:r>
      </w:smartTag>
      <w:r>
        <w:rPr>
          <w:rFonts w:hint="eastAsia"/>
          <w:b/>
        </w:rPr>
        <w:t>（星期日）</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出訪非洲三友邦－</w:t>
      </w:r>
      <w:r w:rsidR="00557088">
        <w:rPr>
          <w:rFonts w:hint="eastAsia"/>
        </w:rPr>
        <w:t>抵達史瓦濟蘭王國並接受史國軍禮歡迎、午宴旅居非洲南部地區僑胞及館團員眷、拜會史國王母與史王恩史瓦帝三世並接</w:t>
      </w:r>
      <w:r w:rsidR="00BE5872">
        <w:rPr>
          <w:rFonts w:hint="eastAsia"/>
        </w:rPr>
        <w:t>受</w:t>
      </w:r>
      <w:r w:rsidR="00557088">
        <w:rPr>
          <w:rFonts w:hint="eastAsia"/>
        </w:rPr>
        <w:t>史王贈勳暨與隨行媒體餐敘</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6"/>
          <w:attr w:name="Month" w:val="4"/>
          <w:attr w:name="Year" w:val="2012"/>
        </w:smartTagPr>
        <w:r>
          <w:rPr>
            <w:rFonts w:hint="eastAsia"/>
            <w:b/>
          </w:rPr>
          <w:t>4</w:t>
        </w:r>
        <w:r>
          <w:rPr>
            <w:rFonts w:hint="eastAsia"/>
            <w:b/>
          </w:rPr>
          <w:t>月</w:t>
        </w:r>
        <w:r>
          <w:rPr>
            <w:rFonts w:hint="eastAsia"/>
            <w:b/>
          </w:rPr>
          <w:t>16</w:t>
        </w:r>
        <w:r>
          <w:rPr>
            <w:rFonts w:hint="eastAsia"/>
            <w:b/>
          </w:rPr>
          <w:t>日</w:t>
        </w:r>
      </w:smartTag>
      <w:r>
        <w:rPr>
          <w:rFonts w:hint="eastAsia"/>
          <w:b/>
        </w:rPr>
        <w:t>（星期一）</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出訪非洲三友邦－</w:t>
      </w:r>
      <w:r w:rsidR="00557088">
        <w:rPr>
          <w:rFonts w:hint="eastAsia"/>
        </w:rPr>
        <w:t>參訪史國</w:t>
      </w:r>
      <w:r w:rsidR="00557088">
        <w:rPr>
          <w:rFonts w:hint="eastAsia"/>
        </w:rPr>
        <w:t>RFM</w:t>
      </w:r>
      <w:r w:rsidR="00557088">
        <w:rPr>
          <w:rFonts w:hint="eastAsia"/>
        </w:rPr>
        <w:t>醫院、臺商開設之南緯紡織</w:t>
      </w:r>
      <w:r w:rsidR="00B2135E">
        <w:rPr>
          <w:rFonts w:hint="eastAsia"/>
        </w:rPr>
        <w:t>公司</w:t>
      </w:r>
      <w:r w:rsidR="00557088">
        <w:rPr>
          <w:rFonts w:hint="eastAsia"/>
        </w:rPr>
        <w:t>及史國「國立手工藝訓練中心」</w:t>
      </w:r>
      <w:r w:rsidR="00966413">
        <w:rPr>
          <w:rFonts w:hint="eastAsia"/>
        </w:rPr>
        <w:t>暨與隨團媒體記者茶敘</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7"/>
          <w:attr w:name="Month" w:val="4"/>
          <w:attr w:name="Year" w:val="2012"/>
        </w:smartTagPr>
        <w:r>
          <w:rPr>
            <w:rFonts w:hint="eastAsia"/>
            <w:b/>
          </w:rPr>
          <w:t>4</w:t>
        </w:r>
        <w:r>
          <w:rPr>
            <w:rFonts w:hint="eastAsia"/>
            <w:b/>
          </w:rPr>
          <w:t>月</w:t>
        </w:r>
        <w:r>
          <w:rPr>
            <w:rFonts w:hint="eastAsia"/>
            <w:b/>
          </w:rPr>
          <w:t>17</w:t>
        </w:r>
        <w:r>
          <w:rPr>
            <w:rFonts w:hint="eastAsia"/>
            <w:b/>
          </w:rPr>
          <w:t>日</w:t>
        </w:r>
      </w:smartTag>
      <w:r>
        <w:rPr>
          <w:rFonts w:hint="eastAsia"/>
          <w:b/>
        </w:rPr>
        <w:t>（星期二）</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出訪非洲三友邦－</w:t>
      </w:r>
      <w:r w:rsidR="00635828">
        <w:rPr>
          <w:rFonts w:hint="eastAsia"/>
        </w:rPr>
        <w:t>與史瓦濟蘭王國國王恩史瓦帝三世簽署聯合公報並搭機返國</w:t>
      </w:r>
    </w:p>
    <w:p w:rsidR="001274A1" w:rsidRDefault="001274A1" w:rsidP="001274A1">
      <w:pPr>
        <w:spacing w:line="440" w:lineRule="exact"/>
        <w:rPr>
          <w:rFonts w:hint="eastAsia"/>
          <w:b/>
        </w:rPr>
      </w:pPr>
      <w:smartTag w:uri="urn:schemas-microsoft-com:office:smarttags" w:element="chsdate">
        <w:smartTagPr>
          <w:attr w:name="Year" w:val="2012"/>
          <w:attr w:name="Month" w:val="4"/>
          <w:attr w:name="Day" w:val="18"/>
          <w:attr w:name="IsLunarDate" w:val="False"/>
          <w:attr w:name="IsROCDate" w:val="False"/>
        </w:smartTagPr>
        <w:r>
          <w:rPr>
            <w:rFonts w:hint="eastAsia"/>
            <w:b/>
          </w:rPr>
          <w:t>4</w:t>
        </w:r>
        <w:r>
          <w:rPr>
            <w:rFonts w:hint="eastAsia"/>
            <w:b/>
          </w:rPr>
          <w:t>月</w:t>
        </w:r>
        <w:r>
          <w:rPr>
            <w:rFonts w:hint="eastAsia"/>
            <w:b/>
          </w:rPr>
          <w:t>18</w:t>
        </w:r>
        <w:r>
          <w:rPr>
            <w:rFonts w:hint="eastAsia"/>
            <w:b/>
          </w:rPr>
          <w:t>日</w:t>
        </w:r>
      </w:smartTag>
      <w:r>
        <w:rPr>
          <w:rFonts w:hint="eastAsia"/>
          <w:b/>
        </w:rPr>
        <w:t>（星期三）</w:t>
      </w:r>
    </w:p>
    <w:p w:rsidR="001274A1" w:rsidRDefault="001274A1" w:rsidP="00D2229B">
      <w:pPr>
        <w:pStyle w:val="af5"/>
        <w:spacing w:beforeLines="0" w:before="0" w:line="480" w:lineRule="exact"/>
        <w:ind w:left="580" w:hanging="300"/>
        <w:rPr>
          <w:rFonts w:hint="eastAsia"/>
        </w:rPr>
      </w:pPr>
      <w:r>
        <w:rPr>
          <w:rFonts w:hint="eastAsia"/>
        </w:rPr>
        <w:lastRenderedPageBreak/>
        <w:t>˙結束</w:t>
      </w:r>
      <w:r w:rsidR="00635828">
        <w:rPr>
          <w:rFonts w:hint="eastAsia"/>
        </w:rPr>
        <w:t>「仁誼之旅」</w:t>
      </w:r>
      <w:r>
        <w:rPr>
          <w:rFonts w:hint="eastAsia"/>
        </w:rPr>
        <w:t>返抵國門</w:t>
      </w:r>
      <w:r w:rsidR="00635828">
        <w:rPr>
          <w:rFonts w:hint="eastAsia"/>
        </w:rPr>
        <w:t>並於機場發表談話說明此行訪問達成之多項具體成果</w:t>
      </w:r>
      <w:r>
        <w:rPr>
          <w:rFonts w:hint="eastAsia"/>
        </w:rPr>
        <w:t>（桃園國際機場）</w:t>
      </w:r>
    </w:p>
    <w:p w:rsidR="001274A1" w:rsidRDefault="001274A1" w:rsidP="001274A1">
      <w:pPr>
        <w:spacing w:line="440" w:lineRule="exact"/>
        <w:rPr>
          <w:rFonts w:hint="eastAsia"/>
          <w:b/>
        </w:rPr>
      </w:pPr>
      <w:smartTag w:uri="urn:schemas-microsoft-com:office:smarttags" w:element="chsdate">
        <w:smartTagPr>
          <w:attr w:name="Year" w:val="2012"/>
          <w:attr w:name="Month" w:val="4"/>
          <w:attr w:name="Day" w:val="19"/>
          <w:attr w:name="IsLunarDate" w:val="False"/>
          <w:attr w:name="IsROCDate" w:val="False"/>
        </w:smartTagPr>
        <w:r>
          <w:rPr>
            <w:rFonts w:hint="eastAsia"/>
            <w:b/>
          </w:rPr>
          <w:t>4</w:t>
        </w:r>
        <w:r>
          <w:rPr>
            <w:rFonts w:hint="eastAsia"/>
            <w:b/>
          </w:rPr>
          <w:t>月</w:t>
        </w:r>
        <w:r>
          <w:rPr>
            <w:rFonts w:hint="eastAsia"/>
            <w:b/>
          </w:rPr>
          <w:t>19</w:t>
        </w:r>
        <w:r>
          <w:rPr>
            <w:rFonts w:hint="eastAsia"/>
            <w:b/>
          </w:rPr>
          <w:t>日</w:t>
        </w:r>
      </w:smartTag>
      <w:r>
        <w:rPr>
          <w:rFonts w:hint="eastAsia"/>
          <w:b/>
        </w:rPr>
        <w:t>（星期四）</w:t>
      </w:r>
    </w:p>
    <w:p w:rsidR="001274A1" w:rsidRDefault="001274A1" w:rsidP="00D2229B">
      <w:pPr>
        <w:pStyle w:val="af5"/>
        <w:spacing w:beforeLines="0" w:before="0" w:line="480" w:lineRule="exact"/>
        <w:ind w:left="580" w:hanging="300"/>
        <w:rPr>
          <w:rFonts w:hint="eastAsia"/>
        </w:rPr>
      </w:pPr>
      <w:r>
        <w:rPr>
          <w:rFonts w:hint="eastAsia"/>
        </w:rPr>
        <w:t>˙接見</w:t>
      </w:r>
      <w:r w:rsidR="00635828">
        <w:rPr>
          <w:rFonts w:hint="eastAsia"/>
        </w:rPr>
        <w:t>「中華民國婦女聯合會」</w:t>
      </w:r>
      <w:r>
        <w:rPr>
          <w:rFonts w:hint="eastAsia"/>
        </w:rPr>
        <w:t>代表</w:t>
      </w:r>
      <w:r w:rsidR="00635828">
        <w:rPr>
          <w:rFonts w:hint="eastAsia"/>
        </w:rPr>
        <w:t>一行</w:t>
      </w:r>
    </w:p>
    <w:p w:rsidR="001274A1" w:rsidRDefault="001274A1" w:rsidP="00D2229B">
      <w:pPr>
        <w:pStyle w:val="af5"/>
        <w:spacing w:beforeLines="0" w:before="0" w:line="460" w:lineRule="exact"/>
        <w:ind w:left="580" w:hanging="300"/>
        <w:rPr>
          <w:rFonts w:hint="eastAsia"/>
        </w:rPr>
      </w:pPr>
      <w:r>
        <w:rPr>
          <w:rFonts w:hint="eastAsia"/>
        </w:rPr>
        <w:t>˙</w:t>
      </w:r>
      <w:r w:rsidR="000D21DA">
        <w:rPr>
          <w:rFonts w:hint="eastAsia"/>
        </w:rPr>
        <w:t>蒞臨</w:t>
      </w:r>
      <w:r>
        <w:rPr>
          <w:rFonts w:hint="eastAsia"/>
        </w:rPr>
        <w:t>「中華民國婦女聯合會</w:t>
      </w:r>
      <w:r w:rsidR="00635828">
        <w:rPr>
          <w:rFonts w:hint="eastAsia"/>
        </w:rPr>
        <w:t>」</w:t>
      </w:r>
      <w:r>
        <w:rPr>
          <w:rFonts w:hint="eastAsia"/>
        </w:rPr>
        <w:t>62</w:t>
      </w:r>
      <w:r>
        <w:rPr>
          <w:rFonts w:hint="eastAsia"/>
        </w:rPr>
        <w:t>週年會慶晚會</w:t>
      </w:r>
      <w:r w:rsidR="000D21DA">
        <w:rPr>
          <w:rFonts w:hint="eastAsia"/>
        </w:rPr>
        <w:t>致詞</w:t>
      </w:r>
      <w:r>
        <w:rPr>
          <w:rFonts w:hint="eastAsia"/>
        </w:rPr>
        <w:t>（臺北</w:t>
      </w:r>
      <w:r w:rsidR="000D21DA">
        <w:rPr>
          <w:rFonts w:hint="eastAsia"/>
        </w:rPr>
        <w:t>市</w:t>
      </w:r>
      <w:r>
        <w:rPr>
          <w:rFonts w:hint="eastAsia"/>
        </w:rPr>
        <w:t>圓山飯店）</w:t>
      </w:r>
    </w:p>
    <w:p w:rsidR="001274A1" w:rsidRDefault="001274A1" w:rsidP="00D2229B">
      <w:pPr>
        <w:pStyle w:val="af5"/>
        <w:spacing w:beforeLines="0" w:before="0" w:line="460" w:lineRule="exact"/>
        <w:ind w:left="580" w:hanging="300"/>
        <w:rPr>
          <w:rFonts w:hint="eastAsia"/>
        </w:rPr>
      </w:pPr>
      <w:r>
        <w:rPr>
          <w:rFonts w:hint="eastAsia"/>
        </w:rPr>
        <w:t>˙</w:t>
      </w:r>
      <w:r w:rsidR="000D21DA">
        <w:rPr>
          <w:rFonts w:hint="eastAsia"/>
        </w:rPr>
        <w:t>蒞臨</w:t>
      </w:r>
      <w:r>
        <w:rPr>
          <w:rFonts w:hint="eastAsia"/>
        </w:rPr>
        <w:t>「</w:t>
      </w:r>
      <w:r w:rsidR="00635828">
        <w:rPr>
          <w:rFonts w:hint="eastAsia"/>
        </w:rPr>
        <w:t>臺</w:t>
      </w:r>
      <w:r>
        <w:rPr>
          <w:rFonts w:hint="eastAsia"/>
        </w:rPr>
        <w:t>北市美國商會</w:t>
      </w:r>
      <w:r>
        <w:rPr>
          <w:rFonts w:hint="eastAsia"/>
        </w:rPr>
        <w:t>2012</w:t>
      </w:r>
      <w:r>
        <w:rPr>
          <w:rFonts w:hint="eastAsia"/>
        </w:rPr>
        <w:t>年謝年飯」</w:t>
      </w:r>
      <w:r w:rsidR="000D21DA">
        <w:rPr>
          <w:rFonts w:hint="eastAsia"/>
        </w:rPr>
        <w:t>致詞</w:t>
      </w:r>
      <w:r>
        <w:rPr>
          <w:rFonts w:hint="eastAsia"/>
        </w:rPr>
        <w:t>（臺北</w:t>
      </w:r>
      <w:r w:rsidR="000D21DA">
        <w:rPr>
          <w:rFonts w:hint="eastAsia"/>
        </w:rPr>
        <w:t>市</w:t>
      </w:r>
      <w:r>
        <w:rPr>
          <w:rFonts w:hint="eastAsia"/>
        </w:rPr>
        <w:t>君悅飯店）</w:t>
      </w:r>
    </w:p>
    <w:p w:rsidR="00004B55" w:rsidRDefault="00004B55">
      <w:pPr>
        <w:spacing w:beforeLines="150" w:before="360" w:line="240" w:lineRule="exact"/>
        <w:jc w:val="center"/>
        <w:rPr>
          <w:sz w:val="56"/>
        </w:rPr>
      </w:pPr>
      <w:r>
        <w:rPr>
          <w:rFonts w:hint="eastAsia"/>
          <w:b/>
          <w:spacing w:val="-100"/>
          <w:sz w:val="56"/>
        </w:rPr>
        <w:t>﹏﹏﹏﹏﹏﹏﹏﹏﹏﹏﹏﹏</w:t>
      </w:r>
    </w:p>
    <w:p w:rsidR="00004B55" w:rsidRDefault="00004B55">
      <w:pPr>
        <w:pStyle w:val="afd"/>
      </w:pPr>
      <w:r>
        <w:rPr>
          <w:rFonts w:hint="eastAsia"/>
        </w:rPr>
        <w:t>副總統活動紀要</w:t>
      </w:r>
    </w:p>
    <w:p w:rsidR="00004B55" w:rsidRDefault="00004B55">
      <w:pPr>
        <w:spacing w:afterLines="150" w:after="360" w:line="240" w:lineRule="exact"/>
        <w:jc w:val="center"/>
        <w:rPr>
          <w:sz w:val="56"/>
        </w:rPr>
      </w:pPr>
      <w:r>
        <w:rPr>
          <w:rFonts w:hint="eastAsia"/>
          <w:b/>
          <w:spacing w:val="-100"/>
          <w:sz w:val="56"/>
        </w:rPr>
        <w:t>﹏﹏﹏﹏﹏﹏﹏﹏﹏﹏﹏﹏</w:t>
      </w:r>
    </w:p>
    <w:p w:rsidR="00004B55" w:rsidRDefault="00004B55">
      <w:pPr>
        <w:spacing w:line="440" w:lineRule="exact"/>
        <w:rPr>
          <w:rFonts w:hint="eastAsia"/>
          <w:b/>
          <w:bCs/>
          <w:sz w:val="32"/>
        </w:rPr>
      </w:pPr>
      <w:r>
        <w:rPr>
          <w:rFonts w:hint="eastAsia"/>
          <w:b/>
          <w:bCs/>
          <w:sz w:val="32"/>
        </w:rPr>
        <w:t>記事期間：</w:t>
      </w:r>
    </w:p>
    <w:p w:rsidR="00004B55" w:rsidRDefault="002F29FC">
      <w:pPr>
        <w:spacing w:beforeLines="50" w:before="120" w:afterLines="50" w:after="120" w:line="440" w:lineRule="exact"/>
        <w:rPr>
          <w:b/>
          <w:sz w:val="32"/>
        </w:rPr>
      </w:pPr>
      <w:r>
        <w:rPr>
          <w:rFonts w:hint="eastAsia"/>
          <w:b/>
          <w:sz w:val="32"/>
        </w:rPr>
        <w:t>10</w:t>
      </w:r>
      <w:r w:rsidR="00B14441">
        <w:rPr>
          <w:rFonts w:hint="eastAsia"/>
          <w:b/>
          <w:sz w:val="32"/>
        </w:rPr>
        <w:t>1</w:t>
      </w:r>
      <w:r w:rsidR="00004B55">
        <w:rPr>
          <w:rFonts w:hint="eastAsia"/>
          <w:b/>
          <w:sz w:val="32"/>
        </w:rPr>
        <w:t>年</w:t>
      </w:r>
      <w:r w:rsidR="006B0086">
        <w:rPr>
          <w:rFonts w:hint="eastAsia"/>
          <w:b/>
          <w:sz w:val="32"/>
        </w:rPr>
        <w:t>4</w:t>
      </w:r>
      <w:r w:rsidR="00004B55">
        <w:rPr>
          <w:rFonts w:hint="eastAsia"/>
          <w:b/>
          <w:sz w:val="32"/>
        </w:rPr>
        <w:t>月</w:t>
      </w:r>
      <w:r w:rsidR="00A50734">
        <w:rPr>
          <w:rFonts w:hint="eastAsia"/>
          <w:b/>
          <w:sz w:val="32"/>
        </w:rPr>
        <w:t>13</w:t>
      </w:r>
      <w:r w:rsidR="00004B55">
        <w:rPr>
          <w:rFonts w:hint="eastAsia"/>
          <w:b/>
          <w:sz w:val="32"/>
        </w:rPr>
        <w:t>日至</w:t>
      </w:r>
      <w:r>
        <w:rPr>
          <w:rFonts w:hint="eastAsia"/>
          <w:b/>
          <w:sz w:val="32"/>
        </w:rPr>
        <w:t>10</w:t>
      </w:r>
      <w:r w:rsidR="00B14441">
        <w:rPr>
          <w:rFonts w:hint="eastAsia"/>
          <w:b/>
          <w:sz w:val="32"/>
        </w:rPr>
        <w:t>1</w:t>
      </w:r>
      <w:r w:rsidR="00004B55">
        <w:rPr>
          <w:rFonts w:hint="eastAsia"/>
          <w:b/>
          <w:sz w:val="32"/>
        </w:rPr>
        <w:t>年</w:t>
      </w:r>
      <w:r w:rsidR="009C59A6">
        <w:rPr>
          <w:rFonts w:hint="eastAsia"/>
          <w:b/>
          <w:sz w:val="32"/>
        </w:rPr>
        <w:t>4</w:t>
      </w:r>
      <w:r w:rsidR="00004B55">
        <w:rPr>
          <w:rFonts w:hint="eastAsia"/>
          <w:b/>
          <w:sz w:val="32"/>
        </w:rPr>
        <w:t>月</w:t>
      </w:r>
      <w:r w:rsidR="006B0086">
        <w:rPr>
          <w:rFonts w:hint="eastAsia"/>
          <w:b/>
          <w:sz w:val="32"/>
        </w:rPr>
        <w:t>1</w:t>
      </w:r>
      <w:r w:rsidR="00A50734">
        <w:rPr>
          <w:rFonts w:hint="eastAsia"/>
          <w:b/>
          <w:sz w:val="32"/>
        </w:rPr>
        <w:t>9</w:t>
      </w:r>
      <w:r w:rsidR="00004B55">
        <w:rPr>
          <w:rFonts w:hint="eastAsia"/>
          <w:b/>
          <w:sz w:val="32"/>
        </w:rPr>
        <w:t>日</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3"/>
          <w:attr w:name="Month" w:val="4"/>
          <w:attr w:name="Year" w:val="2012"/>
        </w:smartTagPr>
        <w:r>
          <w:rPr>
            <w:rFonts w:hint="eastAsia"/>
            <w:b/>
          </w:rPr>
          <w:t>4</w:t>
        </w:r>
        <w:r>
          <w:rPr>
            <w:rFonts w:hint="eastAsia"/>
            <w:b/>
          </w:rPr>
          <w:t>月</w:t>
        </w:r>
        <w:r>
          <w:rPr>
            <w:rFonts w:hint="eastAsia"/>
            <w:b/>
          </w:rPr>
          <w:t>13</w:t>
        </w:r>
        <w:r>
          <w:rPr>
            <w:rFonts w:hint="eastAsia"/>
            <w:b/>
          </w:rPr>
          <w:t>日</w:t>
        </w:r>
      </w:smartTag>
      <w:r>
        <w:rPr>
          <w:rFonts w:hint="eastAsia"/>
          <w:b/>
        </w:rPr>
        <w:t>（星期五）</w:t>
      </w:r>
    </w:p>
    <w:p w:rsidR="0008202F" w:rsidRDefault="0008202F" w:rsidP="00D2229B">
      <w:pPr>
        <w:pStyle w:val="af5"/>
        <w:spacing w:beforeLines="0" w:before="0" w:line="460" w:lineRule="exact"/>
        <w:ind w:left="580" w:hanging="300"/>
        <w:rPr>
          <w:rFonts w:hint="eastAsia"/>
        </w:rPr>
      </w:pPr>
      <w:r>
        <w:rPr>
          <w:rFonts w:hint="eastAsia"/>
        </w:rPr>
        <w:t>˙無公開行程</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4"/>
          <w:attr w:name="Month" w:val="4"/>
          <w:attr w:name="Year" w:val="2012"/>
        </w:smartTagPr>
        <w:r>
          <w:rPr>
            <w:rFonts w:hint="eastAsia"/>
            <w:b/>
          </w:rPr>
          <w:t>4</w:t>
        </w:r>
        <w:r>
          <w:rPr>
            <w:rFonts w:hint="eastAsia"/>
            <w:b/>
          </w:rPr>
          <w:t>月</w:t>
        </w:r>
        <w:r>
          <w:rPr>
            <w:rFonts w:hint="eastAsia"/>
            <w:b/>
          </w:rPr>
          <w:t>14</w:t>
        </w:r>
        <w:r>
          <w:rPr>
            <w:rFonts w:hint="eastAsia"/>
            <w:b/>
          </w:rPr>
          <w:t>日</w:t>
        </w:r>
      </w:smartTag>
      <w:r>
        <w:rPr>
          <w:rFonts w:hint="eastAsia"/>
          <w:b/>
        </w:rPr>
        <w:t>（星期六）</w:t>
      </w:r>
    </w:p>
    <w:p w:rsidR="0008202F" w:rsidRDefault="0008202F" w:rsidP="00D2229B">
      <w:pPr>
        <w:pStyle w:val="af5"/>
        <w:spacing w:beforeLines="0" w:before="0" w:line="460" w:lineRule="exact"/>
        <w:ind w:left="580" w:hanging="300"/>
        <w:rPr>
          <w:rFonts w:hint="eastAsia"/>
        </w:rPr>
      </w:pPr>
      <w:r>
        <w:rPr>
          <w:rFonts w:hint="eastAsia"/>
        </w:rPr>
        <w:t>˙</w:t>
      </w:r>
      <w:r w:rsidR="000D21DA">
        <w:rPr>
          <w:rFonts w:hint="eastAsia"/>
        </w:rPr>
        <w:t>蒞臨</w:t>
      </w:r>
      <w:r>
        <w:rPr>
          <w:rFonts w:hint="eastAsia"/>
        </w:rPr>
        <w:t>「第</w:t>
      </w:r>
      <w:r>
        <w:rPr>
          <w:rFonts w:hint="eastAsia"/>
        </w:rPr>
        <w:t>8</w:t>
      </w:r>
      <w:r>
        <w:rPr>
          <w:rFonts w:hint="eastAsia"/>
        </w:rPr>
        <w:t>屆亞太神經再生研討會</w:t>
      </w:r>
      <w:r w:rsidR="00635828">
        <w:rPr>
          <w:rFonts w:hint="eastAsia"/>
        </w:rPr>
        <w:t>、</w:t>
      </w:r>
      <w:r>
        <w:rPr>
          <w:rFonts w:hint="eastAsia"/>
        </w:rPr>
        <w:t>第</w:t>
      </w:r>
      <w:r>
        <w:rPr>
          <w:rFonts w:hint="eastAsia"/>
        </w:rPr>
        <w:t>5</w:t>
      </w:r>
      <w:r>
        <w:rPr>
          <w:rFonts w:hint="eastAsia"/>
        </w:rPr>
        <w:t>屆泛太平洋國際幹細胞及癌症研究研討會</w:t>
      </w:r>
      <w:r w:rsidR="00635828">
        <w:rPr>
          <w:rFonts w:hint="eastAsia"/>
        </w:rPr>
        <w:t>及</w:t>
      </w:r>
      <w:r>
        <w:rPr>
          <w:rFonts w:hint="eastAsia"/>
        </w:rPr>
        <w:t>第</w:t>
      </w:r>
      <w:r>
        <w:rPr>
          <w:rFonts w:hint="eastAsia"/>
        </w:rPr>
        <w:t>1</w:t>
      </w:r>
      <w:r>
        <w:rPr>
          <w:rFonts w:hint="eastAsia"/>
        </w:rPr>
        <w:t>屆海峽兩岸生物科技發展高峰會議」開幕典禮</w:t>
      </w:r>
      <w:r w:rsidR="000D21DA">
        <w:rPr>
          <w:rFonts w:hint="eastAsia"/>
        </w:rPr>
        <w:t>致詞</w:t>
      </w:r>
      <w:r>
        <w:rPr>
          <w:rFonts w:hint="eastAsia"/>
        </w:rPr>
        <w:t>（臺大醫院國際會議中心）</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5"/>
          <w:attr w:name="Month" w:val="4"/>
          <w:attr w:name="Year" w:val="2012"/>
        </w:smartTagPr>
        <w:r>
          <w:rPr>
            <w:rFonts w:hint="eastAsia"/>
            <w:b/>
          </w:rPr>
          <w:t>4</w:t>
        </w:r>
        <w:r>
          <w:rPr>
            <w:rFonts w:hint="eastAsia"/>
            <w:b/>
          </w:rPr>
          <w:t>月</w:t>
        </w:r>
        <w:r>
          <w:rPr>
            <w:rFonts w:hint="eastAsia"/>
            <w:b/>
          </w:rPr>
          <w:t>15</w:t>
        </w:r>
        <w:r>
          <w:rPr>
            <w:rFonts w:hint="eastAsia"/>
            <w:b/>
          </w:rPr>
          <w:t>日</w:t>
        </w:r>
      </w:smartTag>
      <w:r>
        <w:rPr>
          <w:rFonts w:hint="eastAsia"/>
          <w:b/>
        </w:rPr>
        <w:t>（星期日）</w:t>
      </w:r>
    </w:p>
    <w:p w:rsidR="0008202F" w:rsidRDefault="0008202F" w:rsidP="00D2229B">
      <w:pPr>
        <w:pStyle w:val="af5"/>
        <w:spacing w:beforeLines="0" w:before="0" w:line="460" w:lineRule="exact"/>
        <w:ind w:left="580" w:hanging="300"/>
        <w:rPr>
          <w:rFonts w:hint="eastAsia"/>
        </w:rPr>
      </w:pPr>
      <w:r>
        <w:rPr>
          <w:rFonts w:hint="eastAsia"/>
        </w:rPr>
        <w:t>˙無公開行程</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6"/>
          <w:attr w:name="Month" w:val="4"/>
          <w:attr w:name="Year" w:val="2012"/>
        </w:smartTagPr>
        <w:r>
          <w:rPr>
            <w:rFonts w:hint="eastAsia"/>
            <w:b/>
          </w:rPr>
          <w:t>4</w:t>
        </w:r>
        <w:r>
          <w:rPr>
            <w:rFonts w:hint="eastAsia"/>
            <w:b/>
          </w:rPr>
          <w:t>月</w:t>
        </w:r>
        <w:r>
          <w:rPr>
            <w:rFonts w:hint="eastAsia"/>
            <w:b/>
          </w:rPr>
          <w:t>16</w:t>
        </w:r>
        <w:r>
          <w:rPr>
            <w:rFonts w:hint="eastAsia"/>
            <w:b/>
          </w:rPr>
          <w:t>日</w:t>
        </w:r>
      </w:smartTag>
      <w:r>
        <w:rPr>
          <w:rFonts w:hint="eastAsia"/>
          <w:b/>
        </w:rPr>
        <w:t>（星期一）</w:t>
      </w:r>
    </w:p>
    <w:p w:rsidR="0008202F" w:rsidRDefault="0008202F" w:rsidP="00D2229B">
      <w:pPr>
        <w:pStyle w:val="af5"/>
        <w:spacing w:beforeLines="0" w:before="0" w:line="460" w:lineRule="exact"/>
        <w:ind w:left="580" w:hanging="300"/>
        <w:rPr>
          <w:rFonts w:hint="eastAsia"/>
        </w:rPr>
      </w:pPr>
      <w:r>
        <w:rPr>
          <w:rFonts w:hint="eastAsia"/>
        </w:rPr>
        <w:t>˙無公開行程</w:t>
      </w:r>
    </w:p>
    <w:p w:rsidR="0008202F" w:rsidRDefault="0008202F" w:rsidP="0008202F">
      <w:pPr>
        <w:spacing w:line="440" w:lineRule="exact"/>
        <w:rPr>
          <w:rFonts w:hint="eastAsia"/>
          <w:b/>
        </w:rPr>
      </w:pPr>
      <w:smartTag w:uri="urn:schemas-microsoft-com:office:smarttags" w:element="chsdate">
        <w:smartTagPr>
          <w:attr w:name="IsROCDate" w:val="False"/>
          <w:attr w:name="IsLunarDate" w:val="False"/>
          <w:attr w:name="Day" w:val="17"/>
          <w:attr w:name="Month" w:val="4"/>
          <w:attr w:name="Year" w:val="2012"/>
        </w:smartTagPr>
        <w:r>
          <w:rPr>
            <w:rFonts w:hint="eastAsia"/>
            <w:b/>
          </w:rPr>
          <w:lastRenderedPageBreak/>
          <w:t>4</w:t>
        </w:r>
        <w:r>
          <w:rPr>
            <w:rFonts w:hint="eastAsia"/>
            <w:b/>
          </w:rPr>
          <w:t>月</w:t>
        </w:r>
        <w:r>
          <w:rPr>
            <w:rFonts w:hint="eastAsia"/>
            <w:b/>
          </w:rPr>
          <w:t>17</w:t>
        </w:r>
        <w:r>
          <w:rPr>
            <w:rFonts w:hint="eastAsia"/>
            <w:b/>
          </w:rPr>
          <w:t>日</w:t>
        </w:r>
      </w:smartTag>
      <w:r>
        <w:rPr>
          <w:rFonts w:hint="eastAsia"/>
          <w:b/>
        </w:rPr>
        <w:t>（星期二）</w:t>
      </w:r>
    </w:p>
    <w:p w:rsidR="0008202F" w:rsidRDefault="0008202F" w:rsidP="00D2229B">
      <w:pPr>
        <w:pStyle w:val="af5"/>
        <w:spacing w:beforeLines="0" w:before="0" w:line="460" w:lineRule="exact"/>
        <w:ind w:left="580" w:hanging="300"/>
        <w:rPr>
          <w:rFonts w:hint="eastAsia"/>
        </w:rPr>
      </w:pPr>
      <w:r>
        <w:rPr>
          <w:rFonts w:hint="eastAsia"/>
        </w:rPr>
        <w:t>˙接見</w:t>
      </w:r>
      <w:r w:rsidR="00635828">
        <w:rPr>
          <w:rFonts w:hint="eastAsia"/>
        </w:rPr>
        <w:t>「臺灣蕭氏宗親總會」</w:t>
      </w:r>
      <w:r>
        <w:rPr>
          <w:rFonts w:hint="eastAsia"/>
        </w:rPr>
        <w:t>幹部</w:t>
      </w:r>
      <w:r w:rsidR="000D21DA">
        <w:rPr>
          <w:rFonts w:hint="eastAsia"/>
        </w:rPr>
        <w:t>一行</w:t>
      </w:r>
    </w:p>
    <w:p w:rsidR="0008202F" w:rsidRDefault="0008202F" w:rsidP="00D2229B">
      <w:pPr>
        <w:pStyle w:val="af5"/>
        <w:spacing w:beforeLines="0" w:before="0" w:line="460" w:lineRule="exact"/>
        <w:ind w:left="580" w:hanging="300"/>
        <w:rPr>
          <w:rFonts w:hint="eastAsia"/>
        </w:rPr>
      </w:pPr>
      <w:r>
        <w:rPr>
          <w:rFonts w:hint="eastAsia"/>
        </w:rPr>
        <w:t>˙接見加拿大國會議員訪華團</w:t>
      </w:r>
      <w:r w:rsidR="000D21DA">
        <w:rPr>
          <w:rFonts w:hint="eastAsia"/>
        </w:rPr>
        <w:t>一行</w:t>
      </w:r>
    </w:p>
    <w:p w:rsidR="00004B55" w:rsidRDefault="0008202F" w:rsidP="00D2229B">
      <w:pPr>
        <w:pStyle w:val="af5"/>
        <w:spacing w:beforeLines="0" w:before="0" w:line="460" w:lineRule="exact"/>
        <w:ind w:left="580" w:hanging="300"/>
        <w:rPr>
          <w:rFonts w:hint="eastAsia"/>
        </w:rPr>
      </w:pPr>
      <w:r>
        <w:rPr>
          <w:rFonts w:hint="eastAsia"/>
        </w:rPr>
        <w:t>˙接見「</w:t>
      </w:r>
      <w:r>
        <w:rPr>
          <w:rFonts w:hint="eastAsia"/>
        </w:rPr>
        <w:t>2012</w:t>
      </w:r>
      <w:r>
        <w:rPr>
          <w:rFonts w:hint="eastAsia"/>
        </w:rPr>
        <w:t>年國際檢察官協會第</w:t>
      </w:r>
      <w:r w:rsidR="00635828">
        <w:rPr>
          <w:rFonts w:hint="eastAsia"/>
        </w:rPr>
        <w:t>8</w:t>
      </w:r>
      <w:r>
        <w:rPr>
          <w:rFonts w:hint="eastAsia"/>
        </w:rPr>
        <w:t>屆亞太及中東地區會議」與會貴賓</w:t>
      </w:r>
      <w:r w:rsidR="000D21DA">
        <w:rPr>
          <w:rFonts w:hint="eastAsia"/>
        </w:rPr>
        <w:t>一行</w:t>
      </w:r>
    </w:p>
    <w:p w:rsidR="001274A1" w:rsidRDefault="001274A1" w:rsidP="001274A1">
      <w:pPr>
        <w:spacing w:line="440" w:lineRule="exact"/>
        <w:rPr>
          <w:rFonts w:hint="eastAsia"/>
          <w:b/>
        </w:rPr>
      </w:pPr>
      <w:smartTag w:uri="urn:schemas-microsoft-com:office:smarttags" w:element="chsdate">
        <w:smartTagPr>
          <w:attr w:name="Year" w:val="2012"/>
          <w:attr w:name="Month" w:val="4"/>
          <w:attr w:name="Day" w:val="18"/>
          <w:attr w:name="IsLunarDate" w:val="False"/>
          <w:attr w:name="IsROCDate" w:val="False"/>
        </w:smartTagPr>
        <w:r>
          <w:rPr>
            <w:rFonts w:hint="eastAsia"/>
            <w:b/>
          </w:rPr>
          <w:t>4</w:t>
        </w:r>
        <w:r>
          <w:rPr>
            <w:rFonts w:hint="eastAsia"/>
            <w:b/>
          </w:rPr>
          <w:t>月</w:t>
        </w:r>
        <w:r>
          <w:rPr>
            <w:rFonts w:hint="eastAsia"/>
            <w:b/>
          </w:rPr>
          <w:t>18</w:t>
        </w:r>
        <w:r>
          <w:rPr>
            <w:rFonts w:hint="eastAsia"/>
            <w:b/>
          </w:rPr>
          <w:t>日</w:t>
        </w:r>
      </w:smartTag>
      <w:r>
        <w:rPr>
          <w:rFonts w:hint="eastAsia"/>
          <w:b/>
        </w:rPr>
        <w:t>（星期三）</w:t>
      </w:r>
    </w:p>
    <w:p w:rsidR="001274A1" w:rsidRDefault="001274A1" w:rsidP="001274A1">
      <w:pPr>
        <w:pStyle w:val="af5"/>
        <w:spacing w:beforeLines="0" w:before="0"/>
        <w:ind w:left="580" w:hanging="300"/>
        <w:rPr>
          <w:rFonts w:hint="eastAsia"/>
        </w:rPr>
      </w:pPr>
      <w:r>
        <w:rPr>
          <w:rFonts w:hint="eastAsia"/>
        </w:rPr>
        <w:t>˙無公開行程</w:t>
      </w:r>
    </w:p>
    <w:p w:rsidR="001274A1" w:rsidRDefault="001274A1" w:rsidP="001274A1">
      <w:pPr>
        <w:spacing w:line="440" w:lineRule="exact"/>
        <w:rPr>
          <w:rFonts w:hint="eastAsia"/>
          <w:b/>
        </w:rPr>
      </w:pPr>
      <w:smartTag w:uri="urn:schemas-microsoft-com:office:smarttags" w:element="chsdate">
        <w:smartTagPr>
          <w:attr w:name="Year" w:val="2012"/>
          <w:attr w:name="Month" w:val="4"/>
          <w:attr w:name="Day" w:val="19"/>
          <w:attr w:name="IsLunarDate" w:val="False"/>
          <w:attr w:name="IsROCDate" w:val="False"/>
        </w:smartTagPr>
        <w:r>
          <w:rPr>
            <w:rFonts w:hint="eastAsia"/>
            <w:b/>
          </w:rPr>
          <w:t>4</w:t>
        </w:r>
        <w:r>
          <w:rPr>
            <w:rFonts w:hint="eastAsia"/>
            <w:b/>
          </w:rPr>
          <w:t>月</w:t>
        </w:r>
        <w:r>
          <w:rPr>
            <w:rFonts w:hint="eastAsia"/>
            <w:b/>
          </w:rPr>
          <w:t>19</w:t>
        </w:r>
        <w:r>
          <w:rPr>
            <w:rFonts w:hint="eastAsia"/>
            <w:b/>
          </w:rPr>
          <w:t>日</w:t>
        </w:r>
      </w:smartTag>
      <w:r>
        <w:rPr>
          <w:rFonts w:hint="eastAsia"/>
          <w:b/>
        </w:rPr>
        <w:t>（星期四）</w:t>
      </w:r>
    </w:p>
    <w:p w:rsidR="001274A1" w:rsidRDefault="001274A1" w:rsidP="00D2229B">
      <w:pPr>
        <w:pStyle w:val="af5"/>
        <w:spacing w:beforeLines="0" w:before="0"/>
        <w:ind w:left="580" w:hanging="300"/>
        <w:rPr>
          <w:rFonts w:hint="eastAsia"/>
        </w:rPr>
      </w:pPr>
      <w:r>
        <w:rPr>
          <w:rFonts w:hint="eastAsia"/>
        </w:rPr>
        <w:t>˙</w:t>
      </w:r>
      <w:r w:rsidR="000D21DA">
        <w:rPr>
          <w:rFonts w:hint="eastAsia"/>
        </w:rPr>
        <w:t>蒞臨</w:t>
      </w:r>
      <w:r>
        <w:rPr>
          <w:rFonts w:hint="eastAsia"/>
        </w:rPr>
        <w:t>「智慧建築與雲端科技、數位匯流應用實務研討會」</w:t>
      </w:r>
      <w:r w:rsidR="000D21DA">
        <w:rPr>
          <w:rFonts w:hint="eastAsia"/>
        </w:rPr>
        <w:t>致詞</w:t>
      </w:r>
      <w:r>
        <w:rPr>
          <w:rFonts w:hint="eastAsia"/>
        </w:rPr>
        <w:t>（中</w:t>
      </w:r>
      <w:r w:rsidR="00635828">
        <w:rPr>
          <w:rFonts w:hint="eastAsia"/>
        </w:rPr>
        <w:t>華</w:t>
      </w:r>
      <w:r>
        <w:rPr>
          <w:rFonts w:hint="eastAsia"/>
        </w:rPr>
        <w:t>經</w:t>
      </w:r>
      <w:r w:rsidR="00635828">
        <w:rPr>
          <w:rFonts w:hint="eastAsia"/>
        </w:rPr>
        <w:t>濟研究</w:t>
      </w:r>
      <w:r>
        <w:rPr>
          <w:rFonts w:hint="eastAsia"/>
        </w:rPr>
        <w:t>院蔣碩傑國際會議廳）</w:t>
      </w:r>
    </w:p>
    <w:p w:rsidR="001274A1" w:rsidRDefault="001274A1" w:rsidP="00D2229B">
      <w:pPr>
        <w:pStyle w:val="af5"/>
        <w:spacing w:beforeLines="0" w:before="0" w:line="450" w:lineRule="exact"/>
        <w:ind w:left="580" w:hanging="300"/>
        <w:rPr>
          <w:rFonts w:hint="eastAsia"/>
        </w:rPr>
      </w:pPr>
      <w:r>
        <w:rPr>
          <w:rFonts w:hint="eastAsia"/>
        </w:rPr>
        <w:t>˙</w:t>
      </w:r>
      <w:r w:rsidR="00635828">
        <w:rPr>
          <w:rFonts w:hint="eastAsia"/>
        </w:rPr>
        <w:t>偕夫人</w:t>
      </w:r>
      <w:r w:rsidR="000D21DA">
        <w:rPr>
          <w:rFonts w:hint="eastAsia"/>
        </w:rPr>
        <w:t>蒞臨</w:t>
      </w:r>
      <w:r>
        <w:rPr>
          <w:rFonts w:hint="eastAsia"/>
        </w:rPr>
        <w:t>「中華民國婦女聯合會</w:t>
      </w:r>
      <w:r w:rsidR="00635828">
        <w:rPr>
          <w:rFonts w:hint="eastAsia"/>
        </w:rPr>
        <w:t>」</w:t>
      </w:r>
      <w:r>
        <w:rPr>
          <w:rFonts w:hint="eastAsia"/>
        </w:rPr>
        <w:t>62</w:t>
      </w:r>
      <w:r>
        <w:rPr>
          <w:rFonts w:hint="eastAsia"/>
        </w:rPr>
        <w:t>週年會慶</w:t>
      </w:r>
      <w:r w:rsidR="00635828">
        <w:rPr>
          <w:rFonts w:hint="eastAsia"/>
        </w:rPr>
        <w:t>大會</w:t>
      </w:r>
      <w:r w:rsidR="000D21DA">
        <w:rPr>
          <w:rFonts w:hint="eastAsia"/>
        </w:rPr>
        <w:t>致詞</w:t>
      </w:r>
      <w:r>
        <w:rPr>
          <w:rFonts w:hint="eastAsia"/>
        </w:rPr>
        <w:t>（臺北市）</w:t>
      </w:r>
    </w:p>
    <w:p w:rsidR="00D2229B" w:rsidRDefault="001274A1" w:rsidP="00D2229B">
      <w:pPr>
        <w:pStyle w:val="af5"/>
        <w:spacing w:beforeLines="0" w:before="0"/>
        <w:ind w:left="580" w:hanging="300"/>
      </w:pPr>
      <w:r>
        <w:rPr>
          <w:rFonts w:hint="eastAsia"/>
        </w:rPr>
        <w:t>˙</w:t>
      </w:r>
      <w:r w:rsidR="000D21DA">
        <w:rPr>
          <w:rFonts w:hint="eastAsia"/>
        </w:rPr>
        <w:t>蒞臨</w:t>
      </w:r>
      <w:r>
        <w:rPr>
          <w:rFonts w:hint="eastAsia"/>
        </w:rPr>
        <w:t>「天工合一巴黎古董雙年展</w:t>
      </w:r>
      <w:r w:rsidR="00635828">
        <w:rPr>
          <w:rFonts w:hint="eastAsia"/>
        </w:rPr>
        <w:t>（</w:t>
      </w:r>
      <w:r w:rsidR="00635828">
        <w:rPr>
          <w:rFonts w:hint="eastAsia"/>
        </w:rPr>
        <w:t>BIENNALE des ANTIQUAIRES</w:t>
      </w:r>
      <w:r w:rsidR="00635828">
        <w:rPr>
          <w:rFonts w:hint="eastAsia"/>
        </w:rPr>
        <w:t>）</w:t>
      </w:r>
      <w:r>
        <w:rPr>
          <w:rFonts w:hint="eastAsia"/>
        </w:rPr>
        <w:t>交流晚宴」</w:t>
      </w:r>
      <w:r w:rsidR="000D21DA">
        <w:rPr>
          <w:rFonts w:hint="eastAsia"/>
        </w:rPr>
        <w:t>致詞</w:t>
      </w:r>
      <w:r>
        <w:rPr>
          <w:rFonts w:hint="eastAsia"/>
        </w:rPr>
        <w:t>（臺北</w:t>
      </w:r>
      <w:r w:rsidR="000D21DA">
        <w:rPr>
          <w:rFonts w:hint="eastAsia"/>
        </w:rPr>
        <w:t>市</w:t>
      </w:r>
      <w:r>
        <w:rPr>
          <w:rFonts w:hint="eastAsia"/>
        </w:rPr>
        <w:t>圓山飯店）</w:t>
      </w:r>
    </w:p>
    <w:p w:rsidR="00D26B2A" w:rsidRDefault="00D26B2A" w:rsidP="00D26B2A">
      <w:pPr>
        <w:spacing w:beforeLines="150" w:before="360" w:line="240" w:lineRule="exact"/>
        <w:jc w:val="center"/>
        <w:rPr>
          <w:sz w:val="56"/>
        </w:rPr>
      </w:pPr>
      <w:r>
        <w:rPr>
          <w:b/>
          <w:spacing w:val="-100"/>
          <w:sz w:val="56"/>
        </w:rPr>
        <w:t>﹏﹏﹏﹏﹏﹏﹏﹏﹏﹏﹏﹏</w:t>
      </w:r>
    </w:p>
    <w:p w:rsidR="00D26B2A" w:rsidRPr="003972BE" w:rsidRDefault="00D26B2A" w:rsidP="00D26B2A">
      <w:pPr>
        <w:spacing w:beforeLines="50" w:before="120" w:afterLines="50" w:after="120" w:line="560" w:lineRule="exact"/>
        <w:ind w:leftChars="50" w:left="140"/>
        <w:jc w:val="center"/>
        <w:rPr>
          <w:rFonts w:ascii="標楷體" w:hAnsi="標楷體"/>
          <w:b/>
          <w:sz w:val="48"/>
        </w:rPr>
      </w:pPr>
      <w:r w:rsidRPr="003972BE">
        <w:rPr>
          <w:rFonts w:ascii="標楷體" w:hAnsi="標楷體"/>
          <w:b/>
          <w:sz w:val="48"/>
        </w:rPr>
        <w:t>中央研究院公告</w:t>
      </w:r>
    </w:p>
    <w:p w:rsidR="00D26B2A" w:rsidRDefault="00D26B2A" w:rsidP="00D26B2A">
      <w:pPr>
        <w:spacing w:afterLines="150" w:after="360" w:line="240" w:lineRule="exact"/>
        <w:jc w:val="center"/>
        <w:rPr>
          <w:sz w:val="56"/>
        </w:rPr>
      </w:pPr>
      <w:r>
        <w:rPr>
          <w:b/>
          <w:spacing w:val="-100"/>
          <w:sz w:val="56"/>
        </w:rPr>
        <w:t>﹏﹏﹏﹏﹏﹏﹏﹏﹏﹏﹏﹏</w:t>
      </w:r>
    </w:p>
    <w:p w:rsidR="00D26B2A" w:rsidRPr="00BD2305" w:rsidRDefault="00D26B2A" w:rsidP="00D26B2A">
      <w:pPr>
        <w:pStyle w:val="af6"/>
        <w:spacing w:line="520" w:lineRule="exact"/>
        <w:rPr>
          <w:rFonts w:ascii="Times New Roman"/>
        </w:rPr>
      </w:pPr>
      <w:r w:rsidRPr="00BD2305">
        <w:rPr>
          <w:rFonts w:ascii="Times New Roman"/>
        </w:rPr>
        <w:t>中央研究院　公告</w:t>
      </w:r>
    </w:p>
    <w:p w:rsidR="00D26B2A" w:rsidRPr="00BD2305" w:rsidRDefault="00D26B2A" w:rsidP="00D26B2A">
      <w:pPr>
        <w:spacing w:line="520" w:lineRule="exact"/>
        <w:rPr>
          <w:szCs w:val="28"/>
        </w:rPr>
      </w:pPr>
      <w:r w:rsidRPr="00BD2305">
        <w:rPr>
          <w:szCs w:val="28"/>
        </w:rPr>
        <w:t>發文日期：</w:t>
      </w:r>
      <w:smartTag w:uri="urn:schemas-microsoft-com:office:smarttags" w:element="chsdate">
        <w:smartTagPr>
          <w:attr w:name="Year" w:val="2012"/>
          <w:attr w:name="Month" w:val="4"/>
          <w:attr w:name="Day" w:val="16"/>
          <w:attr w:name="IsLunarDate" w:val="False"/>
          <w:attr w:name="IsROCDate" w:val="True"/>
        </w:smartTagPr>
        <w:r w:rsidRPr="00BD2305">
          <w:rPr>
            <w:szCs w:val="28"/>
          </w:rPr>
          <w:t>中華民國</w:t>
        </w:r>
        <w:r>
          <w:rPr>
            <w:rFonts w:hint="eastAsia"/>
            <w:szCs w:val="28"/>
          </w:rPr>
          <w:t>101</w:t>
        </w:r>
        <w:r w:rsidRPr="00BD2305">
          <w:rPr>
            <w:szCs w:val="28"/>
          </w:rPr>
          <w:t>年</w:t>
        </w:r>
        <w:r w:rsidRPr="00BD2305">
          <w:rPr>
            <w:rFonts w:hint="eastAsia"/>
            <w:szCs w:val="28"/>
          </w:rPr>
          <w:t>4</w:t>
        </w:r>
        <w:r w:rsidRPr="00BD2305">
          <w:rPr>
            <w:szCs w:val="28"/>
          </w:rPr>
          <w:t>月</w:t>
        </w:r>
        <w:r>
          <w:rPr>
            <w:rFonts w:hint="eastAsia"/>
            <w:szCs w:val="28"/>
          </w:rPr>
          <w:t>16</w:t>
        </w:r>
        <w:r w:rsidRPr="00BD2305">
          <w:rPr>
            <w:szCs w:val="28"/>
          </w:rPr>
          <w:t>日</w:t>
        </w:r>
      </w:smartTag>
    </w:p>
    <w:p w:rsidR="00D26B2A" w:rsidRPr="00BD2305" w:rsidRDefault="00D26B2A" w:rsidP="00D26B2A">
      <w:pPr>
        <w:spacing w:line="520" w:lineRule="exact"/>
        <w:rPr>
          <w:rFonts w:hint="eastAsia"/>
          <w:szCs w:val="28"/>
        </w:rPr>
      </w:pPr>
      <w:r w:rsidRPr="00BD2305">
        <w:rPr>
          <w:szCs w:val="28"/>
        </w:rPr>
        <w:t>發文字號：</w:t>
      </w:r>
      <w:r w:rsidRPr="00BD71B6">
        <w:rPr>
          <w:rFonts w:hint="eastAsia"/>
          <w:szCs w:val="28"/>
        </w:rPr>
        <w:t>秘書字第</w:t>
      </w:r>
      <w:r w:rsidRPr="00BD71B6">
        <w:rPr>
          <w:rFonts w:hint="eastAsia"/>
          <w:szCs w:val="28"/>
        </w:rPr>
        <w:t>1010502944</w:t>
      </w:r>
      <w:r w:rsidRPr="00BD71B6">
        <w:rPr>
          <w:rFonts w:hint="eastAsia"/>
          <w:szCs w:val="28"/>
        </w:rPr>
        <w:t>號</w:t>
      </w:r>
    </w:p>
    <w:p w:rsidR="00D26B2A" w:rsidRPr="00BD2305" w:rsidRDefault="00D26B2A" w:rsidP="00D26B2A">
      <w:pPr>
        <w:spacing w:line="520" w:lineRule="exact"/>
        <w:rPr>
          <w:rFonts w:hint="eastAsia"/>
          <w:szCs w:val="28"/>
        </w:rPr>
      </w:pPr>
      <w:r w:rsidRPr="00BD2305">
        <w:rPr>
          <w:szCs w:val="28"/>
        </w:rPr>
        <w:t>主</w:t>
      </w:r>
      <w:r w:rsidRPr="00BD2305">
        <w:rPr>
          <w:rFonts w:hint="eastAsia"/>
          <w:szCs w:val="28"/>
        </w:rPr>
        <w:t xml:space="preserve">　　</w:t>
      </w:r>
      <w:r w:rsidRPr="00BD2305">
        <w:rPr>
          <w:szCs w:val="28"/>
        </w:rPr>
        <w:t>旨：公告中央研究院第</w:t>
      </w:r>
      <w:r w:rsidRPr="00BD2305">
        <w:rPr>
          <w:szCs w:val="28"/>
        </w:rPr>
        <w:t>2</w:t>
      </w:r>
      <w:r>
        <w:rPr>
          <w:rFonts w:hint="eastAsia"/>
          <w:szCs w:val="28"/>
        </w:rPr>
        <w:t>9</w:t>
      </w:r>
      <w:r w:rsidRPr="00BD2305">
        <w:rPr>
          <w:szCs w:val="28"/>
        </w:rPr>
        <w:t>屆院士候選人名單</w:t>
      </w:r>
      <w:r>
        <w:rPr>
          <w:rFonts w:hint="eastAsia"/>
          <w:szCs w:val="28"/>
        </w:rPr>
        <w:t>。</w:t>
      </w:r>
    </w:p>
    <w:p w:rsidR="00D26B2A" w:rsidRPr="00BD2305" w:rsidRDefault="00D26B2A" w:rsidP="00D26B2A">
      <w:pPr>
        <w:spacing w:line="520" w:lineRule="exact"/>
        <w:ind w:left="1400" w:hangingChars="500" w:hanging="1400"/>
        <w:rPr>
          <w:szCs w:val="28"/>
        </w:rPr>
      </w:pPr>
      <w:r w:rsidRPr="00BD2305">
        <w:rPr>
          <w:szCs w:val="28"/>
        </w:rPr>
        <w:t>依</w:t>
      </w:r>
      <w:r w:rsidRPr="00BD2305">
        <w:rPr>
          <w:rFonts w:hint="eastAsia"/>
          <w:szCs w:val="28"/>
        </w:rPr>
        <w:t xml:space="preserve">　　</w:t>
      </w:r>
      <w:r w:rsidRPr="00BD2305">
        <w:rPr>
          <w:szCs w:val="28"/>
        </w:rPr>
        <w:t>據：中央研究院組織法第</w:t>
      </w:r>
      <w:r w:rsidRPr="00BD2305">
        <w:rPr>
          <w:szCs w:val="28"/>
        </w:rPr>
        <w:t>6</w:t>
      </w:r>
      <w:r w:rsidRPr="00BD2305">
        <w:rPr>
          <w:szCs w:val="28"/>
        </w:rPr>
        <w:t>條第</w:t>
      </w:r>
      <w:r w:rsidRPr="00BD2305">
        <w:rPr>
          <w:szCs w:val="28"/>
        </w:rPr>
        <w:t>1</w:t>
      </w:r>
      <w:r w:rsidRPr="00BD2305">
        <w:rPr>
          <w:szCs w:val="28"/>
        </w:rPr>
        <w:t>項及中央研究院院士選舉辦法第</w:t>
      </w:r>
      <w:r w:rsidRPr="00BD2305">
        <w:rPr>
          <w:szCs w:val="28"/>
        </w:rPr>
        <w:t>9</w:t>
      </w:r>
      <w:r w:rsidRPr="00BD2305">
        <w:rPr>
          <w:szCs w:val="28"/>
        </w:rPr>
        <w:t>條。</w:t>
      </w:r>
    </w:p>
    <w:p w:rsidR="00D26B2A" w:rsidRPr="00BD2305" w:rsidRDefault="00D26B2A" w:rsidP="00D26B2A">
      <w:pPr>
        <w:spacing w:line="520" w:lineRule="exact"/>
        <w:ind w:left="1400" w:hangingChars="500" w:hanging="1400"/>
        <w:rPr>
          <w:rFonts w:hint="eastAsia"/>
          <w:szCs w:val="28"/>
        </w:rPr>
      </w:pPr>
      <w:r w:rsidRPr="00BD2305">
        <w:rPr>
          <w:szCs w:val="28"/>
        </w:rPr>
        <w:lastRenderedPageBreak/>
        <w:t>公告事項：茲經本院第</w:t>
      </w:r>
      <w:r w:rsidRPr="00BD2305">
        <w:rPr>
          <w:rFonts w:hint="eastAsia"/>
          <w:szCs w:val="28"/>
        </w:rPr>
        <w:t>2</w:t>
      </w:r>
      <w:r>
        <w:rPr>
          <w:rFonts w:hint="eastAsia"/>
          <w:szCs w:val="28"/>
        </w:rPr>
        <w:t>1</w:t>
      </w:r>
      <w:r w:rsidRPr="00BD2305">
        <w:rPr>
          <w:szCs w:val="28"/>
        </w:rPr>
        <w:t>屆評議會第</w:t>
      </w:r>
      <w:r>
        <w:rPr>
          <w:rFonts w:hint="eastAsia"/>
          <w:szCs w:val="28"/>
        </w:rPr>
        <w:t>2</w:t>
      </w:r>
      <w:r w:rsidRPr="00BD2305">
        <w:rPr>
          <w:szCs w:val="28"/>
        </w:rPr>
        <w:t>次會議，依法審定第</w:t>
      </w:r>
      <w:r w:rsidRPr="00BD2305">
        <w:rPr>
          <w:rFonts w:hint="eastAsia"/>
          <w:szCs w:val="28"/>
        </w:rPr>
        <w:t>2</w:t>
      </w:r>
      <w:r>
        <w:rPr>
          <w:rFonts w:hint="eastAsia"/>
          <w:szCs w:val="28"/>
        </w:rPr>
        <w:t>9</w:t>
      </w:r>
      <w:r w:rsidRPr="00BD2305">
        <w:rPr>
          <w:szCs w:val="28"/>
        </w:rPr>
        <w:t>屆院士候選人，計數理科學組</w:t>
      </w:r>
      <w:r>
        <w:rPr>
          <w:rFonts w:hint="eastAsia"/>
          <w:szCs w:val="28"/>
        </w:rPr>
        <w:t>21</w:t>
      </w:r>
      <w:r w:rsidRPr="00BD2305">
        <w:rPr>
          <w:szCs w:val="28"/>
        </w:rPr>
        <w:t>人、生命科學組</w:t>
      </w:r>
      <w:r>
        <w:rPr>
          <w:rFonts w:hint="eastAsia"/>
          <w:szCs w:val="28"/>
        </w:rPr>
        <w:t>17</w:t>
      </w:r>
      <w:r w:rsidRPr="00BD2305">
        <w:rPr>
          <w:szCs w:val="28"/>
        </w:rPr>
        <w:t>人、人文及社會科學組</w:t>
      </w:r>
      <w:r>
        <w:rPr>
          <w:rFonts w:hint="eastAsia"/>
          <w:szCs w:val="28"/>
        </w:rPr>
        <w:t>7</w:t>
      </w:r>
      <w:r w:rsidRPr="00BD2305">
        <w:rPr>
          <w:szCs w:val="28"/>
        </w:rPr>
        <w:t>人，共</w:t>
      </w:r>
      <w:r>
        <w:rPr>
          <w:rFonts w:hint="eastAsia"/>
          <w:szCs w:val="28"/>
        </w:rPr>
        <w:t>45</w:t>
      </w:r>
      <w:r w:rsidRPr="00BD2305">
        <w:rPr>
          <w:szCs w:val="28"/>
        </w:rPr>
        <w:t>人。</w:t>
      </w:r>
      <w:r w:rsidRPr="00E165CE">
        <w:rPr>
          <w:rFonts w:hint="eastAsia"/>
        </w:rPr>
        <w:t>院士候選人皆經過嚴格的提名與審查過程，能夠成為候選人，</w:t>
      </w:r>
      <w:r>
        <w:rPr>
          <w:rFonts w:hint="eastAsia"/>
        </w:rPr>
        <w:t>實為極</w:t>
      </w:r>
      <w:r w:rsidRPr="00E165CE">
        <w:rPr>
          <w:rFonts w:hint="eastAsia"/>
        </w:rPr>
        <w:t>高</w:t>
      </w:r>
      <w:r>
        <w:rPr>
          <w:rFonts w:hint="eastAsia"/>
        </w:rPr>
        <w:t>之</w:t>
      </w:r>
      <w:r w:rsidRPr="00E165CE">
        <w:rPr>
          <w:rFonts w:hint="eastAsia"/>
        </w:rPr>
        <w:t>學術榮譽</w:t>
      </w:r>
      <w:r w:rsidRPr="00BD2305">
        <w:rPr>
          <w:spacing w:val="-4"/>
          <w:szCs w:val="28"/>
        </w:rPr>
        <w:t>。特公告如下：</w:t>
      </w:r>
    </w:p>
    <w:p w:rsidR="00D26B2A" w:rsidRDefault="00D26B2A" w:rsidP="00D26B2A">
      <w:pPr>
        <w:snapToGrid w:val="0"/>
        <w:spacing w:line="240" w:lineRule="atLeast"/>
        <w:rPr>
          <w:rFonts w:hint="eastAsia"/>
          <w:b/>
          <w:sz w:val="32"/>
          <w:szCs w:val="32"/>
        </w:rPr>
      </w:pPr>
    </w:p>
    <w:p w:rsidR="00D26B2A" w:rsidRPr="00146E63" w:rsidRDefault="00D26B2A" w:rsidP="00692ABB">
      <w:pPr>
        <w:snapToGrid w:val="0"/>
        <w:spacing w:afterLines="50" w:after="120" w:line="240" w:lineRule="atLeast"/>
        <w:rPr>
          <w:rFonts w:hint="eastAsia"/>
          <w:b/>
          <w:sz w:val="32"/>
          <w:szCs w:val="32"/>
        </w:rPr>
      </w:pPr>
      <w:r w:rsidRPr="00146E63">
        <w:rPr>
          <w:rFonts w:hint="eastAsia"/>
          <w:b/>
          <w:sz w:val="32"/>
          <w:szCs w:val="32"/>
        </w:rPr>
        <w:t>數理科學組候選人</w:t>
      </w:r>
      <w:r>
        <w:rPr>
          <w:rFonts w:hint="eastAsia"/>
          <w:b/>
          <w:sz w:val="32"/>
          <w:szCs w:val="32"/>
        </w:rPr>
        <w:t>21</w:t>
      </w:r>
      <w:r w:rsidRPr="00146E63">
        <w:rPr>
          <w:rFonts w:hint="eastAsia"/>
          <w:b/>
          <w:sz w:val="32"/>
          <w:szCs w:val="32"/>
        </w:rPr>
        <w:t>人（依姓氏筆畫排序）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395"/>
      </w:tblGrid>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姓</w:t>
            </w:r>
            <w:r w:rsidRPr="00A66448">
              <w:rPr>
                <w:rFonts w:hint="eastAsia"/>
                <w:b/>
                <w:szCs w:val="28"/>
              </w:rPr>
              <w:t xml:space="preserve">  </w:t>
            </w:r>
            <w:r w:rsidRPr="00A66448">
              <w:rPr>
                <w:rFonts w:hint="eastAsia"/>
                <w:b/>
                <w:szCs w:val="28"/>
              </w:rPr>
              <w:t>名</w:t>
            </w:r>
          </w:p>
        </w:tc>
        <w:tc>
          <w:tcPr>
            <w:tcW w:w="7920"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合於院士候選人資格之根據</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于</w:t>
            </w:r>
            <w:r w:rsidRPr="00A66448">
              <w:rPr>
                <w:rFonts w:hint="eastAsia"/>
                <w:szCs w:val="28"/>
              </w:rPr>
              <w:t xml:space="preserve">  </w:t>
            </w:r>
            <w:r w:rsidRPr="00A66448">
              <w:rPr>
                <w:rFonts w:hint="eastAsia"/>
                <w:szCs w:val="28"/>
              </w:rPr>
              <w:t>靖</w:t>
            </w:r>
          </w:p>
        </w:tc>
        <w:tc>
          <w:tcPr>
            <w:tcW w:w="7920" w:type="dxa"/>
            <w:shd w:val="clear" w:color="auto" w:fill="auto"/>
          </w:tcPr>
          <w:p w:rsidR="00D26B2A" w:rsidRPr="00A66448" w:rsidRDefault="00D26B2A" w:rsidP="00A66448">
            <w:pPr>
              <w:snapToGrid w:val="0"/>
              <w:spacing w:line="240" w:lineRule="atLeast"/>
              <w:ind w:leftChars="-1" w:left="-3" w:firstLineChars="205" w:firstLine="574"/>
              <w:rPr>
                <w:rFonts w:hint="eastAsia"/>
                <w:szCs w:val="28"/>
              </w:rPr>
            </w:pPr>
            <w:smartTag w:uri="urn:schemas-microsoft-com:office:smarttags" w:element="PersonName">
              <w:smartTagPr>
                <w:attr w:name="ProductID" w:val="于"/>
              </w:smartTagPr>
              <w:r w:rsidRPr="00A66448">
                <w:rPr>
                  <w:rFonts w:hint="eastAsia"/>
                  <w:szCs w:val="28"/>
                </w:rPr>
                <w:t>于</w:t>
              </w:r>
            </w:smartTag>
            <w:r w:rsidRPr="00A66448">
              <w:rPr>
                <w:rFonts w:hint="eastAsia"/>
                <w:szCs w:val="28"/>
              </w:rPr>
              <w:t>教授是國際數學界著名的數論學者。他的一系列原創性工作，從</w:t>
            </w:r>
            <w:r w:rsidRPr="00A66448">
              <w:rPr>
                <w:rFonts w:hint="eastAsia"/>
                <w:szCs w:val="28"/>
              </w:rPr>
              <w:t>t-</w:t>
            </w:r>
            <w:r w:rsidRPr="00A66448">
              <w:rPr>
                <w:rFonts w:hint="eastAsia"/>
                <w:szCs w:val="28"/>
              </w:rPr>
              <w:t>子模定理到決定超越不變量間的所有代數關係，不僅建立了函數域超越數論為算術幾何的一個重要分支，更使得該領域的發展遠遠走在古典超越數論之前。</w:t>
            </w:r>
          </w:p>
          <w:p w:rsidR="00D26B2A" w:rsidRPr="00A66448" w:rsidRDefault="00D26B2A" w:rsidP="00A66448">
            <w:pPr>
              <w:snapToGrid w:val="0"/>
              <w:spacing w:line="240" w:lineRule="atLeast"/>
              <w:ind w:leftChars="-1" w:left="-3" w:firstLineChars="205" w:firstLine="574"/>
              <w:rPr>
                <w:rFonts w:hint="eastAsia"/>
                <w:szCs w:val="28"/>
              </w:rPr>
            </w:pPr>
            <w:r w:rsidRPr="00A66448">
              <w:rPr>
                <w:rFonts w:hint="eastAsia"/>
                <w:szCs w:val="28"/>
              </w:rPr>
              <w:t>他是這個方向在國際上的當然領導人物，影響所及使得歐美一些重要數論學者也跟著他的腳步走進相關的研究題材。他是亞洲少數最活躍的資深數論學者之一除了專業上的卓越成就以及建立並領導國家理論科學研究中心</w:t>
            </w:r>
            <w:r w:rsidRPr="00A66448">
              <w:rPr>
                <w:rFonts w:hint="eastAsia"/>
                <w:szCs w:val="28"/>
              </w:rPr>
              <w:t>9</w:t>
            </w:r>
            <w:r w:rsidRPr="00A66448">
              <w:rPr>
                <w:rFonts w:hint="eastAsia"/>
                <w:szCs w:val="28"/>
              </w:rPr>
              <w:t>年，他從</w:t>
            </w:r>
            <w:r w:rsidRPr="00A66448">
              <w:rPr>
                <w:rFonts w:hint="eastAsia"/>
                <w:szCs w:val="28"/>
              </w:rPr>
              <w:t>1990</w:t>
            </w:r>
            <w:r w:rsidRPr="00A66448">
              <w:rPr>
                <w:rFonts w:hint="eastAsia"/>
                <w:szCs w:val="28"/>
              </w:rPr>
              <w:t>年代中一手創立國內數論研究群，受他啟發的年輕學者，目前任教於國內外一些重要大學及研究機構。他也影響了不只一代的亞洲年輕數論學者，分佈到日本、韓國及中國大陸。</w:t>
            </w:r>
          </w:p>
          <w:p w:rsidR="00D26B2A" w:rsidRPr="00A66448" w:rsidRDefault="00D26B2A" w:rsidP="00A66448">
            <w:pPr>
              <w:snapToGrid w:val="0"/>
              <w:spacing w:line="240" w:lineRule="atLeast"/>
              <w:ind w:leftChars="-1" w:left="-3" w:firstLineChars="205" w:firstLine="574"/>
              <w:rPr>
                <w:rFonts w:hint="eastAsia"/>
                <w:szCs w:val="28"/>
              </w:rPr>
            </w:pPr>
            <w:r w:rsidRPr="00A66448">
              <w:rPr>
                <w:rFonts w:hint="eastAsia"/>
                <w:szCs w:val="28"/>
              </w:rPr>
              <w:t>對於臺灣過去三十年的數學研究與發展，他是有很大的貢獻。</w:t>
            </w:r>
          </w:p>
          <w:p w:rsidR="00D26B2A" w:rsidRPr="00A66448" w:rsidRDefault="00D26B2A" w:rsidP="00A66448">
            <w:pPr>
              <w:snapToGrid w:val="0"/>
              <w:spacing w:line="240" w:lineRule="atLeast"/>
              <w:rPr>
                <w:rFonts w:hint="eastAsia"/>
                <w:szCs w:val="28"/>
              </w:rPr>
            </w:pPr>
            <w:r w:rsidRPr="00A66448">
              <w:rPr>
                <w:rFonts w:hint="eastAsia"/>
                <w:szCs w:val="28"/>
              </w:rPr>
              <w:t xml:space="preserve">    </w:t>
            </w: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江博明</w:t>
            </w:r>
          </w:p>
        </w:tc>
        <w:tc>
          <w:tcPr>
            <w:tcW w:w="7920" w:type="dxa"/>
            <w:shd w:val="clear" w:color="auto" w:fill="auto"/>
          </w:tcPr>
          <w:p w:rsidR="00D26B2A" w:rsidRPr="00A66448" w:rsidRDefault="00D26B2A" w:rsidP="00A66448">
            <w:pPr>
              <w:snapToGrid w:val="0"/>
              <w:spacing w:line="240" w:lineRule="atLeast"/>
              <w:ind w:leftChars="-1" w:left="-3" w:firstLineChars="205" w:firstLine="574"/>
              <w:rPr>
                <w:rFonts w:hint="eastAsia"/>
                <w:szCs w:val="28"/>
              </w:rPr>
            </w:pPr>
            <w:smartTag w:uri="urn:schemas-microsoft-com:office:smarttags" w:element="PersonName">
              <w:smartTagPr>
                <w:attr w:name="ProductID" w:val="江"/>
              </w:smartTagPr>
              <w:r w:rsidRPr="00A66448">
                <w:rPr>
                  <w:rFonts w:hint="eastAsia"/>
                  <w:szCs w:val="28"/>
                </w:rPr>
                <w:t>江</w:t>
              </w:r>
            </w:smartTag>
            <w:r w:rsidRPr="00A66448">
              <w:rPr>
                <w:rFonts w:hint="eastAsia"/>
                <w:szCs w:val="28"/>
              </w:rPr>
              <w:t>教授利用同位素及微量元素地球化學來研究大陸地殼演化。他是這方面的世界先進。他的重要貢獻擴及世界各大洲，但以亞洲為最。他是用板塊學說來解釋華南地殼演化的第一人。他和合作者首先定出全亞洲最古老的岩石（</w:t>
            </w:r>
            <w:r w:rsidRPr="00A66448">
              <w:rPr>
                <w:rFonts w:hint="eastAsia"/>
                <w:szCs w:val="28"/>
              </w:rPr>
              <w:t>38</w:t>
            </w:r>
            <w:r w:rsidRPr="00A66448">
              <w:rPr>
                <w:rFonts w:hint="eastAsia"/>
                <w:szCs w:val="28"/>
              </w:rPr>
              <w:t>億年），並奠定華北板塊的早期地殼演化史。他利用鈾鉛定年</w:t>
            </w:r>
            <w:r w:rsidRPr="00A66448">
              <w:rPr>
                <w:rFonts w:hint="eastAsia"/>
                <w:szCs w:val="28"/>
              </w:rPr>
              <w:lastRenderedPageBreak/>
              <w:t>法及鍶同位素確定台灣最老的岩石之年齡（</w:t>
            </w:r>
            <w:r w:rsidRPr="00A66448">
              <w:rPr>
                <w:rFonts w:hint="eastAsia"/>
                <w:szCs w:val="28"/>
              </w:rPr>
              <w:t>2</w:t>
            </w:r>
            <w:r w:rsidRPr="00A66448">
              <w:rPr>
                <w:rFonts w:hint="eastAsia"/>
                <w:szCs w:val="28"/>
              </w:rPr>
              <w:t>億</w:t>
            </w:r>
            <w:r w:rsidRPr="00A66448">
              <w:rPr>
                <w:rFonts w:hint="eastAsia"/>
                <w:szCs w:val="28"/>
              </w:rPr>
              <w:t>5</w:t>
            </w:r>
            <w:r w:rsidRPr="00A66448">
              <w:rPr>
                <w:rFonts w:hint="eastAsia"/>
                <w:szCs w:val="28"/>
              </w:rPr>
              <w:t>千萬年），並為台灣地殼演化大綱奠基。在世界上非常著名的大別山超高壓變質帶中，他利用鍶釹同位素論證榴輝岩乃屬陸殼成因，充分證明大陸地殼深俯衝的作用。這項論證是出乎板塊學說，推翻大陸地殼不可深俯衝的原理。他的</w:t>
            </w:r>
            <w:r w:rsidRPr="00A66448">
              <w:rPr>
                <w:rFonts w:hint="eastAsia"/>
                <w:color w:val="000000"/>
                <w:szCs w:val="28"/>
              </w:rPr>
              <w:t>「</w:t>
            </w:r>
            <w:r w:rsidRPr="00A66448">
              <w:rPr>
                <w:rFonts w:hint="eastAsia"/>
                <w:szCs w:val="28"/>
              </w:rPr>
              <w:t>殼幔作用</w:t>
            </w:r>
            <w:r w:rsidRPr="00A66448">
              <w:rPr>
                <w:rFonts w:hint="eastAsia"/>
                <w:color w:val="000000"/>
                <w:szCs w:val="28"/>
              </w:rPr>
              <w:t>」</w:t>
            </w:r>
            <w:r w:rsidRPr="00A66448">
              <w:rPr>
                <w:rFonts w:hint="eastAsia"/>
                <w:szCs w:val="28"/>
              </w:rPr>
              <w:t>模式作為岩漿成因及地殼循迴的機制已受廣泛之應用（被引用約</w:t>
            </w:r>
            <w:r w:rsidRPr="00A66448">
              <w:rPr>
                <w:rFonts w:hint="eastAsia"/>
                <w:szCs w:val="28"/>
              </w:rPr>
              <w:t>300</w:t>
            </w:r>
            <w:r w:rsidRPr="00A66448">
              <w:rPr>
                <w:rFonts w:hint="eastAsia"/>
                <w:szCs w:val="28"/>
              </w:rPr>
              <w:t>次）。他在中亞造山帶（含華北、蒙古及西伯利亞）的研究更得出非常重要的結論。該處極大量的初生地殼的形成，強力挑戰了對地球大陸地殼成長模式與速率的傳統看法。他最近對日本的研究成果，也嚴厲地挑戰當今的日本列島演化模式。</w:t>
            </w:r>
          </w:p>
          <w:p w:rsidR="00D26B2A" w:rsidRPr="00A66448" w:rsidRDefault="00D26B2A" w:rsidP="00A66448">
            <w:pPr>
              <w:snapToGrid w:val="0"/>
              <w:spacing w:line="240" w:lineRule="atLeast"/>
              <w:rPr>
                <w:rFonts w:hint="eastAsia"/>
                <w:szCs w:val="28"/>
              </w:rPr>
            </w:pPr>
            <w:r w:rsidRPr="00A66448">
              <w:rPr>
                <w:rFonts w:hint="eastAsia"/>
                <w:szCs w:val="28"/>
              </w:rPr>
              <w:t xml:space="preserve">    </w:t>
            </w: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牟中原</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r w:rsidRPr="00A66448">
              <w:rPr>
                <w:rFonts w:hAnsi="標楷體" w:hint="eastAsia"/>
                <w:szCs w:val="28"/>
              </w:rPr>
              <w:t>牟教授居</w:t>
            </w:r>
            <w:r w:rsidRPr="00A66448">
              <w:rPr>
                <w:rFonts w:hAnsi="標楷體"/>
                <w:szCs w:val="28"/>
              </w:rPr>
              <w:t>世界領先</w:t>
            </w:r>
            <w:r w:rsidRPr="00A66448">
              <w:rPr>
                <w:rFonts w:hAnsi="標楷體" w:hint="eastAsia"/>
                <w:szCs w:val="28"/>
              </w:rPr>
              <w:t>之領域：</w:t>
            </w:r>
          </w:p>
          <w:p w:rsidR="00D26B2A" w:rsidRPr="00A66448" w:rsidRDefault="00D26B2A" w:rsidP="00A66448">
            <w:pPr>
              <w:snapToGrid w:val="0"/>
              <w:spacing w:line="240" w:lineRule="atLeast"/>
              <w:rPr>
                <w:rFonts w:hint="eastAsia"/>
                <w:szCs w:val="28"/>
              </w:rPr>
            </w:pPr>
            <w:r w:rsidRPr="00A66448">
              <w:rPr>
                <w:rFonts w:hAnsi="標楷體" w:hint="eastAsia"/>
                <w:szCs w:val="28"/>
              </w:rPr>
              <w:t>開啟</w:t>
            </w:r>
            <w:r w:rsidRPr="00A66448">
              <w:rPr>
                <w:rFonts w:hAnsi="標楷體"/>
                <w:szCs w:val="28"/>
              </w:rPr>
              <w:t>中孔洞分子篩形貌控制</w:t>
            </w:r>
            <w:r w:rsidRPr="00A66448">
              <w:rPr>
                <w:rFonts w:hAnsi="標楷體" w:hint="eastAsia"/>
                <w:szCs w:val="28"/>
              </w:rPr>
              <w:t>研究</w:t>
            </w:r>
            <w:r w:rsidRPr="00A66448">
              <w:rPr>
                <w:rFonts w:hint="eastAsia"/>
                <w:szCs w:val="28"/>
              </w:rPr>
              <w:t>:</w:t>
            </w:r>
            <w:r w:rsidRPr="00A66448">
              <w:rPr>
                <w:rFonts w:hAnsi="標楷體"/>
                <w:szCs w:val="28"/>
              </w:rPr>
              <w:t>第一篇論文就</w:t>
            </w:r>
            <w:r w:rsidRPr="00A66448">
              <w:rPr>
                <w:rFonts w:hAnsi="標楷體" w:hint="eastAsia"/>
                <w:szCs w:val="28"/>
                <w:lang w:eastAsia="zh-CN"/>
              </w:rPr>
              <w:t>登上</w:t>
            </w:r>
            <w:r w:rsidRPr="00A66448">
              <w:rPr>
                <w:szCs w:val="28"/>
              </w:rPr>
              <w:t>Science</w:t>
            </w:r>
          </w:p>
          <w:p w:rsidR="00D26B2A" w:rsidRPr="00A66448" w:rsidRDefault="00D26B2A" w:rsidP="00A66448">
            <w:pPr>
              <w:tabs>
                <w:tab w:val="left" w:pos="720"/>
              </w:tabs>
              <w:snapToGrid w:val="0"/>
              <w:spacing w:line="240" w:lineRule="atLeast"/>
              <w:rPr>
                <w:rFonts w:hint="eastAsia"/>
                <w:szCs w:val="28"/>
              </w:rPr>
            </w:pPr>
            <w:r w:rsidRPr="00A66448">
              <w:rPr>
                <w:rFonts w:hAnsi="標楷體"/>
                <w:szCs w:val="28"/>
              </w:rPr>
              <w:t>非勻相催化研究</w:t>
            </w:r>
            <w:r w:rsidRPr="00A66448">
              <w:rPr>
                <w:rFonts w:hint="eastAsia"/>
                <w:szCs w:val="28"/>
              </w:rPr>
              <w:t>:</w:t>
            </w:r>
            <w:r w:rsidRPr="00A66448">
              <w:rPr>
                <w:rFonts w:hAnsi="標楷體" w:hint="eastAsia"/>
                <w:szCs w:val="28"/>
              </w:rPr>
              <w:t>發現奈米金銀合金催化之協同效應</w:t>
            </w:r>
          </w:p>
          <w:p w:rsidR="00D26B2A" w:rsidRPr="00A66448" w:rsidRDefault="00D26B2A" w:rsidP="00A66448">
            <w:pPr>
              <w:tabs>
                <w:tab w:val="left" w:pos="720"/>
              </w:tabs>
              <w:snapToGrid w:val="0"/>
              <w:spacing w:line="240" w:lineRule="atLeast"/>
              <w:rPr>
                <w:rFonts w:hint="eastAsia"/>
                <w:szCs w:val="28"/>
              </w:rPr>
            </w:pPr>
            <w:r w:rsidRPr="00A66448">
              <w:rPr>
                <w:rFonts w:hAnsi="標楷體"/>
                <w:szCs w:val="28"/>
              </w:rPr>
              <w:t>超冷的水</w:t>
            </w:r>
            <w:r w:rsidRPr="00A66448">
              <w:rPr>
                <w:rFonts w:hint="eastAsia"/>
                <w:szCs w:val="28"/>
              </w:rPr>
              <w:t>:</w:t>
            </w:r>
            <w:r w:rsidRPr="00A66448">
              <w:rPr>
                <w:rFonts w:hAnsi="標楷體"/>
                <w:szCs w:val="28"/>
              </w:rPr>
              <w:t>開啟研究新領域</w:t>
            </w:r>
          </w:p>
          <w:p w:rsidR="00D26B2A" w:rsidRPr="00A66448" w:rsidRDefault="00D26B2A" w:rsidP="00A66448">
            <w:pPr>
              <w:tabs>
                <w:tab w:val="left" w:pos="720"/>
              </w:tabs>
              <w:snapToGrid w:val="0"/>
              <w:spacing w:line="240" w:lineRule="atLeast"/>
              <w:rPr>
                <w:rFonts w:hint="eastAsia"/>
                <w:szCs w:val="28"/>
              </w:rPr>
            </w:pPr>
            <w:r w:rsidRPr="00A66448">
              <w:rPr>
                <w:rFonts w:hAnsi="標楷體"/>
                <w:szCs w:val="28"/>
              </w:rPr>
              <w:t>奈米生醫研究</w:t>
            </w:r>
            <w:r w:rsidRPr="00A66448">
              <w:rPr>
                <w:rFonts w:hAnsi="標楷體" w:hint="eastAsia"/>
                <w:szCs w:val="28"/>
              </w:rPr>
              <w:t>：</w:t>
            </w:r>
            <w:r w:rsidRPr="00A66448">
              <w:rPr>
                <w:rFonts w:hAnsi="標楷體"/>
                <w:szCs w:val="28"/>
              </w:rPr>
              <w:t>以奈米孔洞</w:t>
            </w:r>
            <w:r w:rsidRPr="00A66448">
              <w:rPr>
                <w:rFonts w:hint="eastAsia"/>
                <w:szCs w:val="28"/>
              </w:rPr>
              <w:t>silica</w:t>
            </w:r>
            <w:r w:rsidRPr="00A66448">
              <w:rPr>
                <w:rFonts w:hAnsi="標楷體"/>
                <w:szCs w:val="28"/>
              </w:rPr>
              <w:t>作為載具</w:t>
            </w:r>
            <w:r w:rsidRPr="00A66448">
              <w:rPr>
                <w:rFonts w:hAnsi="標楷體" w:hint="eastAsia"/>
                <w:szCs w:val="28"/>
              </w:rPr>
              <w:t>，</w:t>
            </w:r>
            <w:r w:rsidRPr="00A66448">
              <w:rPr>
                <w:rFonts w:hAnsi="標楷體"/>
                <w:szCs w:val="28"/>
              </w:rPr>
              <w:t>研究細胞的追蹤技術</w:t>
            </w:r>
          </w:p>
          <w:p w:rsidR="00D26B2A" w:rsidRPr="00A66448" w:rsidRDefault="00D26B2A" w:rsidP="00A66448">
            <w:pPr>
              <w:tabs>
                <w:tab w:val="left" w:pos="720"/>
              </w:tabs>
              <w:snapToGrid w:val="0"/>
              <w:spacing w:line="240" w:lineRule="atLeast"/>
              <w:rPr>
                <w:rFonts w:hint="eastAsia"/>
                <w:szCs w:val="28"/>
              </w:rPr>
            </w:pPr>
            <w:r w:rsidRPr="00A66448">
              <w:rPr>
                <w:rFonts w:hAnsi="標楷體" w:hint="eastAsia"/>
                <w:szCs w:val="28"/>
              </w:rPr>
              <w:t>以上多項均</w:t>
            </w:r>
            <w:r w:rsidRPr="00A66448">
              <w:rPr>
                <w:rFonts w:hAnsi="標楷體"/>
                <w:szCs w:val="28"/>
              </w:rPr>
              <w:t>發表回顧論文</w:t>
            </w:r>
            <w:r w:rsidRPr="00A66448">
              <w:rPr>
                <w:rFonts w:hAnsi="標楷體" w:hint="eastAsia"/>
                <w:szCs w:val="28"/>
              </w:rPr>
              <w:t>。</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何文壽</w:t>
            </w:r>
          </w:p>
        </w:tc>
        <w:tc>
          <w:tcPr>
            <w:tcW w:w="7920"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何"/>
              </w:smartTagPr>
              <w:r w:rsidRPr="00A66448">
                <w:rPr>
                  <w:szCs w:val="28"/>
                </w:rPr>
                <w:t>何</w:t>
              </w:r>
            </w:smartTag>
            <w:r w:rsidRPr="00A66448">
              <w:rPr>
                <w:rFonts w:hint="eastAsia"/>
                <w:szCs w:val="28"/>
              </w:rPr>
              <w:t>教授</w:t>
            </w:r>
            <w:r w:rsidRPr="00A66448">
              <w:rPr>
                <w:szCs w:val="28"/>
              </w:rPr>
              <w:t>領導全球創新分離科技、氣體處理研發並商業化、新式薄膜與應用，多年來貢獻卓越。研發出二氧化碳選擇性的膜，首創最高純度氫氣。研發出</w:t>
            </w:r>
            <w:r w:rsidRPr="00A66448">
              <w:rPr>
                <w:bCs/>
                <w:szCs w:val="28"/>
              </w:rPr>
              <w:t>支撐式</w:t>
            </w:r>
            <w:r w:rsidRPr="00A66448">
              <w:rPr>
                <w:szCs w:val="28"/>
              </w:rPr>
              <w:t>液膜，能最有效來處理廢水。他與同事研發並商業化氣體處理，解決硫磺排放及酸雨問題。</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李克昭</w:t>
            </w:r>
          </w:p>
        </w:tc>
        <w:tc>
          <w:tcPr>
            <w:tcW w:w="7920" w:type="dxa"/>
            <w:shd w:val="clear" w:color="auto" w:fill="auto"/>
          </w:tcPr>
          <w:p w:rsidR="00D26B2A" w:rsidRPr="00A66448" w:rsidRDefault="00D26B2A" w:rsidP="00A66448">
            <w:pPr>
              <w:snapToGrid w:val="0"/>
              <w:spacing w:line="240" w:lineRule="atLeast"/>
              <w:ind w:rightChars="38" w:right="106" w:firstLineChars="200" w:firstLine="560"/>
              <w:rPr>
                <w:rFonts w:cs="新細明體"/>
                <w:color w:val="000000"/>
                <w:szCs w:val="28"/>
              </w:rPr>
            </w:pPr>
            <w:smartTag w:uri="urn:schemas-microsoft-com:office:smarttags" w:element="PersonName">
              <w:smartTagPr>
                <w:attr w:name="ProductID" w:val="李"/>
              </w:smartTagPr>
              <w:r w:rsidRPr="00A66448">
                <w:rPr>
                  <w:rFonts w:hAnsi="MS Mincho" w:cs="新細明體" w:hint="eastAsia"/>
                  <w:color w:val="000000"/>
                  <w:szCs w:val="28"/>
                </w:rPr>
                <w:t>李</w:t>
              </w:r>
            </w:smartTag>
            <w:r w:rsidRPr="00A66448">
              <w:rPr>
                <w:rFonts w:hAnsi="MS Mincho" w:cs="新細明體" w:hint="eastAsia"/>
                <w:color w:val="000000"/>
                <w:szCs w:val="28"/>
              </w:rPr>
              <w:t>教授的原創</w:t>
            </w:r>
            <w:r w:rsidRPr="00A66448">
              <w:rPr>
                <w:rFonts w:hAnsi="MS Mincho" w:cs="MS Mincho" w:hint="eastAsia"/>
                <w:szCs w:val="28"/>
              </w:rPr>
              <w:t>力及</w:t>
            </w:r>
            <w:r w:rsidRPr="00A66448">
              <w:rPr>
                <w:rFonts w:hAnsi="MS Mincho" w:cs="新細明體" w:hint="eastAsia"/>
                <w:color w:val="000000"/>
                <w:szCs w:val="28"/>
              </w:rPr>
              <w:t>非</w:t>
            </w:r>
            <w:r w:rsidRPr="00A66448">
              <w:rPr>
                <w:rStyle w:val="shorttext"/>
                <w:rFonts w:hAnsi="MS Mincho" w:cs="MS Mincho" w:hint="eastAsia"/>
                <w:szCs w:val="28"/>
              </w:rPr>
              <w:t>傳</w:t>
            </w:r>
            <w:r w:rsidRPr="00A66448">
              <w:rPr>
                <w:rFonts w:hAnsi="MS Mincho" w:cs="新細明體" w:hint="eastAsia"/>
                <w:color w:val="000000"/>
                <w:szCs w:val="28"/>
              </w:rPr>
              <w:t>統方法開</w:t>
            </w:r>
            <w:r w:rsidRPr="00A66448">
              <w:rPr>
                <w:rFonts w:hAnsi="細明體" w:cs="細明體" w:hint="eastAsia"/>
                <w:color w:val="000000"/>
                <w:szCs w:val="28"/>
              </w:rPr>
              <w:t>啟</w:t>
            </w:r>
            <w:r w:rsidRPr="00A66448">
              <w:rPr>
                <w:rFonts w:hAnsi="MS Mincho" w:cs="新細明體" w:hint="eastAsia"/>
                <w:color w:val="000000"/>
                <w:szCs w:val="28"/>
              </w:rPr>
              <w:t>了</w:t>
            </w:r>
            <w:r w:rsidRPr="00A66448">
              <w:rPr>
                <w:rStyle w:val="shorttext"/>
                <w:rFonts w:hAnsi="MS Mincho" w:hint="eastAsia"/>
                <w:szCs w:val="28"/>
              </w:rPr>
              <w:t>新</w:t>
            </w:r>
            <w:r w:rsidRPr="00A66448">
              <w:rPr>
                <w:rFonts w:hAnsi="MS Mincho" w:cs="新細明體" w:hint="eastAsia"/>
                <w:color w:val="000000"/>
                <w:szCs w:val="28"/>
              </w:rPr>
              <w:t>統計領</w:t>
            </w:r>
            <w:r w:rsidRPr="00A66448">
              <w:rPr>
                <w:rFonts w:ascii="標楷體" w:hAnsi="標楷體" w:cs="新細明體" w:hint="eastAsia"/>
                <w:color w:val="000000"/>
                <w:szCs w:val="28"/>
              </w:rPr>
              <w:t>域，</w:t>
            </w:r>
            <w:r w:rsidRPr="00A66448">
              <w:rPr>
                <w:rFonts w:hAnsi="MS Mincho" w:hint="eastAsia"/>
                <w:szCs w:val="28"/>
              </w:rPr>
              <w:t>確</w:t>
            </w:r>
            <w:r w:rsidRPr="00A66448">
              <w:rPr>
                <w:rFonts w:hAnsi="MS Mincho" w:cs="MS Mincho" w:hint="eastAsia"/>
                <w:szCs w:val="28"/>
              </w:rPr>
              <w:t>立</w:t>
            </w:r>
            <w:r w:rsidRPr="00A66448">
              <w:rPr>
                <w:rFonts w:hAnsi="MS Mincho" w:cs="新細明體" w:hint="eastAsia"/>
                <w:color w:val="000000"/>
                <w:szCs w:val="28"/>
              </w:rPr>
              <w:t>了</w:t>
            </w:r>
            <w:r w:rsidRPr="00A66448">
              <w:rPr>
                <w:szCs w:val="28"/>
              </w:rPr>
              <w:t>Stein</w:t>
            </w:r>
            <w:r w:rsidRPr="00A66448">
              <w:rPr>
                <w:rFonts w:hAnsi="MS Mincho" w:hint="eastAsia"/>
                <w:szCs w:val="28"/>
              </w:rPr>
              <w:t>估計</w:t>
            </w:r>
            <w:r w:rsidRPr="00A66448">
              <w:rPr>
                <w:rFonts w:hAnsi="MS Mincho" w:cs="MS Mincho" w:hint="eastAsia"/>
                <w:szCs w:val="28"/>
              </w:rPr>
              <w:t>和</w:t>
            </w:r>
            <w:r w:rsidRPr="00A66448">
              <w:rPr>
                <w:rFonts w:hAnsi="MS Mincho" w:cs="Arial" w:hint="eastAsia"/>
                <w:color w:val="262626"/>
                <w:szCs w:val="28"/>
              </w:rPr>
              <w:t>廣義交叉驗證</w:t>
            </w:r>
            <w:r w:rsidRPr="00A66448">
              <w:rPr>
                <w:rStyle w:val="shorttext"/>
                <w:rFonts w:hAnsi="MS Mincho" w:hint="eastAsia"/>
                <w:szCs w:val="28"/>
              </w:rPr>
              <w:t>的關</w:t>
            </w:r>
            <w:r w:rsidRPr="00A66448">
              <w:rPr>
                <w:rStyle w:val="shorttext"/>
                <w:rFonts w:ascii="標楷體" w:hAnsi="標楷體" w:cs="MS Mincho" w:hint="eastAsia"/>
                <w:szCs w:val="28"/>
              </w:rPr>
              <w:t>係</w:t>
            </w:r>
            <w:r w:rsidRPr="00A66448">
              <w:rPr>
                <w:rFonts w:ascii="標楷體" w:hAnsi="標楷體" w:cs="Arial" w:hint="eastAsia"/>
                <w:color w:val="262626"/>
                <w:szCs w:val="28"/>
              </w:rPr>
              <w:t>，</w:t>
            </w:r>
            <w:r w:rsidRPr="00A66448">
              <w:rPr>
                <w:rFonts w:hAnsi="MS Mincho" w:cs="MS Mincho" w:hint="eastAsia"/>
                <w:szCs w:val="28"/>
              </w:rPr>
              <w:t>又</w:t>
            </w:r>
            <w:r w:rsidRPr="00A66448">
              <w:rPr>
                <w:rFonts w:hAnsi="MS Mincho" w:cs="Arial" w:hint="eastAsia"/>
                <w:color w:val="262626"/>
                <w:szCs w:val="28"/>
              </w:rPr>
              <w:t>創造了有效的降維方法。</w:t>
            </w:r>
            <w:r w:rsidRPr="00A66448">
              <w:rPr>
                <w:rFonts w:hAnsi="MS Mincho" w:cs="新細明體" w:hint="eastAsia"/>
                <w:color w:val="000000"/>
                <w:szCs w:val="28"/>
              </w:rPr>
              <w:t>他</w:t>
            </w:r>
            <w:r w:rsidRPr="00A66448">
              <w:rPr>
                <w:rFonts w:hAnsi="MS Mincho" w:cs="Arial" w:hint="eastAsia"/>
                <w:color w:val="262626"/>
                <w:szCs w:val="28"/>
              </w:rPr>
              <w:t>在生物資訊</w:t>
            </w:r>
            <w:r w:rsidRPr="00A66448">
              <w:rPr>
                <w:rFonts w:hAnsi="MS Mincho" w:cs="MS Mincho" w:hint="eastAsia"/>
                <w:szCs w:val="28"/>
              </w:rPr>
              <w:t>及</w:t>
            </w:r>
            <w:r w:rsidRPr="00A66448">
              <w:rPr>
                <w:rFonts w:hAnsi="MS Mincho" w:cs="Arial" w:hint="eastAsia"/>
                <w:color w:val="262626"/>
                <w:szCs w:val="28"/>
              </w:rPr>
              <w:t>癌症基因體</w:t>
            </w:r>
            <w:r w:rsidRPr="00A66448">
              <w:rPr>
                <w:rFonts w:hAnsi="MS Mincho" w:hint="eastAsia"/>
                <w:szCs w:val="28"/>
              </w:rPr>
              <w:t>數</w:t>
            </w:r>
            <w:r w:rsidRPr="00A66448">
              <w:rPr>
                <w:rFonts w:hAnsi="MS Mincho" w:cs="MS Mincho" w:hint="eastAsia"/>
                <w:szCs w:val="28"/>
              </w:rPr>
              <w:t>據</w:t>
            </w:r>
            <w:r w:rsidRPr="00A66448">
              <w:rPr>
                <w:rFonts w:hAnsi="MS Mincho" w:cs="Arial" w:hint="eastAsia"/>
                <w:color w:val="262626"/>
                <w:szCs w:val="28"/>
              </w:rPr>
              <w:t>的研究也得到</w:t>
            </w:r>
            <w:r w:rsidRPr="00A66448">
              <w:rPr>
                <w:rFonts w:hAnsi="MS Mincho" w:hint="eastAsia"/>
                <w:szCs w:val="28"/>
              </w:rPr>
              <w:t>重</w:t>
            </w:r>
            <w:r w:rsidRPr="00A66448">
              <w:rPr>
                <w:rFonts w:hAnsi="MS Mincho" w:cs="MS Mincho" w:hint="eastAsia"/>
                <w:szCs w:val="28"/>
              </w:rPr>
              <w:t>大</w:t>
            </w:r>
            <w:r w:rsidRPr="00A66448">
              <w:rPr>
                <w:rFonts w:hAnsi="MS Mincho" w:hint="eastAsia"/>
                <w:szCs w:val="28"/>
              </w:rPr>
              <w:t>成</w:t>
            </w:r>
            <w:r w:rsidRPr="00A66448">
              <w:rPr>
                <w:rFonts w:hAnsi="MS Mincho" w:cs="MS Mincho" w:hint="eastAsia"/>
                <w:szCs w:val="28"/>
              </w:rPr>
              <w:t>果</w:t>
            </w:r>
            <w:r w:rsidRPr="00A66448">
              <w:rPr>
                <w:rFonts w:hAnsi="MS Mincho" w:cs="Arial" w:hint="eastAsia"/>
                <w:color w:val="262626"/>
                <w:szCs w:val="28"/>
              </w:rPr>
              <w:t>。</w:t>
            </w:r>
          </w:p>
          <w:p w:rsidR="00D26B2A" w:rsidRPr="00A66448" w:rsidRDefault="00D26B2A" w:rsidP="00A66448">
            <w:pPr>
              <w:snapToGrid w:val="0"/>
              <w:spacing w:line="240" w:lineRule="atLeast"/>
              <w:ind w:leftChars="38" w:left="106" w:rightChars="38" w:right="106" w:firstLineChars="109" w:firstLine="305"/>
              <w:rPr>
                <w:rFonts w:cs="新細明體"/>
                <w:color w:val="000000"/>
                <w:szCs w:val="28"/>
              </w:rPr>
            </w:pPr>
            <w:smartTag w:uri="urn:schemas-microsoft-com:office:smarttags" w:element="PersonName">
              <w:smartTagPr>
                <w:attr w:name="ProductID" w:val="李"/>
              </w:smartTagPr>
              <w:r w:rsidRPr="00A66448">
                <w:rPr>
                  <w:rFonts w:hAnsi="MS Mincho" w:cs="新細明體" w:hint="eastAsia"/>
                  <w:color w:val="000000"/>
                  <w:szCs w:val="28"/>
                </w:rPr>
                <w:t>李</w:t>
              </w:r>
            </w:smartTag>
            <w:r w:rsidRPr="00A66448">
              <w:rPr>
                <w:rFonts w:hAnsi="MS Mincho" w:cs="新細明體" w:hint="eastAsia"/>
                <w:color w:val="000000"/>
                <w:szCs w:val="28"/>
              </w:rPr>
              <w:t>教授的領導能力幫助</w:t>
            </w:r>
            <w:r w:rsidRPr="00A66448">
              <w:rPr>
                <w:rFonts w:hAnsi="MS Mincho" w:cs="Arial" w:hint="eastAsia"/>
                <w:color w:val="262626"/>
                <w:szCs w:val="28"/>
              </w:rPr>
              <w:t>了</w:t>
            </w:r>
            <w:r w:rsidRPr="00A66448">
              <w:rPr>
                <w:rFonts w:hAnsi="MS Mincho" w:cs="新細明體" w:hint="eastAsia"/>
                <w:color w:val="000000"/>
                <w:szCs w:val="28"/>
              </w:rPr>
              <w:t>統計所鞏固其在世界上的頂</w:t>
            </w:r>
            <w:r w:rsidRPr="00A66448">
              <w:rPr>
                <w:rFonts w:hAnsi="MS Mincho" w:cs="新細明體" w:hint="eastAsia"/>
                <w:color w:val="000000"/>
                <w:szCs w:val="28"/>
              </w:rPr>
              <w:lastRenderedPageBreak/>
              <w:t>尖地位。</w:t>
            </w:r>
          </w:p>
          <w:p w:rsidR="00D26B2A" w:rsidRPr="00A66448" w:rsidRDefault="00D26B2A" w:rsidP="00A66448">
            <w:pPr>
              <w:snapToGrid w:val="0"/>
              <w:spacing w:line="240" w:lineRule="atLeast"/>
              <w:rPr>
                <w:rFonts w:hint="eastAsia"/>
                <w:szCs w:val="28"/>
              </w:rPr>
            </w:pPr>
            <w:r w:rsidRPr="00A66448">
              <w:rPr>
                <w:rFonts w:hint="eastAsia"/>
                <w:szCs w:val="28"/>
              </w:rPr>
              <w:t xml:space="preserve">   </w:t>
            </w:r>
            <w:r w:rsidRPr="00A66448">
              <w:rPr>
                <w:rFonts w:hint="eastAsia"/>
                <w:szCs w:val="28"/>
              </w:rPr>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李定國</w:t>
            </w:r>
          </w:p>
        </w:tc>
        <w:tc>
          <w:tcPr>
            <w:tcW w:w="7920" w:type="dxa"/>
            <w:shd w:val="clear" w:color="auto" w:fill="auto"/>
          </w:tcPr>
          <w:p w:rsidR="00D26B2A" w:rsidRPr="00A66448" w:rsidRDefault="00D26B2A" w:rsidP="00A66448">
            <w:pPr>
              <w:tabs>
                <w:tab w:val="left" w:pos="5981"/>
              </w:tabs>
              <w:snapToGrid w:val="0"/>
              <w:spacing w:line="240" w:lineRule="atLeast"/>
              <w:ind w:leftChars="50" w:left="378" w:hangingChars="85" w:hanging="238"/>
              <w:rPr>
                <w:szCs w:val="28"/>
              </w:rPr>
            </w:pPr>
            <w:r w:rsidRPr="00A66448">
              <w:rPr>
                <w:rFonts w:hint="eastAsia"/>
                <w:szCs w:val="28"/>
              </w:rPr>
              <w:t>1.</w:t>
            </w:r>
            <w:r w:rsidRPr="00A66448">
              <w:rPr>
                <w:rFonts w:hint="eastAsia"/>
                <w:szCs w:val="28"/>
              </w:rPr>
              <w:t>李教授是台灣最傑出的凝態理論物理學家也是世界頂尖的一群。他也是極少數能與實驗學者合作良好的理論學家。以變分法及對物理的深入理解與直覺，</w:t>
            </w:r>
            <w:r w:rsidRPr="00A66448">
              <w:rPr>
                <w:szCs w:val="28"/>
              </w:rPr>
              <w:t>對高溫超導</w:t>
            </w:r>
            <w:r w:rsidRPr="00A66448">
              <w:rPr>
                <w:rFonts w:hint="eastAsia"/>
                <w:szCs w:val="28"/>
              </w:rPr>
              <w:t>現象</w:t>
            </w:r>
            <w:r w:rsidRPr="00A66448">
              <w:rPr>
                <w:szCs w:val="28"/>
              </w:rPr>
              <w:t>的瞭解</w:t>
            </w:r>
            <w:r w:rsidRPr="00A66448">
              <w:rPr>
                <w:rFonts w:hint="eastAsia"/>
                <w:szCs w:val="28"/>
              </w:rPr>
              <w:t>提供了</w:t>
            </w:r>
            <w:r w:rsidRPr="00A66448">
              <w:rPr>
                <w:szCs w:val="28"/>
              </w:rPr>
              <w:t>特殊的貢獻</w:t>
            </w:r>
            <w:r w:rsidRPr="00A66448">
              <w:rPr>
                <w:rFonts w:hint="eastAsia"/>
                <w:szCs w:val="28"/>
              </w:rPr>
              <w:t>。對</w:t>
            </w:r>
            <w:r w:rsidRPr="00A66448">
              <w:rPr>
                <w:rFonts w:hint="eastAsia"/>
                <w:szCs w:val="28"/>
              </w:rPr>
              <w:t>t-J</w:t>
            </w:r>
            <w:r w:rsidRPr="00A66448">
              <w:rPr>
                <w:rFonts w:hint="eastAsia"/>
                <w:szCs w:val="28"/>
              </w:rPr>
              <w:t>模型作了很多深入的探討，在磁性與超導的競合方面的研究工作，解釋了高溫超導體的相圖、懸疑多年的條紋態構成的原因、以及電洞長距離跳躍因素對超導的重要性。它的重要貢獻是奠定了</w:t>
            </w:r>
            <w:r w:rsidRPr="00A66448">
              <w:rPr>
                <w:rFonts w:hint="eastAsia"/>
                <w:szCs w:val="28"/>
              </w:rPr>
              <w:t xml:space="preserve"> t-J </w:t>
            </w:r>
            <w:r w:rsidRPr="00A66448">
              <w:rPr>
                <w:rFonts w:hint="eastAsia"/>
                <w:szCs w:val="28"/>
              </w:rPr>
              <w:t>模型為研究高溫超導體最主要的基礎模型。</w:t>
            </w:r>
          </w:p>
          <w:p w:rsidR="00D26B2A" w:rsidRPr="00A66448" w:rsidRDefault="00D26B2A" w:rsidP="00A66448">
            <w:pPr>
              <w:tabs>
                <w:tab w:val="left" w:pos="5981"/>
              </w:tabs>
              <w:snapToGrid w:val="0"/>
              <w:spacing w:line="240" w:lineRule="atLeast"/>
              <w:ind w:leftChars="50" w:left="378" w:hangingChars="85" w:hanging="238"/>
              <w:rPr>
                <w:szCs w:val="28"/>
              </w:rPr>
            </w:pPr>
            <w:r w:rsidRPr="00A66448">
              <w:rPr>
                <w:rFonts w:hint="eastAsia"/>
                <w:szCs w:val="28"/>
              </w:rPr>
              <w:t>2.</w:t>
            </w:r>
            <w:r w:rsidRPr="00A66448">
              <w:rPr>
                <w:rFonts w:hint="eastAsia"/>
                <w:szCs w:val="28"/>
              </w:rPr>
              <w:t>李教授是世界知名的學者並具有推動科學政策與管理的長才。曾擔任新成立國家理論科學中心物理組主任六年，積極推動國內物理界發展新的</w:t>
            </w:r>
            <w:r w:rsidRPr="00A66448">
              <w:rPr>
                <w:szCs w:val="28"/>
              </w:rPr>
              <w:t>研究</w:t>
            </w:r>
            <w:r w:rsidRPr="00A66448">
              <w:rPr>
                <w:rFonts w:hint="eastAsia"/>
                <w:szCs w:val="28"/>
              </w:rPr>
              <w:t>領域如介觀物理（或奈米物理）、計算材料及生物物理</w:t>
            </w:r>
            <w:r w:rsidRPr="00A66448">
              <w:rPr>
                <w:szCs w:val="28"/>
              </w:rPr>
              <w:t>等</w:t>
            </w:r>
            <w:r w:rsidRPr="00A66448">
              <w:rPr>
                <w:rFonts w:hint="eastAsia"/>
                <w:szCs w:val="28"/>
              </w:rPr>
              <w:t>。此外被李教授在</w:t>
            </w:r>
            <w:r w:rsidRPr="00A66448">
              <w:rPr>
                <w:rFonts w:hint="eastAsia"/>
                <w:szCs w:val="28"/>
              </w:rPr>
              <w:t>2004</w:t>
            </w:r>
            <w:r w:rsidRPr="00A66448">
              <w:rPr>
                <w:rFonts w:hint="eastAsia"/>
                <w:szCs w:val="28"/>
              </w:rPr>
              <w:t>年至</w:t>
            </w:r>
            <w:r w:rsidRPr="00A66448">
              <w:rPr>
                <w:rFonts w:hint="eastAsia"/>
                <w:szCs w:val="28"/>
              </w:rPr>
              <w:t>2006</w:t>
            </w:r>
            <w:r w:rsidRPr="00A66448">
              <w:rPr>
                <w:rFonts w:hint="eastAsia"/>
                <w:szCs w:val="28"/>
              </w:rPr>
              <w:t>年擔任奈米國家型計畫總主持人，擔負整合、規劃及推動國內奈米科技研發。</w:t>
            </w:r>
            <w:r w:rsidRPr="00A66448">
              <w:rPr>
                <w:szCs w:val="28"/>
              </w:rPr>
              <w:t>於</w:t>
            </w:r>
            <w:r w:rsidRPr="00A66448">
              <w:rPr>
                <w:szCs w:val="28"/>
              </w:rPr>
              <w:t>2007</w:t>
            </w:r>
            <w:r w:rsidRPr="00A66448">
              <w:rPr>
                <w:szCs w:val="28"/>
              </w:rPr>
              <w:t>年</w:t>
            </w:r>
            <w:r w:rsidRPr="00A66448">
              <w:rPr>
                <w:rFonts w:hint="eastAsia"/>
                <w:szCs w:val="28"/>
              </w:rPr>
              <w:t>李教授是</w:t>
            </w:r>
            <w:r w:rsidRPr="00A66448">
              <w:rPr>
                <w:szCs w:val="28"/>
              </w:rPr>
              <w:t>首位同時擔任</w:t>
            </w:r>
            <w:r w:rsidRPr="00A66448">
              <w:rPr>
                <w:rFonts w:hint="eastAsia"/>
                <w:szCs w:val="28"/>
              </w:rPr>
              <w:t>中研院學術諮詢總會執行秘書及學術事務組主任，協助院方推動與執行各項追求學術卓越政策。</w:t>
            </w:r>
          </w:p>
          <w:p w:rsidR="00D26B2A" w:rsidRPr="00A66448" w:rsidRDefault="00D26B2A" w:rsidP="00A66448">
            <w:pPr>
              <w:snapToGrid w:val="0"/>
              <w:spacing w:line="240" w:lineRule="atLeast"/>
              <w:rPr>
                <w:rFonts w:hint="eastAsia"/>
                <w:szCs w:val="28"/>
              </w:rPr>
            </w:pPr>
            <w:r w:rsidRPr="00A66448">
              <w:rPr>
                <w:rFonts w:hint="eastAsia"/>
                <w:szCs w:val="28"/>
              </w:rPr>
              <w:t xml:space="preserve">    </w:t>
            </w: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李琳山</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李"/>
              </w:smartTagPr>
              <w:r w:rsidRPr="00A66448">
                <w:rPr>
                  <w:rFonts w:hint="eastAsia"/>
                  <w:szCs w:val="28"/>
                </w:rPr>
                <w:t>李</w:t>
              </w:r>
            </w:smartTag>
            <w:r w:rsidRPr="00A66448">
              <w:rPr>
                <w:rFonts w:hint="eastAsia"/>
                <w:szCs w:val="28"/>
              </w:rPr>
              <w:t>教授對於專習之學術，有特殊著作、發明或貢獻。他在國內推動資訊、電機、電信相關領域發展之關鍵年代，在不同崗位上建立諸多典章制度，為國內相關領域領袖人物之一，對國內資訊、電機、電信領域之發展貢獻卓著。</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李澤元</w:t>
            </w:r>
          </w:p>
        </w:tc>
        <w:tc>
          <w:tcPr>
            <w:tcW w:w="7920" w:type="dxa"/>
            <w:shd w:val="clear" w:color="auto" w:fill="auto"/>
          </w:tcPr>
          <w:p w:rsidR="00D26B2A" w:rsidRPr="00A66448" w:rsidRDefault="00D26B2A" w:rsidP="00A66448">
            <w:pPr>
              <w:tabs>
                <w:tab w:val="left" w:pos="152"/>
              </w:tabs>
              <w:snapToGrid w:val="0"/>
              <w:spacing w:line="240" w:lineRule="atLeast"/>
              <w:ind w:leftChars="26" w:left="73" w:firstLineChars="200" w:firstLine="560"/>
              <w:rPr>
                <w:rFonts w:hint="eastAsia"/>
                <w:color w:val="0F243E"/>
                <w:szCs w:val="28"/>
              </w:rPr>
            </w:pPr>
            <w:smartTag w:uri="urn:schemas-microsoft-com:office:smarttags" w:element="PersonName">
              <w:smartTagPr>
                <w:attr w:name="ProductID" w:val="李"/>
              </w:smartTagPr>
              <w:r w:rsidRPr="00A66448">
                <w:rPr>
                  <w:rFonts w:hint="eastAsia"/>
                  <w:szCs w:val="28"/>
                </w:rPr>
                <w:t>李</w:t>
              </w:r>
            </w:smartTag>
            <w:r w:rsidRPr="00A66448">
              <w:rPr>
                <w:rFonts w:hint="eastAsia"/>
                <w:szCs w:val="28"/>
              </w:rPr>
              <w:t>教授在高頻電能轉換和電力電子系統上的貢獻，已對全世界眾多工業的根本產生重大影響。他的軟切換技術領</w:t>
            </w:r>
            <w:r w:rsidRPr="00A66448">
              <w:rPr>
                <w:rFonts w:ascii="標楷體" w:hAnsi="標楷體" w:hint="eastAsia"/>
                <w:szCs w:val="28"/>
              </w:rPr>
              <w:t>域，</w:t>
            </w:r>
            <w:r w:rsidRPr="00A66448">
              <w:rPr>
                <w:rFonts w:cs="Arial" w:hint="eastAsia"/>
                <w:szCs w:val="28"/>
              </w:rPr>
              <w:t>已成為現代電力電子設備的核心技術</w:t>
            </w:r>
            <w:r w:rsidRPr="00A66448">
              <w:rPr>
                <w:rFonts w:hint="eastAsia"/>
                <w:szCs w:val="28"/>
              </w:rPr>
              <w:t>，</w:t>
            </w:r>
            <w:smartTag w:uri="urn:schemas-microsoft-com:office:smarttags" w:element="PersonName">
              <w:smartTagPr>
                <w:attr w:name="ProductID" w:val="李"/>
              </w:smartTagPr>
              <w:r w:rsidRPr="00A66448">
                <w:rPr>
                  <w:rFonts w:hint="eastAsia"/>
                  <w:szCs w:val="28"/>
                </w:rPr>
                <w:t>李</w:t>
              </w:r>
            </w:smartTag>
            <w:r w:rsidRPr="00A66448">
              <w:rPr>
                <w:rFonts w:hint="eastAsia"/>
                <w:szCs w:val="28"/>
              </w:rPr>
              <w:t>教授之多相式電壓調節</w:t>
            </w:r>
            <w:r w:rsidRPr="00A66448">
              <w:rPr>
                <w:szCs w:val="28"/>
              </w:rPr>
              <w:t>模組</w:t>
            </w:r>
            <w:r w:rsidRPr="00A66448">
              <w:rPr>
                <w:rFonts w:hint="eastAsia"/>
                <w:szCs w:val="28"/>
              </w:rPr>
              <w:t>技術，已應用在每一台個人電腦與伺服器內，為了電力電子系統的集成與自動化大量生</w:t>
            </w:r>
            <w:r w:rsidRPr="00A66448">
              <w:rPr>
                <w:rFonts w:ascii="標楷體" w:hAnsi="標楷體" w:hint="eastAsia"/>
                <w:szCs w:val="28"/>
              </w:rPr>
              <w:t>產，</w:t>
            </w:r>
            <w:r w:rsidRPr="00A66448">
              <w:rPr>
                <w:rFonts w:hint="eastAsia"/>
                <w:szCs w:val="28"/>
              </w:rPr>
              <w:t>採用類似</w:t>
            </w:r>
            <w:r w:rsidRPr="00A66448">
              <w:rPr>
                <w:szCs w:val="28"/>
              </w:rPr>
              <w:t>微電子積體電路</w:t>
            </w:r>
            <w:r w:rsidRPr="00A66448">
              <w:rPr>
                <w:rFonts w:hint="eastAsia"/>
                <w:szCs w:val="28"/>
              </w:rPr>
              <w:t>之製作方式，開發出電力電子</w:t>
            </w:r>
            <w:r w:rsidRPr="00A66448">
              <w:rPr>
                <w:rFonts w:hAnsi="標楷體" w:cs="Arial" w:hint="eastAsia"/>
                <w:szCs w:val="28"/>
              </w:rPr>
              <w:t>集成模</w:t>
            </w:r>
            <w:r w:rsidRPr="00A66448">
              <w:rPr>
                <w:rFonts w:hint="eastAsia"/>
                <w:szCs w:val="28"/>
              </w:rPr>
              <w:t>組（</w:t>
            </w:r>
            <w:r w:rsidRPr="00A66448">
              <w:rPr>
                <w:rFonts w:hint="eastAsia"/>
                <w:szCs w:val="28"/>
              </w:rPr>
              <w:t>IPEMs</w:t>
            </w:r>
            <w:r w:rsidRPr="00A66448">
              <w:rPr>
                <w:rFonts w:hint="eastAsia"/>
                <w:szCs w:val="28"/>
              </w:rPr>
              <w:t>）。</w:t>
            </w:r>
            <w:r w:rsidRPr="00A66448">
              <w:rPr>
                <w:szCs w:val="28"/>
              </w:rPr>
              <w:t>現今台灣與中國在電力電子</w:t>
            </w:r>
            <w:r w:rsidRPr="00A66448">
              <w:rPr>
                <w:rFonts w:hint="eastAsia"/>
                <w:szCs w:val="28"/>
              </w:rPr>
              <w:t>居</w:t>
            </w:r>
            <w:r w:rsidRPr="00A66448">
              <w:rPr>
                <w:szCs w:val="28"/>
              </w:rPr>
              <w:t>世界領導</w:t>
            </w:r>
            <w:r w:rsidRPr="00A66448">
              <w:rPr>
                <w:rFonts w:hint="eastAsia"/>
                <w:szCs w:val="28"/>
              </w:rPr>
              <w:t>的地位</w:t>
            </w:r>
            <w:r w:rsidRPr="00A66448">
              <w:rPr>
                <w:szCs w:val="28"/>
              </w:rPr>
              <w:t>，</w:t>
            </w:r>
            <w:smartTag w:uri="urn:schemas-microsoft-com:office:smarttags" w:element="PersonName">
              <w:smartTagPr>
                <w:attr w:name="ProductID" w:val="李"/>
              </w:smartTagPr>
              <w:r w:rsidRPr="00A66448">
                <w:rPr>
                  <w:szCs w:val="28"/>
                </w:rPr>
                <w:lastRenderedPageBreak/>
                <w:t>李</w:t>
              </w:r>
            </w:smartTag>
            <w:r w:rsidRPr="00A66448">
              <w:rPr>
                <w:rFonts w:hint="eastAsia"/>
                <w:szCs w:val="28"/>
              </w:rPr>
              <w:t>教授的貢獻功不可沒</w:t>
            </w:r>
            <w:r w:rsidRPr="00A66448">
              <w:rPr>
                <w:szCs w:val="28"/>
              </w:rPr>
              <w:t>。</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周</w:t>
            </w:r>
            <w:r w:rsidRPr="00A66448">
              <w:rPr>
                <w:rFonts w:hint="eastAsia"/>
                <w:szCs w:val="28"/>
              </w:rPr>
              <w:t xml:space="preserve">  </w:t>
            </w:r>
            <w:r w:rsidRPr="00A66448">
              <w:rPr>
                <w:rFonts w:hint="eastAsia"/>
                <w:szCs w:val="28"/>
              </w:rPr>
              <w:t>郁</w:t>
            </w:r>
          </w:p>
        </w:tc>
        <w:tc>
          <w:tcPr>
            <w:tcW w:w="7920" w:type="dxa"/>
            <w:shd w:val="clear" w:color="auto" w:fill="auto"/>
          </w:tcPr>
          <w:p w:rsidR="00D26B2A" w:rsidRPr="00A66448" w:rsidRDefault="00D26B2A" w:rsidP="00A66448">
            <w:pPr>
              <w:tabs>
                <w:tab w:val="left" w:pos="1620"/>
                <w:tab w:val="left" w:pos="3240"/>
                <w:tab w:val="left" w:pos="4860"/>
                <w:tab w:val="left" w:pos="6480"/>
                <w:tab w:val="left" w:pos="8100"/>
              </w:tabs>
              <w:snapToGrid w:val="0"/>
              <w:spacing w:line="240" w:lineRule="atLeast"/>
              <w:ind w:left="542"/>
              <w:rPr>
                <w:szCs w:val="28"/>
              </w:rPr>
            </w:pPr>
            <w:smartTag w:uri="urn:schemas-microsoft-com:office:smarttags" w:element="PersonName">
              <w:smartTagPr>
                <w:attr w:name="ProductID" w:val="周"/>
              </w:smartTagPr>
              <w:r w:rsidRPr="00A66448">
                <w:rPr>
                  <w:rFonts w:hAnsi="標楷體" w:hint="eastAsia"/>
                  <w:szCs w:val="28"/>
                </w:rPr>
                <w:t>周</w:t>
              </w:r>
            </w:smartTag>
            <w:r w:rsidRPr="00A66448">
              <w:rPr>
                <w:rFonts w:hAnsi="標楷體" w:hint="eastAsia"/>
                <w:szCs w:val="28"/>
              </w:rPr>
              <w:t>教授是奈米科學和奈米技術方面的先驅者和創新者</w:t>
            </w:r>
            <w:r w:rsidRPr="00A66448">
              <w:rPr>
                <w:szCs w:val="28"/>
              </w:rPr>
              <w:t>:</w:t>
            </w:r>
          </w:p>
          <w:p w:rsidR="00D26B2A" w:rsidRPr="00A66448" w:rsidRDefault="00D26B2A" w:rsidP="00A66448">
            <w:pPr>
              <w:tabs>
                <w:tab w:val="left" w:pos="5981"/>
              </w:tabs>
              <w:snapToGrid w:val="0"/>
              <w:spacing w:line="240" w:lineRule="atLeast"/>
              <w:ind w:leftChars="50" w:left="378" w:hangingChars="85" w:hanging="238"/>
              <w:rPr>
                <w:szCs w:val="28"/>
              </w:rPr>
            </w:pPr>
            <w:r w:rsidRPr="00A66448">
              <w:rPr>
                <w:szCs w:val="28"/>
              </w:rPr>
              <w:t>1.</w:t>
            </w:r>
            <w:r w:rsidRPr="00A66448">
              <w:rPr>
                <w:rFonts w:hAnsi="標楷體" w:hint="eastAsia"/>
                <w:szCs w:val="28"/>
              </w:rPr>
              <w:t>發明</w:t>
            </w:r>
            <w:r w:rsidRPr="00A66448">
              <w:rPr>
                <w:rFonts w:hint="eastAsia"/>
                <w:szCs w:val="28"/>
              </w:rPr>
              <w:t>多種</w:t>
            </w:r>
            <w:r w:rsidRPr="00A66448">
              <w:rPr>
                <w:rFonts w:hAnsi="標楷體" w:hint="eastAsia"/>
                <w:szCs w:val="28"/>
              </w:rPr>
              <w:t>帶革命性的奈米製造方法和技術；</w:t>
            </w:r>
          </w:p>
          <w:p w:rsidR="00D26B2A" w:rsidRPr="00A66448" w:rsidRDefault="00D26B2A" w:rsidP="00A66448">
            <w:pPr>
              <w:tabs>
                <w:tab w:val="left" w:pos="5981"/>
              </w:tabs>
              <w:snapToGrid w:val="0"/>
              <w:spacing w:line="240" w:lineRule="atLeast"/>
              <w:ind w:leftChars="50" w:left="378" w:hangingChars="85" w:hanging="238"/>
              <w:rPr>
                <w:szCs w:val="28"/>
              </w:rPr>
            </w:pPr>
            <w:r w:rsidRPr="00A66448">
              <w:rPr>
                <w:szCs w:val="28"/>
              </w:rPr>
              <w:t>2.</w:t>
            </w:r>
            <w:r w:rsidRPr="00A66448">
              <w:rPr>
                <w:rFonts w:hAnsi="標楷體" w:hint="eastAsia"/>
                <w:szCs w:val="28"/>
              </w:rPr>
              <w:t>在奈米電子元件的設計及製造上做出了突破；</w:t>
            </w:r>
          </w:p>
          <w:p w:rsidR="00D26B2A" w:rsidRPr="00A66448" w:rsidRDefault="00D26B2A" w:rsidP="00A66448">
            <w:pPr>
              <w:tabs>
                <w:tab w:val="left" w:pos="5981"/>
              </w:tabs>
              <w:snapToGrid w:val="0"/>
              <w:spacing w:line="240" w:lineRule="atLeast"/>
              <w:ind w:leftChars="50" w:left="378" w:hangingChars="85" w:hanging="238"/>
              <w:rPr>
                <w:szCs w:val="28"/>
              </w:rPr>
            </w:pPr>
            <w:r w:rsidRPr="00A66448">
              <w:rPr>
                <w:szCs w:val="28"/>
              </w:rPr>
              <w:t>3.</w:t>
            </w:r>
            <w:r w:rsidRPr="00A66448">
              <w:rPr>
                <w:rFonts w:hAnsi="標楷體" w:hint="eastAsia"/>
                <w:szCs w:val="28"/>
              </w:rPr>
              <w:t>在納米磁儲存、奈米光子和奈米生物技術上做了創新的先驅工作。</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馬佐平</w:t>
            </w:r>
          </w:p>
        </w:tc>
        <w:tc>
          <w:tcPr>
            <w:tcW w:w="7920" w:type="dxa"/>
            <w:shd w:val="clear" w:color="auto" w:fill="auto"/>
          </w:tcPr>
          <w:p w:rsidR="00D26B2A" w:rsidRPr="00A66448" w:rsidRDefault="00D26B2A" w:rsidP="00A66448">
            <w:pPr>
              <w:autoSpaceDE w:val="0"/>
              <w:autoSpaceDN w:val="0"/>
              <w:snapToGrid w:val="0"/>
              <w:spacing w:line="240" w:lineRule="atLeast"/>
              <w:ind w:firstLineChars="200" w:firstLine="560"/>
              <w:rPr>
                <w:szCs w:val="28"/>
              </w:rPr>
            </w:pPr>
            <w:smartTag w:uri="urn:schemas-microsoft-com:office:smarttags" w:element="PersonName">
              <w:smartTagPr>
                <w:attr w:name="ProductID" w:val="馬"/>
              </w:smartTagPr>
              <w:r w:rsidRPr="00A66448">
                <w:rPr>
                  <w:rFonts w:hAnsi="SimSun" w:hint="eastAsia"/>
                  <w:szCs w:val="28"/>
                </w:rPr>
                <w:t>馬</w:t>
              </w:r>
            </w:smartTag>
            <w:r w:rsidRPr="00A66448">
              <w:rPr>
                <w:rFonts w:hAnsi="SimSun" w:hint="eastAsia"/>
                <w:szCs w:val="28"/>
              </w:rPr>
              <w:t>教授於其專習之學術上的著作包括他所編輯的書籍，為數本書所寫作的章節，及發表在專業期刊上共有一百多篇。其中</w:t>
            </w:r>
            <w:r w:rsidRPr="00A66448">
              <w:rPr>
                <w:rFonts w:cs="Arial"/>
                <w:szCs w:val="28"/>
              </w:rPr>
              <w:t>10</w:t>
            </w:r>
            <w:r w:rsidRPr="00A66448">
              <w:rPr>
                <w:rFonts w:hAnsi="SimSun" w:hint="eastAsia"/>
                <w:szCs w:val="28"/>
              </w:rPr>
              <w:t>篇具代表性的著作可在其網址（</w:t>
            </w:r>
            <w:r w:rsidRPr="00A66448">
              <w:rPr>
                <w:rFonts w:cs="Arial"/>
                <w:szCs w:val="28"/>
              </w:rPr>
              <w:t>www.eng.yale.edu/ma/10pub. 10pub.</w:t>
            </w:r>
            <w:r w:rsidRPr="00A66448">
              <w:rPr>
                <w:rFonts w:hAnsi="SimSun" w:hint="eastAsia"/>
                <w:szCs w:val="28"/>
              </w:rPr>
              <w:t>）下載及閱讀。</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Ansi="MS Mincho" w:cs="MS Mincho" w:hint="eastAsia"/>
                <w:szCs w:val="28"/>
              </w:rPr>
              <w:t>張</w:t>
            </w:r>
            <w:r w:rsidRPr="00A66448">
              <w:rPr>
                <w:rFonts w:hAnsi="MS Mincho" w:cs="MS Mincho" w:hint="eastAsia"/>
                <w:szCs w:val="28"/>
              </w:rPr>
              <w:t xml:space="preserve">  </w:t>
            </w:r>
            <w:r w:rsidRPr="00A66448">
              <w:rPr>
                <w:rFonts w:hAnsi="MS Mincho" w:cs="MS Mincho" w:hint="eastAsia"/>
                <w:szCs w:val="28"/>
              </w:rPr>
              <w:t>翔</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開闢了一個新的科學領域「超穎材料」，利用人工設計以實現自然界不存在的物理特性，如負折射係數材料。他成功地以實驗證明了這個嶄新的材料並打破了光學分辨率極限的難題。基於超穎材料的發現，他進一步的展現了超級透鏡和隱形斗篷，開發了單納米分辨率的光學成像技術，並製成世上發光直徑最小的雷射以及最小的光學調製器，成功地把科學和技術帶入新的維度。</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張聖容</w:t>
            </w:r>
          </w:p>
        </w:tc>
        <w:tc>
          <w:tcPr>
            <w:tcW w:w="7920"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教授目前是美國普林斯頓大學數學系</w:t>
            </w:r>
            <w:r w:rsidRPr="00A66448">
              <w:rPr>
                <w:spacing w:val="-4"/>
                <w:szCs w:val="28"/>
              </w:rPr>
              <w:t>Eugene Higgins</w:t>
            </w:r>
            <w:r w:rsidRPr="00A66448">
              <w:rPr>
                <w:rFonts w:hint="eastAsia"/>
                <w:szCs w:val="28"/>
              </w:rPr>
              <w:t>教授並擔任系主任職務。</w:t>
            </w: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教授在調和分析及幾何分析領域上有重大的學術成就。曾受邀於</w:t>
            </w:r>
            <w:r w:rsidRPr="00A66448">
              <w:rPr>
                <w:szCs w:val="28"/>
              </w:rPr>
              <w:t>1986</w:t>
            </w:r>
            <w:r w:rsidRPr="00A66448">
              <w:rPr>
                <w:rFonts w:hint="eastAsia"/>
                <w:szCs w:val="28"/>
              </w:rPr>
              <w:t>年、</w:t>
            </w:r>
            <w:r w:rsidRPr="00A66448">
              <w:rPr>
                <w:szCs w:val="28"/>
              </w:rPr>
              <w:t>2002</w:t>
            </w:r>
            <w:r w:rsidRPr="00A66448">
              <w:rPr>
                <w:rFonts w:hint="eastAsia"/>
                <w:szCs w:val="28"/>
              </w:rPr>
              <w:t>年在國際數學大會發表</w:t>
            </w:r>
            <w:r w:rsidRPr="00A66448">
              <w:rPr>
                <w:szCs w:val="28"/>
              </w:rPr>
              <w:t>45</w:t>
            </w:r>
            <w:r w:rsidRPr="00A66448">
              <w:rPr>
                <w:rFonts w:hint="eastAsia"/>
                <w:szCs w:val="28"/>
              </w:rPr>
              <w:t>分鐘及</w:t>
            </w:r>
            <w:r w:rsidRPr="00A66448">
              <w:rPr>
                <w:szCs w:val="28"/>
              </w:rPr>
              <w:t>1</w:t>
            </w:r>
            <w:r w:rsidRPr="00A66448">
              <w:rPr>
                <w:rFonts w:hint="eastAsia"/>
                <w:szCs w:val="28"/>
              </w:rPr>
              <w:t>小時的專題演講。於</w:t>
            </w:r>
            <w:r w:rsidRPr="00A66448">
              <w:rPr>
                <w:szCs w:val="28"/>
              </w:rPr>
              <w:t>1995</w:t>
            </w:r>
            <w:r w:rsidRPr="00A66448">
              <w:rPr>
                <w:rFonts w:hint="eastAsia"/>
                <w:szCs w:val="28"/>
              </w:rPr>
              <w:t>年榮獲美國數學會</w:t>
            </w:r>
            <w:r w:rsidRPr="00A66448">
              <w:rPr>
                <w:szCs w:val="28"/>
              </w:rPr>
              <w:t>Satter Prize</w:t>
            </w:r>
            <w:r w:rsidRPr="00A66448">
              <w:rPr>
                <w:rFonts w:hint="eastAsia"/>
                <w:szCs w:val="28"/>
              </w:rPr>
              <w:t>（傑出女數學家獎），</w:t>
            </w:r>
            <w:r w:rsidRPr="00A66448">
              <w:rPr>
                <w:szCs w:val="28"/>
              </w:rPr>
              <w:t>2008</w:t>
            </w:r>
            <w:r w:rsidRPr="00A66448">
              <w:rPr>
                <w:rFonts w:hint="eastAsia"/>
                <w:szCs w:val="28"/>
              </w:rPr>
              <w:t>年當選美國藝術與科學學院院士，</w:t>
            </w:r>
            <w:r w:rsidRPr="00A66448">
              <w:rPr>
                <w:szCs w:val="28"/>
              </w:rPr>
              <w:t>2009</w:t>
            </w:r>
            <w:r w:rsidRPr="00A66448">
              <w:rPr>
                <w:rFonts w:hint="eastAsia"/>
                <w:szCs w:val="28"/>
              </w:rPr>
              <w:t>年當選美國國家科學院院士。</w:t>
            </w: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教授除了傑出學術成就外，也曾擔任美國數學學會的副理事長</w:t>
            </w:r>
            <w:r w:rsidRPr="00A66448">
              <w:rPr>
                <w:szCs w:val="28"/>
              </w:rPr>
              <w:t>(1989-1991)</w:t>
            </w:r>
            <w:r w:rsidRPr="00A66448">
              <w:rPr>
                <w:rFonts w:hint="eastAsia"/>
                <w:szCs w:val="28"/>
              </w:rPr>
              <w:t>，目前也是</w:t>
            </w:r>
            <w:r w:rsidRPr="00A66448">
              <w:rPr>
                <w:szCs w:val="28"/>
              </w:rPr>
              <w:t>MSRI</w:t>
            </w:r>
            <w:r w:rsidRPr="00A66448">
              <w:rPr>
                <w:rFonts w:hint="eastAsia"/>
                <w:szCs w:val="28"/>
              </w:rPr>
              <w:t>數學研究中心的董事。</w:t>
            </w: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教授長期以來幫忙推動台灣數學學術研究，多年來擔任清華大學榮譽講座教授。</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lastRenderedPageBreak/>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張懋中</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90</w:t>
            </w:r>
            <w:r w:rsidRPr="00A66448">
              <w:rPr>
                <w:rFonts w:hint="eastAsia"/>
                <w:szCs w:val="28"/>
              </w:rPr>
              <w:t>年代，張教授對</w:t>
            </w:r>
            <w:r w:rsidRPr="00A66448">
              <w:rPr>
                <w:rFonts w:hint="eastAsia"/>
                <w:szCs w:val="28"/>
              </w:rPr>
              <w:t>MOCVD-HBT</w:t>
            </w:r>
            <w:r w:rsidRPr="00A66448">
              <w:rPr>
                <w:rFonts w:hint="eastAsia"/>
                <w:szCs w:val="28"/>
              </w:rPr>
              <w:t>功率放大器的研發促成其第</w:t>
            </w:r>
            <w:r w:rsidRPr="00A66448">
              <w:rPr>
                <w:rFonts w:hint="eastAsia"/>
                <w:szCs w:val="28"/>
              </w:rPr>
              <w:t>2</w:t>
            </w:r>
            <w:r w:rsidRPr="00A66448">
              <w:rPr>
                <w:rFonts w:hint="eastAsia"/>
                <w:szCs w:val="28"/>
              </w:rPr>
              <w:t>至</w:t>
            </w:r>
            <w:r w:rsidRPr="00A66448">
              <w:rPr>
                <w:rFonts w:hint="eastAsia"/>
                <w:szCs w:val="28"/>
              </w:rPr>
              <w:t>4</w:t>
            </w:r>
            <w:r w:rsidRPr="00A66448">
              <w:rPr>
                <w:rFonts w:hint="eastAsia"/>
                <w:szCs w:val="28"/>
              </w:rPr>
              <w:t>代手機發射器的量產。他近兩年來發明具可調介電系數之人工陶瓷，使隨機變構的通訊系統成為可能，並首創</w:t>
            </w:r>
            <w:r w:rsidRPr="00A66448">
              <w:rPr>
                <w:rFonts w:hint="eastAsia"/>
                <w:szCs w:val="28"/>
              </w:rPr>
              <w:t>3D</w:t>
            </w:r>
            <w:r w:rsidRPr="00A66448">
              <w:rPr>
                <w:rFonts w:hint="eastAsia"/>
                <w:szCs w:val="28"/>
              </w:rPr>
              <w:t>彩色毫米波安檢透視攝像儀，更擴展電子學之研究範疇和應用。</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陳文村</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陳"/>
              </w:smartTagPr>
              <w:r w:rsidRPr="00A66448">
                <w:rPr>
                  <w:rFonts w:hint="eastAsia"/>
                  <w:szCs w:val="28"/>
                </w:rPr>
                <w:t>陳</w:t>
              </w:r>
            </w:smartTag>
            <w:r w:rsidRPr="00A66448">
              <w:rPr>
                <w:rFonts w:hint="eastAsia"/>
                <w:szCs w:val="28"/>
              </w:rPr>
              <w:t>教授為台灣資訊、通訊科技之開創者、推動者，發表極具重要性、開創性之軟體工程、平行處理與計算機網路著作，對資通訊學術做出卓越、開創性貢獻，不僅在台灣、也在國際上產生深遠及實質影響，並對提升台灣產業技術作出重大貢獻。</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陳壽安</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color w:val="000000"/>
                <w:szCs w:val="28"/>
              </w:rPr>
            </w:pPr>
            <w:smartTag w:uri="urn:schemas-microsoft-com:office:smarttags" w:element="PersonName">
              <w:smartTagPr>
                <w:attr w:name="ProductID" w:val="陳"/>
              </w:smartTagPr>
              <w:r w:rsidRPr="00A66448">
                <w:rPr>
                  <w:rFonts w:hint="eastAsia"/>
                  <w:color w:val="000000"/>
                  <w:szCs w:val="28"/>
                </w:rPr>
                <w:t>陳</w:t>
              </w:r>
            </w:smartTag>
            <w:r w:rsidRPr="00A66448">
              <w:rPr>
                <w:rFonts w:hint="eastAsia"/>
                <w:color w:val="000000"/>
                <w:szCs w:val="28"/>
              </w:rPr>
              <w:t>教授於「共軛高分子」在光電應用之研究，有多項開創性、影響深遠的研究成果。尤其在電致發光高分子及</w:t>
            </w:r>
            <w:r w:rsidRPr="00A66448">
              <w:rPr>
                <w:rFonts w:hint="eastAsia"/>
                <w:bCs/>
                <w:color w:val="000000"/>
                <w:szCs w:val="28"/>
              </w:rPr>
              <w:t>水溶性自身摻雜導電高分子</w:t>
            </w:r>
            <w:r w:rsidRPr="00A66448">
              <w:rPr>
                <w:rFonts w:hint="eastAsia"/>
                <w:color w:val="000000"/>
                <w:szCs w:val="28"/>
              </w:rPr>
              <w:t>之「分子設計」上提出開創性的觀念，他建立高效率電致發光高分子之結構體系，以及合成出唯一具有分子級均勻導電度且穩定之水溶性自身摻</w:t>
            </w:r>
            <w:r w:rsidRPr="00A66448">
              <w:rPr>
                <w:rFonts w:hint="eastAsia"/>
                <w:bCs/>
                <w:color w:val="000000"/>
                <w:szCs w:val="28"/>
              </w:rPr>
              <w:t>雜</w:t>
            </w:r>
            <w:r w:rsidRPr="00A66448">
              <w:rPr>
                <w:rFonts w:hint="eastAsia"/>
                <w:color w:val="000000"/>
                <w:szCs w:val="28"/>
              </w:rPr>
              <w:t>聚苯胺。</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葉永烜</w:t>
            </w:r>
          </w:p>
        </w:tc>
        <w:tc>
          <w:tcPr>
            <w:tcW w:w="7920"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葉"/>
              </w:smartTagPr>
              <w:r w:rsidRPr="00A66448">
                <w:rPr>
                  <w:rFonts w:hint="eastAsia"/>
                  <w:szCs w:val="28"/>
                </w:rPr>
                <w:t>葉</w:t>
              </w:r>
            </w:smartTag>
            <w:r w:rsidRPr="00A66448">
              <w:rPr>
                <w:rFonts w:hint="eastAsia"/>
                <w:szCs w:val="28"/>
              </w:rPr>
              <w:t>教授在太陽系研究及衛星科學有極廣泛及基礎性的貢獻，他與</w:t>
            </w:r>
            <w:r w:rsidRPr="00A66448">
              <w:rPr>
                <w:szCs w:val="28"/>
              </w:rPr>
              <w:t>Julio Fernandez</w:t>
            </w:r>
            <w:r w:rsidRPr="00A66448">
              <w:rPr>
                <w:rFonts w:hint="eastAsia"/>
                <w:szCs w:val="28"/>
              </w:rPr>
              <w:t>氏原創合作的外行星軌道漂移機制，現已是太陽系海王星外物體和系外行星形成的理論及觀察研究不可缺乏的奠基石。他在彗星物理及土星環系統的塵埃電漿效應的研究，都是開路先鋒，更是歐美的彗星計畫和非常成功的卡西尼計畫</w:t>
            </w:r>
            <w:r w:rsidRPr="00A66448">
              <w:rPr>
                <w:szCs w:val="28"/>
              </w:rPr>
              <w:t>(</w:t>
            </w:r>
            <w:r w:rsidRPr="00A66448">
              <w:rPr>
                <w:rFonts w:hint="eastAsia"/>
                <w:szCs w:val="28"/>
              </w:rPr>
              <w:t>探測土星及泰坦</w:t>
            </w:r>
            <w:r w:rsidRPr="00A66448">
              <w:rPr>
                <w:szCs w:val="28"/>
              </w:rPr>
              <w:t>)</w:t>
            </w:r>
            <w:r w:rsidRPr="00A66448">
              <w:rPr>
                <w:rFonts w:hint="eastAsia"/>
                <w:szCs w:val="28"/>
              </w:rPr>
              <w:t>的原始推動者。自從返回台灣後，</w:t>
            </w:r>
            <w:smartTag w:uri="urn:schemas-microsoft-com:office:smarttags" w:element="PersonName">
              <w:smartTagPr>
                <w:attr w:name="ProductID" w:val="葉"/>
              </w:smartTagPr>
              <w:r w:rsidRPr="00A66448">
                <w:rPr>
                  <w:rFonts w:hint="eastAsia"/>
                  <w:szCs w:val="28"/>
                </w:rPr>
                <w:t>葉</w:t>
              </w:r>
            </w:smartTag>
            <w:r w:rsidRPr="00A66448">
              <w:rPr>
                <w:rFonts w:hint="eastAsia"/>
                <w:szCs w:val="28"/>
              </w:rPr>
              <w:t>教授致力於建構行星科學研究，培育人才，並推動鹿林天文台成為國內及國際天文研究中心。閒暇之餘，他創立現有</w:t>
            </w:r>
            <w:r w:rsidRPr="00A66448">
              <w:rPr>
                <w:rFonts w:hint="eastAsia"/>
                <w:szCs w:val="28"/>
              </w:rPr>
              <w:t>3000</w:t>
            </w:r>
            <w:r w:rsidRPr="00A66448">
              <w:rPr>
                <w:rFonts w:hint="eastAsia"/>
                <w:szCs w:val="28"/>
              </w:rPr>
              <w:t>個會員的亞洲大洋洲地球科學會</w:t>
            </w:r>
            <w:r w:rsidRPr="00A66448">
              <w:rPr>
                <w:szCs w:val="28"/>
              </w:rPr>
              <w:t>(AOGS)</w:t>
            </w:r>
            <w:r w:rsidRPr="00A66448">
              <w:rPr>
                <w:rFonts w:hint="eastAsia"/>
                <w:szCs w:val="28"/>
              </w:rPr>
              <w:t>，大力促進亞太地區的科學合作。</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bCs/>
                <w:szCs w:val="28"/>
              </w:rPr>
              <w:t>劉紹臣</w:t>
            </w:r>
          </w:p>
        </w:tc>
        <w:tc>
          <w:tcPr>
            <w:tcW w:w="7920"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劉"/>
              </w:smartTagPr>
              <w:r w:rsidRPr="00A66448">
                <w:rPr>
                  <w:rFonts w:hint="eastAsia"/>
                  <w:bCs/>
                  <w:szCs w:val="28"/>
                </w:rPr>
                <w:t>劉</w:t>
              </w:r>
            </w:smartTag>
            <w:r w:rsidRPr="00A66448">
              <w:rPr>
                <w:rFonts w:hint="eastAsia"/>
                <w:bCs/>
                <w:szCs w:val="28"/>
              </w:rPr>
              <w:t>教授被提名為中央研究院院士候選人之資格主要是</w:t>
            </w:r>
            <w:r w:rsidRPr="00A66448">
              <w:rPr>
                <w:rFonts w:hint="eastAsia"/>
                <w:bCs/>
                <w:szCs w:val="28"/>
              </w:rPr>
              <w:lastRenderedPageBreak/>
              <w:t>在</w:t>
            </w:r>
            <w:r w:rsidRPr="00A66448">
              <w:rPr>
                <w:rFonts w:hint="eastAsia"/>
                <w:szCs w:val="28"/>
              </w:rPr>
              <w:t>環境科學及大氣科學方面的傑出研究著作及重要學術貢獻。</w:t>
            </w:r>
          </w:p>
          <w:p w:rsidR="00D26B2A" w:rsidRPr="00A66448" w:rsidRDefault="00D26B2A" w:rsidP="00A66448">
            <w:pPr>
              <w:snapToGrid w:val="0"/>
              <w:spacing w:line="240" w:lineRule="atLeast"/>
              <w:ind w:firstLineChars="200" w:firstLine="560"/>
              <w:rPr>
                <w:rFonts w:hint="eastAsia"/>
                <w:szCs w:val="28"/>
              </w:rPr>
            </w:pPr>
            <w:r w:rsidRPr="00A66448">
              <w:rPr>
                <w:rFonts w:hint="eastAsia"/>
                <w:bCs/>
                <w:szCs w:val="28"/>
              </w:rPr>
              <w:t>另外</w:t>
            </w:r>
            <w:smartTag w:uri="urn:schemas-microsoft-com:office:smarttags" w:element="PersonName">
              <w:smartTagPr>
                <w:attr w:name="ProductID" w:val="劉"/>
              </w:smartTagPr>
              <w:r w:rsidRPr="00A66448">
                <w:rPr>
                  <w:rFonts w:hint="eastAsia"/>
                  <w:bCs/>
                  <w:szCs w:val="28"/>
                </w:rPr>
                <w:t>劉</w:t>
              </w:r>
            </w:smartTag>
            <w:r w:rsidRPr="00A66448">
              <w:rPr>
                <w:rFonts w:hint="eastAsia"/>
                <w:bCs/>
                <w:szCs w:val="28"/>
              </w:rPr>
              <w:t>教授自</w:t>
            </w:r>
            <w:r w:rsidRPr="00A66448">
              <w:rPr>
                <w:rFonts w:hint="eastAsia"/>
                <w:bCs/>
                <w:szCs w:val="28"/>
              </w:rPr>
              <w:t>1999</w:t>
            </w:r>
            <w:r w:rsidRPr="00A66448">
              <w:rPr>
                <w:rFonts w:hint="eastAsia"/>
                <w:bCs/>
                <w:szCs w:val="28"/>
              </w:rPr>
              <w:t>年</w:t>
            </w:r>
            <w:r w:rsidRPr="00A66448">
              <w:rPr>
                <w:rFonts w:hint="eastAsia"/>
                <w:bCs/>
                <w:szCs w:val="28"/>
              </w:rPr>
              <w:t>11</w:t>
            </w:r>
            <w:r w:rsidRPr="00A66448">
              <w:rPr>
                <w:rFonts w:hint="eastAsia"/>
                <w:bCs/>
                <w:szCs w:val="28"/>
              </w:rPr>
              <w:t>月至今負責籌備、</w:t>
            </w:r>
            <w:r w:rsidRPr="00A66448">
              <w:rPr>
                <w:rFonts w:hint="eastAsia"/>
                <w:szCs w:val="28"/>
              </w:rPr>
              <w:t>領導</w:t>
            </w:r>
            <w:r w:rsidRPr="00A66448">
              <w:rPr>
                <w:rFonts w:hint="eastAsia"/>
                <w:bCs/>
                <w:szCs w:val="28"/>
              </w:rPr>
              <w:t>中央研究院、環境變遷研究計晝</w:t>
            </w:r>
            <w:r w:rsidRPr="00A66448">
              <w:rPr>
                <w:rFonts w:hint="eastAsia"/>
                <w:szCs w:val="28"/>
              </w:rPr>
              <w:t>，成績卓著，</w:t>
            </w:r>
            <w:r w:rsidRPr="00A66448">
              <w:rPr>
                <w:rFonts w:hint="eastAsia"/>
                <w:bCs/>
                <w:szCs w:val="28"/>
              </w:rPr>
              <w:t>環境變遷研究中心於</w:t>
            </w:r>
            <w:smartTag w:uri="urn:schemas-microsoft-com:office:smarttags" w:element="chsdate">
              <w:smartTagPr>
                <w:attr w:name="Year" w:val="2004"/>
                <w:attr w:name="Month" w:val="1"/>
                <w:attr w:name="Day" w:val="1"/>
                <w:attr w:name="IsLunarDate" w:val="False"/>
                <w:attr w:name="IsROCDate" w:val="False"/>
              </w:smartTagPr>
              <w:r w:rsidRPr="00A66448">
                <w:rPr>
                  <w:rFonts w:hint="eastAsia"/>
                  <w:bCs/>
                  <w:szCs w:val="28"/>
                </w:rPr>
                <w:t>2004</w:t>
              </w:r>
              <w:r w:rsidRPr="00A66448">
                <w:rPr>
                  <w:rFonts w:hint="eastAsia"/>
                  <w:bCs/>
                  <w:szCs w:val="28"/>
                </w:rPr>
                <w:t>年</w:t>
              </w:r>
              <w:r w:rsidRPr="00A66448">
                <w:rPr>
                  <w:rFonts w:hint="eastAsia"/>
                  <w:bCs/>
                  <w:szCs w:val="28"/>
                </w:rPr>
                <w:t>1</w:t>
              </w:r>
              <w:r w:rsidRPr="00A66448">
                <w:rPr>
                  <w:rFonts w:hint="eastAsia"/>
                  <w:bCs/>
                  <w:szCs w:val="28"/>
                </w:rPr>
                <w:t>月</w:t>
              </w:r>
              <w:r w:rsidRPr="00A66448">
                <w:rPr>
                  <w:rFonts w:hint="eastAsia"/>
                  <w:bCs/>
                  <w:szCs w:val="28"/>
                </w:rPr>
                <w:t>1</w:t>
              </w:r>
              <w:r w:rsidRPr="00A66448">
                <w:rPr>
                  <w:rFonts w:hint="eastAsia"/>
                  <w:bCs/>
                  <w:szCs w:val="28"/>
                </w:rPr>
                <w:t>日</w:t>
              </w:r>
            </w:smartTag>
            <w:r w:rsidRPr="00A66448">
              <w:rPr>
                <w:rFonts w:hint="eastAsia"/>
                <w:bCs/>
                <w:szCs w:val="28"/>
              </w:rPr>
              <w:t>正式成立</w:t>
            </w:r>
            <w:r w:rsidRPr="00A66448">
              <w:rPr>
                <w:rFonts w:hint="eastAsia"/>
                <w:szCs w:val="28"/>
              </w:rPr>
              <w:t>，由</w:t>
            </w:r>
            <w:smartTag w:uri="urn:schemas-microsoft-com:office:smarttags" w:element="PersonName">
              <w:smartTagPr>
                <w:attr w:name="ProductID" w:val="劉"/>
              </w:smartTagPr>
              <w:r w:rsidRPr="00A66448">
                <w:rPr>
                  <w:rFonts w:hint="eastAsia"/>
                  <w:bCs/>
                  <w:szCs w:val="28"/>
                </w:rPr>
                <w:t>劉</w:t>
              </w:r>
            </w:smartTag>
            <w:r w:rsidRPr="00A66448">
              <w:rPr>
                <w:rFonts w:hint="eastAsia"/>
                <w:bCs/>
                <w:szCs w:val="28"/>
              </w:rPr>
              <w:t>教授出</w:t>
            </w:r>
            <w:r w:rsidRPr="00A66448">
              <w:rPr>
                <w:rFonts w:hint="eastAsia"/>
                <w:szCs w:val="28"/>
              </w:rPr>
              <w:t>任中心主任，此</w:t>
            </w:r>
            <w:r w:rsidRPr="00A66448">
              <w:rPr>
                <w:rFonts w:hint="eastAsia"/>
                <w:bCs/>
                <w:szCs w:val="28"/>
              </w:rPr>
              <w:t>中心現</w:t>
            </w:r>
            <w:r w:rsidRPr="00A66448">
              <w:rPr>
                <w:rFonts w:hint="eastAsia"/>
                <w:szCs w:val="28"/>
              </w:rPr>
              <w:t>是台灣最傑出的</w:t>
            </w:r>
            <w:r w:rsidRPr="00A66448">
              <w:rPr>
                <w:rFonts w:hint="eastAsia"/>
                <w:bCs/>
                <w:szCs w:val="28"/>
              </w:rPr>
              <w:t>環境</w:t>
            </w:r>
            <w:r w:rsidRPr="00A66448">
              <w:rPr>
                <w:rFonts w:hint="eastAsia"/>
                <w:szCs w:val="28"/>
              </w:rPr>
              <w:t>科學</w:t>
            </w:r>
            <w:r w:rsidRPr="00A66448">
              <w:rPr>
                <w:rFonts w:hint="eastAsia"/>
                <w:bCs/>
                <w:szCs w:val="28"/>
              </w:rPr>
              <w:t>研究機構</w:t>
            </w:r>
            <w:r w:rsidRPr="00A66448">
              <w:rPr>
                <w:rFonts w:hint="eastAsia"/>
                <w:szCs w:val="28"/>
              </w:rPr>
              <w:t>。</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cs="新細明體" w:hint="eastAsia"/>
                <w:szCs w:val="28"/>
              </w:rPr>
              <w:lastRenderedPageBreak/>
              <w:t>劉錦川</w:t>
            </w:r>
          </w:p>
        </w:tc>
        <w:tc>
          <w:tcPr>
            <w:tcW w:w="7920"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劉"/>
              </w:smartTagPr>
              <w:r w:rsidRPr="00A66448">
                <w:rPr>
                  <w:rFonts w:cs="新細明體" w:hint="eastAsia"/>
                  <w:szCs w:val="28"/>
                </w:rPr>
                <w:t>劉</w:t>
              </w:r>
            </w:smartTag>
            <w:r w:rsidRPr="00A66448">
              <w:rPr>
                <w:rFonts w:cs="新細明體" w:hint="eastAsia"/>
                <w:szCs w:val="28"/>
              </w:rPr>
              <w:t>教授，美國工程院院士和中國工程院外籍院士，金屬間化合物和金屬材料領域享譽國際的科學家。他在揭示金屬間化合物脆性斷裂、難熔貴金屬晶間斷裂和大塊金屬玻璃獨特機械性能等諸多領域都做出過開創性研究工作，根據他創造性的研發成果，他和同行已經設計出了一系列具有優異機械性能的新型金屬材料，並獲得了重要的工程化應用。</w:t>
            </w:r>
            <w:smartTag w:uri="urn:schemas-microsoft-com:office:smarttags" w:element="PersonName">
              <w:smartTagPr>
                <w:attr w:name="ProductID" w:val="劉"/>
              </w:smartTagPr>
              <w:r w:rsidRPr="00A66448">
                <w:rPr>
                  <w:rFonts w:cs="新細明體" w:hint="eastAsia"/>
                  <w:szCs w:val="28"/>
                </w:rPr>
                <w:t>劉</w:t>
              </w:r>
            </w:smartTag>
            <w:r w:rsidRPr="00A66448">
              <w:rPr>
                <w:rFonts w:cs="新細明體" w:hint="eastAsia"/>
                <w:szCs w:val="28"/>
              </w:rPr>
              <w:t>教授研究成果斐然，發表科技論文</w:t>
            </w:r>
            <w:r w:rsidRPr="00A66448">
              <w:rPr>
                <w:rFonts w:hint="eastAsia"/>
                <w:szCs w:val="28"/>
              </w:rPr>
              <w:t>4</w:t>
            </w:r>
            <w:r w:rsidRPr="00A66448">
              <w:rPr>
                <w:szCs w:val="28"/>
              </w:rPr>
              <w:t>8</w:t>
            </w:r>
            <w:r w:rsidRPr="00A66448">
              <w:rPr>
                <w:rFonts w:hint="eastAsia"/>
                <w:szCs w:val="28"/>
              </w:rPr>
              <w:t>0</w:t>
            </w:r>
            <w:r w:rsidRPr="00A66448">
              <w:rPr>
                <w:rFonts w:cs="新細明體" w:hint="eastAsia"/>
                <w:szCs w:val="28"/>
              </w:rPr>
              <w:t>餘篇，獲得美國發明專利</w:t>
            </w:r>
            <w:r w:rsidRPr="00A66448">
              <w:rPr>
                <w:rFonts w:hint="eastAsia"/>
                <w:szCs w:val="28"/>
              </w:rPr>
              <w:t>27</w:t>
            </w:r>
            <w:r w:rsidRPr="00A66448">
              <w:rPr>
                <w:rFonts w:cs="新細明體" w:hint="eastAsia"/>
                <w:szCs w:val="28"/>
              </w:rPr>
              <w:t>項，並於</w:t>
            </w:r>
            <w:r w:rsidRPr="00A66448">
              <w:rPr>
                <w:rFonts w:hint="eastAsia"/>
                <w:szCs w:val="28"/>
              </w:rPr>
              <w:t>1995</w:t>
            </w:r>
            <w:r w:rsidRPr="00A66448">
              <w:rPr>
                <w:rFonts w:cs="新細明體" w:hint="eastAsia"/>
                <w:szCs w:val="28"/>
              </w:rPr>
              <w:t>年被國際科學資訊</w:t>
            </w:r>
            <w:r w:rsidRPr="00A66448">
              <w:rPr>
                <w:rFonts w:hint="eastAsia"/>
                <w:szCs w:val="28"/>
              </w:rPr>
              <w:t>(ISI)</w:t>
            </w:r>
            <w:r w:rsidRPr="00A66448">
              <w:rPr>
                <w:rFonts w:cs="新細明體" w:hint="eastAsia"/>
                <w:szCs w:val="28"/>
              </w:rPr>
              <w:t>推舉為全球被引用最頻繁的五位材料研究者之一。</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錢嘉陵</w:t>
            </w:r>
          </w:p>
        </w:tc>
        <w:tc>
          <w:tcPr>
            <w:tcW w:w="7920" w:type="dxa"/>
            <w:shd w:val="clear" w:color="auto" w:fill="auto"/>
          </w:tcPr>
          <w:p w:rsidR="00D26B2A" w:rsidRPr="00A66448" w:rsidRDefault="00D26B2A" w:rsidP="00A66448">
            <w:pPr>
              <w:tabs>
                <w:tab w:val="left" w:pos="5981"/>
              </w:tabs>
              <w:snapToGrid w:val="0"/>
              <w:spacing w:line="240" w:lineRule="atLeast"/>
              <w:ind w:leftChars="50" w:left="700" w:hangingChars="200" w:hanging="560"/>
              <w:rPr>
                <w:rFonts w:hint="eastAsia"/>
                <w:szCs w:val="28"/>
              </w:rPr>
            </w:pPr>
            <w:r w:rsidRPr="00A66448">
              <w:rPr>
                <w:rFonts w:hint="eastAsia"/>
                <w:szCs w:val="28"/>
              </w:rPr>
              <w:t>一、</w:t>
            </w:r>
            <w:smartTag w:uri="urn:schemas-microsoft-com:office:smarttags" w:element="PersonName">
              <w:smartTagPr>
                <w:attr w:name="ProductID" w:val="錢"/>
              </w:smartTagPr>
              <w:r w:rsidRPr="00A66448">
                <w:rPr>
                  <w:rFonts w:hint="eastAsia"/>
                  <w:szCs w:val="28"/>
                </w:rPr>
                <w:t>錢</w:t>
              </w:r>
            </w:smartTag>
            <w:r w:rsidRPr="00A66448">
              <w:rPr>
                <w:rFonts w:hint="eastAsia"/>
                <w:szCs w:val="28"/>
              </w:rPr>
              <w:t>教授在凝態物理方面有極為傑出貢獻，尤其是在奈米磁性結構、巨磁阻效應、磁奈米線，</w:t>
            </w:r>
            <w:r w:rsidRPr="00A66448">
              <w:rPr>
                <w:rFonts w:hint="eastAsia"/>
                <w:szCs w:val="28"/>
              </w:rPr>
              <w:t>Andreev reflection spectroscopy</w:t>
            </w:r>
            <w:r w:rsidRPr="00A66448">
              <w:rPr>
                <w:rFonts w:hint="eastAsia"/>
                <w:szCs w:val="28"/>
              </w:rPr>
              <w:t>，磁奈米環，高溫超導與鐵基超導體方面更是突出。</w:t>
            </w:r>
          </w:p>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錢"/>
              </w:smartTagPr>
              <w:r w:rsidRPr="00A66448">
                <w:rPr>
                  <w:rFonts w:hint="eastAsia"/>
                  <w:szCs w:val="28"/>
                </w:rPr>
                <w:t>錢</w:t>
              </w:r>
            </w:smartTag>
            <w:r w:rsidRPr="00A66448">
              <w:rPr>
                <w:rFonts w:hint="eastAsia"/>
                <w:szCs w:val="28"/>
              </w:rPr>
              <w:t>教授是位文章被高度引用的物理學家。他的論文被引用超過</w:t>
            </w:r>
            <w:r w:rsidRPr="00A66448">
              <w:rPr>
                <w:rFonts w:hint="eastAsia"/>
                <w:szCs w:val="28"/>
              </w:rPr>
              <w:t>14,500</w:t>
            </w:r>
            <w:r w:rsidRPr="00A66448">
              <w:rPr>
                <w:rFonts w:hint="eastAsia"/>
                <w:szCs w:val="28"/>
              </w:rPr>
              <w:t>次，</w:t>
            </w:r>
            <w:r w:rsidRPr="00A66448">
              <w:rPr>
                <w:rFonts w:hint="eastAsia"/>
                <w:szCs w:val="28"/>
              </w:rPr>
              <w:t>Hirsch index</w:t>
            </w:r>
            <w:r w:rsidRPr="00A66448">
              <w:rPr>
                <w:rFonts w:hint="eastAsia"/>
                <w:szCs w:val="28"/>
              </w:rPr>
              <w:t>為</w:t>
            </w:r>
            <w:r w:rsidRPr="00A66448">
              <w:rPr>
                <w:rFonts w:hint="eastAsia"/>
                <w:szCs w:val="28"/>
              </w:rPr>
              <w:t>58</w:t>
            </w:r>
            <w:r w:rsidRPr="00A66448">
              <w:rPr>
                <w:rFonts w:hint="eastAsia"/>
                <w:szCs w:val="28"/>
              </w:rPr>
              <w:t>。</w:t>
            </w:r>
          </w:p>
          <w:p w:rsidR="00D26B2A" w:rsidRPr="00A66448" w:rsidRDefault="00D26B2A" w:rsidP="00A66448">
            <w:pPr>
              <w:tabs>
                <w:tab w:val="left" w:pos="5981"/>
              </w:tabs>
              <w:snapToGrid w:val="0"/>
              <w:spacing w:line="240" w:lineRule="atLeast"/>
              <w:ind w:leftChars="50" w:left="700" w:hangingChars="200" w:hanging="560"/>
              <w:rPr>
                <w:rFonts w:hint="eastAsia"/>
                <w:szCs w:val="28"/>
              </w:rPr>
            </w:pPr>
            <w:r w:rsidRPr="00A66448">
              <w:rPr>
                <w:rFonts w:hint="eastAsia"/>
                <w:szCs w:val="28"/>
              </w:rPr>
              <w:t>二、</w:t>
            </w:r>
            <w:smartTag w:uri="urn:schemas-microsoft-com:office:smarttags" w:element="PersonName">
              <w:smartTagPr>
                <w:attr w:name="ProductID" w:val="錢"/>
              </w:smartTagPr>
              <w:r w:rsidRPr="00A66448">
                <w:rPr>
                  <w:rFonts w:hint="eastAsia"/>
                  <w:szCs w:val="28"/>
                </w:rPr>
                <w:t>錢</w:t>
              </w:r>
            </w:smartTag>
            <w:r w:rsidRPr="00A66448">
              <w:rPr>
                <w:rFonts w:hint="eastAsia"/>
                <w:szCs w:val="28"/>
              </w:rPr>
              <w:t>教授從</w:t>
            </w:r>
            <w:r w:rsidRPr="00A66448">
              <w:rPr>
                <w:rFonts w:hint="eastAsia"/>
                <w:szCs w:val="28"/>
              </w:rPr>
              <w:t>1997</w:t>
            </w:r>
            <w:r w:rsidRPr="00A66448">
              <w:rPr>
                <w:rFonts w:hint="eastAsia"/>
                <w:szCs w:val="28"/>
              </w:rPr>
              <w:t>年開始擔任美國國家科學基金設在</w:t>
            </w:r>
            <w:r w:rsidRPr="00A66448">
              <w:rPr>
                <w:rFonts w:hint="eastAsia"/>
                <w:szCs w:val="28"/>
              </w:rPr>
              <w:t>Johns Hopkins University (JHU)</w:t>
            </w:r>
            <w:r w:rsidRPr="00A66448">
              <w:rPr>
                <w:rFonts w:hint="eastAsia"/>
                <w:szCs w:val="28"/>
              </w:rPr>
              <w:t>的材料科學與工程</w:t>
            </w:r>
            <w:r w:rsidR="007254EC" w:rsidRPr="00A66448">
              <w:rPr>
                <w:rFonts w:hint="eastAsia"/>
                <w:szCs w:val="28"/>
              </w:rPr>
              <w:t>研</w:t>
            </w:r>
            <w:r w:rsidRPr="00A66448">
              <w:rPr>
                <w:rFonts w:hint="eastAsia"/>
                <w:szCs w:val="28"/>
              </w:rPr>
              <w:t>究中心</w:t>
            </w:r>
            <w:r w:rsidRPr="00A66448">
              <w:rPr>
                <w:rFonts w:hint="eastAsia"/>
                <w:szCs w:val="28"/>
              </w:rPr>
              <w:t>Materials Research Science and Engineering Center (MRSEC)</w:t>
            </w:r>
            <w:r w:rsidRPr="00A66448">
              <w:rPr>
                <w:rFonts w:hint="eastAsia"/>
                <w:szCs w:val="28"/>
              </w:rPr>
              <w:t>的主任。</w:t>
            </w:r>
            <w:smartTag w:uri="urn:schemas-microsoft-com:office:smarttags" w:element="PersonName">
              <w:smartTagPr>
                <w:attr w:name="ProductID" w:val="錢"/>
              </w:smartTagPr>
              <w:r w:rsidRPr="00A66448">
                <w:rPr>
                  <w:rFonts w:hint="eastAsia"/>
                  <w:szCs w:val="28"/>
                </w:rPr>
                <w:t>錢</w:t>
              </w:r>
            </w:smartTag>
            <w:r w:rsidRPr="00A66448">
              <w:rPr>
                <w:rFonts w:hint="eastAsia"/>
                <w:szCs w:val="28"/>
              </w:rPr>
              <w:t>教授在國際主要磁性會議中常任主導角色，包括大會主席與諮詢委員會主席等。</w:t>
            </w:r>
          </w:p>
          <w:p w:rsidR="00D26B2A" w:rsidRPr="00A66448" w:rsidRDefault="00D26B2A" w:rsidP="00A66448">
            <w:pPr>
              <w:snapToGrid w:val="0"/>
              <w:spacing w:line="240" w:lineRule="atLeast"/>
              <w:ind w:firstLineChars="200" w:firstLine="560"/>
              <w:rPr>
                <w:rFonts w:ascii="標楷體" w:hAnsi="標楷體" w:hint="eastAsia"/>
                <w:szCs w:val="28"/>
              </w:rPr>
            </w:pPr>
            <w:r w:rsidRPr="00A66448">
              <w:rPr>
                <w:rFonts w:hint="eastAsia"/>
                <w:szCs w:val="28"/>
              </w:rPr>
              <w:t>除此之外，</w:t>
            </w:r>
            <w:smartTag w:uri="urn:schemas-microsoft-com:office:smarttags" w:element="PersonName">
              <w:smartTagPr>
                <w:attr w:name="ProductID" w:val="錢"/>
              </w:smartTagPr>
              <w:r w:rsidRPr="00A66448">
                <w:rPr>
                  <w:rFonts w:hint="eastAsia"/>
                  <w:szCs w:val="28"/>
                </w:rPr>
                <w:t>錢</w:t>
              </w:r>
            </w:smartTag>
            <w:r w:rsidRPr="00A66448">
              <w:rPr>
                <w:rFonts w:hint="eastAsia"/>
                <w:szCs w:val="28"/>
              </w:rPr>
              <w:t>教授也與國內互動頻繁，他擔任中研院物理所，國科會與清華大學的顧問或講座，他同時也是</w:t>
            </w:r>
            <w:r w:rsidRPr="00A66448">
              <w:rPr>
                <w:rFonts w:hint="eastAsia"/>
                <w:szCs w:val="28"/>
              </w:rPr>
              <w:t>2004</w:t>
            </w:r>
            <w:r w:rsidRPr="00A66448">
              <w:rPr>
                <w:rFonts w:hint="eastAsia"/>
                <w:szCs w:val="28"/>
              </w:rPr>
              <w:t>年物理年會的大會講演與吳大猷科學營的邀請講演。</w:t>
            </w:r>
            <w:r w:rsidRPr="00A66448">
              <w:rPr>
                <w:rFonts w:hint="eastAsia"/>
                <w:szCs w:val="28"/>
              </w:rPr>
              <w:t>2011</w:t>
            </w:r>
            <w:r w:rsidRPr="00A66448">
              <w:rPr>
                <w:rFonts w:hint="eastAsia"/>
                <w:szCs w:val="28"/>
              </w:rPr>
              <w:t>年</w:t>
            </w:r>
            <w:r w:rsidRPr="00A66448">
              <w:rPr>
                <w:rFonts w:hint="eastAsia"/>
                <w:szCs w:val="28"/>
              </w:rPr>
              <w:lastRenderedPageBreak/>
              <w:t>他擔任中央研究院物理所特聘研究</w:t>
            </w:r>
            <w:r w:rsidRPr="00A66448">
              <w:rPr>
                <w:rFonts w:ascii="標楷體" w:hAnsi="標楷體" w:hint="eastAsia"/>
                <w:szCs w:val="28"/>
              </w:rPr>
              <w:t>員，</w:t>
            </w:r>
            <w:r w:rsidRPr="00A66448">
              <w:rPr>
                <w:rFonts w:hint="eastAsia"/>
                <w:szCs w:val="28"/>
              </w:rPr>
              <w:t>台灣大學凝聚態中心訪問教</w:t>
            </w:r>
            <w:r w:rsidRPr="00A66448">
              <w:rPr>
                <w:rFonts w:ascii="標楷體" w:hAnsi="標楷體" w:hint="eastAsia"/>
                <w:szCs w:val="28"/>
              </w:rPr>
              <w:t>授。</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cs="Meiryo" w:hint="eastAsia"/>
                <w:position w:val="4"/>
                <w:szCs w:val="28"/>
              </w:rPr>
              <w:lastRenderedPageBreak/>
              <w:t>戴聿昌</w:t>
            </w:r>
          </w:p>
        </w:tc>
        <w:tc>
          <w:tcPr>
            <w:tcW w:w="7920" w:type="dxa"/>
            <w:shd w:val="clear" w:color="auto" w:fill="auto"/>
          </w:tcPr>
          <w:p w:rsidR="00D26B2A" w:rsidRPr="00A66448" w:rsidRDefault="00D26B2A" w:rsidP="00A66448">
            <w:pPr>
              <w:snapToGrid w:val="0"/>
              <w:spacing w:line="240" w:lineRule="atLeast"/>
              <w:ind w:right="-20" w:firstLineChars="200" w:firstLine="560"/>
              <w:rPr>
                <w:rFonts w:ascii="標楷體" w:hAnsi="標楷體" w:hint="eastAsia"/>
                <w:position w:val="4"/>
                <w:szCs w:val="28"/>
              </w:rPr>
            </w:pPr>
            <w:smartTag w:uri="urn:schemas-microsoft-com:office:smarttags" w:element="PersonName">
              <w:smartTagPr>
                <w:attr w:name="ProductID" w:val="戴"/>
              </w:smartTagPr>
              <w:r w:rsidRPr="00A66448">
                <w:rPr>
                  <w:rFonts w:cs="Meiryo" w:hint="eastAsia"/>
                  <w:position w:val="4"/>
                  <w:szCs w:val="28"/>
                </w:rPr>
                <w:t>戴</w:t>
              </w:r>
            </w:smartTag>
            <w:r w:rsidRPr="00A66448">
              <w:rPr>
                <w:rFonts w:cs="Meiryo" w:hint="eastAsia"/>
                <w:position w:val="4"/>
                <w:szCs w:val="28"/>
              </w:rPr>
              <w:t>教授是微機電</w:t>
            </w:r>
            <w:r w:rsidRPr="00A66448">
              <w:rPr>
                <w:position w:val="4"/>
                <w:szCs w:val="28"/>
              </w:rPr>
              <w:t>(MEMS)</w:t>
            </w:r>
            <w:r w:rsidRPr="00A66448">
              <w:rPr>
                <w:rFonts w:cs="Meiryo" w:hint="eastAsia"/>
                <w:position w:val="4"/>
                <w:szCs w:val="28"/>
              </w:rPr>
              <w:t>之創始者之</w:t>
            </w:r>
            <w:r w:rsidRPr="00A66448">
              <w:rPr>
                <w:rFonts w:ascii="標楷體" w:hAnsi="標楷體" w:cs="Meiryo" w:hint="eastAsia"/>
                <w:position w:val="4"/>
                <w:szCs w:val="28"/>
              </w:rPr>
              <w:t>一</w:t>
            </w:r>
            <w:r w:rsidRPr="00A66448">
              <w:rPr>
                <w:rFonts w:ascii="標楷體" w:hAnsi="標楷體" w:hint="eastAsia"/>
                <w:position w:val="4"/>
                <w:szCs w:val="28"/>
              </w:rPr>
              <w:t>。</w:t>
            </w:r>
            <w:r w:rsidRPr="00A66448">
              <w:rPr>
                <w:rFonts w:cs="Meiryo" w:hint="eastAsia"/>
                <w:position w:val="4"/>
                <w:szCs w:val="28"/>
              </w:rPr>
              <w:t>他在微流</w:t>
            </w:r>
            <w:r w:rsidRPr="00A66448">
              <w:rPr>
                <w:rFonts w:ascii="標楷體" w:hAnsi="標楷體" w:cs="Meiryo" w:hint="eastAsia"/>
                <w:position w:val="4"/>
                <w:szCs w:val="28"/>
              </w:rPr>
              <w:t>體</w:t>
            </w:r>
            <w:r w:rsidRPr="00A66448">
              <w:rPr>
                <w:rFonts w:ascii="標楷體" w:hAnsi="標楷體" w:hint="eastAsia"/>
                <w:position w:val="4"/>
                <w:szCs w:val="28"/>
              </w:rPr>
              <w:t>、</w:t>
            </w:r>
            <w:r w:rsidRPr="00A66448">
              <w:rPr>
                <w:rFonts w:cs="Meiryo" w:hint="eastAsia"/>
                <w:position w:val="4"/>
                <w:szCs w:val="28"/>
              </w:rPr>
              <w:t>生物晶</w:t>
            </w:r>
            <w:r w:rsidRPr="00A66448">
              <w:rPr>
                <w:rFonts w:ascii="標楷體" w:hAnsi="標楷體" w:cs="Meiryo" w:hint="eastAsia"/>
                <w:position w:val="4"/>
                <w:szCs w:val="28"/>
              </w:rPr>
              <w:t>片</w:t>
            </w:r>
            <w:r w:rsidRPr="00A66448">
              <w:rPr>
                <w:rFonts w:ascii="標楷體" w:hAnsi="標楷體" w:hint="eastAsia"/>
                <w:position w:val="4"/>
                <w:szCs w:val="28"/>
              </w:rPr>
              <w:t>、</w:t>
            </w:r>
            <w:r w:rsidRPr="00A66448">
              <w:rPr>
                <w:rFonts w:cs="Meiryo" w:hint="eastAsia"/>
                <w:position w:val="4"/>
                <w:szCs w:val="28"/>
              </w:rPr>
              <w:t>人體神經及醫療植入器領域有多項具里程碑意義的著</w:t>
            </w:r>
            <w:r w:rsidRPr="00A66448">
              <w:rPr>
                <w:rFonts w:ascii="標楷體" w:hAnsi="標楷體" w:cs="Meiryo" w:hint="eastAsia"/>
                <w:position w:val="4"/>
                <w:szCs w:val="28"/>
              </w:rPr>
              <w:t>作</w:t>
            </w:r>
            <w:r w:rsidRPr="00A66448">
              <w:rPr>
                <w:rFonts w:ascii="標楷體" w:hAnsi="標楷體" w:hint="eastAsia"/>
                <w:position w:val="4"/>
                <w:szCs w:val="28"/>
              </w:rPr>
              <w:t xml:space="preserve">。  </w:t>
            </w:r>
          </w:p>
          <w:p w:rsidR="00D26B2A" w:rsidRPr="00A66448" w:rsidRDefault="00D26B2A" w:rsidP="00A66448">
            <w:pPr>
              <w:snapToGrid w:val="0"/>
              <w:spacing w:line="240" w:lineRule="atLeast"/>
              <w:ind w:right="-20" w:firstLineChars="200" w:firstLine="560"/>
              <w:rPr>
                <w:rFonts w:hint="eastAsia"/>
                <w:szCs w:val="28"/>
              </w:rPr>
            </w:pPr>
            <w:smartTag w:uri="urn:schemas-microsoft-com:office:smarttags" w:element="PersonName">
              <w:smartTagPr>
                <w:attr w:name="ProductID" w:val="戴"/>
              </w:smartTagPr>
              <w:r w:rsidRPr="00A66448">
                <w:rPr>
                  <w:rFonts w:cs="Meiryo" w:hint="eastAsia"/>
                  <w:position w:val="4"/>
                  <w:szCs w:val="28"/>
                </w:rPr>
                <w:t>戴</w:t>
              </w:r>
            </w:smartTag>
            <w:r w:rsidRPr="00A66448">
              <w:rPr>
                <w:rFonts w:cs="Meiryo" w:hint="eastAsia"/>
                <w:position w:val="4"/>
                <w:szCs w:val="28"/>
              </w:rPr>
              <w:t>教授在</w:t>
            </w:r>
            <w:r w:rsidRPr="00A66448">
              <w:rPr>
                <w:position w:val="4"/>
                <w:szCs w:val="28"/>
              </w:rPr>
              <w:t>MEMS</w:t>
            </w:r>
            <w:r w:rsidRPr="00A66448">
              <w:rPr>
                <w:rFonts w:cs="Meiryo" w:hint="eastAsia"/>
                <w:position w:val="4"/>
                <w:szCs w:val="28"/>
              </w:rPr>
              <w:t>是名列前茅之創作及被引述之作</w:t>
            </w:r>
            <w:r w:rsidRPr="00A66448">
              <w:rPr>
                <w:rFonts w:ascii="標楷體" w:hAnsi="標楷體" w:cs="Meiryo" w:hint="eastAsia"/>
                <w:position w:val="4"/>
                <w:szCs w:val="28"/>
              </w:rPr>
              <w:t>者</w:t>
            </w:r>
            <w:r w:rsidRPr="00A66448">
              <w:rPr>
                <w:rFonts w:ascii="標楷體" w:hAnsi="標楷體" w:hint="eastAsia"/>
                <w:position w:val="4"/>
                <w:szCs w:val="28"/>
              </w:rPr>
              <w:t>，</w:t>
            </w:r>
            <w:r w:rsidRPr="00A66448">
              <w:rPr>
                <w:rFonts w:cs="Meiryo" w:hint="eastAsia"/>
                <w:position w:val="4"/>
                <w:szCs w:val="28"/>
              </w:rPr>
              <w:t>他培育了許多資優大學教授和工業界的領</w:t>
            </w:r>
            <w:r w:rsidRPr="00A66448">
              <w:rPr>
                <w:rFonts w:ascii="標楷體" w:hAnsi="標楷體" w:cs="Meiryo" w:hint="eastAsia"/>
                <w:position w:val="4"/>
                <w:szCs w:val="28"/>
              </w:rPr>
              <w:t>袖</w:t>
            </w:r>
            <w:r w:rsidRPr="00A66448">
              <w:rPr>
                <w:rFonts w:ascii="標楷體" w:hAnsi="標楷體" w:hint="eastAsia"/>
                <w:position w:val="4"/>
                <w:szCs w:val="28"/>
              </w:rPr>
              <w:t>。</w:t>
            </w:r>
            <w:r w:rsidRPr="00A66448">
              <w:rPr>
                <w:rFonts w:cs="Meiryo" w:hint="eastAsia"/>
                <w:position w:val="4"/>
                <w:szCs w:val="28"/>
              </w:rPr>
              <w:t>他在</w:t>
            </w:r>
            <w:r w:rsidRPr="00A66448">
              <w:rPr>
                <w:position w:val="4"/>
                <w:szCs w:val="28"/>
              </w:rPr>
              <w:t>2009</w:t>
            </w:r>
            <w:r w:rsidRPr="00A66448">
              <w:rPr>
                <w:rFonts w:cs="Meiryo" w:hint="eastAsia"/>
                <w:position w:val="4"/>
                <w:szCs w:val="28"/>
              </w:rPr>
              <w:t>年幫助</w:t>
            </w:r>
            <w:r w:rsidRPr="00A66448">
              <w:rPr>
                <w:position w:val="4"/>
                <w:szCs w:val="28"/>
              </w:rPr>
              <w:t>TSMC</w:t>
            </w:r>
            <w:r w:rsidRPr="00A66448">
              <w:rPr>
                <w:rFonts w:cs="Meiryo" w:hint="eastAsia"/>
                <w:position w:val="4"/>
                <w:szCs w:val="28"/>
              </w:rPr>
              <w:t>和</w:t>
            </w:r>
            <w:r w:rsidRPr="00A66448">
              <w:rPr>
                <w:position w:val="4"/>
                <w:szCs w:val="28"/>
              </w:rPr>
              <w:t>HTC</w:t>
            </w:r>
            <w:r w:rsidRPr="00A66448">
              <w:rPr>
                <w:rFonts w:cs="Meiryo" w:hint="eastAsia"/>
                <w:position w:val="4"/>
                <w:szCs w:val="28"/>
              </w:rPr>
              <w:t>創投了臺灣參與的第一個也是唯一的用於手機的尖端</w:t>
            </w:r>
            <w:r w:rsidRPr="00A66448">
              <w:rPr>
                <w:position w:val="4"/>
                <w:szCs w:val="28"/>
              </w:rPr>
              <w:t>MEMS</w:t>
            </w:r>
            <w:r w:rsidRPr="00A66448">
              <w:rPr>
                <w:rFonts w:cs="Meiryo" w:hint="eastAsia"/>
                <w:position w:val="4"/>
                <w:szCs w:val="28"/>
              </w:rPr>
              <w:t>公司</w:t>
            </w:r>
            <w:r w:rsidRPr="00A66448">
              <w:rPr>
                <w:position w:val="4"/>
                <w:szCs w:val="28"/>
              </w:rPr>
              <w:t>(MCube</w:t>
            </w:r>
            <w:r w:rsidRPr="00A66448">
              <w:rPr>
                <w:rFonts w:ascii="標楷體" w:hAnsi="標楷體"/>
                <w:position w:val="4"/>
                <w:szCs w:val="28"/>
              </w:rPr>
              <w:t>)</w:t>
            </w:r>
            <w:r w:rsidRPr="00A66448">
              <w:rPr>
                <w:rFonts w:ascii="標楷體" w:hAnsi="標楷體" w:hint="eastAsia"/>
                <w:position w:val="4"/>
                <w:szCs w:val="28"/>
              </w:rPr>
              <w:t>。</w:t>
            </w:r>
            <w:r w:rsidRPr="00A66448">
              <w:rPr>
                <w:rFonts w:cs="Meiryo" w:hint="eastAsia"/>
                <w:position w:val="4"/>
                <w:szCs w:val="28"/>
              </w:rPr>
              <w:t>他亦是工研</w:t>
            </w:r>
            <w:r w:rsidRPr="00A66448">
              <w:rPr>
                <w:rFonts w:ascii="標楷體" w:hAnsi="標楷體" w:cs="Meiryo" w:hint="eastAsia"/>
                <w:position w:val="4"/>
                <w:szCs w:val="28"/>
              </w:rPr>
              <w:t>院</w:t>
            </w:r>
            <w:r w:rsidRPr="00A66448">
              <w:rPr>
                <w:rFonts w:ascii="標楷體" w:hAnsi="標楷體" w:hint="eastAsia"/>
                <w:position w:val="4"/>
                <w:szCs w:val="28"/>
              </w:rPr>
              <w:t>、</w:t>
            </w:r>
            <w:r w:rsidRPr="00A66448">
              <w:rPr>
                <w:rFonts w:cs="Meiryo" w:hint="eastAsia"/>
                <w:position w:val="4"/>
                <w:szCs w:val="28"/>
              </w:rPr>
              <w:t>高雄金屬中心及國內多所大學超過十年以上之長期顧</w:t>
            </w:r>
            <w:r w:rsidRPr="00A66448">
              <w:rPr>
                <w:rFonts w:ascii="標楷體" w:hAnsi="標楷體" w:cs="Meiryo" w:hint="eastAsia"/>
                <w:position w:val="4"/>
                <w:szCs w:val="28"/>
              </w:rPr>
              <w:t>問</w:t>
            </w:r>
            <w:r w:rsidRPr="00A66448">
              <w:rPr>
                <w:rFonts w:ascii="標楷體" w:hAnsi="標楷體" w:hint="eastAsia"/>
                <w:position w:val="4"/>
                <w:szCs w:val="28"/>
              </w:rPr>
              <w:t>。</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顏鴻森</w:t>
            </w:r>
          </w:p>
        </w:tc>
        <w:tc>
          <w:tcPr>
            <w:tcW w:w="7920" w:type="dxa"/>
            <w:shd w:val="clear" w:color="auto" w:fill="auto"/>
          </w:tcPr>
          <w:p w:rsidR="00D26B2A" w:rsidRPr="00A66448" w:rsidRDefault="00D26B2A" w:rsidP="00A66448">
            <w:pPr>
              <w:snapToGrid w:val="0"/>
              <w:spacing w:line="240" w:lineRule="atLeast"/>
              <w:rPr>
                <w:rFonts w:hint="eastAsia"/>
                <w:szCs w:val="28"/>
              </w:rPr>
            </w:pPr>
            <w:r w:rsidRPr="00A66448">
              <w:rPr>
                <w:rFonts w:hint="eastAsia"/>
                <w:szCs w:val="28"/>
              </w:rPr>
              <w:t xml:space="preserve">    </w:t>
            </w:r>
            <w:r w:rsidRPr="00A66448">
              <w:rPr>
                <w:rFonts w:hint="eastAsia"/>
                <w:szCs w:val="28"/>
              </w:rPr>
              <w:t>顏教授之學術貢獻為：</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1.</w:t>
            </w:r>
            <w:r w:rsidRPr="00A66448">
              <w:rPr>
                <w:rFonts w:hint="eastAsia"/>
                <w:szCs w:val="28"/>
              </w:rPr>
              <w:t>具</w:t>
            </w:r>
            <w:r w:rsidRPr="00A66448">
              <w:rPr>
                <w:rFonts w:hAnsi="標楷體" w:hint="eastAsia"/>
                <w:szCs w:val="28"/>
              </w:rPr>
              <w:t>思考</w:t>
            </w:r>
            <w:r w:rsidRPr="00A66448">
              <w:rPr>
                <w:rFonts w:hint="eastAsia"/>
                <w:szCs w:val="28"/>
              </w:rPr>
              <w:t>出新穎性研究方向特質，研究成果非常傑出、並具國際領導地位。</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2.</w:t>
            </w:r>
            <w:r w:rsidRPr="00A66448">
              <w:rPr>
                <w:rFonts w:hAnsi="標楷體" w:hint="eastAsia"/>
                <w:szCs w:val="28"/>
              </w:rPr>
              <w:t>獨創</w:t>
            </w:r>
            <w:r w:rsidRPr="00A66448">
              <w:rPr>
                <w:rFonts w:hint="eastAsia"/>
                <w:szCs w:val="28"/>
              </w:rPr>
              <w:t>的「現代機構概念設計法」，引發機構學研究新學術領域與工程應用。</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3.</w:t>
            </w:r>
            <w:r w:rsidRPr="00A66448">
              <w:rPr>
                <w:rFonts w:hAnsi="標楷體" w:hint="eastAsia"/>
                <w:szCs w:val="28"/>
              </w:rPr>
              <w:t>自成一家</w:t>
            </w:r>
            <w:r w:rsidRPr="00A66448">
              <w:rPr>
                <w:rFonts w:hint="eastAsia"/>
                <w:szCs w:val="28"/>
              </w:rPr>
              <w:t>的「失傳古機構復原設計法」，提供機械史研究創新工具與學術領域。</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4.</w:t>
            </w:r>
            <w:r w:rsidRPr="00A66448">
              <w:rPr>
                <w:rFonts w:hAnsi="標楷體" w:hint="eastAsia"/>
                <w:szCs w:val="28"/>
              </w:rPr>
              <w:t>成功</w:t>
            </w:r>
            <w:r w:rsidRPr="00A66448">
              <w:rPr>
                <w:rFonts w:hint="eastAsia"/>
                <w:szCs w:val="28"/>
              </w:rPr>
              <w:t>主持國科會首件大型產學合作計畫，領導「精密空間凸輪機構」學術研究，並對關鍵精密零組件產業技術生根有直接貢獻。</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5.</w:t>
            </w:r>
            <w:r w:rsidRPr="00A66448">
              <w:rPr>
                <w:rFonts w:hint="eastAsia"/>
                <w:szCs w:val="28"/>
              </w:rPr>
              <w:t>規</w:t>
            </w:r>
            <w:r w:rsidRPr="00A66448">
              <w:rPr>
                <w:rFonts w:hAnsi="標楷體" w:hint="eastAsia"/>
                <w:szCs w:val="28"/>
              </w:rPr>
              <w:t>劃</w:t>
            </w:r>
            <w:r w:rsidRPr="00A66448">
              <w:rPr>
                <w:rFonts w:hint="eastAsia"/>
                <w:szCs w:val="28"/>
              </w:rPr>
              <w:t>與推展教育部創造力教育計畫，並督導完成全國性「創造力教育白皮書」。</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2011</w:t>
            </w:r>
            <w:r w:rsidRPr="00A66448">
              <w:rPr>
                <w:rFonts w:hint="eastAsia"/>
                <w:szCs w:val="28"/>
              </w:rPr>
              <w:t>年獲得國際學術組織</w:t>
            </w:r>
            <w:r w:rsidRPr="00A66448">
              <w:rPr>
                <w:rFonts w:hint="eastAsia"/>
                <w:szCs w:val="28"/>
              </w:rPr>
              <w:t>IFToMM</w:t>
            </w:r>
            <w:r w:rsidRPr="00A66448">
              <w:rPr>
                <w:rFonts w:hint="eastAsia"/>
                <w:szCs w:val="28"/>
              </w:rPr>
              <w:t>頒發最高榮譽</w:t>
            </w:r>
            <w:r w:rsidRPr="00A66448">
              <w:rPr>
                <w:rFonts w:hint="eastAsia"/>
                <w:szCs w:val="28"/>
              </w:rPr>
              <w:t>The Honorary Membership</w:t>
            </w:r>
            <w:r w:rsidRPr="00A66448">
              <w:rPr>
                <w:rFonts w:hint="eastAsia"/>
                <w:szCs w:val="28"/>
              </w:rPr>
              <w:t>。</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bl>
    <w:p w:rsidR="00D26B2A" w:rsidRPr="00146E63" w:rsidRDefault="00D26B2A" w:rsidP="00D26B2A">
      <w:pPr>
        <w:snapToGrid w:val="0"/>
        <w:spacing w:line="240" w:lineRule="atLeast"/>
        <w:rPr>
          <w:szCs w:val="28"/>
        </w:rPr>
      </w:pPr>
    </w:p>
    <w:p w:rsidR="00D26B2A" w:rsidRPr="00146E63" w:rsidRDefault="00D26B2A" w:rsidP="00D26B2A">
      <w:pPr>
        <w:snapToGrid w:val="0"/>
        <w:spacing w:line="240" w:lineRule="atLeast"/>
        <w:rPr>
          <w:rFonts w:hint="eastAsia"/>
          <w:b/>
          <w:sz w:val="32"/>
          <w:szCs w:val="32"/>
        </w:rPr>
      </w:pPr>
      <w:r w:rsidRPr="00146E63">
        <w:rPr>
          <w:szCs w:val="28"/>
        </w:rPr>
        <w:br w:type="page"/>
      </w:r>
      <w:r w:rsidRPr="00146E63">
        <w:rPr>
          <w:rFonts w:hint="eastAsia"/>
          <w:b/>
          <w:sz w:val="32"/>
          <w:szCs w:val="32"/>
        </w:rPr>
        <w:lastRenderedPageBreak/>
        <w:t>生命科學組候選人</w:t>
      </w:r>
      <w:r>
        <w:rPr>
          <w:rFonts w:hint="eastAsia"/>
          <w:b/>
          <w:sz w:val="32"/>
          <w:szCs w:val="32"/>
        </w:rPr>
        <w:t>17</w:t>
      </w:r>
      <w:r w:rsidRPr="00146E63">
        <w:rPr>
          <w:rFonts w:hint="eastAsia"/>
          <w:b/>
          <w:sz w:val="32"/>
          <w:szCs w:val="32"/>
        </w:rPr>
        <w:t>人（依姓氏筆畫排序）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174"/>
      </w:tblGrid>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姓名</w:t>
            </w:r>
          </w:p>
        </w:tc>
        <w:tc>
          <w:tcPr>
            <w:tcW w:w="7174"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合於院士候選人資格之根據</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余幸司</w:t>
            </w:r>
          </w:p>
        </w:tc>
        <w:tc>
          <w:tcPr>
            <w:tcW w:w="7174" w:type="dxa"/>
            <w:shd w:val="clear" w:color="auto" w:fill="auto"/>
          </w:tcPr>
          <w:p w:rsidR="00D26B2A" w:rsidRPr="00A66448" w:rsidRDefault="00D26B2A" w:rsidP="00A66448">
            <w:pPr>
              <w:snapToGrid w:val="0"/>
              <w:spacing w:line="240" w:lineRule="atLeast"/>
              <w:ind w:firstLineChars="211" w:firstLine="591"/>
              <w:rPr>
                <w:rFonts w:hint="eastAsia"/>
                <w:color w:val="0D0D0D"/>
                <w:szCs w:val="28"/>
              </w:rPr>
            </w:pPr>
            <w:smartTag w:uri="urn:schemas-microsoft-com:office:smarttags" w:element="PersonName">
              <w:smartTagPr>
                <w:attr w:name="ProductID" w:val="余"/>
              </w:smartTagPr>
              <w:r w:rsidRPr="00A66448">
                <w:rPr>
                  <w:rFonts w:hint="eastAsia"/>
                  <w:color w:val="0D0D0D"/>
                  <w:szCs w:val="28"/>
                </w:rPr>
                <w:t>余</w:t>
              </w:r>
            </w:smartTag>
            <w:r w:rsidRPr="00A66448">
              <w:rPr>
                <w:rFonts w:hint="eastAsia"/>
                <w:color w:val="0D0D0D"/>
                <w:szCs w:val="28"/>
              </w:rPr>
              <w:t>教授之學術特殊貢獻為</w:t>
            </w:r>
            <w:r w:rsidRPr="00A66448">
              <w:rPr>
                <w:rFonts w:hint="eastAsia"/>
                <w:color w:val="0D0D0D"/>
                <w:szCs w:val="28"/>
              </w:rPr>
              <w:t>:</w:t>
            </w:r>
          </w:p>
          <w:p w:rsidR="00D26B2A" w:rsidRPr="00A66448" w:rsidRDefault="00D26B2A" w:rsidP="00A66448">
            <w:pPr>
              <w:tabs>
                <w:tab w:val="left" w:pos="5981"/>
              </w:tabs>
              <w:snapToGrid w:val="0"/>
              <w:spacing w:line="240" w:lineRule="atLeast"/>
              <w:ind w:leftChars="50" w:left="378" w:hangingChars="85" w:hanging="238"/>
              <w:rPr>
                <w:color w:val="0D0D0D"/>
                <w:szCs w:val="28"/>
              </w:rPr>
            </w:pPr>
            <w:r w:rsidRPr="00A66448">
              <w:rPr>
                <w:color w:val="0D0D0D"/>
                <w:szCs w:val="28"/>
              </w:rPr>
              <w:t>(1)</w:t>
            </w:r>
            <w:r w:rsidRPr="00A66448">
              <w:rPr>
                <w:color w:val="0D0D0D"/>
                <w:szCs w:val="28"/>
              </w:rPr>
              <w:t>闡明皮膚砷癌致病</w:t>
            </w:r>
            <w:r w:rsidRPr="00A66448">
              <w:rPr>
                <w:rFonts w:hint="eastAsia"/>
                <w:color w:val="0D0D0D"/>
                <w:szCs w:val="28"/>
              </w:rPr>
              <w:t>過程中之免疫及分子調控機轉</w:t>
            </w:r>
            <w:r w:rsidRPr="00A66448">
              <w:rPr>
                <w:color w:val="0D0D0D"/>
                <w:szCs w:val="28"/>
              </w:rPr>
              <w:t>;</w:t>
            </w:r>
          </w:p>
          <w:p w:rsidR="00D26B2A" w:rsidRPr="00A66448" w:rsidRDefault="00D26B2A" w:rsidP="00A66448">
            <w:pPr>
              <w:tabs>
                <w:tab w:val="left" w:pos="5981"/>
              </w:tabs>
              <w:snapToGrid w:val="0"/>
              <w:spacing w:line="240" w:lineRule="atLeast"/>
              <w:ind w:leftChars="50" w:left="476" w:hangingChars="120" w:hanging="336"/>
              <w:rPr>
                <w:color w:val="0D0D0D"/>
                <w:szCs w:val="28"/>
              </w:rPr>
            </w:pPr>
            <w:r w:rsidRPr="00A66448">
              <w:rPr>
                <w:color w:val="0D0D0D"/>
                <w:szCs w:val="28"/>
              </w:rPr>
              <w:t>(2)</w:t>
            </w:r>
            <w:r w:rsidRPr="00A66448">
              <w:rPr>
                <w:rFonts w:hAnsi="標楷體"/>
                <w:szCs w:val="28"/>
              </w:rPr>
              <w:t>開發白斑</w:t>
            </w:r>
            <w:r w:rsidRPr="00A66448">
              <w:rPr>
                <w:color w:val="0D0D0D"/>
                <w:szCs w:val="28"/>
              </w:rPr>
              <w:t>新光線療法，</w:t>
            </w:r>
            <w:r w:rsidRPr="00A66448">
              <w:rPr>
                <w:rFonts w:hint="eastAsia"/>
                <w:color w:val="0D0D0D"/>
                <w:szCs w:val="28"/>
              </w:rPr>
              <w:t>解明光線治療對黑色素母細胞之分子調控機轉</w:t>
            </w:r>
            <w:r w:rsidRPr="00A66448">
              <w:rPr>
                <w:color w:val="0D0D0D"/>
                <w:szCs w:val="28"/>
              </w:rPr>
              <w:t>。</w:t>
            </w:r>
          </w:p>
          <w:p w:rsidR="00D26B2A" w:rsidRPr="00A66448" w:rsidRDefault="00D26B2A" w:rsidP="00A66448">
            <w:pPr>
              <w:snapToGrid w:val="0"/>
              <w:spacing w:line="240" w:lineRule="atLeast"/>
              <w:ind w:firstLineChars="200" w:firstLine="560"/>
              <w:rPr>
                <w:color w:val="0D0D0D"/>
                <w:szCs w:val="28"/>
              </w:rPr>
            </w:pPr>
            <w:r w:rsidRPr="00A66448">
              <w:rPr>
                <w:color w:val="0D0D0D"/>
                <w:szCs w:val="28"/>
              </w:rPr>
              <w:t>白斑</w:t>
            </w:r>
            <w:r w:rsidRPr="00A66448">
              <w:rPr>
                <w:rFonts w:hint="eastAsia"/>
                <w:color w:val="0D0D0D"/>
                <w:szCs w:val="28"/>
              </w:rPr>
              <w:t>之業績為該領</w:t>
            </w:r>
            <w:r w:rsidRPr="00A66448">
              <w:rPr>
                <w:color w:val="0D0D0D"/>
                <w:szCs w:val="28"/>
              </w:rPr>
              <w:t>域研究之翹楚，砷癌研究成果</w:t>
            </w:r>
            <w:r w:rsidRPr="00A66448">
              <w:rPr>
                <w:rFonts w:hint="eastAsia"/>
                <w:color w:val="0D0D0D"/>
                <w:szCs w:val="28"/>
              </w:rPr>
              <w:t>被譽為開創化學致癌</w:t>
            </w:r>
            <w:r w:rsidRPr="00A66448">
              <w:rPr>
                <w:color w:val="0D0D0D"/>
                <w:szCs w:val="28"/>
              </w:rPr>
              <w:t>研究之新方向。</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余淑美</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余"/>
              </w:smartTagPr>
              <w:r w:rsidRPr="00A66448">
                <w:rPr>
                  <w:rFonts w:hint="eastAsia"/>
                  <w:szCs w:val="28"/>
                </w:rPr>
                <w:t>余</w:t>
              </w:r>
            </w:smartTag>
            <w:r w:rsidRPr="00A66448">
              <w:rPr>
                <w:rFonts w:hint="eastAsia"/>
                <w:szCs w:val="28"/>
              </w:rPr>
              <w:t>教授是第一個以農桿菌轉殖水稻成功，成為全球主流技術；發現控制水稻在淹水中生長的基因及反應缺乏各種重要營養之共同轉錄因子；領先研究植物缺糖與缺氧訊息傳遞，學術頂尖；建立大型水稻突變種原庫，協助全球共同探討重要穀類基因功能。</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吳子丑</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吳教授的主要學術貢獻在於建立了研究治療型子宮頸癌疫苗需用的子宮頸癌腫瘤模型，首創藉由分子分類訊號運送抗原到細胞內胞器的方法以改善疫苗效能，領導目前美國唯一的子宮頸癌傑出研究專案將他的發現應用於臨床測試。</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szCs w:val="28"/>
              </w:rPr>
              <w:t>吳金洌</w:t>
            </w:r>
          </w:p>
        </w:tc>
        <w:tc>
          <w:tcPr>
            <w:tcW w:w="7174" w:type="dxa"/>
            <w:shd w:val="clear" w:color="auto" w:fill="auto"/>
          </w:tcPr>
          <w:p w:rsidR="00D26B2A" w:rsidRPr="00A66448" w:rsidRDefault="00D26B2A" w:rsidP="00A66448">
            <w:pPr>
              <w:tabs>
                <w:tab w:val="left" w:pos="5981"/>
              </w:tabs>
              <w:snapToGrid w:val="0"/>
              <w:spacing w:line="240" w:lineRule="atLeast"/>
              <w:ind w:leftChars="50" w:left="378" w:hangingChars="85" w:hanging="238"/>
              <w:rPr>
                <w:szCs w:val="28"/>
              </w:rPr>
            </w:pPr>
            <w:r w:rsidRPr="00A66448">
              <w:rPr>
                <w:rFonts w:hint="eastAsia"/>
                <w:szCs w:val="28"/>
              </w:rPr>
              <w:t>1.</w:t>
            </w:r>
            <w:r w:rsidRPr="00A66448">
              <w:rPr>
                <w:szCs w:val="28"/>
              </w:rPr>
              <w:t>吳</w:t>
            </w:r>
            <w:r w:rsidRPr="00A66448">
              <w:rPr>
                <w:rFonts w:hint="eastAsia"/>
                <w:szCs w:val="28"/>
              </w:rPr>
              <w:t>教授</w:t>
            </w:r>
            <w:r w:rsidRPr="00A66448">
              <w:rPr>
                <w:szCs w:val="28"/>
              </w:rPr>
              <w:t>在中央研究院任研究職三十</w:t>
            </w:r>
            <w:r w:rsidRPr="00A66448">
              <w:rPr>
                <w:rFonts w:hint="eastAsia"/>
                <w:szCs w:val="28"/>
              </w:rPr>
              <w:t>五</w:t>
            </w:r>
            <w:r w:rsidRPr="00A66448">
              <w:rPr>
                <w:szCs w:val="28"/>
              </w:rPr>
              <w:t>年，以魚類之生物化學、分子生物學</w:t>
            </w:r>
            <w:r w:rsidRPr="00A66448">
              <w:rPr>
                <w:rFonts w:hint="eastAsia"/>
                <w:szCs w:val="28"/>
              </w:rPr>
              <w:t>及轉基因學</w:t>
            </w:r>
            <w:r w:rsidRPr="00A66448">
              <w:rPr>
                <w:szCs w:val="28"/>
              </w:rPr>
              <w:t>為領域，開創台灣學術界在魚類病毒、基因轉殖技術、基因功能調控、斑馬魚器官發育，疾病模式與水產生物技術學之領域研究發展，建立國際學術地位之先驅者；吳教授發表期刊論文</w:t>
            </w:r>
            <w:r w:rsidRPr="00A66448">
              <w:rPr>
                <w:szCs w:val="28"/>
              </w:rPr>
              <w:t>1</w:t>
            </w:r>
            <w:r w:rsidRPr="00A66448">
              <w:rPr>
                <w:rFonts w:hint="eastAsia"/>
                <w:szCs w:val="28"/>
              </w:rPr>
              <w:t>84</w:t>
            </w:r>
            <w:r w:rsidRPr="00A66448">
              <w:rPr>
                <w:szCs w:val="28"/>
              </w:rPr>
              <w:t>篇，</w:t>
            </w:r>
            <w:r w:rsidRPr="00A66448">
              <w:rPr>
                <w:rFonts w:hint="eastAsia"/>
                <w:szCs w:val="28"/>
              </w:rPr>
              <w:t>率先</w:t>
            </w:r>
            <w:r w:rsidRPr="00A66448">
              <w:rPr>
                <w:szCs w:val="28"/>
              </w:rPr>
              <w:t>引領國內</w:t>
            </w:r>
            <w:r w:rsidRPr="00A66448">
              <w:rPr>
                <w:rFonts w:hint="eastAsia"/>
                <w:szCs w:val="28"/>
              </w:rPr>
              <w:t>水產</w:t>
            </w:r>
            <w:r w:rsidRPr="00A66448">
              <w:rPr>
                <w:szCs w:val="28"/>
              </w:rPr>
              <w:t>動物學界發表論文於</w:t>
            </w:r>
            <w:r w:rsidRPr="00A66448">
              <w:rPr>
                <w:rFonts w:hint="eastAsia"/>
                <w:szCs w:val="28"/>
              </w:rPr>
              <w:t>一流學術期刊，包括</w:t>
            </w:r>
            <w:r w:rsidRPr="00A66448">
              <w:rPr>
                <w:i/>
                <w:szCs w:val="28"/>
              </w:rPr>
              <w:t>J. Biol. Chem</w:t>
            </w:r>
            <w:r w:rsidRPr="00A66448">
              <w:rPr>
                <w:szCs w:val="28"/>
              </w:rPr>
              <w:t xml:space="preserve">., </w:t>
            </w:r>
            <w:r w:rsidRPr="00A66448">
              <w:rPr>
                <w:i/>
                <w:szCs w:val="28"/>
              </w:rPr>
              <w:t>Development</w:t>
            </w:r>
            <w:r w:rsidRPr="00A66448">
              <w:rPr>
                <w:szCs w:val="28"/>
              </w:rPr>
              <w:t xml:space="preserve">, </w:t>
            </w:r>
            <w:r w:rsidRPr="00A66448">
              <w:rPr>
                <w:i/>
                <w:szCs w:val="28"/>
              </w:rPr>
              <w:t>Cell Death and Differ</w:t>
            </w:r>
            <w:r w:rsidRPr="00A66448">
              <w:rPr>
                <w:szCs w:val="28"/>
              </w:rPr>
              <w:t xml:space="preserve">., </w:t>
            </w:r>
            <w:r w:rsidRPr="00A66448">
              <w:rPr>
                <w:i/>
                <w:szCs w:val="28"/>
              </w:rPr>
              <w:t>J. Virol</w:t>
            </w:r>
            <w:r w:rsidRPr="00A66448">
              <w:rPr>
                <w:szCs w:val="28"/>
              </w:rPr>
              <w:t xml:space="preserve">., </w:t>
            </w:r>
            <w:r w:rsidRPr="00A66448">
              <w:rPr>
                <w:i/>
                <w:szCs w:val="28"/>
              </w:rPr>
              <w:t>Virol</w:t>
            </w:r>
            <w:r w:rsidRPr="00A66448">
              <w:rPr>
                <w:szCs w:val="28"/>
              </w:rPr>
              <w:t xml:space="preserve">., </w:t>
            </w:r>
            <w:r w:rsidRPr="00A66448">
              <w:rPr>
                <w:i/>
                <w:szCs w:val="28"/>
              </w:rPr>
              <w:t>PLoS ONE</w:t>
            </w:r>
            <w:r w:rsidRPr="00A66448">
              <w:rPr>
                <w:rFonts w:hint="eastAsia"/>
                <w:szCs w:val="28"/>
              </w:rPr>
              <w:t>,</w:t>
            </w:r>
            <w:r w:rsidRPr="00A66448">
              <w:rPr>
                <w:rFonts w:hint="eastAsia"/>
                <w:i/>
                <w:szCs w:val="28"/>
              </w:rPr>
              <w:t xml:space="preserve"> </w:t>
            </w:r>
            <w:r w:rsidRPr="00A66448">
              <w:rPr>
                <w:i/>
                <w:szCs w:val="28"/>
              </w:rPr>
              <w:t>Mol. Immunol</w:t>
            </w:r>
            <w:r w:rsidRPr="00A66448">
              <w:rPr>
                <w:szCs w:val="28"/>
              </w:rPr>
              <w:t xml:space="preserve">., </w:t>
            </w:r>
            <w:r w:rsidRPr="00A66448">
              <w:rPr>
                <w:i/>
                <w:szCs w:val="28"/>
              </w:rPr>
              <w:t>Apoptosis</w:t>
            </w:r>
            <w:r w:rsidRPr="00A66448">
              <w:rPr>
                <w:szCs w:val="28"/>
              </w:rPr>
              <w:t xml:space="preserve">, </w:t>
            </w:r>
            <w:r w:rsidRPr="00A66448">
              <w:rPr>
                <w:i/>
                <w:szCs w:val="28"/>
              </w:rPr>
              <w:t>Biochem. J</w:t>
            </w:r>
            <w:r w:rsidRPr="00A66448">
              <w:rPr>
                <w:szCs w:val="28"/>
              </w:rPr>
              <w:t xml:space="preserve">., </w:t>
            </w:r>
            <w:r w:rsidRPr="00A66448">
              <w:rPr>
                <w:i/>
                <w:szCs w:val="28"/>
              </w:rPr>
              <w:t>FEBS Lett</w:t>
            </w:r>
            <w:r w:rsidRPr="00A66448">
              <w:rPr>
                <w:szCs w:val="28"/>
              </w:rPr>
              <w:t xml:space="preserve">., </w:t>
            </w:r>
            <w:r w:rsidRPr="00A66448">
              <w:rPr>
                <w:i/>
                <w:szCs w:val="28"/>
              </w:rPr>
              <w:t>Dev. Dyn</w:t>
            </w:r>
            <w:r w:rsidRPr="00A66448">
              <w:rPr>
                <w:szCs w:val="28"/>
              </w:rPr>
              <w:t xml:space="preserve">., </w:t>
            </w:r>
            <w:r w:rsidRPr="00A66448">
              <w:rPr>
                <w:i/>
                <w:szCs w:val="28"/>
              </w:rPr>
              <w:t>Mar. Biotechnol</w:t>
            </w:r>
            <w:r w:rsidRPr="00A66448">
              <w:rPr>
                <w:szCs w:val="28"/>
              </w:rPr>
              <w:t xml:space="preserve">., </w:t>
            </w:r>
            <w:r w:rsidRPr="00A66448">
              <w:rPr>
                <w:i/>
                <w:szCs w:val="28"/>
              </w:rPr>
              <w:t>Aquaculture</w:t>
            </w:r>
            <w:r w:rsidRPr="00A66448">
              <w:rPr>
                <w:szCs w:val="28"/>
              </w:rPr>
              <w:t>及</w:t>
            </w:r>
            <w:r w:rsidRPr="00A66448">
              <w:rPr>
                <w:i/>
                <w:szCs w:val="28"/>
              </w:rPr>
              <w:t>J. Fish Diseases</w:t>
            </w:r>
            <w:r w:rsidRPr="00A66448">
              <w:rPr>
                <w:szCs w:val="28"/>
              </w:rPr>
              <w:t>等重要期刊</w:t>
            </w:r>
            <w:r w:rsidRPr="00A66448">
              <w:rPr>
                <w:szCs w:val="28"/>
              </w:rPr>
              <w:lastRenderedPageBreak/>
              <w:t>，擁有發明專利美國</w:t>
            </w:r>
            <w:r w:rsidRPr="00A66448">
              <w:rPr>
                <w:rFonts w:hint="eastAsia"/>
                <w:szCs w:val="28"/>
              </w:rPr>
              <w:t>5</w:t>
            </w:r>
            <w:r w:rsidRPr="00A66448">
              <w:rPr>
                <w:szCs w:val="28"/>
              </w:rPr>
              <w:t>件、台灣</w:t>
            </w:r>
            <w:r w:rsidRPr="00A66448">
              <w:rPr>
                <w:rFonts w:hint="eastAsia"/>
                <w:szCs w:val="28"/>
              </w:rPr>
              <w:t>5</w:t>
            </w:r>
            <w:r w:rsidRPr="00A66448">
              <w:rPr>
                <w:szCs w:val="28"/>
              </w:rPr>
              <w:t>件、審核中</w:t>
            </w:r>
            <w:r w:rsidRPr="00A66448">
              <w:rPr>
                <w:rFonts w:hint="eastAsia"/>
                <w:szCs w:val="28"/>
              </w:rPr>
              <w:t>4</w:t>
            </w:r>
            <w:r w:rsidRPr="00A66448">
              <w:rPr>
                <w:szCs w:val="28"/>
              </w:rPr>
              <w:t>件、技轉</w:t>
            </w:r>
            <w:r w:rsidRPr="00A66448">
              <w:rPr>
                <w:rFonts w:hint="eastAsia"/>
                <w:szCs w:val="28"/>
              </w:rPr>
              <w:t>8</w:t>
            </w:r>
            <w:r w:rsidRPr="00A66448">
              <w:rPr>
                <w:szCs w:val="28"/>
              </w:rPr>
              <w:t>件及專書</w:t>
            </w:r>
            <w:r w:rsidRPr="00A66448">
              <w:rPr>
                <w:szCs w:val="28"/>
              </w:rPr>
              <w:t>1</w:t>
            </w:r>
            <w:r w:rsidRPr="00A66448">
              <w:rPr>
                <w:rFonts w:hint="eastAsia"/>
                <w:szCs w:val="28"/>
              </w:rPr>
              <w:t>4</w:t>
            </w:r>
            <w:r w:rsidRPr="00A66448">
              <w:rPr>
                <w:szCs w:val="28"/>
              </w:rPr>
              <w:t>本</w:t>
            </w:r>
            <w:r w:rsidRPr="00A66448">
              <w:rPr>
                <w:rFonts w:hint="eastAsia"/>
                <w:szCs w:val="28"/>
              </w:rPr>
              <w:t>。吳教授領先創新之成就包括魚類病毒感染之凋亡調控機制、斑馬魚之肝臟發育與腫瘤疾病模式、肌肉生長與抗寒功能及轉基因魚之不孕控制等課題，帶領台灣水產科學研究邁向國際一流水準，因此他在魚類分子生物學及水產生物技術之成就深</w:t>
            </w:r>
            <w:r w:rsidRPr="00A66448">
              <w:rPr>
                <w:szCs w:val="28"/>
              </w:rPr>
              <w:t>受國內外學界推崇。</w:t>
            </w:r>
          </w:p>
          <w:p w:rsidR="00D26B2A" w:rsidRPr="00A66448" w:rsidRDefault="00D26B2A" w:rsidP="00A66448">
            <w:pPr>
              <w:tabs>
                <w:tab w:val="left" w:pos="5981"/>
              </w:tabs>
              <w:snapToGrid w:val="0"/>
              <w:spacing w:line="240" w:lineRule="atLeast"/>
              <w:ind w:leftChars="50" w:left="378" w:hangingChars="85" w:hanging="238"/>
              <w:rPr>
                <w:rFonts w:hint="eastAsia"/>
                <w:szCs w:val="28"/>
              </w:rPr>
            </w:pPr>
            <w:r w:rsidRPr="00A66448">
              <w:rPr>
                <w:rFonts w:hint="eastAsia"/>
                <w:szCs w:val="28"/>
              </w:rPr>
              <w:t>2.</w:t>
            </w:r>
            <w:r w:rsidRPr="00A66448">
              <w:rPr>
                <w:rFonts w:hint="eastAsia"/>
                <w:szCs w:val="28"/>
              </w:rPr>
              <w:t>吳教授</w:t>
            </w:r>
            <w:r w:rsidRPr="00A66448">
              <w:rPr>
                <w:szCs w:val="28"/>
              </w:rPr>
              <w:t>擔任中央研究院動物所</w:t>
            </w:r>
            <w:r w:rsidRPr="00A66448">
              <w:rPr>
                <w:rFonts w:hint="eastAsia"/>
                <w:szCs w:val="28"/>
              </w:rPr>
              <w:t>(</w:t>
            </w:r>
            <w:r w:rsidRPr="00A66448">
              <w:rPr>
                <w:szCs w:val="28"/>
              </w:rPr>
              <w:t>改名細生所</w:t>
            </w:r>
            <w:r w:rsidRPr="00A66448">
              <w:rPr>
                <w:rFonts w:hint="eastAsia"/>
                <w:szCs w:val="28"/>
              </w:rPr>
              <w:t>)</w:t>
            </w:r>
            <w:r w:rsidRPr="00A66448">
              <w:rPr>
                <w:szCs w:val="28"/>
              </w:rPr>
              <w:t>所長，提昇動物所研究水準，卓然有成。擔任中央研究院學術諮詢總會執行秘書，協助建立中研院學術宏圖，成績卓著。推動積極參與</w:t>
            </w:r>
            <w:r w:rsidRPr="00A66448">
              <w:rPr>
                <w:szCs w:val="28"/>
              </w:rPr>
              <w:t>ICSU</w:t>
            </w:r>
            <w:r w:rsidRPr="00A66448">
              <w:rPr>
                <w:szCs w:val="28"/>
              </w:rPr>
              <w:t>、</w:t>
            </w:r>
            <w:r w:rsidRPr="00A66448">
              <w:rPr>
                <w:szCs w:val="28"/>
              </w:rPr>
              <w:t>IUBS</w:t>
            </w:r>
            <w:r w:rsidRPr="00A66448">
              <w:rPr>
                <w:szCs w:val="28"/>
              </w:rPr>
              <w:t>、</w:t>
            </w:r>
            <w:r w:rsidRPr="00A66448">
              <w:rPr>
                <w:szCs w:val="28"/>
              </w:rPr>
              <w:t>IUTOX</w:t>
            </w:r>
            <w:r w:rsidRPr="00A66448">
              <w:rPr>
                <w:szCs w:val="28"/>
              </w:rPr>
              <w:t>、</w:t>
            </w:r>
            <w:r w:rsidRPr="00A66448">
              <w:rPr>
                <w:szCs w:val="28"/>
              </w:rPr>
              <w:t>CODATA</w:t>
            </w:r>
            <w:r w:rsidRPr="00A66448">
              <w:rPr>
                <w:szCs w:val="28"/>
              </w:rPr>
              <w:t>及</w:t>
            </w:r>
            <w:r w:rsidRPr="00A66448">
              <w:rPr>
                <w:szCs w:val="28"/>
              </w:rPr>
              <w:t>COBIOTECH</w:t>
            </w:r>
            <w:r w:rsidRPr="00A66448">
              <w:rPr>
                <w:szCs w:val="28"/>
              </w:rPr>
              <w:t>等國際科學組織，建立台灣之國際學術地位，貢獻良多。在學術研究，生技產學推動及科技人才培育具有深度參與，如擔任</w:t>
            </w:r>
            <w:r w:rsidRPr="00A66448">
              <w:rPr>
                <w:rFonts w:hint="eastAsia"/>
                <w:szCs w:val="28"/>
              </w:rPr>
              <w:t>國科會“</w:t>
            </w:r>
            <w:r w:rsidRPr="00A66448">
              <w:rPr>
                <w:szCs w:val="28"/>
              </w:rPr>
              <w:t>農業生物技術國家型科技計畫</w:t>
            </w:r>
            <w:r w:rsidRPr="00A66448">
              <w:rPr>
                <w:rFonts w:hint="eastAsia"/>
                <w:szCs w:val="28"/>
              </w:rPr>
              <w:t>”</w:t>
            </w:r>
            <w:r w:rsidRPr="00A66448">
              <w:rPr>
                <w:szCs w:val="28"/>
              </w:rPr>
              <w:t>共同主持人及教育部</w:t>
            </w:r>
            <w:r w:rsidRPr="00A66448">
              <w:rPr>
                <w:rFonts w:hint="eastAsia"/>
                <w:szCs w:val="28"/>
              </w:rPr>
              <w:t>“</w:t>
            </w:r>
            <w:r w:rsidRPr="00A66448">
              <w:rPr>
                <w:szCs w:val="28"/>
              </w:rPr>
              <w:t>生物及醫學科技人才培育先導型計畫</w:t>
            </w:r>
            <w:r w:rsidRPr="00A66448">
              <w:rPr>
                <w:rFonts w:hint="eastAsia"/>
                <w:szCs w:val="28"/>
              </w:rPr>
              <w:t>”主持人</w:t>
            </w:r>
            <w:r w:rsidRPr="00A66448">
              <w:rPr>
                <w:szCs w:val="28"/>
              </w:rPr>
              <w:t>，目前</w:t>
            </w:r>
            <w:r w:rsidRPr="00A66448">
              <w:rPr>
                <w:rFonts w:hint="eastAsia"/>
                <w:szCs w:val="28"/>
              </w:rPr>
              <w:t>主持</w:t>
            </w:r>
            <w:r w:rsidRPr="00A66448">
              <w:rPr>
                <w:szCs w:val="28"/>
              </w:rPr>
              <w:t>跨部會之</w:t>
            </w:r>
            <w:r w:rsidRPr="00A66448">
              <w:rPr>
                <w:rFonts w:hint="eastAsia"/>
                <w:szCs w:val="28"/>
              </w:rPr>
              <w:t>“</w:t>
            </w:r>
            <w:r w:rsidRPr="00A66448">
              <w:rPr>
                <w:szCs w:val="28"/>
              </w:rPr>
              <w:t>農業生</w:t>
            </w:r>
            <w:r w:rsidRPr="00A66448">
              <w:rPr>
                <w:rFonts w:hint="eastAsia"/>
                <w:szCs w:val="28"/>
              </w:rPr>
              <w:t>物</w:t>
            </w:r>
            <w:r w:rsidRPr="00A66448">
              <w:rPr>
                <w:szCs w:val="28"/>
              </w:rPr>
              <w:t>技</w:t>
            </w:r>
            <w:r w:rsidRPr="00A66448">
              <w:rPr>
                <w:rFonts w:hint="eastAsia"/>
                <w:szCs w:val="28"/>
              </w:rPr>
              <w:t>術</w:t>
            </w:r>
            <w:r w:rsidRPr="00A66448">
              <w:rPr>
                <w:szCs w:val="28"/>
              </w:rPr>
              <w:t>產業化發展方案</w:t>
            </w:r>
            <w:r w:rsidRPr="00A66448">
              <w:rPr>
                <w:rFonts w:hint="eastAsia"/>
                <w:szCs w:val="28"/>
              </w:rPr>
              <w:t>”</w:t>
            </w:r>
            <w:r w:rsidRPr="00A66448">
              <w:rPr>
                <w:szCs w:val="28"/>
              </w:rPr>
              <w:t>，對國家</w:t>
            </w:r>
            <w:r w:rsidRPr="00A66448">
              <w:rPr>
                <w:rFonts w:hint="eastAsia"/>
                <w:szCs w:val="28"/>
              </w:rPr>
              <w:t>生物</w:t>
            </w:r>
            <w:r w:rsidRPr="00A66448">
              <w:rPr>
                <w:szCs w:val="28"/>
              </w:rPr>
              <w:t>科技發展及人才培育貢獻卓著。</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吳春放</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吳教授致力創新及開拓果蠅神經遺傳學研究系統、樹立細胞生理及行為學方法的典範。促進果蠅成為廣泛應用的模式，用以闡明神經興奮性、訊號傳遞、可塑行為的遺傳基礎及機制。此項成果連接不同層次研</w:t>
            </w:r>
            <w:r w:rsidRPr="00A66448">
              <w:rPr>
                <w:rFonts w:ascii="標楷體" w:hAnsi="標楷體" w:hint="eastAsia"/>
                <w:szCs w:val="28"/>
              </w:rPr>
              <w:t>究，</w:t>
            </w:r>
            <w:r w:rsidRPr="00A66448">
              <w:rPr>
                <w:rFonts w:hint="eastAsia"/>
                <w:szCs w:val="28"/>
              </w:rPr>
              <w:t>對結合遺傳，分子生物，神經功能及生物行為的認識有長遠影響及貢獻。</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張子文</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教授在</w:t>
            </w:r>
            <w:r w:rsidRPr="00A66448">
              <w:rPr>
                <w:rFonts w:hint="eastAsia"/>
                <w:szCs w:val="28"/>
              </w:rPr>
              <w:t>1987</w:t>
            </w:r>
            <w:r w:rsidRPr="00A66448">
              <w:rPr>
                <w:rFonts w:hint="eastAsia"/>
                <w:szCs w:val="28"/>
              </w:rPr>
              <w:t>發明</w:t>
            </w:r>
            <w:r w:rsidRPr="00A66448">
              <w:rPr>
                <w:rFonts w:hint="eastAsia"/>
                <w:szCs w:val="28"/>
              </w:rPr>
              <w:t>anti-IgE</w:t>
            </w:r>
            <w:r w:rsidRPr="00A66448">
              <w:rPr>
                <w:rFonts w:hint="eastAsia"/>
                <w:szCs w:val="28"/>
              </w:rPr>
              <w:t>新藥（</w:t>
            </w:r>
            <w:r w:rsidRPr="00A66448">
              <w:rPr>
                <w:rFonts w:hint="eastAsia"/>
                <w:szCs w:val="28"/>
              </w:rPr>
              <w:t>Xolair</w:t>
            </w:r>
            <w:r w:rsidRPr="00A66448">
              <w:rPr>
                <w:rFonts w:hint="eastAsia"/>
                <w:szCs w:val="28"/>
              </w:rPr>
              <w:t>），與</w:t>
            </w:r>
            <w:smartTag w:uri="urn:schemas-microsoft-com:office:smarttags" w:element="PersonName">
              <w:smartTagPr>
                <w:attr w:name="ProductID" w:val="唐南珊"/>
              </w:smartTagPr>
              <w:r w:rsidRPr="00A66448">
                <w:rPr>
                  <w:rFonts w:hint="eastAsia"/>
                  <w:szCs w:val="28"/>
                </w:rPr>
                <w:t>唐南珊</w:t>
              </w:r>
            </w:smartTag>
            <w:r w:rsidRPr="00A66448">
              <w:rPr>
                <w:rFonts w:hint="eastAsia"/>
                <w:szCs w:val="28"/>
              </w:rPr>
              <w:t>博士經營二十年，克服許多重大困難，終於將</w:t>
            </w:r>
            <w:r w:rsidRPr="00A66448">
              <w:rPr>
                <w:rFonts w:hint="eastAsia"/>
                <w:szCs w:val="28"/>
              </w:rPr>
              <w:t>anti-IgE</w:t>
            </w:r>
            <w:r w:rsidRPr="00A66448">
              <w:rPr>
                <w:rFonts w:hint="eastAsia"/>
                <w:szCs w:val="28"/>
              </w:rPr>
              <w:t>發展成功為主要藥物。</w:t>
            </w:r>
            <w:r w:rsidRPr="00A66448">
              <w:rPr>
                <w:rFonts w:hint="eastAsia"/>
                <w:szCs w:val="28"/>
              </w:rPr>
              <w:t>Xolair</w:t>
            </w:r>
            <w:r w:rsidRPr="00A66448">
              <w:rPr>
                <w:rFonts w:hint="eastAsia"/>
                <w:szCs w:val="28"/>
              </w:rPr>
              <w:t>已在許多國家治療超過</w:t>
            </w:r>
            <w:r w:rsidRPr="00A66448">
              <w:rPr>
                <w:rFonts w:hint="eastAsia"/>
                <w:szCs w:val="28"/>
              </w:rPr>
              <w:t>200,000</w:t>
            </w:r>
            <w:r w:rsidRPr="00A66448">
              <w:rPr>
                <w:rFonts w:hint="eastAsia"/>
                <w:szCs w:val="28"/>
              </w:rPr>
              <w:t>其他藥物無法治療的重度哮喘病人。</w:t>
            </w: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教授的團隊近幾年獲得突破，正發展</w:t>
            </w:r>
            <w:r w:rsidRPr="00A66448">
              <w:rPr>
                <w:rFonts w:hint="eastAsia"/>
                <w:szCs w:val="28"/>
              </w:rPr>
              <w:t>anti-CemX</w:t>
            </w:r>
            <w:r w:rsidRPr="00A66448">
              <w:rPr>
                <w:rFonts w:hint="eastAsia"/>
                <w:szCs w:val="28"/>
              </w:rPr>
              <w:t>為新一代標的</w:t>
            </w:r>
            <w:r w:rsidRPr="00A66448">
              <w:rPr>
                <w:rFonts w:hint="eastAsia"/>
                <w:szCs w:val="28"/>
              </w:rPr>
              <w:t>IgE</w:t>
            </w:r>
            <w:r w:rsidRPr="00A66448">
              <w:rPr>
                <w:rFonts w:hint="eastAsia"/>
                <w:szCs w:val="28"/>
              </w:rPr>
              <w:lastRenderedPageBreak/>
              <w:t>的藥物。</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張美惠</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張"/>
              </w:smartTagPr>
              <w:r w:rsidRPr="00A66448">
                <w:rPr>
                  <w:rFonts w:hint="eastAsia"/>
                  <w:szCs w:val="28"/>
                </w:rPr>
                <w:t>張</w:t>
              </w:r>
            </w:smartTag>
            <w:r w:rsidRPr="00A66448">
              <w:rPr>
                <w:rFonts w:hint="eastAsia"/>
                <w:szCs w:val="28"/>
              </w:rPr>
              <w:t>教授以女性研究者特質致力母嬰健康，兒童肝炎肝癌與肝病之研究長達三十年。提出人類疫苗有效防癌之證據；建立兒童至成人之長程</w:t>
            </w:r>
            <w:r w:rsidRPr="00A66448">
              <w:rPr>
                <w:rFonts w:hint="eastAsia"/>
                <w:szCs w:val="28"/>
              </w:rPr>
              <w:t>B</w:t>
            </w:r>
            <w:r w:rsidRPr="00A66448">
              <w:rPr>
                <w:rFonts w:hint="eastAsia"/>
                <w:szCs w:val="28"/>
              </w:rPr>
              <w:t>型肝炎自然史與宿主病毒相互作用系列研究，發現新肝癌專屬致癌基因</w:t>
            </w:r>
            <w:r w:rsidRPr="00A66448">
              <w:rPr>
                <w:rFonts w:hint="eastAsia"/>
                <w:szCs w:val="28"/>
              </w:rPr>
              <w:t>RBMY</w:t>
            </w:r>
            <w:r w:rsidRPr="00A66448">
              <w:rPr>
                <w:rFonts w:hint="eastAsia"/>
                <w:szCs w:val="28"/>
              </w:rPr>
              <w:t>；成果斐然，貢獻極大。</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陳鈴津</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陳"/>
              </w:smartTagPr>
              <w:r w:rsidRPr="00A66448">
                <w:rPr>
                  <w:rFonts w:hint="eastAsia"/>
                  <w:szCs w:val="28"/>
                </w:rPr>
                <w:t>陳</w:t>
              </w:r>
            </w:smartTag>
            <w:r w:rsidRPr="00A66448">
              <w:rPr>
                <w:rFonts w:hint="eastAsia"/>
                <w:szCs w:val="28"/>
              </w:rPr>
              <w:t>教授是少數能銜接基礎科學與臨床研究的醫師科學家，享譽國際，領導台灣及全美臨床研究合作團隊。為</w:t>
            </w:r>
            <w:r w:rsidRPr="00A66448">
              <w:rPr>
                <w:rFonts w:hint="eastAsia"/>
                <w:szCs w:val="28"/>
              </w:rPr>
              <w:t>anti-GD2</w:t>
            </w:r>
            <w:r w:rsidRPr="00A66448">
              <w:rPr>
                <w:rFonts w:hint="eastAsia"/>
                <w:szCs w:val="28"/>
              </w:rPr>
              <w:t>治療神經母細胞瘤的先驅，突破性的提高</w:t>
            </w:r>
            <w:r w:rsidRPr="00A66448">
              <w:rPr>
                <w:rFonts w:hint="eastAsia"/>
                <w:szCs w:val="28"/>
              </w:rPr>
              <w:t>20%</w:t>
            </w:r>
            <w:r w:rsidRPr="00A66448">
              <w:rPr>
                <w:rFonts w:hint="eastAsia"/>
                <w:szCs w:val="28"/>
              </w:rPr>
              <w:t>治癒率。現正進行以</w:t>
            </w:r>
            <w:r w:rsidRPr="00A66448">
              <w:rPr>
                <w:rFonts w:hint="eastAsia"/>
                <w:szCs w:val="28"/>
              </w:rPr>
              <w:t>globo H</w:t>
            </w:r>
            <w:r w:rsidRPr="00A66448">
              <w:rPr>
                <w:rFonts w:hint="eastAsia"/>
                <w:szCs w:val="28"/>
              </w:rPr>
              <w:t>疫苗治療乳癌的第</w:t>
            </w:r>
            <w:r w:rsidRPr="00A66448">
              <w:rPr>
                <w:rFonts w:hint="eastAsia"/>
                <w:szCs w:val="28"/>
              </w:rPr>
              <w:t>II/III</w:t>
            </w:r>
            <w:r w:rsidRPr="00A66448">
              <w:rPr>
                <w:rFonts w:hint="eastAsia"/>
                <w:szCs w:val="28"/>
              </w:rPr>
              <w:t>期臨床試驗。在轉譯醫學表現傑出，也有多項專利技轉，並擔任政府顧問，協助規劃生技相關政策與建設，為台灣的轉譯醫學及生技發展貢獻心力。</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黃力夫</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黃"/>
              </w:smartTagPr>
              <w:r w:rsidRPr="00A66448">
                <w:rPr>
                  <w:rFonts w:hint="eastAsia"/>
                  <w:szCs w:val="28"/>
                </w:rPr>
                <w:t>黃</w:t>
              </w:r>
            </w:smartTag>
            <w:r w:rsidRPr="00A66448">
              <w:rPr>
                <w:rFonts w:hint="eastAsia"/>
                <w:szCs w:val="28"/>
              </w:rPr>
              <w:t>教授在藥物及基因傳輸及靶向給藥的研究上有特殊成就。他利用自組裝及生物材料化學的特殊技</w:t>
            </w:r>
            <w:r w:rsidRPr="00A66448">
              <w:rPr>
                <w:rFonts w:ascii="標楷體" w:hAnsi="標楷體" w:hint="eastAsia"/>
                <w:szCs w:val="28"/>
              </w:rPr>
              <w:t>術，</w:t>
            </w:r>
            <w:r w:rsidRPr="00A66448">
              <w:rPr>
                <w:rFonts w:hint="eastAsia"/>
                <w:szCs w:val="28"/>
              </w:rPr>
              <w:t>設計微脂粒及其他奈米顆</w:t>
            </w:r>
            <w:r w:rsidRPr="00A66448">
              <w:rPr>
                <w:rFonts w:ascii="標楷體" w:hAnsi="標楷體" w:hint="eastAsia"/>
                <w:szCs w:val="28"/>
              </w:rPr>
              <w:t>粒，</w:t>
            </w:r>
            <w:r w:rsidRPr="00A66448">
              <w:rPr>
                <w:rFonts w:hint="eastAsia"/>
                <w:szCs w:val="28"/>
              </w:rPr>
              <w:t>做為抗癌藥</w:t>
            </w:r>
            <w:r w:rsidRPr="00A66448">
              <w:rPr>
                <w:rFonts w:ascii="標楷體" w:hAnsi="標楷體" w:hint="eastAsia"/>
                <w:szCs w:val="28"/>
              </w:rPr>
              <w:t>物、</w:t>
            </w:r>
            <w:r w:rsidRPr="00A66448">
              <w:rPr>
                <w:rFonts w:hint="eastAsia"/>
                <w:szCs w:val="28"/>
              </w:rPr>
              <w:t>基</w:t>
            </w:r>
            <w:r w:rsidRPr="00A66448">
              <w:rPr>
                <w:rFonts w:ascii="標楷體" w:hAnsi="標楷體" w:hint="eastAsia"/>
                <w:szCs w:val="28"/>
              </w:rPr>
              <w:t>因、</w:t>
            </w:r>
            <w:r w:rsidRPr="00A66448">
              <w:rPr>
                <w:rFonts w:hint="eastAsia"/>
                <w:szCs w:val="28"/>
              </w:rPr>
              <w:t>siRNA</w:t>
            </w:r>
            <w:r w:rsidRPr="00A66448">
              <w:rPr>
                <w:rFonts w:hint="eastAsia"/>
                <w:szCs w:val="28"/>
              </w:rPr>
              <w:t>及其他大分子的體內傳輸與靶向。他在此領域中的先驅研究及領先地位是有目共睹的。</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黃煥中</w:t>
            </w:r>
          </w:p>
        </w:tc>
        <w:tc>
          <w:tcPr>
            <w:tcW w:w="7174" w:type="dxa"/>
            <w:shd w:val="clear" w:color="auto" w:fill="auto"/>
          </w:tcPr>
          <w:p w:rsidR="00D26B2A" w:rsidRPr="00A66448" w:rsidRDefault="00D26B2A" w:rsidP="00A66448">
            <w:pPr>
              <w:pStyle w:val="interpret1"/>
              <w:shd w:val="clear" w:color="auto" w:fill="FFFFFF"/>
              <w:snapToGrid w:val="0"/>
              <w:spacing w:before="0" w:beforeAutospacing="0" w:after="0" w:afterAutospacing="0" w:line="240" w:lineRule="atLeast"/>
              <w:ind w:leftChars="1" w:left="3" w:firstLineChars="183" w:firstLine="512"/>
              <w:rPr>
                <w:rFonts w:eastAsia="標楷體"/>
                <w:lang w:eastAsia="zh-TW"/>
              </w:rPr>
            </w:pPr>
            <w:smartTag w:uri="urn:schemas-microsoft-com:office:smarttags" w:element="PersonName">
              <w:smartTagPr>
                <w:attr w:name="ProductID" w:val="黃"/>
              </w:smartTagPr>
              <w:r w:rsidRPr="00A66448">
                <w:rPr>
                  <w:rFonts w:eastAsia="標楷體"/>
                  <w:lang w:eastAsia="zh-TW"/>
                </w:rPr>
                <w:t>黃</w:t>
              </w:r>
            </w:smartTag>
            <w:r w:rsidRPr="00A66448">
              <w:rPr>
                <w:rFonts w:eastAsia="標楷體"/>
                <w:lang w:eastAsia="zh-TW"/>
              </w:rPr>
              <w:t>教授</w:t>
            </w:r>
            <w:r w:rsidRPr="00A66448">
              <w:rPr>
                <w:rFonts w:eastAsia="標楷體"/>
                <w:lang w:val="en" w:eastAsia="zh-TW"/>
              </w:rPr>
              <w:t>擁有</w:t>
            </w:r>
            <w:r w:rsidRPr="00A66448">
              <w:rPr>
                <w:rFonts w:eastAsia="標楷體"/>
                <w:lang w:eastAsia="zh-TW"/>
              </w:rPr>
              <w:t>在種子蛋白質</w:t>
            </w:r>
            <w:r w:rsidRPr="00A66448">
              <w:rPr>
                <w:rFonts w:eastAsia="標楷體" w:hint="eastAsia"/>
                <w:lang w:eastAsia="zh-TW"/>
              </w:rPr>
              <w:t>、</w:t>
            </w:r>
            <w:r w:rsidRPr="00A66448">
              <w:rPr>
                <w:rFonts w:eastAsia="標楷體"/>
                <w:lang w:eastAsia="zh-TW"/>
              </w:rPr>
              <w:t>種子油脂與花的形成等領導性研究與其應用的傑出先驅成就。</w:t>
            </w:r>
          </w:p>
          <w:p w:rsidR="00D26B2A" w:rsidRPr="00A66448" w:rsidRDefault="00D26B2A" w:rsidP="00A66448">
            <w:pPr>
              <w:pStyle w:val="interpret1"/>
              <w:shd w:val="clear" w:color="auto" w:fill="FFFFFF"/>
              <w:snapToGrid w:val="0"/>
              <w:spacing w:before="0" w:beforeAutospacing="0" w:after="0" w:afterAutospacing="0" w:line="240" w:lineRule="atLeast"/>
              <w:ind w:leftChars="1" w:left="3" w:firstLineChars="200" w:firstLine="560"/>
              <w:rPr>
                <w:rFonts w:eastAsia="標楷體"/>
                <w:lang w:eastAsia="zh-TW"/>
              </w:rPr>
            </w:pPr>
            <w:smartTag w:uri="urn:schemas-microsoft-com:office:smarttags" w:element="PersonName">
              <w:smartTagPr>
                <w:attr w:name="ProductID" w:val="黃"/>
              </w:smartTagPr>
              <w:r w:rsidRPr="00A66448">
                <w:rPr>
                  <w:rFonts w:eastAsia="標楷體"/>
                  <w:lang w:eastAsia="zh-TW"/>
                </w:rPr>
                <w:t>黃</w:t>
              </w:r>
            </w:smartTag>
            <w:r w:rsidRPr="00A66448">
              <w:rPr>
                <w:rFonts w:eastAsia="標楷體"/>
                <w:lang w:eastAsia="zh-TW"/>
              </w:rPr>
              <w:t>教授</w:t>
            </w:r>
            <w:r w:rsidRPr="00A66448">
              <w:rPr>
                <w:rFonts w:eastAsia="標楷體" w:cs="MS Mincho" w:hint="eastAsia"/>
                <w:lang w:eastAsia="zh-TW"/>
              </w:rPr>
              <w:t>在</w:t>
            </w:r>
            <w:r w:rsidRPr="00A66448">
              <w:rPr>
                <w:rFonts w:eastAsia="標楷體"/>
                <w:lang w:eastAsia="zh-TW"/>
              </w:rPr>
              <w:t>2009</w:t>
            </w:r>
            <w:r w:rsidRPr="00A66448">
              <w:rPr>
                <w:rFonts w:eastAsia="標楷體" w:cs="MS Mincho" w:hint="eastAsia"/>
                <w:lang w:eastAsia="zh-TW"/>
              </w:rPr>
              <w:t>年以前在加州大學任教時</w:t>
            </w:r>
            <w:r w:rsidRPr="00A66448">
              <w:rPr>
                <w:rFonts w:eastAsia="標楷體"/>
                <w:lang w:eastAsia="zh-TW"/>
              </w:rPr>
              <w:t>經常參與台灣學術界事</w:t>
            </w:r>
            <w:r w:rsidRPr="00A66448">
              <w:rPr>
                <w:rFonts w:ascii="標楷體" w:eastAsia="標楷體" w:hAnsi="標楷體"/>
                <w:lang w:eastAsia="zh-TW"/>
              </w:rPr>
              <w:t>務</w:t>
            </w:r>
            <w:r w:rsidRPr="00A66448">
              <w:rPr>
                <w:rFonts w:ascii="標楷體" w:eastAsia="標楷體" w:hAnsi="標楷體" w:hint="eastAsia"/>
                <w:lang w:eastAsia="zh-TW"/>
              </w:rPr>
              <w:t>：</w:t>
            </w:r>
            <w:r w:rsidRPr="00A66448">
              <w:rPr>
                <w:rFonts w:eastAsia="標楷體"/>
                <w:lang w:val="en" w:eastAsia="zh-TW"/>
              </w:rPr>
              <w:t>包括</w:t>
            </w:r>
            <w:r w:rsidRPr="00A66448">
              <w:rPr>
                <w:rFonts w:eastAsia="標楷體"/>
                <w:lang w:eastAsia="zh-TW"/>
              </w:rPr>
              <w:t>擔任中研院植物所諮詢委員、召集人</w:t>
            </w:r>
            <w:r w:rsidRPr="00A66448">
              <w:rPr>
                <w:rFonts w:eastAsia="標楷體"/>
                <w:lang w:eastAsia="zh-TW"/>
              </w:rPr>
              <w:t>(</w:t>
            </w:r>
            <w:r w:rsidRPr="00A66448">
              <w:rPr>
                <w:rFonts w:eastAsia="標楷體" w:cs="MS Mincho" w:hint="eastAsia"/>
                <w:bCs/>
                <w:lang w:eastAsia="zh-TW"/>
              </w:rPr>
              <w:t>約</w:t>
            </w:r>
            <w:r w:rsidRPr="00A66448">
              <w:rPr>
                <w:rFonts w:eastAsia="標楷體"/>
                <w:lang w:eastAsia="zh-TW"/>
              </w:rPr>
              <w:t>15</w:t>
            </w:r>
            <w:r w:rsidRPr="00A66448">
              <w:rPr>
                <w:rFonts w:eastAsia="標楷體"/>
                <w:bCs/>
                <w:lang w:eastAsia="zh-TW"/>
              </w:rPr>
              <w:t>年</w:t>
            </w:r>
            <w:r w:rsidRPr="00A66448">
              <w:rPr>
                <w:rFonts w:eastAsia="標楷體"/>
                <w:lang w:eastAsia="zh-TW"/>
              </w:rPr>
              <w:t>)</w:t>
            </w:r>
            <w:r w:rsidRPr="00A66448">
              <w:rPr>
                <w:rFonts w:eastAsia="標楷體"/>
                <w:lang w:eastAsia="zh-TW"/>
              </w:rPr>
              <w:t>，及</w:t>
            </w:r>
            <w:r w:rsidRPr="00A66448">
              <w:rPr>
                <w:rFonts w:eastAsia="標楷體"/>
                <w:bCs/>
                <w:lang w:eastAsia="zh-TW"/>
              </w:rPr>
              <w:t>成功</w:t>
            </w:r>
            <w:r w:rsidRPr="00A66448">
              <w:rPr>
                <w:rFonts w:eastAsia="標楷體"/>
                <w:lang w:eastAsia="zh-TW"/>
              </w:rPr>
              <w:t>發</w:t>
            </w:r>
            <w:r w:rsidRPr="00A66448">
              <w:rPr>
                <w:rFonts w:eastAsia="標楷體"/>
                <w:bCs/>
                <w:lang w:eastAsia="zh-TW"/>
              </w:rPr>
              <w:t>起推薦</w:t>
            </w:r>
            <w:r w:rsidRPr="00A66448">
              <w:rPr>
                <w:rFonts w:eastAsia="標楷體"/>
                <w:lang w:eastAsia="zh-TW"/>
              </w:rPr>
              <w:t>4</w:t>
            </w:r>
            <w:r w:rsidRPr="00A66448">
              <w:rPr>
                <w:rFonts w:eastAsia="標楷體"/>
                <w:lang w:eastAsia="zh-TW"/>
              </w:rPr>
              <w:t>位中研院學者為</w:t>
            </w:r>
            <w:r w:rsidRPr="00A66448">
              <w:rPr>
                <w:rFonts w:eastAsia="標楷體"/>
                <w:lang w:eastAsia="zh-TW"/>
              </w:rPr>
              <w:t>AAAS Fellows</w:t>
            </w:r>
            <w:r w:rsidRPr="00A66448">
              <w:rPr>
                <w:rFonts w:eastAsia="標楷體"/>
                <w:lang w:eastAsia="zh-TW"/>
              </w:rPr>
              <w:t>。</w:t>
            </w:r>
          </w:p>
          <w:p w:rsidR="00D26B2A" w:rsidRPr="00A66448" w:rsidRDefault="00D26B2A" w:rsidP="00A66448">
            <w:pPr>
              <w:snapToGrid w:val="0"/>
              <w:spacing w:line="240" w:lineRule="atLeast"/>
              <w:ind w:firstLineChars="200" w:firstLine="560"/>
              <w:rPr>
                <w:rFonts w:hint="eastAsia"/>
                <w:color w:val="000000"/>
                <w:szCs w:val="28"/>
              </w:rPr>
            </w:pPr>
            <w:smartTag w:uri="urn:schemas-microsoft-com:office:smarttags" w:element="PersonName">
              <w:smartTagPr>
                <w:attr w:name="ProductID" w:val="黃"/>
              </w:smartTagPr>
              <w:r w:rsidRPr="00A66448">
                <w:rPr>
                  <w:color w:val="000000"/>
                  <w:szCs w:val="28"/>
                </w:rPr>
                <w:t>黃</w:t>
              </w:r>
            </w:smartTag>
            <w:r w:rsidRPr="00A66448">
              <w:rPr>
                <w:rFonts w:hint="eastAsia"/>
                <w:color w:val="000000"/>
                <w:szCs w:val="28"/>
              </w:rPr>
              <w:t>教授</w:t>
            </w:r>
            <w:r w:rsidRPr="00A66448">
              <w:rPr>
                <w:color w:val="000000"/>
                <w:szCs w:val="28"/>
              </w:rPr>
              <w:t>於</w:t>
            </w:r>
            <w:r w:rsidRPr="00A66448">
              <w:rPr>
                <w:color w:val="000000"/>
                <w:szCs w:val="28"/>
              </w:rPr>
              <w:t>2010</w:t>
            </w:r>
            <w:r w:rsidRPr="00A66448">
              <w:rPr>
                <w:color w:val="000000"/>
                <w:szCs w:val="28"/>
              </w:rPr>
              <w:t>年</w:t>
            </w:r>
            <w:r w:rsidRPr="00A66448">
              <w:rPr>
                <w:color w:val="000000"/>
                <w:szCs w:val="28"/>
              </w:rPr>
              <w:t>1</w:t>
            </w:r>
            <w:r w:rsidRPr="00A66448">
              <w:rPr>
                <w:color w:val="000000"/>
                <w:szCs w:val="28"/>
              </w:rPr>
              <w:t>月回臺灣中研院植物暨微生物所服務，迅速地把該所提升到國際水準，目前正領導該所往世界先進地位邁進。</w:t>
            </w:r>
            <w:smartTag w:uri="urn:schemas-microsoft-com:office:smarttags" w:element="PersonName">
              <w:smartTagPr>
                <w:attr w:name="ProductID" w:val="黃"/>
              </w:smartTagPr>
              <w:r w:rsidRPr="00A66448">
                <w:rPr>
                  <w:color w:val="000000"/>
                  <w:szCs w:val="28"/>
                </w:rPr>
                <w:t>黃</w:t>
              </w:r>
            </w:smartTag>
            <w:r w:rsidRPr="00A66448">
              <w:rPr>
                <w:rFonts w:hint="eastAsia"/>
                <w:color w:val="000000"/>
                <w:szCs w:val="28"/>
              </w:rPr>
              <w:t>教授</w:t>
            </w:r>
            <w:r w:rsidRPr="00A66448">
              <w:rPr>
                <w:color w:val="000000"/>
                <w:szCs w:val="28"/>
              </w:rPr>
              <w:t>正在領導研究團隊研發台灣水</w:t>
            </w:r>
            <w:r w:rsidRPr="00A66448">
              <w:rPr>
                <w:color w:val="000000"/>
                <w:szCs w:val="28"/>
              </w:rPr>
              <w:lastRenderedPageBreak/>
              <w:t>稻及花果的雜交計</w:t>
            </w:r>
            <w:r w:rsidRPr="00A66448">
              <w:rPr>
                <w:rFonts w:hint="eastAsia"/>
                <w:color w:val="000000"/>
                <w:szCs w:val="28"/>
              </w:rPr>
              <w:t>畫</w:t>
            </w:r>
            <w:r w:rsidRPr="00A66448">
              <w:rPr>
                <w:color w:val="000000"/>
                <w:szCs w:val="28"/>
              </w:rPr>
              <w:t>，以及用新方法進行改良植物油的研究。</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lastRenderedPageBreak/>
              <w:t>劉扶東</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劉"/>
              </w:smartTagPr>
              <w:r w:rsidRPr="00A66448">
                <w:rPr>
                  <w:rFonts w:hint="eastAsia"/>
                  <w:szCs w:val="28"/>
                </w:rPr>
                <w:t>劉</w:t>
              </w:r>
            </w:smartTag>
            <w:r w:rsidRPr="00A66448">
              <w:rPr>
                <w:rFonts w:hint="eastAsia"/>
                <w:szCs w:val="28"/>
              </w:rPr>
              <w:t>教授主要的貢獻是在過敏及免疫領域，同時是醣類生物學的領袖及成功的皮膚醫學家。</w:t>
            </w:r>
            <w:smartTag w:uri="urn:schemas-microsoft-com:office:smarttags" w:element="PersonName">
              <w:smartTagPr>
                <w:attr w:name="ProductID" w:val="劉"/>
              </w:smartTagPr>
              <w:r w:rsidRPr="00A66448">
                <w:rPr>
                  <w:rFonts w:hint="eastAsia"/>
                  <w:szCs w:val="28"/>
                </w:rPr>
                <w:t>劉</w:t>
              </w:r>
            </w:smartTag>
            <w:r w:rsidRPr="00A66448">
              <w:rPr>
                <w:rFonts w:hint="eastAsia"/>
                <w:szCs w:val="28"/>
              </w:rPr>
              <w:t>教授發現了家族</w:t>
            </w:r>
            <w:r w:rsidRPr="00A66448">
              <w:rPr>
                <w:szCs w:val="28"/>
              </w:rPr>
              <w:t>”galectins”(</w:t>
            </w:r>
            <w:r w:rsidRPr="00A66448">
              <w:rPr>
                <w:rFonts w:hint="eastAsia"/>
                <w:szCs w:val="28"/>
              </w:rPr>
              <w:t>動物性</w:t>
            </w:r>
            <w:r w:rsidRPr="00A66448">
              <w:rPr>
                <w:szCs w:val="28"/>
              </w:rPr>
              <w:t>lectin)</w:t>
            </w:r>
            <w:r w:rsidRPr="00A66448">
              <w:rPr>
                <w:rFonts w:hint="eastAsia"/>
                <w:szCs w:val="28"/>
              </w:rPr>
              <w:t>。可說是醣類生物學領域的先驅者。</w:t>
            </w:r>
            <w:smartTag w:uri="urn:schemas-microsoft-com:office:smarttags" w:element="PersonName">
              <w:smartTagPr>
                <w:attr w:name="ProductID" w:val="劉"/>
              </w:smartTagPr>
              <w:r w:rsidRPr="00A66448">
                <w:rPr>
                  <w:rFonts w:hint="eastAsia"/>
                  <w:szCs w:val="28"/>
                </w:rPr>
                <w:t>劉</w:t>
              </w:r>
            </w:smartTag>
            <w:r w:rsidRPr="00A66448">
              <w:rPr>
                <w:rFonts w:hint="eastAsia"/>
                <w:szCs w:val="28"/>
              </w:rPr>
              <w:t>教授發展了免疫球蛋白</w:t>
            </w:r>
            <w:r w:rsidRPr="00A66448">
              <w:rPr>
                <w:szCs w:val="28"/>
              </w:rPr>
              <w:t>E</w:t>
            </w:r>
            <w:r w:rsidRPr="00A66448">
              <w:rPr>
                <w:rFonts w:hint="eastAsia"/>
                <w:szCs w:val="28"/>
              </w:rPr>
              <w:t>單株抗體，這是革命性的貢獻，使得過敏研究領域得以突破。</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蔡明道</w:t>
            </w:r>
          </w:p>
        </w:tc>
        <w:tc>
          <w:tcPr>
            <w:tcW w:w="7174"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蔡"/>
              </w:smartTagPr>
              <w:r w:rsidRPr="00A66448">
                <w:rPr>
                  <w:rFonts w:hint="eastAsia"/>
                  <w:szCs w:val="28"/>
                </w:rPr>
                <w:t>蔡</w:t>
              </w:r>
            </w:smartTag>
            <w:r w:rsidRPr="00A66448">
              <w:rPr>
                <w:rFonts w:hint="eastAsia"/>
                <w:szCs w:val="28"/>
              </w:rPr>
              <w:t>教授對生物磷酸鹽的研究位居世界領導的地位。他以整合反應機制與化學結構的方法，在數個領域上有著發展性的貢獻，特別是激酶、磷脂酶、</w:t>
            </w:r>
            <w:r w:rsidRPr="00A66448">
              <w:rPr>
                <w:szCs w:val="28"/>
              </w:rPr>
              <w:t>DNA</w:t>
            </w:r>
            <w:r w:rsidRPr="00A66448">
              <w:rPr>
                <w:rFonts w:hint="eastAsia"/>
                <w:szCs w:val="28"/>
              </w:rPr>
              <w:t>聚合酶的反應機制、以及</w:t>
            </w:r>
            <w:r w:rsidRPr="00A66448">
              <w:rPr>
                <w:szCs w:val="28"/>
              </w:rPr>
              <w:t>FHA</w:t>
            </w:r>
            <w:r w:rsidRPr="00A66448">
              <w:rPr>
                <w:rFonts w:hint="eastAsia"/>
                <w:szCs w:val="28"/>
              </w:rPr>
              <w:t>對單一與多重蛋白質磷酸化所調控的細胞內訊息傳遞。</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鄭淑珍</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鄭"/>
              </w:smartTagPr>
              <w:r w:rsidRPr="00A66448">
                <w:rPr>
                  <w:rFonts w:hint="eastAsia"/>
                  <w:szCs w:val="28"/>
                </w:rPr>
                <w:t>鄭</w:t>
              </w:r>
            </w:smartTag>
            <w:r w:rsidRPr="00A66448">
              <w:rPr>
                <w:rFonts w:hint="eastAsia"/>
                <w:szCs w:val="28"/>
              </w:rPr>
              <w:t>教授的研究對</w:t>
            </w:r>
            <w:r w:rsidRPr="00A66448">
              <w:rPr>
                <w:rFonts w:hint="eastAsia"/>
                <w:szCs w:val="28"/>
              </w:rPr>
              <w:t>RNA</w:t>
            </w:r>
            <w:r w:rsidRPr="00A66448">
              <w:rPr>
                <w:rFonts w:hint="eastAsia"/>
                <w:szCs w:val="28"/>
              </w:rPr>
              <w:t>剪接反應分子機制的了解有極大的貢獻。</w:t>
            </w:r>
            <w:r w:rsidRPr="00A66448">
              <w:rPr>
                <w:rFonts w:hint="eastAsia"/>
                <w:szCs w:val="28"/>
              </w:rPr>
              <w:t>RNA</w:t>
            </w:r>
            <w:r w:rsidRPr="00A66448">
              <w:rPr>
                <w:rFonts w:hint="eastAsia"/>
                <w:szCs w:val="28"/>
              </w:rPr>
              <w:t>剪接是大多數生物</w:t>
            </w:r>
            <w:r w:rsidRPr="00A66448">
              <w:rPr>
                <w:rFonts w:hint="eastAsia"/>
                <w:szCs w:val="28"/>
              </w:rPr>
              <w:t>(</w:t>
            </w:r>
            <w:r w:rsidRPr="00A66448">
              <w:rPr>
                <w:rFonts w:hint="eastAsia"/>
                <w:szCs w:val="28"/>
              </w:rPr>
              <w:t>包括人類</w:t>
            </w:r>
            <w:r w:rsidRPr="00A66448">
              <w:rPr>
                <w:rFonts w:hint="eastAsia"/>
                <w:szCs w:val="28"/>
              </w:rPr>
              <w:t>)</w:t>
            </w:r>
            <w:r w:rsidRPr="00A66448">
              <w:rPr>
                <w:rFonts w:hint="eastAsia"/>
                <w:szCs w:val="28"/>
              </w:rPr>
              <w:t>必須進行的反應。它是基因表達的基礎步驟，但我們對它的生化過程及調控仍不完全了解。</w:t>
            </w:r>
            <w:smartTag w:uri="urn:schemas-microsoft-com:office:smarttags" w:element="PersonName">
              <w:smartTagPr>
                <w:attr w:name="ProductID" w:val="鄭"/>
              </w:smartTagPr>
              <w:r w:rsidRPr="00A66448">
                <w:rPr>
                  <w:rFonts w:hint="eastAsia"/>
                  <w:szCs w:val="28"/>
                </w:rPr>
                <w:t>鄭</w:t>
              </w:r>
            </w:smartTag>
            <w:r w:rsidRPr="00A66448">
              <w:rPr>
                <w:rFonts w:hint="eastAsia"/>
                <w:szCs w:val="28"/>
              </w:rPr>
              <w:t>教授鑑定出了數個剪接蛋白因子，發掘它們在剪接反應不同步驟中的功能。她的研究對剪接反應的機制提出許多創新的見解。最近發現的剪接逆向反應，更突破傳統的想法，也開拓了新的研究方向。</w:t>
            </w:r>
            <w:smartTag w:uri="urn:schemas-microsoft-com:office:smarttags" w:element="PersonName">
              <w:smartTagPr>
                <w:attr w:name="ProductID" w:val="鄭"/>
              </w:smartTagPr>
              <w:r w:rsidRPr="00A66448">
                <w:rPr>
                  <w:rFonts w:hint="eastAsia"/>
                  <w:szCs w:val="28"/>
                </w:rPr>
                <w:t>鄭</w:t>
              </w:r>
            </w:smartTag>
            <w:r w:rsidRPr="00A66448">
              <w:rPr>
                <w:rFonts w:hint="eastAsia"/>
                <w:szCs w:val="28"/>
              </w:rPr>
              <w:t>博士的研究發表於最頂尖的學術期刊，對基礎生物學有極大的貢獻。二十多年來她在台灣紮根的努力，已使她成為國際知名的研究者，更是年輕學人的典範。</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謝道時</w:t>
            </w:r>
          </w:p>
        </w:tc>
        <w:tc>
          <w:tcPr>
            <w:tcW w:w="7174"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謝"/>
              </w:smartTagPr>
              <w:r w:rsidRPr="00A66448">
                <w:rPr>
                  <w:rFonts w:hint="eastAsia"/>
                  <w:szCs w:val="28"/>
                </w:rPr>
                <w:t>謝</w:t>
              </w:r>
            </w:smartTag>
            <w:r w:rsidRPr="00A66448">
              <w:rPr>
                <w:rFonts w:hint="eastAsia"/>
                <w:szCs w:val="28"/>
              </w:rPr>
              <w:t>教授是位傑出的生化學家，在</w:t>
            </w:r>
            <w:r w:rsidRPr="00A66448">
              <w:rPr>
                <w:szCs w:val="28"/>
              </w:rPr>
              <w:t>DNA</w:t>
            </w:r>
            <w:r w:rsidRPr="00A66448">
              <w:rPr>
                <w:rFonts w:hint="eastAsia"/>
                <w:szCs w:val="28"/>
              </w:rPr>
              <w:t>拓樸異構酶以及染色質構象動力學領域上有許多傑出貢獻。</w:t>
            </w:r>
            <w:smartTag w:uri="urn:schemas-microsoft-com:office:smarttags" w:element="PersonName">
              <w:smartTagPr>
                <w:attr w:name="ProductID" w:val="謝"/>
              </w:smartTagPr>
              <w:r w:rsidRPr="00A66448">
                <w:rPr>
                  <w:rFonts w:hint="eastAsia"/>
                  <w:szCs w:val="28"/>
                </w:rPr>
                <w:t>謝</w:t>
              </w:r>
            </w:smartTag>
            <w:r w:rsidRPr="00A66448">
              <w:rPr>
                <w:rFonts w:hint="eastAsia"/>
                <w:szCs w:val="28"/>
              </w:rPr>
              <w:t>教授是首位確定、淨化和分析真核二型</w:t>
            </w:r>
            <w:r w:rsidRPr="00A66448">
              <w:rPr>
                <w:szCs w:val="28"/>
              </w:rPr>
              <w:t>DNA</w:t>
            </w:r>
            <w:r w:rsidRPr="00A66448">
              <w:rPr>
                <w:rFonts w:hint="eastAsia"/>
                <w:szCs w:val="28"/>
              </w:rPr>
              <w:t>拓樸異構酶。重要的是，許多功能強大的抗癌藥物能誘導二型拓樸異構酶形成與</w:t>
            </w:r>
            <w:r w:rsidRPr="00A66448">
              <w:rPr>
                <w:szCs w:val="28"/>
              </w:rPr>
              <w:t>DNA</w:t>
            </w:r>
            <w:r w:rsidRPr="00A66448">
              <w:rPr>
                <w:rFonts w:hint="eastAsia"/>
                <w:szCs w:val="28"/>
              </w:rPr>
              <w:t>相連的雙鏈斷裂，他的結果能為此現象提供機制</w:t>
            </w:r>
            <w:r w:rsidRPr="00A66448">
              <w:rPr>
                <w:rFonts w:hint="eastAsia"/>
                <w:szCs w:val="28"/>
              </w:rPr>
              <w:lastRenderedPageBreak/>
              <w:t>上的解釋。</w:t>
            </w:r>
            <w:smartTag w:uri="urn:schemas-microsoft-com:office:smarttags" w:element="PersonName">
              <w:smartTagPr>
                <w:attr w:name="ProductID" w:val="謝"/>
              </w:smartTagPr>
              <w:r w:rsidRPr="00A66448">
                <w:rPr>
                  <w:rFonts w:hint="eastAsia"/>
                  <w:szCs w:val="28"/>
                </w:rPr>
                <w:t>謝</w:t>
              </w:r>
            </w:smartTag>
            <w:r w:rsidRPr="00A66448">
              <w:rPr>
                <w:rFonts w:hint="eastAsia"/>
                <w:szCs w:val="28"/>
              </w:rPr>
              <w:t>教授非常受到相同研究領域學者的推崇。</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noProof/>
                <w:szCs w:val="28"/>
              </w:rPr>
              <w:lastRenderedPageBreak/>
              <w:t>魏福全</w:t>
            </w:r>
          </w:p>
        </w:tc>
        <w:tc>
          <w:tcPr>
            <w:tcW w:w="7174"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魏"/>
              </w:smartTagPr>
              <w:r w:rsidRPr="00A66448">
                <w:rPr>
                  <w:rFonts w:hint="eastAsia"/>
                  <w:noProof/>
                  <w:szCs w:val="28"/>
                </w:rPr>
                <w:t>魏</w:t>
              </w:r>
            </w:smartTag>
            <w:r w:rsidRPr="00A66448">
              <w:rPr>
                <w:rFonts w:hint="eastAsia"/>
                <w:noProof/>
                <w:szCs w:val="28"/>
              </w:rPr>
              <w:t>教授在自體及異體組織移植領域的學術研究不僅成果卓越領先國際，更能將其結果用以開創多項目前已成為世界重建經典主流的組織移植手術，造福世界上無數癌症、外傷及先天畸形病患。他的貢獻在國際上屢獲至高勳榮獎項的肯定，更為美國整形外科學會推選為四</w:t>
            </w:r>
            <w:r w:rsidRPr="00A66448">
              <w:rPr>
                <w:rFonts w:hint="eastAsia"/>
                <w:noProof/>
                <w:spacing w:val="-4"/>
                <w:szCs w:val="28"/>
              </w:rPr>
              <w:t>百年來整形重建外科史上最重要二十名創新發明者之一。</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魏麗娜</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魏"/>
              </w:smartTagPr>
              <w:r w:rsidRPr="00A66448">
                <w:rPr>
                  <w:rFonts w:hint="eastAsia"/>
                  <w:szCs w:val="28"/>
                </w:rPr>
                <w:t>魏</w:t>
              </w:r>
            </w:smartTag>
            <w:r w:rsidRPr="00A66448">
              <w:rPr>
                <w:rFonts w:hint="eastAsia"/>
                <w:szCs w:val="28"/>
              </w:rPr>
              <w:t>教授的研究主要在解釋細胞調控的分子基礎。在分子內分泌學及神經生物學，她提出並證明多個新觀點。她用雙功能的“輔調節因子”</w:t>
            </w:r>
            <w:r w:rsidRPr="00A66448">
              <w:rPr>
                <w:rFonts w:hint="eastAsia"/>
                <w:szCs w:val="28"/>
              </w:rPr>
              <w:t>RIP140</w:t>
            </w:r>
            <w:r w:rsidRPr="00A66448">
              <w:rPr>
                <w:rFonts w:hint="eastAsia"/>
                <w:szCs w:val="28"/>
              </w:rPr>
              <w:t>來解釋荷爾蒙的陰陽活性以及“染色質重建”（</w:t>
            </w:r>
            <w:r w:rsidRPr="00A66448">
              <w:rPr>
                <w:rFonts w:hint="eastAsia"/>
                <w:szCs w:val="28"/>
              </w:rPr>
              <w:t>chromatin remodeling</w:t>
            </w:r>
            <w:r w:rsidRPr="00A66448">
              <w:rPr>
                <w:rFonts w:hint="eastAsia"/>
                <w:szCs w:val="28"/>
              </w:rPr>
              <w:t>），並對“</w:t>
            </w:r>
            <w:r w:rsidRPr="00A66448">
              <w:rPr>
                <w:rFonts w:hint="eastAsia"/>
                <w:szCs w:val="28"/>
              </w:rPr>
              <w:t>epigenetics</w:t>
            </w:r>
            <w:r w:rsidRPr="00A66448">
              <w:rPr>
                <w:rFonts w:hint="eastAsia"/>
                <w:szCs w:val="28"/>
              </w:rPr>
              <w:t>”提供一個最完整的驗證。</w:t>
            </w:r>
            <w:r w:rsidRPr="00A66448">
              <w:rPr>
                <w:rFonts w:hint="eastAsia"/>
                <w:szCs w:val="28"/>
              </w:rPr>
              <w:t>Epigenetics</w:t>
            </w:r>
            <w:r w:rsidRPr="00A66448">
              <w:rPr>
                <w:rFonts w:hint="eastAsia"/>
                <w:szCs w:val="28"/>
              </w:rPr>
              <w:t>是當代遺傳學上闡述基因及環境之間互動關係的主要學術理論。</w:t>
            </w:r>
            <w:smartTag w:uri="urn:schemas-microsoft-com:office:smarttags" w:element="PersonName">
              <w:smartTagPr>
                <w:attr w:name="ProductID" w:val="魏"/>
              </w:smartTagPr>
              <w:r w:rsidRPr="00A66448">
                <w:rPr>
                  <w:rFonts w:hint="eastAsia"/>
                  <w:szCs w:val="28"/>
                </w:rPr>
                <w:t>魏</w:t>
              </w:r>
            </w:smartTag>
            <w:r w:rsidRPr="00A66448">
              <w:rPr>
                <w:rFonts w:hint="eastAsia"/>
                <w:szCs w:val="28"/>
              </w:rPr>
              <w:t>博士的研究成果對此一學說提供一個重要的觀點來解釋其分子基轉。在分子神經生物學領域，她提出並解釋“突觸前領域</w:t>
            </w:r>
            <w:r w:rsidRPr="00A66448">
              <w:rPr>
                <w:rFonts w:hint="eastAsia"/>
                <w:szCs w:val="28"/>
              </w:rPr>
              <w:t>mRNA</w:t>
            </w:r>
            <w:r w:rsidRPr="00A66448">
              <w:rPr>
                <w:rFonts w:hint="eastAsia"/>
                <w:szCs w:val="28"/>
              </w:rPr>
              <w:t>的輸送及定點的新蛋白質合成”的新觀點，並證明這觀點可解釋神經細胞生長及活性的局部調控。這模式好比是在神經細胞的突觸前領域設立活動式的工廠，以便提供極機動的應變及調適。她並發現嗎啡受體可調控神經細胞的生長及活性。這對原有神經科學以及藥理學領域的教條帶來挑戰，並刺激了對軸突功能以及嗎啡藥理的再次探索。</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譚澤華</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教授在分子免疫學及訊息傳遞研究上是一位不可多得的傑出科學家，他過去三十年的研究深具原創性。他的著名研究成果在於利用生化和基因剔除小鼠技術從事於</w:t>
            </w:r>
            <w:r w:rsidRPr="00A66448">
              <w:rPr>
                <w:rFonts w:hint="eastAsia"/>
                <w:szCs w:val="28"/>
              </w:rPr>
              <w:t>JNK</w:t>
            </w:r>
            <w:r w:rsidRPr="00A66448">
              <w:rPr>
                <w:rFonts w:hint="eastAsia"/>
                <w:szCs w:val="28"/>
              </w:rPr>
              <w:t>在</w:t>
            </w:r>
            <w:r w:rsidRPr="00A66448">
              <w:rPr>
                <w:rFonts w:hint="eastAsia"/>
                <w:szCs w:val="28"/>
              </w:rPr>
              <w:t>T</w:t>
            </w:r>
            <w:r w:rsidRPr="00A66448">
              <w:rPr>
                <w:rFonts w:hint="eastAsia"/>
                <w:szCs w:val="28"/>
              </w:rPr>
              <w:t>淋巴細胞訊息傳遞和免疫調控方面的研究。尤其，</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教授研究團隊是第一個證明</w:t>
            </w:r>
            <w:r w:rsidRPr="00A66448">
              <w:rPr>
                <w:rFonts w:hint="eastAsia"/>
                <w:szCs w:val="28"/>
              </w:rPr>
              <w:t>JNK</w:t>
            </w:r>
            <w:r w:rsidRPr="00A66448">
              <w:rPr>
                <w:rFonts w:hint="eastAsia"/>
                <w:szCs w:val="28"/>
              </w:rPr>
              <w:t>在調控</w:t>
            </w:r>
            <w:r w:rsidRPr="00A66448">
              <w:rPr>
                <w:rFonts w:hint="eastAsia"/>
                <w:szCs w:val="28"/>
              </w:rPr>
              <w:t>T</w:t>
            </w:r>
            <w:r w:rsidRPr="00A66448">
              <w:rPr>
                <w:rFonts w:hint="eastAsia"/>
                <w:szCs w:val="28"/>
              </w:rPr>
              <w:t>淋巴細胞凋亡的重要角色；</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教授研究團隊迄今已發現十二個</w:t>
            </w:r>
            <w:r w:rsidRPr="00A66448">
              <w:rPr>
                <w:rFonts w:hint="eastAsia"/>
                <w:szCs w:val="28"/>
              </w:rPr>
              <w:lastRenderedPageBreak/>
              <w:t>嶄新的調控</w:t>
            </w:r>
            <w:r w:rsidRPr="00A66448">
              <w:rPr>
                <w:rFonts w:hint="eastAsia"/>
                <w:szCs w:val="28"/>
              </w:rPr>
              <w:t>JNK</w:t>
            </w:r>
            <w:r w:rsidRPr="00A66448">
              <w:rPr>
                <w:rFonts w:hint="eastAsia"/>
                <w:szCs w:val="28"/>
              </w:rPr>
              <w:t>之訊息分子。特別是他發現了三個</w:t>
            </w:r>
            <w:r w:rsidRPr="00A66448">
              <w:rPr>
                <w:rFonts w:hint="eastAsia"/>
                <w:szCs w:val="28"/>
              </w:rPr>
              <w:t>MAP4K</w:t>
            </w:r>
            <w:r w:rsidRPr="00A66448">
              <w:rPr>
                <w:rFonts w:hint="eastAsia"/>
                <w:szCs w:val="28"/>
              </w:rPr>
              <w:t>分子</w:t>
            </w:r>
            <w:r w:rsidRPr="00A66448">
              <w:rPr>
                <w:rFonts w:hint="eastAsia"/>
                <w:szCs w:val="28"/>
              </w:rPr>
              <w:t>(HPK1</w:t>
            </w:r>
            <w:r w:rsidRPr="00A66448">
              <w:rPr>
                <w:rFonts w:hint="eastAsia"/>
                <w:szCs w:val="28"/>
              </w:rPr>
              <w:t>、</w:t>
            </w:r>
            <w:r w:rsidRPr="00A66448">
              <w:rPr>
                <w:rFonts w:hint="eastAsia"/>
                <w:szCs w:val="28"/>
              </w:rPr>
              <w:t>GLK</w:t>
            </w:r>
            <w:r w:rsidRPr="00A66448">
              <w:rPr>
                <w:rFonts w:hint="eastAsia"/>
                <w:szCs w:val="28"/>
              </w:rPr>
              <w:t>及</w:t>
            </w:r>
            <w:r w:rsidRPr="00A66448">
              <w:rPr>
                <w:rFonts w:hint="eastAsia"/>
                <w:szCs w:val="28"/>
              </w:rPr>
              <w:t>HGK)</w:t>
            </w:r>
            <w:r w:rsidRPr="00A66448">
              <w:rPr>
                <w:rFonts w:hint="eastAsia"/>
                <w:szCs w:val="28"/>
              </w:rPr>
              <w:t>，在</w:t>
            </w:r>
            <w:r w:rsidRPr="00A66448">
              <w:rPr>
                <w:rFonts w:hint="eastAsia"/>
                <w:szCs w:val="28"/>
              </w:rPr>
              <w:t>T</w:t>
            </w:r>
            <w:r w:rsidRPr="00A66448">
              <w:rPr>
                <w:rFonts w:hint="eastAsia"/>
                <w:szCs w:val="28"/>
              </w:rPr>
              <w:t>細胞訊息傳遞、自體免疫、發炎反應、肥胖及第二型糖尿病中的功能及重要性。除此之外，</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教授的博士論文對於證明</w:t>
            </w:r>
            <w:r w:rsidRPr="00A66448">
              <w:rPr>
                <w:rFonts w:hint="eastAsia"/>
                <w:szCs w:val="28"/>
              </w:rPr>
              <w:t>p53</w:t>
            </w:r>
            <w:r w:rsidRPr="00A66448">
              <w:rPr>
                <w:rFonts w:hint="eastAsia"/>
                <w:szCs w:val="28"/>
              </w:rPr>
              <w:t>是腫瘤抑制基因之研究上，有極重大且深遠的影響。</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除了在國際上卓越的科學成就外，</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教授在過去十四年間，也非常積極參與台灣無數個審查委員會的審查工作</w:t>
            </w:r>
            <w:r w:rsidRPr="00A66448">
              <w:rPr>
                <w:rFonts w:cs="新細明體" w:hint="eastAsia"/>
                <w:szCs w:val="28"/>
              </w:rPr>
              <w:t>，</w:t>
            </w:r>
            <w:r w:rsidRPr="00A66448">
              <w:rPr>
                <w:rFonts w:hint="eastAsia"/>
                <w:szCs w:val="28"/>
              </w:rPr>
              <w:t>諸如國家衛生研究院、國家科學委員會、中央研究院、行政院衛生署和教育部，在促進提昇台灣的生物醫學研究水準上，多所貢獻。現擔任國家衛生研究院免疫醫學研究中心主任之職務，無庸置疑地</w:t>
            </w:r>
            <w:r w:rsidRPr="00A66448">
              <w:rPr>
                <w:rFonts w:cs="新細明體" w:hint="eastAsia"/>
                <w:szCs w:val="28"/>
              </w:rPr>
              <w:t>，</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教授未來在推動及提昇台灣免疫醫學研究上，將扮演一位重要領導者的角色。事實上</w:t>
            </w:r>
            <w:smartTag w:uri="urn:schemas-microsoft-com:office:smarttags" w:element="PersonName">
              <w:smartTagPr>
                <w:attr w:name="ProductID" w:val="譚"/>
              </w:smartTagPr>
              <w:r w:rsidRPr="00A66448">
                <w:rPr>
                  <w:rFonts w:hint="eastAsia"/>
                  <w:szCs w:val="28"/>
                </w:rPr>
                <w:t>譚</w:t>
              </w:r>
            </w:smartTag>
            <w:r w:rsidRPr="00A66448">
              <w:rPr>
                <w:rFonts w:hint="eastAsia"/>
                <w:szCs w:val="28"/>
              </w:rPr>
              <w:t>教授及家人搬遷回台後，經過二年的時間，他在國衛院的實驗室已於</w:t>
            </w:r>
            <w:r w:rsidRPr="00A66448">
              <w:rPr>
                <w:rFonts w:hint="eastAsia"/>
                <w:szCs w:val="28"/>
              </w:rPr>
              <w:t>2011</w:t>
            </w:r>
            <w:r w:rsidRPr="00A66448">
              <w:rPr>
                <w:rFonts w:hint="eastAsia"/>
                <w:szCs w:val="28"/>
              </w:rPr>
              <w:t>年發表一篇論文於</w:t>
            </w:r>
            <w:r w:rsidRPr="00A66448">
              <w:rPr>
                <w:rFonts w:hint="eastAsia"/>
                <w:i/>
                <w:szCs w:val="28"/>
              </w:rPr>
              <w:t>Nature Immunology</w:t>
            </w:r>
            <w:r w:rsidRPr="00A66448">
              <w:rPr>
                <w:rFonts w:hint="eastAsia"/>
                <w:szCs w:val="28"/>
              </w:rPr>
              <w:t>期刊，此為第一篇由台灣學者獨力發表於該期刊之論文，對台灣免疫學界產生極大鼓舞且極具意義。</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bl>
    <w:p w:rsidR="00D26B2A" w:rsidRPr="00146E63" w:rsidRDefault="00D26B2A" w:rsidP="00D26B2A">
      <w:pPr>
        <w:snapToGrid w:val="0"/>
        <w:spacing w:line="240" w:lineRule="atLeast"/>
        <w:rPr>
          <w:szCs w:val="28"/>
        </w:rPr>
      </w:pPr>
    </w:p>
    <w:p w:rsidR="00D26B2A" w:rsidRPr="00146E63" w:rsidRDefault="00D26B2A" w:rsidP="00D26B2A">
      <w:pPr>
        <w:snapToGrid w:val="0"/>
        <w:spacing w:line="240" w:lineRule="atLeast"/>
        <w:rPr>
          <w:rFonts w:hint="eastAsia"/>
          <w:b/>
          <w:sz w:val="32"/>
          <w:szCs w:val="32"/>
        </w:rPr>
      </w:pPr>
      <w:r w:rsidRPr="00146E63">
        <w:rPr>
          <w:szCs w:val="28"/>
        </w:rPr>
        <w:br w:type="page"/>
      </w:r>
      <w:r w:rsidRPr="00146E63">
        <w:rPr>
          <w:rFonts w:hint="eastAsia"/>
          <w:b/>
          <w:sz w:val="32"/>
          <w:szCs w:val="32"/>
        </w:rPr>
        <w:lastRenderedPageBreak/>
        <w:t>人文及社會科學組候選人</w:t>
      </w:r>
      <w:r>
        <w:rPr>
          <w:rFonts w:hint="eastAsia"/>
          <w:b/>
          <w:sz w:val="32"/>
          <w:szCs w:val="32"/>
        </w:rPr>
        <w:t>7</w:t>
      </w:r>
      <w:r w:rsidRPr="00146E63">
        <w:rPr>
          <w:rFonts w:hint="eastAsia"/>
          <w:b/>
          <w:sz w:val="32"/>
          <w:szCs w:val="32"/>
        </w:rPr>
        <w:t>人（依姓氏筆畫排序）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174"/>
      </w:tblGrid>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姓名</w:t>
            </w:r>
          </w:p>
        </w:tc>
        <w:tc>
          <w:tcPr>
            <w:tcW w:w="7174" w:type="dxa"/>
            <w:shd w:val="clear" w:color="auto" w:fill="auto"/>
          </w:tcPr>
          <w:p w:rsidR="00D26B2A" w:rsidRPr="00A66448" w:rsidRDefault="00D26B2A" w:rsidP="00A66448">
            <w:pPr>
              <w:snapToGrid w:val="0"/>
              <w:spacing w:line="240" w:lineRule="atLeast"/>
              <w:jc w:val="center"/>
              <w:rPr>
                <w:rFonts w:hint="eastAsia"/>
                <w:b/>
                <w:szCs w:val="28"/>
              </w:rPr>
            </w:pPr>
            <w:r w:rsidRPr="00A66448">
              <w:rPr>
                <w:rFonts w:hint="eastAsia"/>
                <w:b/>
                <w:szCs w:val="28"/>
              </w:rPr>
              <w:t>合於院士候選人資格之根據</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石守謙</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石"/>
              </w:smartTagPr>
              <w:r w:rsidRPr="00A66448">
                <w:rPr>
                  <w:rFonts w:hint="eastAsia"/>
                  <w:szCs w:val="28"/>
                </w:rPr>
                <w:t>石</w:t>
              </w:r>
            </w:smartTag>
            <w:r w:rsidRPr="00A66448">
              <w:rPr>
                <w:rFonts w:hint="eastAsia"/>
                <w:szCs w:val="28"/>
              </w:rPr>
              <w:t>教授為當今中國藝術史學界最具代表性的學者之一。他的研究結合了風格史與文化史，為畫史變遷提出新解，並以畫意為核心，創新畫史的論述模式，成績斐然。他對東亞山水畫史的開拓則為中國藝術史另闢新局，亦得到國際學界推崇。</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朱雲漢</w:t>
            </w:r>
          </w:p>
        </w:tc>
        <w:tc>
          <w:tcPr>
            <w:tcW w:w="7174" w:type="dxa"/>
            <w:shd w:val="clear" w:color="auto" w:fill="auto"/>
          </w:tcPr>
          <w:p w:rsidR="00D26B2A" w:rsidRPr="00A66448" w:rsidRDefault="00D26B2A" w:rsidP="00A66448">
            <w:pPr>
              <w:snapToGrid w:val="0"/>
              <w:spacing w:line="240" w:lineRule="atLeast"/>
              <w:ind w:firstLineChars="200" w:firstLine="560"/>
              <w:rPr>
                <w:szCs w:val="28"/>
              </w:rPr>
            </w:pPr>
            <w:smartTag w:uri="urn:schemas-microsoft-com:office:smarttags" w:element="PersonName">
              <w:smartTagPr>
                <w:attr w:name="ProductID" w:val="朱"/>
              </w:smartTagPr>
              <w:r w:rsidRPr="00A66448">
                <w:rPr>
                  <w:rFonts w:hint="eastAsia"/>
                  <w:szCs w:val="28"/>
                </w:rPr>
                <w:t>朱</w:t>
              </w:r>
            </w:smartTag>
            <w:r w:rsidRPr="00A66448">
              <w:rPr>
                <w:rFonts w:hint="eastAsia"/>
                <w:szCs w:val="28"/>
              </w:rPr>
              <w:t>教授在全球中生代華裔政治學者中允為最傑出、最有成就之一人。他在國際學術舞台上為台灣學者開創了一種嶄新的格局。</w:t>
            </w:r>
            <w:smartTag w:uri="urn:schemas-microsoft-com:office:smarttags" w:element="PersonName">
              <w:smartTagPr>
                <w:attr w:name="ProductID" w:val="朱"/>
              </w:smartTagPr>
              <w:r w:rsidRPr="00A66448">
                <w:rPr>
                  <w:rFonts w:hint="eastAsia"/>
                  <w:szCs w:val="28"/>
                </w:rPr>
                <w:t>朱</w:t>
              </w:r>
            </w:smartTag>
            <w:r w:rsidRPr="00A66448">
              <w:rPr>
                <w:rFonts w:hint="eastAsia"/>
                <w:szCs w:val="28"/>
              </w:rPr>
              <w:t>教授的研究對於理解公民信念與態度在民主轉型與民主鞏固中的作用有特殊之學術貢獻，他並持續在全球民主化研究領域引領研究議程與理論視野之創新。</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szCs w:val="28"/>
                <w:lang w:eastAsia="zh-CN"/>
              </w:rPr>
              <w:t>范劍青</w:t>
            </w:r>
          </w:p>
        </w:tc>
        <w:tc>
          <w:tcPr>
            <w:tcW w:w="7174" w:type="dxa"/>
            <w:shd w:val="clear" w:color="auto" w:fill="auto"/>
          </w:tcPr>
          <w:p w:rsidR="00D26B2A" w:rsidRPr="00A66448" w:rsidRDefault="00D26B2A" w:rsidP="00A66448">
            <w:pPr>
              <w:snapToGrid w:val="0"/>
              <w:spacing w:line="240" w:lineRule="atLeast"/>
              <w:ind w:firstLineChars="200" w:firstLine="560"/>
              <w:rPr>
                <w:szCs w:val="28"/>
                <w:lang w:eastAsia="zh-CN"/>
              </w:rPr>
            </w:pPr>
            <w:smartTag w:uri="urn:schemas-microsoft-com:office:smarttags" w:element="PersonName">
              <w:smartTagPr>
                <w:attr w:name="ProductID" w:val="范"/>
              </w:smartTagPr>
              <w:r w:rsidRPr="00A66448">
                <w:rPr>
                  <w:szCs w:val="28"/>
                  <w:lang w:eastAsia="zh-CN"/>
                </w:rPr>
                <w:t>范</w:t>
              </w:r>
            </w:smartTag>
            <w:r w:rsidRPr="00A66448">
              <w:rPr>
                <w:rFonts w:hint="eastAsia"/>
                <w:szCs w:val="28"/>
              </w:rPr>
              <w:t>教授</w:t>
            </w:r>
            <w:r w:rsidRPr="00A66448">
              <w:rPr>
                <w:szCs w:val="28"/>
                <w:lang w:eastAsia="zh-CN"/>
              </w:rPr>
              <w:t>在計量經濟學、金融學和統計學等領域做出了革命性的貢獻。他的研究成果以創造性及新穎性而著稱，影響深遠，引導學術領域前沿的發展。他被廣泛譽為當代非參數計量建模以及高維經濟、金融變量選擇的設計師。他創新性的展開了局部建模的藍圖，</w:t>
            </w:r>
            <w:r w:rsidRPr="00A66448">
              <w:rPr>
                <w:rFonts w:hint="eastAsia"/>
                <w:szCs w:val="28"/>
              </w:rPr>
              <w:t>並</w:t>
            </w:r>
            <w:r w:rsidRPr="00A66448">
              <w:rPr>
                <w:szCs w:val="28"/>
                <w:lang w:eastAsia="zh-CN"/>
              </w:rPr>
              <w:t>引進了一套先進的體系在眾多噪音變量的情況下選出重要的經濟學變量。他在金融經濟學中也做出了奠基性貢獻，諸如大規模投資組合中資產選擇和風險管理，以及高頻金融數據分析等。</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莊英章</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莊"/>
              </w:smartTagPr>
              <w:r w:rsidRPr="00A66448">
                <w:rPr>
                  <w:rFonts w:hint="eastAsia"/>
                  <w:szCs w:val="28"/>
                </w:rPr>
                <w:t>莊</w:t>
              </w:r>
            </w:smartTag>
            <w:r w:rsidRPr="00A66448">
              <w:rPr>
                <w:rFonts w:hint="eastAsia"/>
                <w:szCs w:val="28"/>
              </w:rPr>
              <w:t>教授完全合乎上列二項資格：</w:t>
            </w:r>
            <w:r w:rsidRPr="00A66448">
              <w:rPr>
                <w:rFonts w:hint="eastAsia"/>
                <w:szCs w:val="28"/>
              </w:rPr>
              <w:t>1.</w:t>
            </w:r>
            <w:r w:rsidRPr="00A66448">
              <w:rPr>
                <w:rFonts w:hint="eastAsia"/>
                <w:szCs w:val="28"/>
              </w:rPr>
              <w:t>學術著作貢獻已臚列前述「重要之研究成果」；</w:t>
            </w:r>
            <w:r w:rsidRPr="00A66448">
              <w:rPr>
                <w:rFonts w:hint="eastAsia"/>
                <w:szCs w:val="28"/>
              </w:rPr>
              <w:t>2.</w:t>
            </w:r>
            <w:r w:rsidRPr="00A66448">
              <w:rPr>
                <w:rFonts w:hint="eastAsia"/>
                <w:szCs w:val="28"/>
              </w:rPr>
              <w:t>自</w:t>
            </w:r>
            <w:r w:rsidRPr="00A66448">
              <w:rPr>
                <w:rFonts w:hint="eastAsia"/>
                <w:szCs w:val="28"/>
              </w:rPr>
              <w:t>1988</w:t>
            </w:r>
            <w:r w:rsidRPr="00A66448">
              <w:rPr>
                <w:rFonts w:hint="eastAsia"/>
                <w:szCs w:val="28"/>
              </w:rPr>
              <w:t>年擔任本院民族所所長（</w:t>
            </w:r>
            <w:r w:rsidRPr="00A66448">
              <w:rPr>
                <w:rFonts w:hint="eastAsia"/>
                <w:szCs w:val="28"/>
              </w:rPr>
              <w:t>1988.9</w:t>
            </w:r>
            <w:r w:rsidRPr="00A66448">
              <w:rPr>
                <w:rFonts w:hint="eastAsia"/>
                <w:szCs w:val="28"/>
              </w:rPr>
              <w:t>～</w:t>
            </w:r>
            <w:r w:rsidRPr="00A66448">
              <w:rPr>
                <w:rFonts w:hint="eastAsia"/>
                <w:szCs w:val="28"/>
              </w:rPr>
              <w:t>1994.8</w:t>
            </w:r>
            <w:r w:rsidRPr="00A66448">
              <w:rPr>
                <w:rFonts w:hint="eastAsia"/>
                <w:szCs w:val="28"/>
              </w:rPr>
              <w:t>）以來，在各學術領導職位長達二十餘年，學術行政、協調績效顯著，尤其推動本院台史所正式成所（</w:t>
            </w:r>
            <w:r w:rsidRPr="00A66448">
              <w:rPr>
                <w:rFonts w:hint="eastAsia"/>
                <w:szCs w:val="28"/>
              </w:rPr>
              <w:t>2003.12</w:t>
            </w:r>
            <w:r w:rsidRPr="00A66448">
              <w:rPr>
                <w:rFonts w:hint="eastAsia"/>
                <w:szCs w:val="28"/>
              </w:rPr>
              <w:t>～</w:t>
            </w:r>
            <w:r w:rsidRPr="00A66448">
              <w:rPr>
                <w:rFonts w:hint="eastAsia"/>
                <w:szCs w:val="28"/>
              </w:rPr>
              <w:t>2005.8</w:t>
            </w:r>
            <w:r w:rsidRPr="00A66448">
              <w:rPr>
                <w:rFonts w:hint="eastAsia"/>
                <w:szCs w:val="28"/>
              </w:rPr>
              <w:t>）、交通大學客家文化學院（</w:t>
            </w:r>
            <w:r w:rsidRPr="00A66448">
              <w:rPr>
                <w:rFonts w:hint="eastAsia"/>
                <w:szCs w:val="28"/>
              </w:rPr>
              <w:t>2005.9</w:t>
            </w:r>
            <w:r w:rsidRPr="00A66448">
              <w:rPr>
                <w:rFonts w:hint="eastAsia"/>
                <w:szCs w:val="28"/>
              </w:rPr>
              <w:t>～</w:t>
            </w:r>
            <w:r w:rsidRPr="00A66448">
              <w:rPr>
                <w:rFonts w:hint="eastAsia"/>
                <w:szCs w:val="28"/>
              </w:rPr>
              <w:t>2011.7</w:t>
            </w:r>
            <w:r w:rsidRPr="00A66448">
              <w:rPr>
                <w:rFonts w:hint="eastAsia"/>
                <w:szCs w:val="28"/>
              </w:rPr>
              <w:t>）創院工作更居功甚偉。</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lastRenderedPageBreak/>
              <w:t>合於中央研究院組織法第四條之資格。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cs="新細明體" w:hint="eastAsia"/>
                <w:szCs w:val="28"/>
              </w:rPr>
              <w:lastRenderedPageBreak/>
              <w:t>臧振華</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臧"/>
              </w:smartTagPr>
              <w:r w:rsidRPr="00A66448">
                <w:rPr>
                  <w:rFonts w:cs="新細明體" w:hint="eastAsia"/>
                  <w:szCs w:val="28"/>
                </w:rPr>
                <w:t>臧</w:t>
              </w:r>
            </w:smartTag>
            <w:r w:rsidRPr="00A66448">
              <w:rPr>
                <w:rFonts w:cs="新細明體" w:hint="eastAsia"/>
                <w:szCs w:val="28"/>
              </w:rPr>
              <w:t>教授專注臺灣與東南亞考古學研究，</w:t>
            </w:r>
            <w:r w:rsidRPr="00A66448">
              <w:rPr>
                <w:rFonts w:hint="eastAsia"/>
                <w:szCs w:val="28"/>
              </w:rPr>
              <w:t>在重要考古資料的發現、臺灣史前文化的重建、臺灣考古學領域的拓展，臺灣文化資產的保存，以及島嶼拓殖與南島語族擴散理論的建立等方面，有突出的貢獻，為國際考古學界所重視。</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蒲慕州</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蒲"/>
              </w:smartTagPr>
              <w:r w:rsidRPr="00A66448">
                <w:rPr>
                  <w:rFonts w:hint="eastAsia"/>
                  <w:szCs w:val="28"/>
                </w:rPr>
                <w:t>蒲</w:t>
              </w:r>
            </w:smartTag>
            <w:r w:rsidRPr="00A66448">
              <w:rPr>
                <w:rFonts w:hint="eastAsia"/>
                <w:szCs w:val="28"/>
              </w:rPr>
              <w:t>教授在其專習學科，如埃及學，中國古代宗教及社會史，比較古代史等方面，均有中英文專書及多篇論文出版，對於各該學科有重要之貢獻，在埃及學及國際中國古代史學界有一席之地。</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r w:rsidR="00D26B2A" w:rsidRPr="00A66448" w:rsidTr="00A66448">
        <w:tc>
          <w:tcPr>
            <w:tcW w:w="1188" w:type="dxa"/>
            <w:shd w:val="clear" w:color="auto" w:fill="auto"/>
          </w:tcPr>
          <w:p w:rsidR="00D26B2A" w:rsidRPr="00A66448" w:rsidRDefault="00D26B2A" w:rsidP="00A66448">
            <w:pPr>
              <w:snapToGrid w:val="0"/>
              <w:spacing w:line="240" w:lineRule="atLeast"/>
              <w:jc w:val="center"/>
              <w:rPr>
                <w:rFonts w:hint="eastAsia"/>
                <w:szCs w:val="28"/>
              </w:rPr>
            </w:pPr>
            <w:r w:rsidRPr="00A66448">
              <w:rPr>
                <w:rFonts w:hint="eastAsia"/>
                <w:szCs w:val="28"/>
              </w:rPr>
              <w:t>謝長泰</w:t>
            </w:r>
          </w:p>
        </w:tc>
        <w:tc>
          <w:tcPr>
            <w:tcW w:w="7174" w:type="dxa"/>
            <w:shd w:val="clear" w:color="auto" w:fill="auto"/>
          </w:tcPr>
          <w:p w:rsidR="00D26B2A" w:rsidRPr="00A66448" w:rsidRDefault="00D26B2A" w:rsidP="00A66448">
            <w:pPr>
              <w:snapToGrid w:val="0"/>
              <w:spacing w:line="240" w:lineRule="atLeast"/>
              <w:ind w:firstLineChars="200" w:firstLine="560"/>
              <w:rPr>
                <w:rFonts w:hint="eastAsia"/>
                <w:szCs w:val="28"/>
              </w:rPr>
            </w:pPr>
            <w:smartTag w:uri="urn:schemas-microsoft-com:office:smarttags" w:element="PersonName">
              <w:smartTagPr>
                <w:attr w:name="ProductID" w:val="謝"/>
              </w:smartTagPr>
              <w:r w:rsidRPr="00A66448">
                <w:rPr>
                  <w:rFonts w:hint="eastAsia"/>
                  <w:szCs w:val="28"/>
                </w:rPr>
                <w:t>謝</w:t>
              </w:r>
            </w:smartTag>
            <w:r w:rsidRPr="00A66448">
              <w:rPr>
                <w:rFonts w:hint="eastAsia"/>
                <w:szCs w:val="28"/>
              </w:rPr>
              <w:t>教授在經濟成長與發展研究領域為世界著名之先驅領導研究者，有別於傳統之研究大多利用總體資料作為分析基礎。他從個體資料如廠商、產業或家戶之基礎出發，探索引發經濟成長及發展主要動力來源。他的每篇研究，都非常有系統地立基於個體資料，在經濟成長及發展研究領域都具有相當大的影響力，也因此導致許多學者不得不重新檢視及思考一些既有理論可靠性及適用性。因為他以新的研究方法，從不同之資料基礎</w:t>
            </w:r>
            <w:r w:rsidRPr="00A66448">
              <w:rPr>
                <w:rFonts w:hint="eastAsia"/>
                <w:szCs w:val="28"/>
              </w:rPr>
              <w:t>(</w:t>
            </w:r>
            <w:r w:rsidRPr="00A66448">
              <w:rPr>
                <w:rFonts w:hint="eastAsia"/>
                <w:szCs w:val="28"/>
              </w:rPr>
              <w:t>特別是個體資料</w:t>
            </w:r>
            <w:r w:rsidRPr="00A66448">
              <w:rPr>
                <w:rFonts w:hint="eastAsia"/>
                <w:szCs w:val="28"/>
              </w:rPr>
              <w:t>)</w:t>
            </w:r>
            <w:r w:rsidRPr="00A66448">
              <w:rPr>
                <w:rFonts w:hint="eastAsia"/>
                <w:szCs w:val="28"/>
              </w:rPr>
              <w:t>分析而獲得新的論點，對開發中國家之經濟發展及成長，提供更具說服力的經濟基礎。故其研究成果廣受肯定及支持，因而他的論文均發表在經濟學頂尖期刊如</w:t>
            </w:r>
            <w:r w:rsidRPr="00A66448">
              <w:rPr>
                <w:rFonts w:hint="eastAsia"/>
                <w:i/>
                <w:szCs w:val="28"/>
              </w:rPr>
              <w:t>AER</w:t>
            </w:r>
            <w:r w:rsidRPr="00A66448">
              <w:rPr>
                <w:rFonts w:hint="eastAsia"/>
                <w:szCs w:val="28"/>
              </w:rPr>
              <w:t>、</w:t>
            </w:r>
            <w:r w:rsidRPr="00A66448">
              <w:rPr>
                <w:rFonts w:hint="eastAsia"/>
                <w:i/>
                <w:szCs w:val="28"/>
              </w:rPr>
              <w:t>JPE</w:t>
            </w:r>
            <w:r w:rsidRPr="00A66448">
              <w:rPr>
                <w:rFonts w:hint="eastAsia"/>
                <w:szCs w:val="28"/>
              </w:rPr>
              <w:t>、</w:t>
            </w:r>
            <w:r w:rsidRPr="00A66448">
              <w:rPr>
                <w:rFonts w:hint="eastAsia"/>
                <w:i/>
                <w:szCs w:val="28"/>
              </w:rPr>
              <w:t>QJE</w:t>
            </w:r>
            <w:r w:rsidRPr="00A66448">
              <w:rPr>
                <w:rFonts w:hint="eastAsia"/>
                <w:szCs w:val="28"/>
              </w:rPr>
              <w:t>等，並成為美國諸多名校競相延攬之傑出經濟學家。</w:t>
            </w:r>
          </w:p>
          <w:p w:rsidR="00D26B2A" w:rsidRPr="00A66448" w:rsidRDefault="00D26B2A" w:rsidP="00A66448">
            <w:pPr>
              <w:snapToGrid w:val="0"/>
              <w:spacing w:line="240" w:lineRule="atLeast"/>
              <w:ind w:firstLineChars="200" w:firstLine="560"/>
              <w:rPr>
                <w:rFonts w:hint="eastAsia"/>
                <w:szCs w:val="28"/>
              </w:rPr>
            </w:pPr>
            <w:r w:rsidRPr="00A66448">
              <w:rPr>
                <w:rFonts w:hint="eastAsia"/>
                <w:szCs w:val="28"/>
              </w:rPr>
              <w:t>合於中央研究院組織法第四條第一項之資格。</w:t>
            </w:r>
          </w:p>
        </w:tc>
      </w:tr>
    </w:tbl>
    <w:p w:rsidR="00D26B2A" w:rsidRPr="00146E63" w:rsidRDefault="0032707D" w:rsidP="0035216F">
      <w:pPr>
        <w:snapToGrid w:val="0"/>
        <w:spacing w:beforeLines="200" w:before="480" w:line="240" w:lineRule="atLeast"/>
        <w:rPr>
          <w:rFonts w:hint="eastAsia"/>
          <w:szCs w:val="28"/>
        </w:rPr>
      </w:pPr>
      <w:r>
        <w:rPr>
          <w:rFonts w:hint="eastAsia"/>
          <w:szCs w:val="28"/>
        </w:rPr>
        <w:t>院</w:t>
      </w:r>
      <w:r w:rsidR="0035216F">
        <w:rPr>
          <w:rFonts w:hint="eastAsia"/>
          <w:szCs w:val="28"/>
        </w:rPr>
        <w:t xml:space="preserve">　　</w:t>
      </w:r>
      <w:r>
        <w:rPr>
          <w:rFonts w:hint="eastAsia"/>
          <w:szCs w:val="28"/>
        </w:rPr>
        <w:t>長</w:t>
      </w:r>
      <w:r w:rsidR="0035216F">
        <w:rPr>
          <w:rFonts w:hint="eastAsia"/>
          <w:szCs w:val="28"/>
        </w:rPr>
        <w:t xml:space="preserve">　</w:t>
      </w:r>
      <w:r>
        <w:rPr>
          <w:rFonts w:hint="eastAsia"/>
          <w:szCs w:val="28"/>
        </w:rPr>
        <w:t xml:space="preserve">  </w:t>
      </w:r>
      <w:r>
        <w:rPr>
          <w:rFonts w:hint="eastAsia"/>
          <w:szCs w:val="28"/>
        </w:rPr>
        <w:t>翁</w:t>
      </w:r>
      <w:r w:rsidR="0035216F">
        <w:rPr>
          <w:rFonts w:hint="eastAsia"/>
          <w:szCs w:val="28"/>
        </w:rPr>
        <w:t xml:space="preserve">　</w:t>
      </w:r>
      <w:r>
        <w:rPr>
          <w:rFonts w:hint="eastAsia"/>
          <w:szCs w:val="28"/>
        </w:rPr>
        <w:t>啟</w:t>
      </w:r>
      <w:r w:rsidR="0035216F">
        <w:rPr>
          <w:rFonts w:hint="eastAsia"/>
          <w:szCs w:val="28"/>
        </w:rPr>
        <w:t xml:space="preserve">　</w:t>
      </w:r>
      <w:r>
        <w:rPr>
          <w:rFonts w:hint="eastAsia"/>
          <w:szCs w:val="28"/>
        </w:rPr>
        <w:t>惠</w:t>
      </w:r>
    </w:p>
    <w:p w:rsidR="003F56FD" w:rsidRDefault="00004B55" w:rsidP="003F56FD">
      <w:pPr>
        <w:pStyle w:val="af3"/>
        <w:ind w:left="1400"/>
        <w:rPr>
          <w:rFonts w:hint="eastAsia"/>
        </w:rPr>
      </w:pPr>
      <w:r>
        <w:br w:type="page"/>
      </w: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Pr="00840B3A" w:rsidRDefault="003F56FD" w:rsidP="003F56FD">
      <w:pPr>
        <w:pStyle w:val="af8"/>
        <w:rPr>
          <w:rFonts w:ascii="SimSun-PUA" w:hAnsi="DotumChe" w:hint="eastAsia"/>
          <w:sz w:val="96"/>
          <w:szCs w:val="96"/>
        </w:rPr>
      </w:pPr>
      <w:r w:rsidRPr="00840B3A">
        <w:rPr>
          <w:rFonts w:ascii="SimSun-PUA" w:eastAsia="SimHei" w:hAnsi="DotumChe" w:hint="eastAsia"/>
          <w:sz w:val="96"/>
          <w:szCs w:val="96"/>
        </w:rPr>
        <w:t>附　　錄</w:t>
      </w:r>
    </w:p>
    <w:p w:rsidR="003F56FD" w:rsidRDefault="003F56FD" w:rsidP="003F56FD">
      <w:pPr>
        <w:jc w:val="center"/>
        <w:rPr>
          <w:rFonts w:hint="eastAsia"/>
        </w:rPr>
      </w:pPr>
      <w:r>
        <w:rPr>
          <w:rFonts w:hint="eastAsia"/>
        </w:rPr>
        <w:t>（</w:t>
      </w:r>
      <w:r>
        <w:rPr>
          <w:rFonts w:hint="eastAsia"/>
          <w:sz w:val="32"/>
        </w:rPr>
        <w:t>轉載司法院大法官議決釋字第</w:t>
      </w:r>
      <w:r>
        <w:rPr>
          <w:rFonts w:hint="eastAsia"/>
          <w:sz w:val="32"/>
        </w:rPr>
        <w:t>6</w:t>
      </w:r>
      <w:r w:rsidR="007A7AC1">
        <w:rPr>
          <w:rFonts w:hint="eastAsia"/>
          <w:sz w:val="32"/>
        </w:rPr>
        <w:t>9</w:t>
      </w:r>
      <w:r w:rsidR="00514426">
        <w:rPr>
          <w:rFonts w:hint="eastAsia"/>
          <w:sz w:val="32"/>
        </w:rPr>
        <w:t>3</w:t>
      </w:r>
      <w:r>
        <w:rPr>
          <w:rFonts w:hint="eastAsia"/>
          <w:sz w:val="32"/>
        </w:rPr>
        <w:t>號解釋</w:t>
      </w:r>
      <w:r>
        <w:rPr>
          <w:rFonts w:hint="eastAsia"/>
        </w:rPr>
        <w:t>）</w:t>
      </w: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rPr>
          <w:rFonts w:hint="eastAsia"/>
        </w:rPr>
      </w:pP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p w:rsidR="003F56FD" w:rsidRPr="00FB3821" w:rsidRDefault="003F56FD" w:rsidP="003F56FD">
      <w:pPr>
        <w:pStyle w:val="af6"/>
        <w:spacing w:beforeLines="50" w:before="120" w:afterLines="100" w:after="240"/>
        <w:jc w:val="left"/>
        <w:rPr>
          <w:rFonts w:hint="eastAsia"/>
        </w:rPr>
      </w:pPr>
      <w:r w:rsidRPr="00FB3821">
        <w:rPr>
          <w:rFonts w:hint="eastAsia"/>
        </w:rPr>
        <w:lastRenderedPageBreak/>
        <w:t>轉載</w:t>
      </w:r>
    </w:p>
    <w:p w:rsidR="003F56FD" w:rsidRPr="00FB3821" w:rsidRDefault="003F56FD" w:rsidP="003F56FD">
      <w:pPr>
        <w:pStyle w:val="af6"/>
        <w:spacing w:afterLines="50" w:after="120"/>
        <w:jc w:val="center"/>
      </w:pPr>
      <w:r w:rsidRPr="00FB3821">
        <w:t>司法院　令</w:t>
      </w:r>
    </w:p>
    <w:p w:rsidR="003F56FD" w:rsidRPr="007B5D03" w:rsidRDefault="003F56FD" w:rsidP="003F56FD">
      <w:pPr>
        <w:spacing w:line="434" w:lineRule="exact"/>
        <w:rPr>
          <w:rFonts w:hint="eastAsia"/>
          <w:sz w:val="30"/>
        </w:rPr>
      </w:pPr>
      <w:r w:rsidRPr="007B5D03">
        <w:rPr>
          <w:sz w:val="30"/>
        </w:rPr>
        <w:t>發文日期：</w:t>
      </w:r>
      <w:smartTag w:uri="urn:schemas-microsoft-com:office:smarttags" w:element="chsdate">
        <w:smartTagPr>
          <w:attr w:name="IsROCDate" w:val="True"/>
          <w:attr w:name="IsLunarDate" w:val="False"/>
          <w:attr w:name="Day" w:val="9"/>
          <w:attr w:name="Month" w:val="12"/>
          <w:attr w:name="Year" w:val="2011"/>
        </w:smartTagPr>
        <w:r w:rsidRPr="007B5D03">
          <w:rPr>
            <w:rFonts w:hint="eastAsia"/>
            <w:sz w:val="30"/>
          </w:rPr>
          <w:t>中華民國</w:t>
        </w:r>
        <w:r w:rsidR="00A17328" w:rsidRPr="007B5D03">
          <w:rPr>
            <w:rFonts w:hint="eastAsia"/>
            <w:sz w:val="30"/>
          </w:rPr>
          <w:t>100</w:t>
        </w:r>
        <w:r w:rsidRPr="007B5D03">
          <w:rPr>
            <w:rFonts w:hint="eastAsia"/>
            <w:sz w:val="30"/>
          </w:rPr>
          <w:t>年</w:t>
        </w:r>
        <w:r w:rsidR="00514426" w:rsidRPr="007B5D03">
          <w:rPr>
            <w:rFonts w:hint="eastAsia"/>
            <w:sz w:val="30"/>
          </w:rPr>
          <w:t>12</w:t>
        </w:r>
        <w:r w:rsidRPr="007B5D03">
          <w:rPr>
            <w:rFonts w:hint="eastAsia"/>
            <w:sz w:val="30"/>
          </w:rPr>
          <w:t>月</w:t>
        </w:r>
        <w:r w:rsidR="00514426" w:rsidRPr="007B5D03">
          <w:rPr>
            <w:rFonts w:hint="eastAsia"/>
            <w:sz w:val="30"/>
          </w:rPr>
          <w:t>9</w:t>
        </w:r>
        <w:r w:rsidRPr="007B5D03">
          <w:rPr>
            <w:rFonts w:hint="eastAsia"/>
            <w:sz w:val="30"/>
          </w:rPr>
          <w:t>日</w:t>
        </w:r>
      </w:smartTag>
    </w:p>
    <w:p w:rsidR="003F56FD" w:rsidRPr="007B5D03" w:rsidRDefault="003F56FD" w:rsidP="003F56FD">
      <w:pPr>
        <w:autoSpaceDN w:val="0"/>
        <w:spacing w:line="434" w:lineRule="exact"/>
        <w:rPr>
          <w:sz w:val="30"/>
        </w:rPr>
      </w:pPr>
      <w:r w:rsidRPr="007B5D03">
        <w:rPr>
          <w:sz w:val="30"/>
        </w:rPr>
        <w:t>發文字號：院台大二字第</w:t>
      </w:r>
      <w:r w:rsidR="00514426" w:rsidRPr="007B5D03">
        <w:rPr>
          <w:szCs w:val="28"/>
        </w:rPr>
        <w:t>10000</w:t>
      </w:r>
      <w:r w:rsidR="00514426" w:rsidRPr="007B5D03">
        <w:rPr>
          <w:rFonts w:hint="eastAsia"/>
          <w:szCs w:val="28"/>
        </w:rPr>
        <w:t>31159</w:t>
      </w:r>
      <w:r w:rsidRPr="007B5D03">
        <w:rPr>
          <w:sz w:val="30"/>
        </w:rPr>
        <w:t>號</w:t>
      </w:r>
    </w:p>
    <w:p w:rsidR="003F56FD" w:rsidRPr="007B5D03" w:rsidRDefault="003F56FD" w:rsidP="004147DE">
      <w:pPr>
        <w:pStyle w:val="aff"/>
        <w:rPr>
          <w:rFonts w:hint="eastAsia"/>
        </w:rPr>
      </w:pPr>
      <w:r w:rsidRPr="007B5D03">
        <w:t>公布本院大法官議決釋字第</w:t>
      </w:r>
      <w:r w:rsidRPr="007B5D03">
        <w:rPr>
          <w:rFonts w:hint="eastAsia"/>
        </w:rPr>
        <w:t>六</w:t>
      </w:r>
      <w:r w:rsidR="00FA6839" w:rsidRPr="007B5D03">
        <w:rPr>
          <w:rFonts w:hint="eastAsia"/>
        </w:rPr>
        <w:t>九</w:t>
      </w:r>
      <w:r w:rsidR="00514426" w:rsidRPr="007B5D03">
        <w:rPr>
          <w:rFonts w:hint="eastAsia"/>
        </w:rPr>
        <w:t>三</w:t>
      </w:r>
      <w:r w:rsidRPr="007B5D03">
        <w:t>號解釋</w:t>
      </w:r>
    </w:p>
    <w:p w:rsidR="003F56FD" w:rsidRPr="007B5D03" w:rsidRDefault="003F56FD" w:rsidP="003F56FD">
      <w:pPr>
        <w:autoSpaceDN w:val="0"/>
        <w:spacing w:line="434" w:lineRule="exact"/>
        <w:ind w:leftChars="100" w:left="280"/>
        <w:rPr>
          <w:sz w:val="30"/>
        </w:rPr>
      </w:pPr>
      <w:r w:rsidRPr="007B5D03">
        <w:rPr>
          <w:sz w:val="30"/>
        </w:rPr>
        <w:t>附釋字第</w:t>
      </w:r>
      <w:r w:rsidRPr="007B5D03">
        <w:rPr>
          <w:rFonts w:hint="eastAsia"/>
          <w:sz w:val="30"/>
        </w:rPr>
        <w:t>六</w:t>
      </w:r>
      <w:r w:rsidR="00FA6839" w:rsidRPr="007B5D03">
        <w:rPr>
          <w:rFonts w:hint="eastAsia"/>
          <w:sz w:val="30"/>
        </w:rPr>
        <w:t>九</w:t>
      </w:r>
      <w:r w:rsidR="00514426" w:rsidRPr="007B5D03">
        <w:rPr>
          <w:rFonts w:hint="eastAsia"/>
          <w:sz w:val="30"/>
        </w:rPr>
        <w:t>三</w:t>
      </w:r>
      <w:r w:rsidRPr="007B5D03">
        <w:rPr>
          <w:sz w:val="30"/>
        </w:rPr>
        <w:t>號解釋</w:t>
      </w:r>
    </w:p>
    <w:p w:rsidR="003F56FD" w:rsidRPr="007B5D03" w:rsidRDefault="003F56FD" w:rsidP="00FA6839">
      <w:pPr>
        <w:autoSpaceDN w:val="0"/>
        <w:spacing w:beforeLines="75" w:before="180" w:afterLines="75" w:after="180" w:line="434" w:lineRule="exact"/>
        <w:rPr>
          <w:sz w:val="30"/>
        </w:rPr>
      </w:pPr>
      <w:r w:rsidRPr="007B5D03">
        <w:rPr>
          <w:sz w:val="30"/>
        </w:rPr>
        <w:t xml:space="preserve">院長　</w:t>
      </w:r>
      <w:r w:rsidR="00A17328" w:rsidRPr="007B5D03">
        <w:rPr>
          <w:rFonts w:hint="eastAsia"/>
          <w:sz w:val="30"/>
        </w:rPr>
        <w:t>賴</w:t>
      </w:r>
      <w:r w:rsidRPr="007B5D03">
        <w:rPr>
          <w:sz w:val="30"/>
        </w:rPr>
        <w:t xml:space="preserve">　</w:t>
      </w:r>
      <w:r w:rsidR="00A17328" w:rsidRPr="007B5D03">
        <w:rPr>
          <w:rFonts w:hint="eastAsia"/>
          <w:sz w:val="30"/>
        </w:rPr>
        <w:t>浩</w:t>
      </w:r>
      <w:r w:rsidRPr="007B5D03">
        <w:rPr>
          <w:sz w:val="30"/>
        </w:rPr>
        <w:t xml:space="preserve">　</w:t>
      </w:r>
      <w:r w:rsidR="00A17328" w:rsidRPr="007B5D03">
        <w:rPr>
          <w:rFonts w:hint="eastAsia"/>
          <w:sz w:val="30"/>
        </w:rPr>
        <w:t>敏</w:t>
      </w:r>
    </w:p>
    <w:p w:rsidR="003F56FD" w:rsidRPr="007B5D03" w:rsidRDefault="003F56FD" w:rsidP="00FA6839">
      <w:pPr>
        <w:spacing w:beforeLines="50" w:before="120" w:afterLines="50" w:after="120" w:line="434" w:lineRule="exact"/>
        <w:rPr>
          <w:rFonts w:hint="eastAsia"/>
          <w:sz w:val="30"/>
        </w:rPr>
      </w:pPr>
      <w:r w:rsidRPr="007B5D03">
        <w:rPr>
          <w:sz w:val="30"/>
        </w:rPr>
        <w:t>司法院釋字第</w:t>
      </w:r>
      <w:r w:rsidRPr="007B5D03">
        <w:rPr>
          <w:rFonts w:hint="eastAsia"/>
          <w:sz w:val="30"/>
        </w:rPr>
        <w:t>六</w:t>
      </w:r>
      <w:r w:rsidR="00FA6839" w:rsidRPr="007B5D03">
        <w:rPr>
          <w:rFonts w:hint="eastAsia"/>
          <w:sz w:val="30"/>
        </w:rPr>
        <w:t>九</w:t>
      </w:r>
      <w:r w:rsidR="00514426" w:rsidRPr="007B5D03">
        <w:rPr>
          <w:rFonts w:hint="eastAsia"/>
          <w:sz w:val="30"/>
        </w:rPr>
        <w:t>三</w:t>
      </w:r>
      <w:r w:rsidRPr="007B5D03">
        <w:rPr>
          <w:sz w:val="30"/>
        </w:rPr>
        <w:t>號解釋</w:t>
      </w:r>
    </w:p>
    <w:p w:rsidR="003F56FD" w:rsidRPr="007B5D03" w:rsidRDefault="003F56FD" w:rsidP="00FA6839">
      <w:pPr>
        <w:spacing w:beforeLines="50" w:before="120" w:afterLines="50" w:after="120" w:line="434" w:lineRule="exact"/>
        <w:ind w:firstLineChars="300" w:firstLine="900"/>
        <w:rPr>
          <w:sz w:val="30"/>
        </w:rPr>
      </w:pPr>
      <w:r w:rsidRPr="007B5D03">
        <w:rPr>
          <w:sz w:val="30"/>
        </w:rPr>
        <w:t>解　釋　文</w:t>
      </w:r>
    </w:p>
    <w:p w:rsidR="00514426" w:rsidRPr="007B5D03" w:rsidRDefault="00514426" w:rsidP="003E2E6B">
      <w:pPr>
        <w:snapToGrid w:val="0"/>
        <w:spacing w:line="437" w:lineRule="exact"/>
        <w:ind w:firstLineChars="100" w:firstLine="300"/>
        <w:rPr>
          <w:sz w:val="30"/>
          <w:szCs w:val="30"/>
        </w:rPr>
      </w:pPr>
      <w:r w:rsidRPr="007B5D03">
        <w:rPr>
          <w:rFonts w:hAnsi="標楷體"/>
          <w:sz w:val="30"/>
          <w:szCs w:val="30"/>
        </w:rPr>
        <w:t>財政部</w:t>
      </w:r>
      <w:smartTag w:uri="urn:schemas-microsoft-com:office:smarttags" w:element="chsdate">
        <w:smartTagPr>
          <w:attr w:name="IsROCDate" w:val="True"/>
          <w:attr w:name="IsLunarDate" w:val="False"/>
          <w:attr w:name="Day" w:val="11"/>
          <w:attr w:name="Month" w:val="12"/>
          <w:attr w:name="Year" w:val="1997"/>
        </w:smartTagPr>
        <w:r w:rsidRPr="007B5D03">
          <w:rPr>
            <w:rFonts w:hAnsi="標楷體"/>
            <w:sz w:val="30"/>
            <w:szCs w:val="30"/>
          </w:rPr>
          <w:t>中華民國八十六年十二月十一日</w:t>
        </w:r>
      </w:smartTag>
      <w:r w:rsidRPr="007B5D03">
        <w:rPr>
          <w:rFonts w:hAnsi="標楷體"/>
          <w:sz w:val="30"/>
          <w:szCs w:val="30"/>
        </w:rPr>
        <w:t>台財稅第八六一九二二四六四號函前段謂：「認購（售）權證發行人於發行時所取得之發行價款，係屬權利金收入」，意指該發行價款係權利金收入，而非屬證券交易收入，無所得稅法第四條之一之適用，與憲法第十九條之租稅法律主義尚無違背。</w:t>
      </w:r>
    </w:p>
    <w:p w:rsidR="00514426" w:rsidRPr="007B5D03" w:rsidRDefault="00514426" w:rsidP="003E2E6B">
      <w:pPr>
        <w:snapToGrid w:val="0"/>
        <w:spacing w:line="437" w:lineRule="exact"/>
        <w:ind w:firstLineChars="100" w:firstLine="300"/>
        <w:rPr>
          <w:sz w:val="30"/>
          <w:szCs w:val="30"/>
        </w:rPr>
      </w:pPr>
      <w:r w:rsidRPr="007B5D03">
        <w:rPr>
          <w:rFonts w:hAnsi="標楷體"/>
          <w:sz w:val="30"/>
          <w:szCs w:val="30"/>
        </w:rPr>
        <w:t>同函中段謂：「認購（售）權證發行人於發行後，因投資人行使權利而售出或購入標的股票產生之證券交易所得或損失，應於履約時認列損益，並依所得稅法第四條之一規定辦理。」及財政部八十六年七月三十一日台財稅第八六一九０九三一一號函稱：「認購（售）權證持有人如於某一時間或特定到期日，以現金方式結算者</w:t>
      </w:r>
      <w:r w:rsidRPr="007B5D03">
        <w:rPr>
          <w:rFonts w:hint="eastAsia"/>
          <w:sz w:val="30"/>
          <w:szCs w:val="30"/>
        </w:rPr>
        <w:t>……</w:t>
      </w:r>
      <w:r w:rsidRPr="007B5D03">
        <w:rPr>
          <w:rFonts w:hAnsi="標楷體"/>
          <w:sz w:val="30"/>
          <w:szCs w:val="30"/>
        </w:rPr>
        <w:t>並依前開所得稅法規定停止課徵所得稅。」與憲法第十九條之租稅法律主義並無牴觸，亦不生違反憲法第七條平等原則之問題。</w:t>
      </w:r>
    </w:p>
    <w:p w:rsidR="00514426" w:rsidRPr="007B5D03" w:rsidRDefault="00514426" w:rsidP="00FA6839">
      <w:pPr>
        <w:pStyle w:val="afff0"/>
        <w:autoSpaceDN w:val="0"/>
        <w:spacing w:before="360" w:after="240" w:line="437" w:lineRule="exact"/>
        <w:ind w:left="958"/>
        <w:jc w:val="both"/>
        <w:rPr>
          <w:rFonts w:ascii="Times New Roman" w:eastAsia="標楷體"/>
          <w:kern w:val="0"/>
          <w:sz w:val="30"/>
          <w:szCs w:val="30"/>
        </w:rPr>
      </w:pPr>
      <w:r w:rsidRPr="007B5D03">
        <w:rPr>
          <w:rFonts w:ascii="Times New Roman" w:eastAsia="標楷體" w:hAnsi="標楷體"/>
          <w:kern w:val="0"/>
          <w:sz w:val="30"/>
          <w:szCs w:val="30"/>
        </w:rPr>
        <w:t>解釋理由書</w:t>
      </w:r>
    </w:p>
    <w:p w:rsidR="00514426" w:rsidRPr="007B5D03" w:rsidRDefault="00514426" w:rsidP="00FA6839">
      <w:pPr>
        <w:snapToGrid w:val="0"/>
        <w:spacing w:line="464" w:lineRule="exact"/>
        <w:ind w:firstLineChars="100" w:firstLine="300"/>
        <w:rPr>
          <w:sz w:val="30"/>
          <w:szCs w:val="30"/>
        </w:rPr>
      </w:pPr>
      <w:r w:rsidRPr="007B5D03">
        <w:rPr>
          <w:rFonts w:hAnsi="標楷體"/>
          <w:sz w:val="30"/>
          <w:szCs w:val="30"/>
        </w:rPr>
        <w:lastRenderedPageBreak/>
        <w:t>憲法第十九條規定，人民有依法律納稅之義務，係指國家課人民以繳納稅捐之義務或給予人民減免稅捐之優惠時，應就租稅主體、租稅客體、租稅客體對租稅主體之歸屬、稅基、稅率、納稅方法及納稅期間等租稅構成要件，以法律定之。惟主管機關於職權範圍內適用之法律條文，本於法定職權就相關規定予以闡釋，如係秉持憲法原則及相關之立法意旨，遵守一般法律解釋方法為</w:t>
      </w:r>
      <w:r w:rsidRPr="007B5D03">
        <w:rPr>
          <w:rFonts w:hAnsi="標楷體"/>
          <w:spacing w:val="-2"/>
          <w:sz w:val="30"/>
          <w:szCs w:val="30"/>
        </w:rPr>
        <w:t>之，即與租稅法律主義無違（本院釋字第六二二號、第六六０號、</w:t>
      </w:r>
      <w:r w:rsidRPr="007B5D03">
        <w:rPr>
          <w:rFonts w:hAnsi="標楷體"/>
          <w:sz w:val="30"/>
          <w:szCs w:val="30"/>
        </w:rPr>
        <w:t>第六八五號解釋參照）。</w:t>
      </w:r>
    </w:p>
    <w:p w:rsidR="00514426" w:rsidRPr="007B5D03" w:rsidRDefault="00514426" w:rsidP="00FA6839">
      <w:pPr>
        <w:snapToGrid w:val="0"/>
        <w:spacing w:line="464" w:lineRule="exact"/>
        <w:ind w:firstLineChars="100" w:firstLine="300"/>
        <w:rPr>
          <w:sz w:val="30"/>
          <w:szCs w:val="30"/>
        </w:rPr>
      </w:pPr>
      <w:r w:rsidRPr="007B5D03">
        <w:rPr>
          <w:rFonts w:hAnsi="標楷體"/>
          <w:sz w:val="30"/>
          <w:szCs w:val="30"/>
        </w:rPr>
        <w:t>主管機關核准發行之認購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權證，係指標的證券發行公司以外之第三者所發行表彰認購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權證持有人於履約期間內或</w:t>
      </w:r>
      <w:r w:rsidRPr="007B5D03">
        <w:rPr>
          <w:rFonts w:hAnsi="標楷體"/>
          <w:spacing w:val="4"/>
          <w:sz w:val="30"/>
          <w:szCs w:val="30"/>
        </w:rPr>
        <w:t>特定到期日，有權按約定履約價格向發行人購入或售出標的證</w:t>
      </w:r>
      <w:r w:rsidRPr="007B5D03">
        <w:rPr>
          <w:rFonts w:hAnsi="標楷體"/>
          <w:sz w:val="30"/>
          <w:szCs w:val="30"/>
        </w:rPr>
        <w:t>券，或以現金結算方式收取差價之有價證券</w:t>
      </w:r>
      <w:r w:rsidRPr="007B5D03">
        <w:rPr>
          <w:rFonts w:hint="eastAsia"/>
          <w:sz w:val="30"/>
          <w:szCs w:val="30"/>
        </w:rPr>
        <w:t>（</w:t>
      </w:r>
      <w:r w:rsidRPr="007B5D03">
        <w:rPr>
          <w:rFonts w:hAnsi="標楷體"/>
          <w:sz w:val="30"/>
          <w:szCs w:val="30"/>
        </w:rPr>
        <w:t>發行人申請發行認購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權證處理準則第二點第二項</w:t>
      </w:r>
      <w:r w:rsidRPr="007B5D03">
        <w:rPr>
          <w:rFonts w:hint="eastAsia"/>
          <w:sz w:val="30"/>
          <w:szCs w:val="30"/>
        </w:rPr>
        <w:t>）</w:t>
      </w:r>
      <w:r w:rsidRPr="007B5D03">
        <w:rPr>
          <w:rFonts w:hAnsi="標楷體"/>
          <w:sz w:val="30"/>
          <w:szCs w:val="30"/>
        </w:rPr>
        <w:t>。是認購（售）權證係表彰證券買賣選擇權之有價證券，其發行人將該權證交付後尚負有履行該權證所載選擇權債務之義務，此與發行後之權證持有人賣出該權證，僅負將該權證交付買受人之義務不同。</w:t>
      </w:r>
    </w:p>
    <w:p w:rsidR="00514426" w:rsidRPr="007B5D03" w:rsidRDefault="00514426" w:rsidP="00FA6839">
      <w:pPr>
        <w:snapToGrid w:val="0"/>
        <w:spacing w:line="464" w:lineRule="exact"/>
        <w:ind w:firstLineChars="100" w:firstLine="300"/>
        <w:rPr>
          <w:sz w:val="30"/>
          <w:szCs w:val="30"/>
        </w:rPr>
      </w:pPr>
      <w:r w:rsidRPr="007B5D03">
        <w:rPr>
          <w:rFonts w:hAnsi="標楷體"/>
          <w:sz w:val="30"/>
          <w:szCs w:val="30"/>
        </w:rPr>
        <w:t>發行認購（售）權證之收入是否課徵所得稅，關鍵在於該發行交易是否為所得稅法第四條之一：「自</w:t>
      </w:r>
      <w:smartTag w:uri="urn:schemas-microsoft-com:office:smarttags" w:element="chsdate">
        <w:smartTagPr>
          <w:attr w:name="IsROCDate" w:val="True"/>
          <w:attr w:name="IsLunarDate" w:val="False"/>
          <w:attr w:name="Day" w:val="1"/>
          <w:attr w:name="Month" w:val="1"/>
          <w:attr w:name="Year" w:val="1990"/>
        </w:smartTagPr>
        <w:r w:rsidRPr="007B5D03">
          <w:rPr>
            <w:rFonts w:hAnsi="標楷體"/>
            <w:sz w:val="30"/>
            <w:szCs w:val="30"/>
          </w:rPr>
          <w:t>中華民國七十九年一月一日</w:t>
        </w:r>
      </w:smartTag>
      <w:r w:rsidRPr="007B5D03">
        <w:rPr>
          <w:rFonts w:hAnsi="標楷體"/>
          <w:sz w:val="30"/>
          <w:szCs w:val="30"/>
        </w:rPr>
        <w:t>起，證券交易所得停止課徵所得稅，證券交易損失亦不得自所得額中減除。」所稱之「證券交易」。查所得稅法第四條之一停徵證券交易所得稅之立法理由，係為簡化證券交易所得之稽徵手續並予合理課徵，以修正證券交易稅條例提高證券交易稅稅率方</w:t>
      </w:r>
      <w:r w:rsidRPr="007B5D03">
        <w:rPr>
          <w:rFonts w:hAnsi="標楷體"/>
          <w:spacing w:val="4"/>
          <w:sz w:val="30"/>
          <w:szCs w:val="30"/>
        </w:rPr>
        <w:t>式，將原應併入所得總額課徵所得稅之證券交易所得稅停止課</w:t>
      </w:r>
      <w:r w:rsidRPr="007B5D03">
        <w:rPr>
          <w:rFonts w:hAnsi="標楷體"/>
          <w:sz w:val="30"/>
          <w:szCs w:val="30"/>
        </w:rPr>
        <w:t>徵。而依證券交易稅條例第一條第一項規定，僅就買賣已發行之有價證券課</w:t>
      </w:r>
      <w:r w:rsidRPr="007B5D03">
        <w:rPr>
          <w:rFonts w:hAnsi="標楷體"/>
          <w:sz w:val="30"/>
          <w:szCs w:val="30"/>
        </w:rPr>
        <w:lastRenderedPageBreak/>
        <w:t>徵證券交易稅，足見所得稅法第四條之一所稱之證券交易，亦應限於買賣已發行之有價證券，始符合該條以證券交易稅取代證券交易所得稅之意旨。發行認購（售）權證之交易與買賣認購（售）權證不同，自無庸課徵證券交易稅（證券交易稅條例實施注意事項第二點參照），若因發行交易而有收入，則應依所得稅法其他規定計算其所得並課徵所得稅。財政部八十六年十二月十一日台財稅第八六一九二二四六四號函（下稱系爭函一）前段謂：「認購（售）權證發行人於發行時所取得之發行價款，係屬權利金收入」，意指該發行價款係權利金收入，而非屬證券交易收入，無所得稅法第四條之一之適用，符合一般法律解釋方法，並未增加法律所未規定之租稅義務，與憲法第十九條之租稅法律主義尚無違背。</w:t>
      </w:r>
    </w:p>
    <w:p w:rsidR="00514426" w:rsidRPr="007B5D03" w:rsidRDefault="00514426" w:rsidP="00FA6839">
      <w:pPr>
        <w:snapToGrid w:val="0"/>
        <w:spacing w:line="446" w:lineRule="exact"/>
        <w:ind w:firstLineChars="100" w:firstLine="300"/>
        <w:rPr>
          <w:sz w:val="30"/>
          <w:szCs w:val="30"/>
        </w:rPr>
      </w:pPr>
      <w:r w:rsidRPr="007B5D03">
        <w:rPr>
          <w:rFonts w:hAnsi="標楷體"/>
          <w:sz w:val="30"/>
          <w:szCs w:val="30"/>
        </w:rPr>
        <w:t>至認購（售）權證發行後，發行人為履行或為準備履行（避險）約定之權證債務所為之相關證券交易（以下簡稱履約或避險交易），其所得如何課徵所得稅，則應依所得稅法之規定辦理。所得稅法第二十四條第一項前段規定：「營利事業所得之計算，以其本年度收入總額減除各項成本費用、損失及稅捐後之純益額為所得額。」是認購（售）權證發行人履約或避險交易之收入或支出，原應依前開規定合併其他收入支出計算營利事業全年課稅所得。惟七十八年十二月三十日增訂同法第四條之一規定，既就證券交易之所得已另設特別規定，停止課徵證券交易所得稅，則認購（售）權證發行後相關之證券交易所得，即不得列為應稅所得課徵所得稅；相應於此，與發行認購（售）權證後履約或避險交易之相關證券交易損失，亦不得將其自應稅所得中減除。此亦即須俟九十六年七月十一日增訂所得稅法第二十四條之二第一項前段，排除同法第四條之一特別規定之適用，發行認購（售）權證始得回歸同法第二十四條</w:t>
      </w:r>
      <w:r w:rsidRPr="007B5D03">
        <w:rPr>
          <w:rFonts w:hAnsi="標楷體"/>
          <w:sz w:val="30"/>
          <w:szCs w:val="30"/>
        </w:rPr>
        <w:lastRenderedPageBreak/>
        <w:t>第一項前段，其相關證券買賣之收入均應併計課稅、損失亦均應減除之常態規定之故。系爭函一中段：「認購（售）權證發行人於發行後，因投資人行使權利而售出或購入標的股票產生之證券交易所得或損失，應於履約時認列損益，並依所得稅法第四條之一規定辦理。」及財政部八十六年七月三十一日台財稅第八六一九０九三一一號函（下稱系爭函二）：「認購（售）權證持有人如於某一時間或特定到期日，以現金方式結算者</w:t>
      </w:r>
      <w:r w:rsidRPr="007B5D03">
        <w:rPr>
          <w:rFonts w:hint="eastAsia"/>
          <w:sz w:val="30"/>
          <w:szCs w:val="30"/>
        </w:rPr>
        <w:t>……</w:t>
      </w:r>
      <w:r w:rsidRPr="007B5D03">
        <w:rPr>
          <w:rFonts w:hAnsi="標楷體"/>
          <w:sz w:val="30"/>
          <w:szCs w:val="30"/>
        </w:rPr>
        <w:t>並依前開所得稅法規定停止課徵所得稅。」（後函業經財政部一００年</w:t>
      </w:r>
      <w:smartTag w:uri="urn:schemas-microsoft-com:office:smarttags" w:element="chsdate">
        <w:smartTagPr>
          <w:attr w:name="IsROCDate" w:val="False"/>
          <w:attr w:name="IsLunarDate" w:val="False"/>
          <w:attr w:name="Day" w:val="16"/>
          <w:attr w:name="Month" w:val="11"/>
          <w:attr w:name="Year" w:val="2012"/>
        </w:smartTagPr>
        <w:r w:rsidRPr="007B5D03">
          <w:rPr>
            <w:rFonts w:hAnsi="標楷體"/>
            <w:sz w:val="30"/>
            <w:szCs w:val="30"/>
          </w:rPr>
          <w:t>十一月十六日</w:t>
        </w:r>
      </w:smartTag>
      <w:r w:rsidRPr="007B5D03">
        <w:rPr>
          <w:rFonts w:hAnsi="標楷體"/>
          <w:sz w:val="30"/>
          <w:szCs w:val="30"/>
        </w:rPr>
        <w:t>台財稅字第一００００四００二六０號令廢止）均核與所得稅法增訂第二十四條之二以前之相關規定之意旨無違，符合一般法律解釋方法，亦未增加法律所無之租稅義務，無違憲法第十九條之租稅法律主義。</w:t>
      </w:r>
    </w:p>
    <w:p w:rsidR="00514426" w:rsidRPr="007B5D03" w:rsidRDefault="00514426" w:rsidP="00FA6839">
      <w:pPr>
        <w:snapToGrid w:val="0"/>
        <w:spacing w:line="460" w:lineRule="exact"/>
        <w:ind w:firstLineChars="100" w:firstLine="300"/>
        <w:rPr>
          <w:sz w:val="30"/>
          <w:szCs w:val="30"/>
        </w:rPr>
      </w:pPr>
      <w:r w:rsidRPr="007B5D03">
        <w:rPr>
          <w:rFonts w:hAnsi="標楷體"/>
          <w:sz w:val="30"/>
          <w:szCs w:val="30"/>
        </w:rPr>
        <w:t>有證券交易所得而不課徵所得稅，為有所得即應課徵所得稅之例外，其目的為以稅代稅業如前述，非在實現量能課稅。系爭函一中段及系爭函二闡明認購（售）權證之發行人，應依所得稅法第四條之一規定，免徵證券交易所得稅，亦不得減除證券交易損失。而所有其他有證券交易所得之個人及營利事業，適用所得稅法第四條之一時，並未規定得為不同之處理，故亦不生該二函違反量能課稅致牴觸憲法上平等原則之問題。</w:t>
      </w:r>
    </w:p>
    <w:p w:rsidR="00514426" w:rsidRPr="007B5D03" w:rsidRDefault="00514426" w:rsidP="00FA6839">
      <w:pPr>
        <w:snapToGrid w:val="0"/>
        <w:spacing w:line="460" w:lineRule="exact"/>
        <w:ind w:firstLineChars="100" w:firstLine="300"/>
        <w:rPr>
          <w:sz w:val="30"/>
          <w:szCs w:val="30"/>
        </w:rPr>
      </w:pPr>
      <w:r w:rsidRPr="007B5D03">
        <w:rPr>
          <w:rFonts w:hAnsi="標楷體"/>
          <w:sz w:val="30"/>
          <w:szCs w:val="30"/>
        </w:rPr>
        <w:t>本件聲請人聲請意旨另認為，關於認購（售）權證發行人於發</w:t>
      </w:r>
      <w:r w:rsidRPr="007B5D03">
        <w:rPr>
          <w:rFonts w:hAnsi="標楷體"/>
          <w:spacing w:val="4"/>
          <w:sz w:val="30"/>
          <w:szCs w:val="30"/>
        </w:rPr>
        <w:t>行時自行認購其發行之權證，並無系爭函一前段所稱權利金收</w:t>
      </w:r>
      <w:r w:rsidRPr="007B5D03">
        <w:rPr>
          <w:rFonts w:hAnsi="標楷體"/>
          <w:sz w:val="30"/>
          <w:szCs w:val="30"/>
        </w:rPr>
        <w:t>入，以及認為所得稅法第四條之一規定、行政法院（現改制為最高行政法院）六十二年判字第九六號判例亦有違憲疑義等語。查</w:t>
      </w:r>
      <w:r w:rsidRPr="007B5D03">
        <w:rPr>
          <w:rFonts w:hAnsi="標楷體"/>
          <w:spacing w:val="-4"/>
          <w:sz w:val="30"/>
          <w:szCs w:val="30"/>
        </w:rPr>
        <w:t>其所陳，僅係爭執法院認事用法之不當，並未具體指摘前開函釋、</w:t>
      </w:r>
      <w:r w:rsidRPr="007B5D03">
        <w:rPr>
          <w:rFonts w:hAnsi="標楷體"/>
          <w:sz w:val="30"/>
          <w:szCs w:val="30"/>
        </w:rPr>
        <w:t>規定及判例究有如何牴觸憲法之疑義。依司法院大法官審理案件法第五條</w:t>
      </w:r>
      <w:r w:rsidRPr="007B5D03">
        <w:rPr>
          <w:rFonts w:hAnsi="標楷體"/>
          <w:sz w:val="30"/>
          <w:szCs w:val="30"/>
        </w:rPr>
        <w:lastRenderedPageBreak/>
        <w:t>第一項第二款及第三項之規定，此等部分之聲請，均應不受理，併此指明。</w:t>
      </w:r>
    </w:p>
    <w:p w:rsidR="00514426" w:rsidRPr="007B5D03" w:rsidRDefault="00514426" w:rsidP="00FB2D5A">
      <w:pPr>
        <w:spacing w:line="437" w:lineRule="exact"/>
        <w:rPr>
          <w:sz w:val="30"/>
          <w:szCs w:val="30"/>
        </w:rPr>
      </w:pPr>
    </w:p>
    <w:p w:rsidR="00514426" w:rsidRPr="007B5D03" w:rsidRDefault="00514426" w:rsidP="00FB2D5A">
      <w:pPr>
        <w:spacing w:line="437" w:lineRule="exact"/>
        <w:rPr>
          <w:rFonts w:hAnsi="標楷體" w:hint="eastAsia"/>
          <w:sz w:val="30"/>
          <w:szCs w:val="30"/>
        </w:rPr>
      </w:pPr>
      <w:r w:rsidRPr="007B5D03">
        <w:rPr>
          <w:rFonts w:hAnsi="標楷體"/>
          <w:sz w:val="30"/>
          <w:szCs w:val="30"/>
        </w:rPr>
        <w:t xml:space="preserve">大法官會議主席　大法官　</w:t>
      </w:r>
      <w:r w:rsidRPr="007B5D03">
        <w:rPr>
          <w:rFonts w:hAnsi="標楷體" w:hint="eastAsia"/>
          <w:sz w:val="30"/>
          <w:szCs w:val="30"/>
        </w:rPr>
        <w:t>賴浩敏</w:t>
      </w:r>
    </w:p>
    <w:p w:rsidR="00514426" w:rsidRPr="007B5D03" w:rsidRDefault="00514426" w:rsidP="003E2E6B">
      <w:pPr>
        <w:spacing w:line="437" w:lineRule="exact"/>
        <w:ind w:firstLineChars="800" w:firstLine="2400"/>
        <w:rPr>
          <w:rFonts w:hint="eastAsia"/>
          <w:sz w:val="30"/>
          <w:szCs w:val="30"/>
        </w:rPr>
      </w:pPr>
      <w:r w:rsidRPr="007B5D03">
        <w:rPr>
          <w:rFonts w:hAnsi="標楷體"/>
          <w:sz w:val="30"/>
          <w:szCs w:val="30"/>
        </w:rPr>
        <w:t>大法官　蘇永欽</w:t>
      </w:r>
    </w:p>
    <w:p w:rsidR="00514426" w:rsidRPr="007B5D03" w:rsidRDefault="00514426" w:rsidP="003E2E6B">
      <w:pPr>
        <w:spacing w:line="437" w:lineRule="exact"/>
        <w:ind w:firstLineChars="1200" w:firstLine="3600"/>
        <w:rPr>
          <w:sz w:val="30"/>
          <w:szCs w:val="30"/>
        </w:rPr>
      </w:pPr>
      <w:r w:rsidRPr="007B5D03">
        <w:rPr>
          <w:rFonts w:hAnsi="標楷體"/>
          <w:sz w:val="30"/>
          <w:szCs w:val="30"/>
        </w:rPr>
        <w:t>林錫堯</w:t>
      </w:r>
    </w:p>
    <w:p w:rsidR="00514426" w:rsidRPr="007B5D03" w:rsidRDefault="00514426" w:rsidP="003E2E6B">
      <w:pPr>
        <w:spacing w:line="437" w:lineRule="exact"/>
        <w:ind w:firstLineChars="1200" w:firstLine="3600"/>
        <w:rPr>
          <w:sz w:val="30"/>
          <w:szCs w:val="30"/>
        </w:rPr>
      </w:pPr>
      <w:r w:rsidRPr="007B5D03">
        <w:rPr>
          <w:rFonts w:hAnsi="標楷體"/>
          <w:sz w:val="30"/>
          <w:szCs w:val="30"/>
        </w:rPr>
        <w:t>池啟明</w:t>
      </w:r>
    </w:p>
    <w:p w:rsidR="00514426" w:rsidRPr="007B5D03" w:rsidRDefault="00514426" w:rsidP="003E2E6B">
      <w:pPr>
        <w:spacing w:line="437" w:lineRule="exact"/>
        <w:ind w:firstLineChars="1200" w:firstLine="3600"/>
        <w:rPr>
          <w:sz w:val="30"/>
          <w:szCs w:val="30"/>
        </w:rPr>
      </w:pPr>
      <w:r w:rsidRPr="007B5D03">
        <w:rPr>
          <w:rFonts w:hAnsi="標楷體"/>
          <w:sz w:val="30"/>
          <w:szCs w:val="30"/>
        </w:rPr>
        <w:t>蔡清遊</w:t>
      </w:r>
    </w:p>
    <w:p w:rsidR="00514426" w:rsidRPr="007B5D03" w:rsidRDefault="00514426" w:rsidP="003E2E6B">
      <w:pPr>
        <w:spacing w:line="437" w:lineRule="exact"/>
        <w:ind w:firstLineChars="1200" w:firstLine="3600"/>
        <w:rPr>
          <w:sz w:val="30"/>
          <w:szCs w:val="30"/>
        </w:rPr>
      </w:pPr>
      <w:r w:rsidRPr="007B5D03">
        <w:rPr>
          <w:rFonts w:hAnsi="標楷體"/>
          <w:sz w:val="30"/>
          <w:szCs w:val="30"/>
        </w:rPr>
        <w:t>黃茂榮</w:t>
      </w:r>
    </w:p>
    <w:p w:rsidR="00514426" w:rsidRPr="007B5D03" w:rsidRDefault="00514426" w:rsidP="003E2E6B">
      <w:pPr>
        <w:spacing w:line="437" w:lineRule="exact"/>
        <w:ind w:firstLineChars="1200" w:firstLine="3600"/>
        <w:rPr>
          <w:sz w:val="30"/>
          <w:szCs w:val="30"/>
        </w:rPr>
      </w:pPr>
      <w:r w:rsidRPr="007B5D03">
        <w:rPr>
          <w:rFonts w:hAnsi="標楷體"/>
          <w:sz w:val="30"/>
          <w:szCs w:val="30"/>
        </w:rPr>
        <w:t>陳　敏</w:t>
      </w:r>
    </w:p>
    <w:p w:rsidR="00514426" w:rsidRPr="007B5D03" w:rsidRDefault="00514426" w:rsidP="003E2E6B">
      <w:pPr>
        <w:spacing w:line="437" w:lineRule="exact"/>
        <w:ind w:firstLineChars="1200" w:firstLine="3600"/>
        <w:rPr>
          <w:sz w:val="30"/>
          <w:szCs w:val="30"/>
        </w:rPr>
      </w:pPr>
      <w:r w:rsidRPr="007B5D03">
        <w:rPr>
          <w:rFonts w:hAnsi="標楷體"/>
          <w:sz w:val="30"/>
          <w:szCs w:val="30"/>
        </w:rPr>
        <w:t>葉百修</w:t>
      </w:r>
    </w:p>
    <w:p w:rsidR="00514426" w:rsidRPr="007B5D03" w:rsidRDefault="00514426" w:rsidP="003E2E6B">
      <w:pPr>
        <w:spacing w:line="437" w:lineRule="exact"/>
        <w:ind w:firstLineChars="1200" w:firstLine="3600"/>
        <w:rPr>
          <w:sz w:val="30"/>
          <w:szCs w:val="30"/>
        </w:rPr>
      </w:pPr>
      <w:r w:rsidRPr="007B5D03">
        <w:rPr>
          <w:rFonts w:hAnsi="標楷體"/>
          <w:sz w:val="30"/>
          <w:szCs w:val="30"/>
        </w:rPr>
        <w:t>陳春生</w:t>
      </w:r>
    </w:p>
    <w:p w:rsidR="00514426" w:rsidRPr="007B5D03" w:rsidRDefault="00514426" w:rsidP="003E2E6B">
      <w:pPr>
        <w:spacing w:line="437" w:lineRule="exact"/>
        <w:ind w:firstLineChars="1200" w:firstLine="3600"/>
        <w:rPr>
          <w:sz w:val="30"/>
          <w:szCs w:val="30"/>
        </w:rPr>
      </w:pPr>
      <w:r w:rsidRPr="007B5D03">
        <w:rPr>
          <w:rFonts w:hAnsi="標楷體"/>
          <w:sz w:val="30"/>
          <w:szCs w:val="30"/>
        </w:rPr>
        <w:t>陳新民</w:t>
      </w:r>
    </w:p>
    <w:p w:rsidR="00514426" w:rsidRPr="007B5D03" w:rsidRDefault="00514426" w:rsidP="003E2E6B">
      <w:pPr>
        <w:spacing w:line="437" w:lineRule="exact"/>
        <w:ind w:firstLineChars="1200" w:firstLine="3600"/>
        <w:rPr>
          <w:sz w:val="30"/>
          <w:szCs w:val="30"/>
        </w:rPr>
      </w:pPr>
      <w:r w:rsidRPr="007B5D03">
        <w:rPr>
          <w:rFonts w:hAnsi="標楷體"/>
          <w:sz w:val="30"/>
          <w:szCs w:val="30"/>
        </w:rPr>
        <w:t>陳碧玉</w:t>
      </w:r>
    </w:p>
    <w:p w:rsidR="00514426" w:rsidRPr="007B5D03" w:rsidRDefault="00514426" w:rsidP="003E2E6B">
      <w:pPr>
        <w:spacing w:line="437" w:lineRule="exact"/>
        <w:ind w:firstLineChars="1200" w:firstLine="3600"/>
        <w:rPr>
          <w:sz w:val="30"/>
          <w:szCs w:val="30"/>
        </w:rPr>
      </w:pPr>
      <w:smartTag w:uri="urn:schemas-microsoft-com:office:smarttags" w:element="PersonName">
        <w:smartTagPr>
          <w:attr w:name="ProductID" w:val="黃璽"/>
        </w:smartTagPr>
        <w:r w:rsidRPr="007B5D03">
          <w:rPr>
            <w:rFonts w:hAnsi="標楷體"/>
            <w:sz w:val="30"/>
            <w:szCs w:val="30"/>
          </w:rPr>
          <w:t>黃璽</w:t>
        </w:r>
      </w:smartTag>
      <w:r w:rsidRPr="007B5D03">
        <w:rPr>
          <w:rFonts w:hAnsi="標楷體"/>
          <w:sz w:val="30"/>
          <w:szCs w:val="30"/>
        </w:rPr>
        <w:t>君</w:t>
      </w:r>
    </w:p>
    <w:p w:rsidR="00514426" w:rsidRPr="007B5D03" w:rsidRDefault="00514426" w:rsidP="003E2E6B">
      <w:pPr>
        <w:spacing w:line="437" w:lineRule="exact"/>
        <w:ind w:firstLineChars="1200" w:firstLine="3600"/>
        <w:rPr>
          <w:sz w:val="30"/>
          <w:szCs w:val="30"/>
        </w:rPr>
      </w:pPr>
      <w:r w:rsidRPr="007B5D03">
        <w:rPr>
          <w:rFonts w:hAnsi="標楷體"/>
          <w:sz w:val="30"/>
          <w:szCs w:val="30"/>
        </w:rPr>
        <w:t>羅昌發</w:t>
      </w:r>
    </w:p>
    <w:p w:rsidR="00514426" w:rsidRPr="007B5D03" w:rsidRDefault="00514426" w:rsidP="00FB2D5A">
      <w:pPr>
        <w:spacing w:line="437" w:lineRule="exact"/>
        <w:rPr>
          <w:sz w:val="30"/>
          <w:szCs w:val="30"/>
        </w:rPr>
      </w:pPr>
    </w:p>
    <w:p w:rsidR="00514426" w:rsidRPr="007B5D03" w:rsidRDefault="00514426" w:rsidP="00FA6839">
      <w:pPr>
        <w:spacing w:line="437" w:lineRule="exact"/>
        <w:ind w:left="907" w:right="641"/>
        <w:jc w:val="distribute"/>
        <w:rPr>
          <w:sz w:val="30"/>
          <w:szCs w:val="30"/>
        </w:rPr>
      </w:pPr>
      <w:r w:rsidRPr="007B5D03">
        <w:rPr>
          <w:rFonts w:hAnsi="標楷體"/>
          <w:sz w:val="30"/>
          <w:szCs w:val="30"/>
        </w:rPr>
        <w:t>協同意見書　　　　　　　　　　　大法官　蘇永欽</w:t>
      </w:r>
    </w:p>
    <w:p w:rsidR="00514426" w:rsidRPr="007B5D03" w:rsidRDefault="00514426" w:rsidP="00FA6839">
      <w:pPr>
        <w:snapToGrid w:val="0"/>
        <w:spacing w:line="437" w:lineRule="exact"/>
        <w:ind w:firstLineChars="100" w:firstLine="292"/>
        <w:rPr>
          <w:sz w:val="30"/>
          <w:szCs w:val="30"/>
        </w:rPr>
      </w:pPr>
      <w:r w:rsidRPr="007B5D03">
        <w:rPr>
          <w:rFonts w:hAnsi="標楷體"/>
          <w:spacing w:val="-4"/>
          <w:sz w:val="30"/>
          <w:szCs w:val="30"/>
        </w:rPr>
        <w:t>本案所涉認購（售）權證交易所得如何課徵營業所得稅的問題，</w:t>
      </w:r>
      <w:r w:rsidRPr="007B5D03">
        <w:rPr>
          <w:rFonts w:hAnsi="標楷體"/>
          <w:sz w:val="30"/>
          <w:szCs w:val="30"/>
        </w:rPr>
        <w:t>在</w:t>
      </w:r>
      <w:r w:rsidRPr="007B5D03">
        <w:rPr>
          <w:rFonts w:hAnsi="標楷體" w:hint="eastAsia"/>
          <w:sz w:val="30"/>
          <w:szCs w:val="30"/>
        </w:rPr>
        <w:t>中華</w:t>
      </w:r>
      <w:r w:rsidRPr="007B5D03">
        <w:rPr>
          <w:rFonts w:hAnsi="標楷體"/>
          <w:sz w:val="30"/>
          <w:szCs w:val="30"/>
        </w:rPr>
        <w:t>民國九十六年修改所得稅法增列第二十四條之二（下稱所得稅法第二十四條之二）以前，一直適用的財政部行政解釋八十六年十二月十一日台財稅第八六一九二二四六四號函及同年的台</w:t>
      </w:r>
      <w:r w:rsidRPr="007B5D03">
        <w:rPr>
          <w:rFonts w:hAnsi="標楷體"/>
          <w:spacing w:val="-4"/>
          <w:sz w:val="30"/>
          <w:szCs w:val="30"/>
        </w:rPr>
        <w:t>財稅第八六一九０九三一一號函（下併稱系爭函釋），引發是否違</w:t>
      </w:r>
      <w:r w:rsidRPr="007B5D03">
        <w:rPr>
          <w:rFonts w:hAnsi="標楷體"/>
          <w:sz w:val="30"/>
          <w:szCs w:val="30"/>
        </w:rPr>
        <w:t>憲的爭議，共合併了四十件聲請案作成本解釋，本席對於多數意見認定系爭函釋均未違反租稅法律主義及平等原則的結論敬表贊同，</w:t>
      </w:r>
      <w:r w:rsidRPr="007B5D03">
        <w:rPr>
          <w:rFonts w:hAnsi="標楷體"/>
          <w:sz w:val="30"/>
          <w:szCs w:val="30"/>
        </w:rPr>
        <w:lastRenderedPageBreak/>
        <w:t>但解釋理由的論述較為簡略，特從方法上對本席所以贊同的主要考量作一說明。</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一、從租稅法律主義的憲政意義定位稅法的司法審查</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憲法第十九條一方面把納稅規定為人民的基本義務，一如基本權利，皆為共營國家生活所訂「社會契約」的一部分，另一方面明定納稅應「依法律」，其目的即在確保國家實現國民意志所需的財源，取之於民並用之於民。簡言之，國民意志的形成必經由國民定期改選的國會，先以法律為對政府長期的指示及授權，再由政府制</w:t>
      </w:r>
      <w:r w:rsidRPr="007B5D03">
        <w:rPr>
          <w:rFonts w:hAnsi="標楷體" w:hint="eastAsia"/>
          <w:sz w:val="30"/>
          <w:szCs w:val="30"/>
        </w:rPr>
        <w:t>定</w:t>
      </w:r>
      <w:r w:rsidRPr="007B5D03">
        <w:rPr>
          <w:rFonts w:hAnsi="標楷體"/>
          <w:sz w:val="30"/>
          <w:szCs w:val="30"/>
        </w:rPr>
        <w:t>政策及預算為短期的優先次序分配，政府不僅須就其政策及預算報告國會並對國會負責（憲法第五十七條），法律案及預算案更要經過國會議決（憲法第六十三條）。但凡百施政如逐一籌措財源，顯然無法達到國家財政所要求的最低效率，只有以經常、無對價稽徵方式收取的租稅為支應施政的主要、穩定財源，此所以我國憲法特將納稅定為人民的基本義務，以與一般法律創設的義務區隔。而強調納稅必須依法，其意義即在確保監督政府政策及預算的國會，在此一主要財源的開闢和關閉上也要有完整的管控權，任何稅捐只要未經國會以法律議決，都不可向人民開徵。只要國會能控制財源，並在政策與預算上反映多數民意，防止行政部門濫權或浪費，應該就可以大體落實取之於民用之於民的理想。</w:t>
      </w:r>
    </w:p>
    <w:p w:rsidR="00514426" w:rsidRPr="007B5D03" w:rsidRDefault="00514426" w:rsidP="00FA6839">
      <w:pPr>
        <w:snapToGrid w:val="0"/>
        <w:spacing w:line="437" w:lineRule="exact"/>
        <w:ind w:leftChars="220" w:left="616" w:firstLineChars="100" w:firstLine="308"/>
        <w:rPr>
          <w:sz w:val="30"/>
          <w:szCs w:val="30"/>
        </w:rPr>
      </w:pPr>
      <w:r w:rsidRPr="007B5D03">
        <w:rPr>
          <w:rFonts w:hAnsi="標楷體"/>
          <w:spacing w:val="4"/>
          <w:sz w:val="30"/>
          <w:szCs w:val="30"/>
        </w:rPr>
        <w:t>租稅法律主義所依存的民主憲政體制是司法機關審查租</w:t>
      </w:r>
      <w:r w:rsidRPr="007B5D03">
        <w:rPr>
          <w:rFonts w:hAnsi="標楷體"/>
          <w:sz w:val="30"/>
          <w:szCs w:val="30"/>
        </w:rPr>
        <w:t>稅法制時必須正確認知的前提。此所以司法審查的首要任務即在拴緊此一行政立法互動的紐帶，使形成租稅義務的主要決定必須由國會自己</w:t>
      </w:r>
      <w:r w:rsidRPr="007B5D03">
        <w:rPr>
          <w:rFonts w:hAnsi="標楷體" w:hint="eastAsia"/>
          <w:sz w:val="30"/>
          <w:szCs w:val="30"/>
        </w:rPr>
        <w:t>作</w:t>
      </w:r>
      <w:r w:rsidRPr="007B5D03">
        <w:rPr>
          <w:rFonts w:hAnsi="標楷體"/>
          <w:sz w:val="30"/>
          <w:szCs w:val="30"/>
        </w:rPr>
        <w:t>成，而不能輕易委諸行政部門，或聽任行政部門便宜行事，掏空納稅人的荷包。惟此時尚應視審查標的，注意司法權的內部分權，使大法官與普通法院的分工達到</w:t>
      </w:r>
      <w:r w:rsidRPr="007B5D03">
        <w:rPr>
          <w:rFonts w:hAnsi="標楷體"/>
          <w:sz w:val="30"/>
          <w:szCs w:val="30"/>
        </w:rPr>
        <w:lastRenderedPageBreak/>
        <w:t>功能最適。在租稅法律主義這樣形式的、程序的管控之外，如何基於憲法其他規範原則對稅法作進一步的、實質的審查，自然也是司法機關無可迴避的任務，但此時仍應從前述憲政體制的宏觀理解去尋找合理的切入點，避免打亂了司法與立法、行政權的基本分工。</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二、從司法權的內部分權看租稅法律主義的審查方法</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租稅法律主義的控制，有其宏觀與微觀的面向。宏觀控制的重點在於防止行政權對於立法權的侵蝕，或立法權不當</w:t>
      </w:r>
      <w:r w:rsidRPr="007B5D03">
        <w:rPr>
          <w:rFonts w:hAnsi="標楷體" w:hint="eastAsia"/>
          <w:sz w:val="30"/>
          <w:szCs w:val="30"/>
        </w:rPr>
        <w:t>地</w:t>
      </w:r>
      <w:r w:rsidRPr="007B5D03">
        <w:rPr>
          <w:rFonts w:hAnsi="標楷體"/>
          <w:sz w:val="30"/>
          <w:szCs w:val="30"/>
        </w:rPr>
        <w:t>委託行政權決定稅法的核心事項，以確保前述國會保留的憲法意旨。後者為對立法權的控制，依憲法第一百七十一條僅能由本院來作認定。前者為對行政權的控制，一方面行政部門依法律授權所</w:t>
      </w:r>
      <w:r w:rsidRPr="007B5D03">
        <w:rPr>
          <w:rFonts w:hAnsi="標楷體" w:hint="eastAsia"/>
          <w:sz w:val="30"/>
          <w:szCs w:val="30"/>
        </w:rPr>
        <w:t>作</w:t>
      </w:r>
      <w:r w:rsidRPr="007B5D03">
        <w:rPr>
          <w:rFonts w:hAnsi="標楷體"/>
          <w:sz w:val="30"/>
          <w:szCs w:val="30"/>
        </w:rPr>
        <w:t>補充（法規命令）不得逾越授權範圍，另一方面行政部門基於職權對於法律的解釋（行政規則）也必須符合穩妥的解釋方法。就此部分，在現行法制下不僅本院得依聲請以該行政命令為本案的解釋標的（如釋字第四一五號、第六一五號解釋對法規命令的審查，釋字第六四０號、第六八五號解釋對行政規則的審查），行政法院也可以在審判中以其為先決問題為附帶</w:t>
      </w:r>
      <w:r w:rsidRPr="007B5D03">
        <w:rPr>
          <w:rFonts w:hAnsi="標楷體" w:hint="eastAsia"/>
          <w:sz w:val="30"/>
          <w:szCs w:val="30"/>
        </w:rPr>
        <w:t>地</w:t>
      </w:r>
      <w:r w:rsidRPr="007B5D03">
        <w:rPr>
          <w:rFonts w:hAnsi="標楷體"/>
          <w:sz w:val="30"/>
          <w:szCs w:val="30"/>
        </w:rPr>
        <w:t>審查認定，而於確認已逾越法律或違反法律解釋方法時，在該案件中不予適用，本院和行政法院的審查可說處於競合的狀態，僅效力不同而已。惟法規命令在立法院職權行使法建立國會強制事後審查制度（第六十</w:t>
      </w:r>
      <w:r w:rsidRPr="007B5D03">
        <w:rPr>
          <w:rFonts w:hAnsi="標楷體" w:hint="eastAsia"/>
          <w:sz w:val="30"/>
          <w:szCs w:val="30"/>
        </w:rPr>
        <w:t>條</w:t>
      </w:r>
      <w:r w:rsidRPr="007B5D03">
        <w:rPr>
          <w:rFonts w:hAnsi="標楷體"/>
          <w:sz w:val="30"/>
          <w:szCs w:val="30"/>
        </w:rPr>
        <w:t>至</w:t>
      </w:r>
      <w:r w:rsidRPr="007B5D03">
        <w:rPr>
          <w:rFonts w:hAnsi="標楷體" w:hint="eastAsia"/>
          <w:sz w:val="30"/>
          <w:szCs w:val="30"/>
        </w:rPr>
        <w:t>第</w:t>
      </w:r>
      <w:r w:rsidRPr="007B5D03">
        <w:rPr>
          <w:rFonts w:hAnsi="標楷體"/>
          <w:sz w:val="30"/>
          <w:szCs w:val="30"/>
        </w:rPr>
        <w:t>六十三條）後，司法審查認定違憲的正當性已大幅降低，在立法審查不認為該法規命令逾越授權或牴觸母法的情形，本院僅得再就該法規命令是否實質上已經逾越立法院「得授權」的範圍加以審查，在確認已經逾越的情形，仍可不受立法院審查結果的拘束，認定違反法律保留原則（在稅法則為違反租稅法律主義）。而</w:t>
      </w:r>
      <w:r w:rsidRPr="007B5D03">
        <w:rPr>
          <w:rFonts w:hAnsi="標楷體"/>
          <w:sz w:val="30"/>
          <w:szCs w:val="30"/>
        </w:rPr>
        <w:lastRenderedPageBreak/>
        <w:t>行政規則有無違反解釋方法的審查，其性質又屬單純合法性的審查，與有無違反平等原則、比例原則等實質憲法原則的審查不同，本院原則上即應尊重有最終釋法權的終審法院。在終審法院未認定其違反</w:t>
      </w:r>
      <w:r w:rsidRPr="007B5D03">
        <w:rPr>
          <w:rFonts w:hAnsi="標楷體"/>
          <w:spacing w:val="4"/>
          <w:sz w:val="30"/>
          <w:szCs w:val="30"/>
        </w:rPr>
        <w:t>解釋方法的情形，除非可從特殊憲法觀點發現解釋上的瑕</w:t>
      </w:r>
      <w:r w:rsidRPr="007B5D03">
        <w:rPr>
          <w:rFonts w:hAnsi="標楷體"/>
          <w:sz w:val="30"/>
          <w:szCs w:val="30"/>
        </w:rPr>
        <w:t>疵，不應輕易作相反的認定。至於微觀的控制，則指具體行政行為有無違法的審查，應由行政法院獨占，非本院所能置喙。</w:t>
      </w:r>
    </w:p>
    <w:p w:rsidR="00514426" w:rsidRPr="007B5D03" w:rsidRDefault="00514426" w:rsidP="00AF0348">
      <w:pPr>
        <w:snapToGrid w:val="0"/>
        <w:spacing w:line="437" w:lineRule="exact"/>
        <w:ind w:leftChars="220" w:left="616" w:firstLineChars="100" w:firstLine="308"/>
        <w:rPr>
          <w:sz w:val="30"/>
          <w:szCs w:val="30"/>
        </w:rPr>
      </w:pPr>
      <w:r w:rsidRPr="007B5D03">
        <w:rPr>
          <w:rFonts w:hAnsi="標楷體"/>
          <w:spacing w:val="4"/>
          <w:sz w:val="30"/>
          <w:szCs w:val="30"/>
        </w:rPr>
        <w:t>本案並無所得稅法應規定而不當委諸行政命令補充的問</w:t>
      </w:r>
      <w:r w:rsidRPr="007B5D03">
        <w:rPr>
          <w:rFonts w:hAnsi="標楷體"/>
          <w:sz w:val="30"/>
          <w:szCs w:val="30"/>
        </w:rPr>
        <w:t>題，系爭函釋不論就認購（售）權證發行的交易性質上是否屬於證券交易，而應免徵證券交易所得稅，或不屬於證券交易，其對價屬權利金性質而應課徵所得稅的部分；或就其發行後發行人所為避險性證券交易，其損益的認列是否應依所得稅法第四條之一一併排除，或仍應回歸同法第二十四條認列損益的部分，都屬法律適用的爭議，不僅非本院獨占審查的事項，且本院也只能為單純解釋方法的審查，既經最高行政法院認定並無違反母法之處而予適用，本院除非能論證該解釋方法明顯忽略了某些憲法觀點，原則上即應尊重最高行政法院的見解。故多數意見認定函釋符合一般法律解釋方法而未違反租稅法律原則，結論可說十分穩妥。</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三、租稅法制核心的審查無關基本權限制與比例原則</w:t>
      </w:r>
    </w:p>
    <w:p w:rsidR="00514426" w:rsidRPr="007B5D03" w:rsidRDefault="00514426" w:rsidP="00AF0348">
      <w:pPr>
        <w:snapToGrid w:val="0"/>
        <w:spacing w:line="437" w:lineRule="exact"/>
        <w:ind w:leftChars="220" w:left="616" w:firstLineChars="100" w:firstLine="308"/>
        <w:rPr>
          <w:sz w:val="30"/>
          <w:szCs w:val="30"/>
        </w:rPr>
      </w:pPr>
      <w:r w:rsidRPr="007B5D03">
        <w:rPr>
          <w:rFonts w:hAnsi="標楷體"/>
          <w:spacing w:val="4"/>
          <w:sz w:val="30"/>
          <w:szCs w:val="30"/>
        </w:rPr>
        <w:t>本席在</w:t>
      </w:r>
      <w:r w:rsidRPr="007B5D03">
        <w:rPr>
          <w:rFonts w:hAnsi="標楷體" w:hint="eastAsia"/>
          <w:spacing w:val="4"/>
          <w:sz w:val="30"/>
          <w:szCs w:val="30"/>
        </w:rPr>
        <w:t>本院釋字</w:t>
      </w:r>
      <w:r w:rsidRPr="007B5D03">
        <w:rPr>
          <w:rFonts w:hAnsi="標楷體"/>
          <w:spacing w:val="4"/>
          <w:sz w:val="30"/>
          <w:szCs w:val="30"/>
        </w:rPr>
        <w:t>第六八八號解釋所提協同意見書已就基</w:t>
      </w:r>
      <w:r w:rsidRPr="007B5D03">
        <w:rPr>
          <w:rFonts w:hAnsi="標楷體"/>
          <w:sz w:val="30"/>
          <w:szCs w:val="30"/>
        </w:rPr>
        <w:t>本義務的具體化邏輯上應不等同於基本權的限制，從而也無比例原則適用的看法有所論述，如果進一步認知租稅乃為支應整體施政的主要財源，如有不足</w:t>
      </w:r>
      <w:r w:rsidRPr="007B5D03">
        <w:rPr>
          <w:rFonts w:hAnsi="標楷體" w:hint="eastAsia"/>
          <w:sz w:val="30"/>
          <w:szCs w:val="30"/>
        </w:rPr>
        <w:t>，</w:t>
      </w:r>
      <w:r w:rsidRPr="007B5D03">
        <w:rPr>
          <w:rFonts w:hAnsi="標楷體"/>
          <w:sz w:val="30"/>
          <w:szCs w:val="30"/>
        </w:rPr>
        <w:t>國會只有另闢稅種以為支應，負擔者仍為所有納稅人，而其背後也仍然是支應施政的「整體」目的，無特定可對應的使用目的，即知其妥適與否的管</w:t>
      </w:r>
      <w:r w:rsidRPr="007B5D03">
        <w:rPr>
          <w:rFonts w:hAnsi="標楷體"/>
          <w:sz w:val="30"/>
          <w:szCs w:val="30"/>
        </w:rPr>
        <w:lastRenderedPageBreak/>
        <w:t>控，主要應由行政</w:t>
      </w:r>
      <w:r w:rsidRPr="007B5D03">
        <w:rPr>
          <w:rFonts w:hAnsi="標楷體" w:hint="eastAsia"/>
          <w:sz w:val="30"/>
          <w:szCs w:val="30"/>
        </w:rPr>
        <w:t>、</w:t>
      </w:r>
      <w:r w:rsidRPr="007B5D03">
        <w:rPr>
          <w:rFonts w:hAnsi="標楷體"/>
          <w:sz w:val="30"/>
          <w:szCs w:val="30"/>
        </w:rPr>
        <w:t>立法部門通過對話與妥協去作政治的決定，從而與憲法第二十三條是從保障特定基本權的角度去管控「個別」公權力行為，無法相提並論。就特定稅法開闢的稅種，及其所定稅基、稅率或免稅事項，去用特定基</w:t>
      </w:r>
      <w:r w:rsidRPr="007B5D03">
        <w:rPr>
          <w:rFonts w:hAnsi="標楷體"/>
          <w:spacing w:val="4"/>
          <w:sz w:val="30"/>
          <w:szCs w:val="30"/>
        </w:rPr>
        <w:t>本權限制的觀點，如財產權或營業自由，作比例原則的審</w:t>
      </w:r>
      <w:r w:rsidRPr="007B5D03">
        <w:rPr>
          <w:rFonts w:hAnsi="標楷體"/>
          <w:sz w:val="30"/>
          <w:szCs w:val="30"/>
        </w:rPr>
        <w:t>查，如果不是太寬</w:t>
      </w:r>
      <w:r w:rsidRPr="007B5D03">
        <w:rPr>
          <w:sz w:val="30"/>
          <w:szCs w:val="30"/>
        </w:rPr>
        <w:t>─</w:t>
      </w:r>
      <w:r w:rsidRPr="007B5D03">
        <w:rPr>
          <w:rFonts w:hAnsi="標楷體"/>
          <w:sz w:val="30"/>
          <w:szCs w:val="30"/>
        </w:rPr>
        <w:t>因為一律都可以用整體施政需要來合理化，就是太嚴</w:t>
      </w:r>
      <w:r w:rsidRPr="007B5D03">
        <w:rPr>
          <w:sz w:val="30"/>
          <w:szCs w:val="30"/>
        </w:rPr>
        <w:t>─</w:t>
      </w:r>
      <w:r w:rsidRPr="007B5D03">
        <w:rPr>
          <w:rFonts w:hAnsi="標楷體"/>
          <w:sz w:val="30"/>
          <w:szCs w:val="30"/>
        </w:rPr>
        <w:t>除了特別公課性質的稅種外</w:t>
      </w:r>
      <w:r w:rsidRPr="007B5D03">
        <w:rPr>
          <w:rFonts w:hAnsi="標楷體" w:hint="eastAsia"/>
          <w:sz w:val="30"/>
          <w:szCs w:val="30"/>
        </w:rPr>
        <w:t>，</w:t>
      </w:r>
      <w:r w:rsidRPr="007B5D03">
        <w:rPr>
          <w:rFonts w:hAnsi="標楷體"/>
          <w:sz w:val="30"/>
          <w:szCs w:val="30"/>
        </w:rPr>
        <w:t>都無可用以合理化的具體公共利益；這樣的審查可說無任何實益，徒然降低了比例原則操作的嚴謹性。適合從基本權限制的角度去作審查的，應僅限於租稅法制中不屬於納稅義務核心內涵而僅為配套或技術性規定的部分，如罰則或其他不在狹義租稅法</w:t>
      </w:r>
      <w:r w:rsidRPr="007B5D03">
        <w:rPr>
          <w:rFonts w:hAnsi="標楷體"/>
          <w:spacing w:val="4"/>
          <w:sz w:val="30"/>
          <w:szCs w:val="30"/>
        </w:rPr>
        <w:t>律主義指涉範疇</w:t>
      </w:r>
      <w:r w:rsidRPr="007B5D03">
        <w:rPr>
          <w:rFonts w:hAnsi="標楷體" w:hint="eastAsia"/>
          <w:spacing w:val="4"/>
          <w:sz w:val="30"/>
          <w:szCs w:val="30"/>
        </w:rPr>
        <w:t>，</w:t>
      </w:r>
      <w:r w:rsidRPr="007B5D03">
        <w:rPr>
          <w:rFonts w:hAnsi="標楷體"/>
          <w:spacing w:val="4"/>
          <w:sz w:val="30"/>
          <w:szCs w:val="30"/>
        </w:rPr>
        <w:t>但仍屬一般法律保留原則所及的法律規</w:t>
      </w:r>
      <w:r w:rsidRPr="007B5D03">
        <w:rPr>
          <w:rFonts w:hAnsi="標楷體"/>
          <w:sz w:val="30"/>
          <w:szCs w:val="30"/>
        </w:rPr>
        <w:t>定，或補充性的行政命令。由此可知，司法機關縱使有意在租稅法律主義以外，另覓比較實質的憲法規範來管控租稅法制的發展，方法上仍不能任意假借，過去偶見以比例原則作虛應故事的審查之例，即值得深思。</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從這個角度來看本案，系爭函釋都是有關營業所得稅課稅範圍的行政解釋，屬於對特定租稅義務的再具體化，原則上即不能認其為基本權的限制。因此本件解釋未從財產權或營業自由限制的觀點對系爭函釋作比例原則的審查，不僅符合</w:t>
      </w:r>
      <w:r w:rsidRPr="007B5D03">
        <w:rPr>
          <w:rFonts w:hAnsi="標楷體"/>
          <w:spacing w:val="4"/>
          <w:sz w:val="30"/>
          <w:szCs w:val="30"/>
        </w:rPr>
        <w:t>我國憲法將基本義務與基本權並列的意旨，也可避免以空</w:t>
      </w:r>
      <w:r w:rsidRPr="007B5D03">
        <w:rPr>
          <w:rFonts w:hAnsi="標楷體"/>
          <w:sz w:val="30"/>
          <w:szCs w:val="30"/>
        </w:rPr>
        <w:t>泛、不對稱的比例權衡淆亂了司法與行政</w:t>
      </w:r>
      <w:r w:rsidRPr="007B5D03">
        <w:rPr>
          <w:rFonts w:hAnsi="標楷體" w:hint="eastAsia"/>
          <w:sz w:val="30"/>
          <w:szCs w:val="30"/>
        </w:rPr>
        <w:t>、</w:t>
      </w:r>
      <w:r w:rsidRPr="007B5D03">
        <w:rPr>
          <w:rFonts w:hAnsi="標楷體"/>
          <w:sz w:val="30"/>
          <w:szCs w:val="30"/>
        </w:rPr>
        <w:t>立法的分權，十分正確。</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四、如何引進財政學的公平理論以合理強化司法控制</w:t>
      </w:r>
    </w:p>
    <w:p w:rsidR="00514426" w:rsidRPr="007B5D03" w:rsidRDefault="00514426" w:rsidP="00413EA5">
      <w:pPr>
        <w:snapToGrid w:val="0"/>
        <w:spacing w:line="437" w:lineRule="exact"/>
        <w:ind w:leftChars="220" w:left="616" w:firstLineChars="100" w:firstLine="308"/>
        <w:rPr>
          <w:rFonts w:hAnsi="標楷體"/>
          <w:sz w:val="30"/>
          <w:szCs w:val="30"/>
        </w:rPr>
      </w:pPr>
      <w:r w:rsidRPr="007B5D03">
        <w:rPr>
          <w:rFonts w:hAnsi="標楷體"/>
          <w:spacing w:val="4"/>
          <w:sz w:val="30"/>
          <w:szCs w:val="30"/>
        </w:rPr>
        <w:t>在租稅法律主義和比例原則的審查空間都有其分權上的</w:t>
      </w:r>
      <w:r w:rsidRPr="007B5D03">
        <w:rPr>
          <w:rFonts w:hAnsi="標楷體"/>
          <w:sz w:val="30"/>
          <w:szCs w:val="30"/>
        </w:rPr>
        <w:t>限制時，本院面對眾多名目的稅捐能否在憲法上找到其他穩</w:t>
      </w:r>
      <w:r w:rsidRPr="007B5D03">
        <w:rPr>
          <w:rFonts w:hAnsi="標楷體"/>
          <w:sz w:val="30"/>
          <w:szCs w:val="30"/>
        </w:rPr>
        <w:lastRenderedPageBreak/>
        <w:t>妥的審查基礎，攸關現代租稅國家的建構甚鉅。財政學對於租稅公平本有豐富的討論，如何將財政學上得到普遍認同的規範性原則，在與憲法文本相容、且無淆亂民主分權體制之虞的情形下</w:t>
      </w:r>
      <w:r w:rsidRPr="007B5D03">
        <w:rPr>
          <w:rFonts w:hAnsi="標楷體" w:hint="eastAsia"/>
          <w:sz w:val="30"/>
          <w:szCs w:val="30"/>
        </w:rPr>
        <w:t>，</w:t>
      </w:r>
      <w:r w:rsidRPr="007B5D03">
        <w:rPr>
          <w:rFonts w:hAnsi="標楷體"/>
          <w:sz w:val="30"/>
          <w:szCs w:val="30"/>
        </w:rPr>
        <w:t>轉化為憲法規範的內涵，正是本席提出部門憲法理論所推廣的一種思維。本院的解釋實務，曾兩度把財政學上認同的量能課稅原則當成審查稅法的憲法原則（本院釋字第五六五號、第五九七號解釋參照），但都只是附帶</w:t>
      </w:r>
      <w:r w:rsidRPr="007B5D03">
        <w:rPr>
          <w:rFonts w:hAnsi="標楷體" w:hint="eastAsia"/>
          <w:sz w:val="30"/>
          <w:szCs w:val="30"/>
        </w:rPr>
        <w:t>地</w:t>
      </w:r>
      <w:r w:rsidRPr="007B5D03">
        <w:rPr>
          <w:rFonts w:hAnsi="標楷體"/>
          <w:sz w:val="30"/>
          <w:szCs w:val="30"/>
        </w:rPr>
        <w:t>提及，而未對其內涵作深入闡述，本號解釋再度提及量能課稅原則，有必要對其意義略作說明。</w:t>
      </w:r>
    </w:p>
    <w:p w:rsidR="00514426" w:rsidRPr="007B5D03" w:rsidRDefault="00514426" w:rsidP="003E168C">
      <w:pPr>
        <w:snapToGrid w:val="0"/>
        <w:spacing w:line="437" w:lineRule="exact"/>
        <w:ind w:leftChars="220" w:left="616" w:firstLineChars="100" w:firstLine="300"/>
        <w:rPr>
          <w:b/>
          <w:sz w:val="30"/>
          <w:szCs w:val="30"/>
        </w:rPr>
      </w:pPr>
      <w:r w:rsidRPr="007B5D03">
        <w:rPr>
          <w:rFonts w:hAnsi="標楷體"/>
          <w:sz w:val="30"/>
          <w:szCs w:val="30"/>
        </w:rPr>
        <w:t>財政學在探討租稅公平時，先區分絕對與相對公平，前者僅在每人繳納同額稅款的人頭稅（</w:t>
      </w:r>
      <w:r w:rsidRPr="007B5D03">
        <w:rPr>
          <w:sz w:val="30"/>
          <w:szCs w:val="30"/>
        </w:rPr>
        <w:t>poll tax</w:t>
      </w:r>
      <w:r w:rsidRPr="007B5D03">
        <w:rPr>
          <w:rFonts w:hAnsi="標楷體"/>
          <w:sz w:val="30"/>
          <w:szCs w:val="30"/>
        </w:rPr>
        <w:t>）庶幾近乎，後者則把納稅人的差異性納入考量而定其稅額，一如憲法上平等原則所區分的形式與實質平等，而正如憲法上一貫本於實質平等，財政學一般也是從相對公平出發，進一步探討其內涵。最主要的兩個標準，就是受益原則（</w:t>
      </w:r>
      <w:r w:rsidRPr="007B5D03">
        <w:rPr>
          <w:sz w:val="30"/>
          <w:szCs w:val="30"/>
        </w:rPr>
        <w:t>benefit-received principle</w:t>
      </w:r>
      <w:r w:rsidRPr="007B5D03">
        <w:rPr>
          <w:rFonts w:hAnsi="標楷體"/>
          <w:sz w:val="30"/>
          <w:szCs w:val="30"/>
        </w:rPr>
        <w:t>）與量能原則（</w:t>
      </w:r>
      <w:r w:rsidRPr="007B5D03">
        <w:rPr>
          <w:sz w:val="30"/>
          <w:szCs w:val="30"/>
        </w:rPr>
        <w:t>ability-to-pay principle</w:t>
      </w:r>
      <w:r w:rsidRPr="007B5D03">
        <w:rPr>
          <w:rFonts w:hAnsi="標楷體"/>
          <w:sz w:val="30"/>
          <w:szCs w:val="30"/>
        </w:rPr>
        <w:t>），前者衡量的是納稅人負擔的稅捐和從政府分配到的利益，是不是相當；後者衡量的是納稅人負擔的稅捐和其納稅的條件、經濟能力是不是相當；一著眼於施與受之間的公平，一著眼於不同納稅人間負擔的公平。由於租稅的稽徵原則上不與國家施政的支出對應，已如前述，受益原則只在例外情形可以操作（特別公課），量能課稅轉化為憲法上的一般課稅原則，就比較值得探討，憲法文本提供的基礎，最接近者自然就是第七條的平等原則。</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五、以平等原則為基礎可能發展的兩種量能課稅類型</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本院過去解釋所闡釋的平等原則，本來即要求相同者相同對待，不同者不同對待，而對於法律規範呈現的任何形式上的</w:t>
      </w:r>
      <w:r w:rsidRPr="007B5D03">
        <w:rPr>
          <w:rFonts w:hAnsi="標楷體"/>
          <w:sz w:val="30"/>
          <w:szCs w:val="30"/>
        </w:rPr>
        <w:lastRenderedPageBreak/>
        <w:t>差別待遇，必須審究其區隔因素與該規範所考量的公共利益有何關聯，並依規範目的在憲法上的重要性而定該關聯性的審查標準（合理還是實質關連）。反之，對於形式尚未呈現差別待遇，而主張實質上受到不公平對待的人民，也應審究憲法上有無課</w:t>
      </w:r>
      <w:r w:rsidRPr="007B5D03">
        <w:rPr>
          <w:rFonts w:hAnsi="標楷體" w:hint="eastAsia"/>
          <w:sz w:val="30"/>
          <w:szCs w:val="30"/>
        </w:rPr>
        <w:t>予</w:t>
      </w:r>
      <w:r w:rsidRPr="007B5D03">
        <w:rPr>
          <w:rFonts w:hAnsi="標楷體"/>
          <w:sz w:val="30"/>
          <w:szCs w:val="30"/>
        </w:rPr>
        <w:t>積極區隔的義務。財政學上所探討的量能，通常是以所得為衡量的能，但也有加上「工資率」或「效用」來衡量其能者，對於公平的實現自然更為周延。以所得來衡量納稅的能力，又可分為水平和垂直的兩種量能，前者其實指的就是相同者相同待之，對於沒有區分必要者，比如境內所得和境外所得，應以相同方式課稅，才算公平。後者則指不同者不同待之，所得既有明顯的高低差別，即應對高</w:t>
      </w:r>
      <w:r w:rsidRPr="007B5D03">
        <w:rPr>
          <w:rFonts w:hAnsi="標楷體"/>
          <w:spacing w:val="4"/>
          <w:sz w:val="30"/>
          <w:szCs w:val="30"/>
        </w:rPr>
        <w:t>所得者課以較高稅率的稅，才算公平。至於垂直公平的實</w:t>
      </w:r>
      <w:r w:rsidRPr="007B5D03">
        <w:rPr>
          <w:rFonts w:hAnsi="標楷體"/>
          <w:sz w:val="30"/>
          <w:szCs w:val="30"/>
        </w:rPr>
        <w:t>現，又有線型累進所得稅、負所得稅以及邊際稅率累進的所得稅等不同的課徵方式。但垂直的量能，其實已在追求某種合理的所得重分配，而與我國憲法宣示的民生主義理想若合符節，是社會的平等，而非個人的平等。如何建立操作的標準，顯然要複雜得多。足見財政學上所稱的量能原則和本院從憲法第七條平等原則規定發展出來的操作方式，確有其暗相契合之處。</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本件解釋理由書第五段認為系爭函釋「闡明認購（售）權證之發行人，應依所得稅法第四條之一規定，免徵證券交易所得稅，亦不得減除證券交易損失。而所有其他有證券交易所得之個人及營利事業，適用所得稅法第四條之一時，並未規定得為不同之處理，故亦不生該二函違反量能課稅致牴觸憲法上平等原則之問題。」是從平等原則引</w:t>
      </w:r>
      <w:r w:rsidRPr="007B5D03">
        <w:rPr>
          <w:rFonts w:hAnsi="標楷體" w:hint="eastAsia"/>
          <w:sz w:val="30"/>
          <w:szCs w:val="30"/>
        </w:rPr>
        <w:t>申</w:t>
      </w:r>
      <w:r w:rsidRPr="007B5D03">
        <w:rPr>
          <w:rFonts w:hAnsi="標楷體"/>
          <w:sz w:val="30"/>
          <w:szCs w:val="30"/>
        </w:rPr>
        <w:t>出量能課稅原則而用之於所得稅法。這裡所稱的量能是前述水平的量能</w:t>
      </w:r>
      <w:r w:rsidRPr="007B5D03">
        <w:rPr>
          <w:sz w:val="30"/>
          <w:szCs w:val="30"/>
        </w:rPr>
        <w:t>─</w:t>
      </w:r>
      <w:r w:rsidRPr="007B5D03">
        <w:rPr>
          <w:rFonts w:hAnsi="標楷體"/>
          <w:sz w:val="30"/>
          <w:szCs w:val="30"/>
        </w:rPr>
        <w:t>相同所得應納相同的稅，和垂直的量能無關，得到無違的結論，道理也很清</w:t>
      </w:r>
      <w:r w:rsidRPr="007B5D03">
        <w:rPr>
          <w:rFonts w:hAnsi="標楷體"/>
          <w:sz w:val="30"/>
          <w:szCs w:val="30"/>
        </w:rPr>
        <w:lastRenderedPageBreak/>
        <w:t>楚。未來可否以憲法第七條為依據，至少就直接稅性質的所得稅，再引進垂直的量能原則，以建立最低的累進課稅要求，應視理論發展的成熟度而定，但此時需另覓積極區隔的憲法義務作為基礎，可能就是憲法第一百四十二條宣示的民生主義經濟體制。</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六、有無可能在平等原則外發展獨立的量能課稅原則</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從納稅人負擔切入的量能課稅原則，除了通過納稅人間納稅能力的比較而和憲法上的平等原則結合外，單從個別納稅人負擔的限度，能不能和其他的憲法規範結合，轉化財政學上的應然為憲法上的應然，在我國稅法學者中也已有若干討論。本席認為，在憲法上討論國家對人民的社會給付義務，也就是第十五條宣示的人民生存權時，常有所謂財政能力保留的說法，本院釋字第四八五號解釋即明確指出：「鑒於國家資源有限，有關社會政策之立法，必須考量國家之經濟及財政狀況。」便是指對國家的「量能」。相對於此，人民對國家負擔的租稅給付義務，應該也有納稅能力的保留，才是合理的租稅國家。國家的能與人民的能之間，本來就有微妙的牽連關係。推到極致，國家若要近於無限</w:t>
      </w:r>
      <w:r w:rsidRPr="007B5D03">
        <w:rPr>
          <w:rFonts w:hAnsi="標楷體" w:hint="eastAsia"/>
          <w:sz w:val="30"/>
          <w:szCs w:val="30"/>
        </w:rPr>
        <w:t>地</w:t>
      </w:r>
      <w:r w:rsidRPr="007B5D03">
        <w:rPr>
          <w:rFonts w:hAnsi="標楷體"/>
          <w:sz w:val="30"/>
          <w:szCs w:val="30"/>
        </w:rPr>
        <w:t>提供各種福利，如果憲法不是採高度社會主義的體制，非藉租稅上的「橫</w:t>
      </w:r>
      <w:r w:rsidRPr="007B5D03">
        <w:rPr>
          <w:rFonts w:hAnsi="標楷體" w:hint="eastAsia"/>
          <w:sz w:val="30"/>
          <w:szCs w:val="30"/>
        </w:rPr>
        <w:t>徵</w:t>
      </w:r>
      <w:r w:rsidRPr="007B5D03">
        <w:rPr>
          <w:rFonts w:hAnsi="標楷體"/>
          <w:sz w:val="30"/>
          <w:szCs w:val="30"/>
        </w:rPr>
        <w:t>暴</w:t>
      </w:r>
      <w:r w:rsidRPr="007B5D03">
        <w:rPr>
          <w:rFonts w:hAnsi="標楷體" w:hint="eastAsia"/>
          <w:sz w:val="30"/>
          <w:szCs w:val="30"/>
        </w:rPr>
        <w:t>斂</w:t>
      </w:r>
      <w:r w:rsidRPr="007B5D03">
        <w:rPr>
          <w:rFonts w:hAnsi="標楷體"/>
          <w:sz w:val="30"/>
          <w:szCs w:val="30"/>
        </w:rPr>
        <w:t>」實不可能竟功，其結果是一進一出，擴大一能必以</w:t>
      </w:r>
      <w:r w:rsidRPr="007B5D03">
        <w:rPr>
          <w:rFonts w:hAnsi="標楷體"/>
          <w:spacing w:val="4"/>
          <w:sz w:val="30"/>
          <w:szCs w:val="30"/>
        </w:rPr>
        <w:t>逾越另一能的界線為代價，人民未必能得到較多的實質福</w:t>
      </w:r>
      <w:r w:rsidRPr="007B5D03">
        <w:rPr>
          <w:rFonts w:hAnsi="標楷體"/>
          <w:sz w:val="30"/>
          <w:szCs w:val="30"/>
        </w:rPr>
        <w:t>利，只會造成大量財產利益在國家和人民之間移動，徒然製造極龐大的稽徵和分配成本，在利益移動過程浪費了大量資源而已，應該不符合憲法的意旨。反之亦然，過度限制人民納稅的上限也可能使國家的施政能力萎縮，而造成憲法照顧義務的給付不能。所以在解釋提到國家的量能時，此一針對人民納稅能力的量能原則也就不</w:t>
      </w:r>
      <w:r w:rsidRPr="007B5D03">
        <w:rPr>
          <w:rFonts w:hAnsi="標楷體"/>
          <w:sz w:val="30"/>
          <w:szCs w:val="30"/>
        </w:rPr>
        <w:lastRenderedPageBreak/>
        <w:t>遠了，只是其具體內涵，仍有待就憲法條文作更細緻的</w:t>
      </w:r>
      <w:r w:rsidRPr="007B5D03">
        <w:rPr>
          <w:rFonts w:hAnsi="標楷體" w:hint="eastAsia"/>
          <w:sz w:val="30"/>
          <w:szCs w:val="30"/>
        </w:rPr>
        <w:t>爬</w:t>
      </w:r>
      <w:r w:rsidRPr="007B5D03">
        <w:rPr>
          <w:rFonts w:hAnsi="標楷體"/>
          <w:sz w:val="30"/>
          <w:szCs w:val="30"/>
        </w:rPr>
        <w:t>梳，並與財政學上的公平理論來回比對。</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從憲法對於經濟</w:t>
      </w:r>
      <w:r w:rsidRPr="007B5D03">
        <w:rPr>
          <w:sz w:val="30"/>
          <w:szCs w:val="30"/>
        </w:rPr>
        <w:t>─</w:t>
      </w:r>
      <w:r w:rsidRPr="007B5D03">
        <w:rPr>
          <w:rFonts w:hAnsi="標楷體"/>
          <w:sz w:val="30"/>
          <w:szCs w:val="30"/>
        </w:rPr>
        <w:t>社會基本權的保障（憲法第十五條），以及經濟</w:t>
      </w:r>
      <w:r w:rsidRPr="007B5D03">
        <w:rPr>
          <w:sz w:val="30"/>
          <w:szCs w:val="30"/>
        </w:rPr>
        <w:t>─</w:t>
      </w:r>
      <w:r w:rsidRPr="007B5D03">
        <w:rPr>
          <w:rFonts w:hAnsi="標楷體"/>
          <w:sz w:val="30"/>
          <w:szCs w:val="30"/>
        </w:rPr>
        <w:t>社會基本國策的規定（憲法第一百四十二條至第一百五十七條）綜合而觀，與我國憲法比較相容的社會市場經濟體制，應使人民保有基本生活的所需，乃至維繫市場動能的必要利得</w:t>
      </w:r>
      <w:r w:rsidRPr="007B5D03">
        <w:rPr>
          <w:rFonts w:hAnsi="標楷體" w:hint="eastAsia"/>
          <w:sz w:val="30"/>
          <w:szCs w:val="30"/>
        </w:rPr>
        <w:t>。</w:t>
      </w:r>
      <w:r w:rsidRPr="007B5D03">
        <w:rPr>
          <w:rFonts w:hAnsi="標楷體"/>
          <w:sz w:val="30"/>
          <w:szCs w:val="30"/>
        </w:rPr>
        <w:t>從這個角度思考，則量能課稅原則確有可能跳出平等原則的框架，而在人民納稅義務和生存權、經濟社會基本體制的調</w:t>
      </w:r>
      <w:r w:rsidRPr="007B5D03">
        <w:rPr>
          <w:rFonts w:hAnsi="標楷體" w:hint="eastAsia"/>
          <w:sz w:val="30"/>
          <w:szCs w:val="30"/>
        </w:rPr>
        <w:t>和</w:t>
      </w:r>
      <w:r w:rsidRPr="007B5D03">
        <w:rPr>
          <w:rFonts w:hAnsi="標楷體"/>
          <w:sz w:val="30"/>
          <w:szCs w:val="30"/>
        </w:rPr>
        <w:t>上，找到另一個轉化為憲法應然的理論基礎。比如針對個人綜合所得稅設計的免稅額與扣除額，至少就其反映生活必需的部分，可認為有從生存權引</w:t>
      </w:r>
      <w:r w:rsidRPr="007B5D03">
        <w:rPr>
          <w:rFonts w:hAnsi="標楷體" w:hint="eastAsia"/>
          <w:sz w:val="30"/>
          <w:szCs w:val="30"/>
        </w:rPr>
        <w:t>申</w:t>
      </w:r>
      <w:r w:rsidRPr="007B5D03">
        <w:rPr>
          <w:rFonts w:hAnsi="標楷體"/>
          <w:sz w:val="30"/>
          <w:szCs w:val="30"/>
        </w:rPr>
        <w:t>的量能課稅原則，在憲法的解釋上，不啻以量能課稅為調和人民納稅義務（國家的課稅高權）與生存權（國家的給付生存保障義務）的原則，這也是財政學上有關所得稅理論最有共識的部分，不論重視經濟發展、排斥以稅來實現所得重分配的</w:t>
      </w:r>
      <w:r w:rsidRPr="007B5D03">
        <w:rPr>
          <w:sz w:val="30"/>
          <w:szCs w:val="30"/>
        </w:rPr>
        <w:t>John S. Mill</w:t>
      </w:r>
      <w:r w:rsidRPr="007B5D03">
        <w:rPr>
          <w:rFonts w:hAnsi="標楷體"/>
          <w:sz w:val="30"/>
          <w:szCs w:val="30"/>
        </w:rPr>
        <w:t>，或主張高度累進、重課財產所得的</w:t>
      </w:r>
      <w:r w:rsidRPr="007B5D03">
        <w:rPr>
          <w:sz w:val="30"/>
          <w:szCs w:val="30"/>
        </w:rPr>
        <w:t>A. Wagner</w:t>
      </w:r>
      <w:r w:rsidRPr="007B5D03">
        <w:rPr>
          <w:rFonts w:hAnsi="標楷體"/>
          <w:sz w:val="30"/>
          <w:szCs w:val="30"/>
        </w:rPr>
        <w:t>，就此都持相同的看法。又譬如在充分考量相關因素後，對某些直接影響市場經濟發展的稅種，從憲法有關社會經濟體制的規定引</w:t>
      </w:r>
      <w:r w:rsidRPr="007B5D03">
        <w:rPr>
          <w:rFonts w:hAnsi="標楷體" w:hint="eastAsia"/>
          <w:sz w:val="30"/>
          <w:szCs w:val="30"/>
        </w:rPr>
        <w:t>申</w:t>
      </w:r>
      <w:r w:rsidRPr="007B5D03">
        <w:rPr>
          <w:rFonts w:hAnsi="標楷體"/>
          <w:sz w:val="30"/>
          <w:szCs w:val="30"/>
        </w:rPr>
        <w:t>出不得扼殺市場生機的課稅界線（</w:t>
      </w:r>
      <w:r w:rsidRPr="007B5D03">
        <w:rPr>
          <w:sz w:val="30"/>
          <w:szCs w:val="30"/>
        </w:rPr>
        <w:t>Verbot der Erdrosselungssteuer</w:t>
      </w:r>
      <w:r w:rsidRPr="007B5D03">
        <w:rPr>
          <w:rFonts w:hAnsi="標楷體"/>
          <w:sz w:val="30"/>
          <w:szCs w:val="30"/>
        </w:rPr>
        <w:t>）。財政學上自以</w:t>
      </w:r>
      <w:r w:rsidRPr="007B5D03">
        <w:rPr>
          <w:sz w:val="30"/>
          <w:szCs w:val="30"/>
        </w:rPr>
        <w:t>Mill</w:t>
      </w:r>
      <w:r w:rsidRPr="007B5D03">
        <w:rPr>
          <w:rFonts w:hAnsi="標楷體"/>
          <w:sz w:val="30"/>
          <w:szCs w:val="30"/>
        </w:rPr>
        <w:t>的理論較能支持這樣的原則，但在可操作性上，還遠不如基本生活所需的界線那樣明確，則不待言。</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t>從單純負擔能力角度理解的量能原則來看本案，當然還有一些可作延伸性思考之處。認購（售）權證發行後</w:t>
      </w:r>
      <w:r w:rsidRPr="007B5D03">
        <w:rPr>
          <w:rFonts w:hAnsi="標楷體" w:hint="eastAsia"/>
          <w:sz w:val="30"/>
          <w:szCs w:val="30"/>
        </w:rPr>
        <w:t>，</w:t>
      </w:r>
      <w:r w:rsidRPr="007B5D03">
        <w:rPr>
          <w:rFonts w:hAnsi="標楷體"/>
          <w:sz w:val="30"/>
          <w:szCs w:val="30"/>
        </w:rPr>
        <w:t>發行人必須作的避險性證券交易，其交易所生成本、費用和損失，在財務上當然要認列，才能正確評估權證交易整體的盈虧，</w:t>
      </w:r>
      <w:r w:rsidRPr="007B5D03">
        <w:rPr>
          <w:rFonts w:hAnsi="標楷體"/>
          <w:spacing w:val="4"/>
          <w:sz w:val="30"/>
          <w:szCs w:val="30"/>
        </w:rPr>
        <w:t>企業的會計部門絕對不會因為所得稅法第四條之一的排除</w:t>
      </w:r>
      <w:r w:rsidRPr="007B5D03">
        <w:rPr>
          <w:rFonts w:hAnsi="標楷體"/>
          <w:sz w:val="30"/>
          <w:szCs w:val="30"/>
        </w:rPr>
        <w:t>認列</w:t>
      </w:r>
      <w:r w:rsidRPr="007B5D03">
        <w:rPr>
          <w:rFonts w:hAnsi="標楷體"/>
          <w:sz w:val="30"/>
          <w:szCs w:val="30"/>
        </w:rPr>
        <w:lastRenderedPageBreak/>
        <w:t>而有不同的作法。此一稅務會計的特別處理造成其與財務會計上的不一致（前者將避險交易的損益歸零，後者則如實認列），可否認為已「違反」所得稅法第二十四條，方法上其實僅有特別法優於普通法的問題，最多只是法律解釋上的不同而已。此處值得討論的是，所得稅法第二十四條的以淨額應稅規定，是否寓有前述意義的量能原則，從而其違反已不只是法律解釋問題，而有立法裁量界線的問題。淨額原</w:t>
      </w:r>
      <w:r w:rsidRPr="007B5D03">
        <w:rPr>
          <w:rFonts w:hAnsi="標楷體"/>
          <w:spacing w:val="4"/>
          <w:sz w:val="30"/>
          <w:szCs w:val="30"/>
        </w:rPr>
        <w:t>則可以作為計算實際納稅能力的基礎，尚不等同於納稅能力，這一點應無可置疑，因此從法律位階的淨額原則的違</w:t>
      </w:r>
      <w:r w:rsidRPr="007B5D03">
        <w:rPr>
          <w:rFonts w:hAnsi="標楷體"/>
          <w:sz w:val="30"/>
          <w:szCs w:val="30"/>
        </w:rPr>
        <w:t>反，當然還不能跳到量能原則的違反。又此處所說的量能原則，如果是建立在生存權保障的基礎上，就必須考量我國所得稅法的一個特色，即把個人所得稅和營業（公司）所得稅一併規定，後者沒有憲法生存權保障的問題。比較可能找到的規範基礎，反而是為保障市場經濟體制而禁止扼殺市場生機的原則。但此一原則到目前為止不僅欠缺可操作的標準，尤其不能不考慮的是，市場的生機之維持在於市場參與者回應市場變化的能力，包括政府為引導市場而介入的各種政策措施，企業的對策也是此一能力的表現，只有當企業毫無迴旋空間而只能接受課稅，以致市場奄奄一息時，才可能認定</w:t>
      </w:r>
      <w:r w:rsidRPr="007B5D03">
        <w:rPr>
          <w:rFonts w:hAnsi="標楷體"/>
          <w:spacing w:val="4"/>
          <w:sz w:val="30"/>
          <w:szCs w:val="30"/>
        </w:rPr>
        <w:t>此一租稅介入有扼殺市場生機之虞，而違反了量能課稅原</w:t>
      </w:r>
      <w:r w:rsidRPr="007B5D03">
        <w:rPr>
          <w:rFonts w:hAnsi="標楷體"/>
          <w:sz w:val="30"/>
          <w:szCs w:val="30"/>
        </w:rPr>
        <w:t>則。系爭函釋原為落實所得稅法第四條之一免徵證券交易所得稅的規定，該規定原本正好是為了避免扼殺證券交易市場的生機，才在當時的經濟情勢下選擇以證券交易稅來替代證券交易所得稅，沒有任何事實顯示相關規定產生了扼殺證券交易市場生機的反效果（有爭議的是租稅公平的問題）。至於認購（售）權證交易的市場，同樣沒有任何事實顯示因為此一落實所得稅法第四條之一的系爭</w:t>
      </w:r>
      <w:r w:rsidRPr="007B5D03">
        <w:rPr>
          <w:rFonts w:hAnsi="標楷體"/>
          <w:sz w:val="30"/>
          <w:szCs w:val="30"/>
        </w:rPr>
        <w:lastRenderedPageBreak/>
        <w:t>函釋，而產生市場生機受到扼殺的結果。道理其實不難明瞭，就是市場參與者仍有足夠回應此一租稅介入的空間。證券公司經營權證交易的營業模式，主要在安排權利金（</w:t>
      </w:r>
      <w:r w:rsidRPr="007B5D03">
        <w:rPr>
          <w:sz w:val="30"/>
          <w:szCs w:val="30"/>
        </w:rPr>
        <w:t>x</w:t>
      </w:r>
      <w:r w:rsidRPr="007B5D03">
        <w:rPr>
          <w:rFonts w:hAnsi="標楷體"/>
          <w:sz w:val="30"/>
          <w:szCs w:val="30"/>
        </w:rPr>
        <w:t>）、履約價（</w:t>
      </w:r>
      <w:r w:rsidRPr="007B5D03">
        <w:rPr>
          <w:sz w:val="30"/>
          <w:szCs w:val="30"/>
        </w:rPr>
        <w:t>y</w:t>
      </w:r>
      <w:r w:rsidRPr="007B5D03">
        <w:rPr>
          <w:rFonts w:hAnsi="標楷體"/>
          <w:sz w:val="30"/>
          <w:szCs w:val="30"/>
        </w:rPr>
        <w:t>）與避險損益</w:t>
      </w:r>
      <w:r w:rsidRPr="007B5D03">
        <w:rPr>
          <w:rFonts w:hAnsi="標楷體"/>
          <w:spacing w:val="4"/>
          <w:sz w:val="30"/>
          <w:szCs w:val="30"/>
        </w:rPr>
        <w:t>（</w:t>
      </w:r>
      <w:r w:rsidRPr="007B5D03">
        <w:rPr>
          <w:spacing w:val="4"/>
          <w:sz w:val="30"/>
          <w:szCs w:val="30"/>
        </w:rPr>
        <w:t>z</w:t>
      </w:r>
      <w:r w:rsidRPr="007B5D03">
        <w:rPr>
          <w:rFonts w:hAnsi="標楷體"/>
          <w:spacing w:val="4"/>
          <w:sz w:val="30"/>
          <w:szCs w:val="30"/>
        </w:rPr>
        <w:t>）這三個變項，以調配收入、成本與風險，使利益最大</w:t>
      </w:r>
      <w:r w:rsidRPr="007B5D03">
        <w:rPr>
          <w:rFonts w:hAnsi="標楷體"/>
          <w:sz w:val="30"/>
          <w:szCs w:val="30"/>
        </w:rPr>
        <w:t>化。在國家管制的方式為所得稅法第二十四條連結第四條之一的規範模式時，因為避險的證券交易損益都不能併計，證券公司應該會發展出一套風險最小的營業模式（</w:t>
      </w:r>
      <w:r w:rsidRPr="007B5D03">
        <w:rPr>
          <w:sz w:val="30"/>
          <w:szCs w:val="30"/>
        </w:rPr>
        <w:t>x, y, z</w:t>
      </w:r>
      <w:r w:rsidRPr="007B5D03">
        <w:rPr>
          <w:rFonts w:hAnsi="標楷體"/>
          <w:sz w:val="30"/>
          <w:szCs w:val="30"/>
        </w:rPr>
        <w:t>），比</w:t>
      </w:r>
      <w:r w:rsidRPr="007B5D03">
        <w:rPr>
          <w:rFonts w:hAnsi="標楷體"/>
          <w:spacing w:val="4"/>
          <w:sz w:val="30"/>
          <w:szCs w:val="30"/>
        </w:rPr>
        <w:t>如降低</w:t>
      </w:r>
      <w:r w:rsidRPr="007B5D03">
        <w:rPr>
          <w:spacing w:val="4"/>
          <w:sz w:val="30"/>
          <w:szCs w:val="30"/>
        </w:rPr>
        <w:t>z</w:t>
      </w:r>
      <w:r w:rsidRPr="007B5D03">
        <w:rPr>
          <w:rFonts w:hAnsi="標楷體"/>
          <w:spacing w:val="4"/>
          <w:sz w:val="30"/>
          <w:szCs w:val="30"/>
        </w:rPr>
        <w:t>而提高</w:t>
      </w:r>
      <w:r w:rsidRPr="007B5D03">
        <w:rPr>
          <w:spacing w:val="4"/>
          <w:sz w:val="30"/>
          <w:szCs w:val="30"/>
        </w:rPr>
        <w:t>x</w:t>
      </w:r>
      <w:r w:rsidRPr="007B5D03">
        <w:rPr>
          <w:rFonts w:hAnsi="標楷體"/>
          <w:spacing w:val="4"/>
          <w:sz w:val="30"/>
          <w:szCs w:val="30"/>
        </w:rPr>
        <w:t>與</w:t>
      </w:r>
      <w:r w:rsidRPr="007B5D03">
        <w:rPr>
          <w:spacing w:val="4"/>
          <w:sz w:val="30"/>
          <w:szCs w:val="30"/>
        </w:rPr>
        <w:t>y</w:t>
      </w:r>
      <w:r w:rsidRPr="007B5D03">
        <w:rPr>
          <w:rFonts w:hAnsi="標楷體"/>
          <w:spacing w:val="4"/>
          <w:sz w:val="30"/>
          <w:szCs w:val="30"/>
        </w:rPr>
        <w:t>的操作，儘量使</w:t>
      </w:r>
      <w:r w:rsidRPr="007B5D03">
        <w:rPr>
          <w:spacing w:val="4"/>
          <w:sz w:val="30"/>
          <w:szCs w:val="30"/>
        </w:rPr>
        <w:t>z=0</w:t>
      </w:r>
      <w:r w:rsidRPr="007B5D03">
        <w:rPr>
          <w:rFonts w:hAnsi="標楷體"/>
          <w:spacing w:val="4"/>
          <w:sz w:val="30"/>
          <w:szCs w:val="30"/>
        </w:rPr>
        <w:t>。同樣的，當政</w:t>
      </w:r>
      <w:r w:rsidRPr="007B5D03">
        <w:rPr>
          <w:rFonts w:hAnsi="標楷體"/>
          <w:sz w:val="30"/>
          <w:szCs w:val="30"/>
        </w:rPr>
        <w:t>府決定針對認購（售）權證市場排除避險性證券交易免徵所得稅的規定（增訂所得稅法第二十四條之二），以激勵避險交易的操作，便於勾稽財務與稅務會計時，發行公司也當然會改採更為積極的避險措施，即使因此使</w:t>
      </w:r>
      <w:r w:rsidRPr="007B5D03">
        <w:rPr>
          <w:sz w:val="30"/>
          <w:szCs w:val="30"/>
        </w:rPr>
        <w:t>z&lt;0</w:t>
      </w:r>
      <w:r w:rsidRPr="007B5D03">
        <w:rPr>
          <w:rFonts w:hAnsi="標楷體"/>
          <w:sz w:val="30"/>
          <w:szCs w:val="30"/>
        </w:rPr>
        <w:t>的機會大增。</w:t>
      </w:r>
      <w:r w:rsidRPr="007B5D03">
        <w:rPr>
          <w:rFonts w:hAnsi="標楷體"/>
          <w:spacing w:val="-4"/>
          <w:sz w:val="30"/>
          <w:szCs w:val="30"/>
        </w:rPr>
        <w:t>足見上有政策（規範模式），下就有對策（營業模式），對於</w:t>
      </w:r>
      <w:r w:rsidRPr="007B5D03">
        <w:rPr>
          <w:rFonts w:hAnsi="標楷體"/>
          <w:sz w:val="30"/>
          <w:szCs w:val="30"/>
        </w:rPr>
        <w:t>市場參與者而言，課稅方式縱有不利，因避稅（不能與逃稅或節稅混為一談）彈性非常大，仍然不會發生違反量能課稅的問題。</w:t>
      </w:r>
    </w:p>
    <w:p w:rsidR="00514426" w:rsidRPr="007B5D03" w:rsidRDefault="00514426" w:rsidP="00413EA5">
      <w:pPr>
        <w:snapToGrid w:val="0"/>
        <w:spacing w:line="437" w:lineRule="exact"/>
        <w:ind w:leftChars="220" w:left="616" w:firstLineChars="100" w:firstLine="308"/>
        <w:rPr>
          <w:sz w:val="30"/>
          <w:szCs w:val="30"/>
        </w:rPr>
      </w:pPr>
      <w:r w:rsidRPr="007B5D03">
        <w:rPr>
          <w:rFonts w:hAnsi="標楷體"/>
          <w:spacing w:val="4"/>
          <w:sz w:val="30"/>
          <w:szCs w:val="30"/>
        </w:rPr>
        <w:t>所得稅法的淨額原則也會讓人聯想到租稅理論中的樹果</w:t>
      </w:r>
      <w:r w:rsidRPr="007B5D03">
        <w:rPr>
          <w:rFonts w:hAnsi="標楷體"/>
          <w:sz w:val="30"/>
          <w:szCs w:val="30"/>
        </w:rPr>
        <w:t>原則（</w:t>
      </w:r>
      <w:r w:rsidRPr="007B5D03">
        <w:rPr>
          <w:sz w:val="30"/>
          <w:szCs w:val="30"/>
        </w:rPr>
        <w:t>fruit and tree doctrine</w:t>
      </w:r>
      <w:r w:rsidRPr="007B5D03">
        <w:rPr>
          <w:rFonts w:hAnsi="標楷體"/>
          <w:sz w:val="30"/>
          <w:szCs w:val="30"/>
        </w:rPr>
        <w:t>），也就是課稅應該摘果不伐樹，其內涵應包括兩點：一、僅以源源不息的產出為稅基；二、不摘他樹之果（美國最高法院的著名案例</w:t>
      </w:r>
      <w:r w:rsidRPr="007B5D03">
        <w:rPr>
          <w:sz w:val="30"/>
          <w:szCs w:val="30"/>
        </w:rPr>
        <w:t>LUCAS v. EARL, 281 U.S. 111(1930)</w:t>
      </w:r>
      <w:r w:rsidRPr="007B5D03">
        <w:rPr>
          <w:rFonts w:hAnsi="標楷體"/>
          <w:sz w:val="30"/>
          <w:szCs w:val="30"/>
        </w:rPr>
        <w:t>）。但不僅樹果原則要轉化為憲法的應然</w:t>
      </w:r>
      <w:r w:rsidRPr="007B5D03">
        <w:rPr>
          <w:sz w:val="30"/>
          <w:szCs w:val="30"/>
        </w:rPr>
        <w:t>─</w:t>
      </w:r>
      <w:r w:rsidRPr="007B5D03">
        <w:rPr>
          <w:rFonts w:hAnsi="標楷體"/>
          <w:sz w:val="30"/>
          <w:szCs w:val="30"/>
        </w:rPr>
        <w:t>另一種意義的量能課稅，還需要相當嚴謹的憲法論證，淨額原則本身離樹果原則也有不小的距離。更不要說在所得稅法的領域，樹果原則用在個人所得稅時，碰到採綜合而非分離所得稅制的國家，樹和果都不容易認定。用在營業所得稅，技術的困難度更高。</w:t>
      </w:r>
    </w:p>
    <w:p w:rsidR="00514426" w:rsidRPr="007B5D03" w:rsidRDefault="00514426" w:rsidP="003E168C">
      <w:pPr>
        <w:snapToGrid w:val="0"/>
        <w:spacing w:line="437" w:lineRule="exact"/>
        <w:ind w:leftChars="220" w:left="616" w:firstLineChars="100" w:firstLine="300"/>
        <w:rPr>
          <w:sz w:val="30"/>
          <w:szCs w:val="30"/>
        </w:rPr>
      </w:pPr>
      <w:r w:rsidRPr="007B5D03">
        <w:rPr>
          <w:rFonts w:hAnsi="標楷體"/>
          <w:sz w:val="30"/>
          <w:szCs w:val="30"/>
        </w:rPr>
        <w:lastRenderedPageBreak/>
        <w:t>綜上所述，本案不是不能從量能課稅的角度作更深入的思考，但可能的審查基礎都還不成熟，因此本件解釋僅駐足於平等原則的水平量能，實在是良有以也。</w:t>
      </w:r>
    </w:p>
    <w:p w:rsidR="00514426" w:rsidRPr="007B5D03" w:rsidRDefault="00514426" w:rsidP="00FB2D5A">
      <w:pPr>
        <w:spacing w:line="437" w:lineRule="exact"/>
        <w:ind w:left="958" w:right="641"/>
        <w:rPr>
          <w:sz w:val="30"/>
          <w:szCs w:val="30"/>
        </w:rPr>
      </w:pPr>
    </w:p>
    <w:p w:rsidR="00514426" w:rsidRPr="007B5D03" w:rsidRDefault="00514426" w:rsidP="00413EA5">
      <w:pPr>
        <w:spacing w:line="437" w:lineRule="exact"/>
        <w:ind w:left="907" w:right="641"/>
        <w:jc w:val="distribute"/>
        <w:rPr>
          <w:sz w:val="30"/>
          <w:szCs w:val="30"/>
        </w:rPr>
      </w:pPr>
      <w:r w:rsidRPr="007B5D03">
        <w:rPr>
          <w:rFonts w:hAnsi="標楷體"/>
          <w:sz w:val="30"/>
          <w:szCs w:val="30"/>
        </w:rPr>
        <w:t>部</w:t>
      </w:r>
      <w:r w:rsidRPr="007B5D03">
        <w:rPr>
          <w:rFonts w:hAnsi="標楷體" w:hint="eastAsia"/>
          <w:sz w:val="30"/>
          <w:szCs w:val="30"/>
        </w:rPr>
        <w:t>分</w:t>
      </w:r>
      <w:r w:rsidRPr="007B5D03">
        <w:rPr>
          <w:rFonts w:hAnsi="標楷體"/>
          <w:sz w:val="30"/>
          <w:szCs w:val="30"/>
        </w:rPr>
        <w:t>協同意見書　　　　　　　　　大法官　蔡清遊</w:t>
      </w:r>
    </w:p>
    <w:p w:rsidR="00514426" w:rsidRPr="007B5D03" w:rsidRDefault="00514426" w:rsidP="003E168C">
      <w:pPr>
        <w:snapToGrid w:val="0"/>
        <w:spacing w:line="437" w:lineRule="exact"/>
        <w:ind w:firstLineChars="100" w:firstLine="300"/>
        <w:rPr>
          <w:sz w:val="30"/>
          <w:szCs w:val="30"/>
        </w:rPr>
      </w:pPr>
      <w:r w:rsidRPr="007B5D03">
        <w:rPr>
          <w:rFonts w:hAnsi="標楷體"/>
          <w:sz w:val="30"/>
          <w:szCs w:val="30"/>
        </w:rPr>
        <w:t>本號解釋認為，財政部</w:t>
      </w:r>
      <w:smartTag w:uri="urn:schemas-microsoft-com:office:smarttags" w:element="chsdate">
        <w:smartTagPr>
          <w:attr w:name="IsROCDate" w:val="True"/>
          <w:attr w:name="IsLunarDate" w:val="False"/>
          <w:attr w:name="Day" w:val="11"/>
          <w:attr w:name="Month" w:val="12"/>
          <w:attr w:name="Year" w:val="1997"/>
        </w:smartTagPr>
        <w:r w:rsidRPr="007B5D03">
          <w:rPr>
            <w:rFonts w:hAnsi="標楷體" w:hint="eastAsia"/>
            <w:sz w:val="30"/>
            <w:szCs w:val="30"/>
          </w:rPr>
          <w:t>中華民國</w:t>
        </w:r>
        <w:r w:rsidRPr="007B5D03">
          <w:rPr>
            <w:rFonts w:hAnsi="標楷體"/>
            <w:sz w:val="30"/>
            <w:szCs w:val="30"/>
          </w:rPr>
          <w:t>八十六年十二月十一日</w:t>
        </w:r>
      </w:smartTag>
      <w:r w:rsidRPr="007B5D03">
        <w:rPr>
          <w:rFonts w:hAnsi="標楷體"/>
          <w:sz w:val="30"/>
          <w:szCs w:val="30"/>
        </w:rPr>
        <w:t>台財稅第八六一九二二四六四號函前段謂，認購（售）權證發行人於發行時所取得之發行價款，係屬權利金收入部分，與憲法第十九條之租稅法律主義尚無違背；上開函中段謂，認購（售）權證發行人於發行後，因投資人行使權利而售出或購入標的股票產生之證券交易所得或損失，應於履約時認列損益，並依所得稅法第四條</w:t>
      </w:r>
      <w:r w:rsidRPr="007B5D03">
        <w:rPr>
          <w:rFonts w:hAnsi="標楷體"/>
          <w:spacing w:val="-4"/>
          <w:sz w:val="30"/>
          <w:szCs w:val="30"/>
        </w:rPr>
        <w:t>之一規定辦理部分（下稱系爭函一中段），及財政部八十六年七月</w:t>
      </w:r>
      <w:r w:rsidRPr="007B5D03">
        <w:rPr>
          <w:rFonts w:hAnsi="標楷體"/>
          <w:sz w:val="30"/>
          <w:szCs w:val="30"/>
        </w:rPr>
        <w:t>三十一日台財稅第八六一九０九三一一號函謂，認購（售）權證持有人如於某一時間或特定到期日，以現金方式結算者</w:t>
      </w:r>
      <w:r w:rsidRPr="007B5D03">
        <w:rPr>
          <w:rFonts w:hint="eastAsia"/>
          <w:sz w:val="30"/>
          <w:szCs w:val="30"/>
        </w:rPr>
        <w:t>……</w:t>
      </w:r>
      <w:r w:rsidRPr="007B5D03">
        <w:rPr>
          <w:rFonts w:hAnsi="標楷體"/>
          <w:sz w:val="30"/>
          <w:szCs w:val="30"/>
        </w:rPr>
        <w:t>並依</w:t>
      </w:r>
      <w:r w:rsidRPr="007B5D03">
        <w:rPr>
          <w:rFonts w:hAnsi="標楷體"/>
          <w:spacing w:val="-4"/>
          <w:sz w:val="30"/>
          <w:szCs w:val="30"/>
        </w:rPr>
        <w:t>前開所得稅法規定停止課徵所得稅部分（下稱系爭函二），與憲法</w:t>
      </w:r>
      <w:r w:rsidRPr="007B5D03">
        <w:rPr>
          <w:rFonts w:hAnsi="標楷體"/>
          <w:sz w:val="30"/>
          <w:szCs w:val="30"/>
        </w:rPr>
        <w:t>第十九條之租稅法律主義並無牴觸，亦不生違反憲法第七條平等原則之問題，本席敬表同意，惟關於系爭函一中段及系爭函二不生違反平等原則部分，本席認為理由尚有待補充之處，爰提出部分協同意見書。</w:t>
      </w:r>
    </w:p>
    <w:p w:rsidR="00514426" w:rsidRPr="007B5D03" w:rsidRDefault="00413EA5" w:rsidP="00413EA5">
      <w:pPr>
        <w:snapToGrid w:val="0"/>
        <w:spacing w:line="437" w:lineRule="exact"/>
        <w:ind w:left="595" w:hanging="595"/>
        <w:rPr>
          <w:sz w:val="30"/>
          <w:szCs w:val="30"/>
        </w:rPr>
      </w:pPr>
      <w:r w:rsidRPr="007B5D03">
        <w:rPr>
          <w:rFonts w:hAnsi="標楷體" w:hint="eastAsia"/>
          <w:sz w:val="30"/>
          <w:szCs w:val="30"/>
        </w:rPr>
        <w:t>一</w:t>
      </w:r>
      <w:r w:rsidRPr="007B5D03">
        <w:rPr>
          <w:rFonts w:hAnsi="標楷體"/>
          <w:sz w:val="30"/>
          <w:szCs w:val="30"/>
        </w:rPr>
        <w:t>、</w:t>
      </w:r>
      <w:r w:rsidR="00514426" w:rsidRPr="007B5D03">
        <w:rPr>
          <w:rFonts w:hAnsi="標楷體"/>
          <w:sz w:val="30"/>
          <w:szCs w:val="30"/>
        </w:rPr>
        <w:t>本號解釋之聲請件數（包括首案及併案件數）共計四十件，</w:t>
      </w:r>
      <w:r w:rsidR="00514426" w:rsidRPr="007B5D03">
        <w:rPr>
          <w:rFonts w:hAnsi="標楷體"/>
          <w:spacing w:val="4"/>
          <w:sz w:val="30"/>
          <w:szCs w:val="30"/>
        </w:rPr>
        <w:t>大部分之聲請人主張系爭函一中段及系爭函二違反憲法第七條平等原則，其理由除謂系爭函一中段及系爭函二認購</w:t>
      </w:r>
      <w:r w:rsidR="00514426" w:rsidRPr="007B5D03">
        <w:rPr>
          <w:rFonts w:hAnsi="標楷體"/>
          <w:spacing w:val="6"/>
          <w:sz w:val="30"/>
          <w:szCs w:val="30"/>
        </w:rPr>
        <w:t>（售）權證發行後之避險交易，其交易損失不得依所得稅</w:t>
      </w:r>
      <w:r w:rsidR="00514426" w:rsidRPr="007B5D03">
        <w:rPr>
          <w:rFonts w:hAnsi="標楷體"/>
          <w:spacing w:val="4"/>
          <w:sz w:val="30"/>
          <w:szCs w:val="30"/>
        </w:rPr>
        <w:t>法第二十四條第一項前段規定，作為權利金收入之減項，致使權證發行人負有更重之租稅負擔，有違量能課稅及實質課稅之租稅公平原則外，另主張國內權證發行人不得將避險損失列為權證發行之成本費用，僅得減除少量之權證銷售管理費用，</w:t>
      </w:r>
      <w:r w:rsidR="00514426" w:rsidRPr="007B5D03">
        <w:rPr>
          <w:rFonts w:hAnsi="標楷體"/>
          <w:spacing w:val="4"/>
          <w:sz w:val="30"/>
          <w:szCs w:val="30"/>
        </w:rPr>
        <w:lastRenderedPageBreak/>
        <w:t>導致權證之課稅稅基幾乎為全數之發行價</w:t>
      </w:r>
      <w:r w:rsidR="00514426" w:rsidRPr="007B5D03">
        <w:rPr>
          <w:rFonts w:hAnsi="標楷體"/>
          <w:spacing w:val="6"/>
          <w:sz w:val="30"/>
          <w:szCs w:val="30"/>
        </w:rPr>
        <w:t>金，此與外資券商發行認購（售）權證所須避險部位之操</w:t>
      </w:r>
      <w:r w:rsidR="00514426" w:rsidRPr="007B5D03">
        <w:rPr>
          <w:rFonts w:hAnsi="標楷體"/>
          <w:spacing w:val="4"/>
          <w:sz w:val="30"/>
          <w:szCs w:val="30"/>
        </w:rPr>
        <w:t>作，財政部同意外資券商適用所得稅法第二十五條第一項規定，僅須依其收入之百分之十五推計課稅，致外資券商僅須負擔權證交易毛收入百分之三點七五，對於性質相同</w:t>
      </w:r>
      <w:r w:rsidR="00514426" w:rsidRPr="007B5D03">
        <w:rPr>
          <w:rFonts w:hAnsi="標楷體"/>
          <w:spacing w:val="10"/>
          <w:sz w:val="30"/>
          <w:szCs w:val="30"/>
        </w:rPr>
        <w:t>之權證交易，外資券商與國內券商竟負擔顯不相稱之稅</w:t>
      </w:r>
      <w:r w:rsidR="00514426" w:rsidRPr="007B5D03">
        <w:rPr>
          <w:rFonts w:hAnsi="標楷體"/>
          <w:spacing w:val="4"/>
          <w:sz w:val="30"/>
          <w:szCs w:val="30"/>
        </w:rPr>
        <w:t>負，違反憲法第七條之平等原則等語。</w:t>
      </w:r>
    </w:p>
    <w:p w:rsidR="00514426" w:rsidRPr="007B5D03" w:rsidRDefault="00514426" w:rsidP="00413EA5">
      <w:pPr>
        <w:snapToGrid w:val="0"/>
        <w:spacing w:line="437" w:lineRule="exact"/>
        <w:ind w:left="595" w:hanging="595"/>
        <w:rPr>
          <w:sz w:val="30"/>
          <w:szCs w:val="30"/>
        </w:rPr>
      </w:pPr>
      <w:r w:rsidRPr="007B5D03">
        <w:rPr>
          <w:rFonts w:hAnsi="標楷體"/>
          <w:sz w:val="30"/>
          <w:szCs w:val="30"/>
        </w:rPr>
        <w:t>二、誠如多數意見所認，認購（售）權證發行人履約或避險交易之收入或支出，本應依所得稅法第二十四條第一項前段之規定，合併其他收入支出計算營利事業全年課稅所得，惟在九</w:t>
      </w:r>
      <w:r w:rsidRPr="007B5D03">
        <w:rPr>
          <w:rFonts w:hAnsi="標楷體"/>
          <w:spacing w:val="4"/>
          <w:sz w:val="30"/>
          <w:szCs w:val="30"/>
        </w:rPr>
        <w:t>十六年七月十一日增訂所得稅法第二十四條之二第一項前段前，因同法第四條之一既就證券交易所得已另設特別規</w:t>
      </w:r>
      <w:r w:rsidRPr="007B5D03">
        <w:rPr>
          <w:rFonts w:hAnsi="標楷體"/>
          <w:sz w:val="30"/>
          <w:szCs w:val="30"/>
        </w:rPr>
        <w:t>定，停止課徵證券交易所得稅，則發行認購（售）權證後履約或避險交易之所得或損失，即不得列為應稅所得，或自應稅所得中減除。亦即上述履約或避險所得或損失部分，因適用所得稅法第四條之一之特別規定，而排除適用同法第二十四條第一項前段，故不生違反同法第二十四條第一項前段之問題，惟此尚難謂核與所得稅法增訂第二十四條之二以前之同法第二十四條第一項前段規定之意旨無違。</w:t>
      </w:r>
    </w:p>
    <w:p w:rsidR="00514426" w:rsidRPr="007B5D03" w:rsidRDefault="00514426" w:rsidP="00413EA5">
      <w:pPr>
        <w:snapToGrid w:val="0"/>
        <w:spacing w:line="437" w:lineRule="exact"/>
        <w:ind w:left="595" w:hanging="595"/>
        <w:rPr>
          <w:sz w:val="30"/>
          <w:szCs w:val="30"/>
        </w:rPr>
      </w:pPr>
      <w:r w:rsidRPr="007B5D03">
        <w:rPr>
          <w:rFonts w:hAnsi="標楷體"/>
          <w:sz w:val="30"/>
          <w:szCs w:val="30"/>
        </w:rPr>
        <w:t>三、至是否違反平等原則部分，多數意見僅說明有證券交易所得而不課徵</w:t>
      </w:r>
      <w:r w:rsidRPr="007B5D03">
        <w:rPr>
          <w:rFonts w:hAnsi="標楷體"/>
          <w:spacing w:val="4"/>
          <w:sz w:val="30"/>
          <w:szCs w:val="30"/>
        </w:rPr>
        <w:t>所得稅</w:t>
      </w:r>
      <w:r w:rsidRPr="007B5D03">
        <w:rPr>
          <w:rFonts w:hAnsi="標楷體"/>
          <w:sz w:val="30"/>
          <w:szCs w:val="30"/>
        </w:rPr>
        <w:t>，為有所得即應課徵所得稅之例外，其目的為以稅代稅，非在實現量能課稅，而所有其他有證券交易所得之個人及營利事業，適用所得稅法第四條之一時，並未規定得為不同之處理，故亦不生上開二函（指系爭規定一中段</w:t>
      </w:r>
      <w:r w:rsidRPr="007B5D03">
        <w:rPr>
          <w:rFonts w:hAnsi="標楷體"/>
          <w:spacing w:val="6"/>
          <w:sz w:val="30"/>
          <w:szCs w:val="30"/>
        </w:rPr>
        <w:t>及系爭規定二）違反量能課稅致牴觸憲法上平等原則之問</w:t>
      </w:r>
      <w:r w:rsidRPr="007B5D03">
        <w:rPr>
          <w:rFonts w:hAnsi="標楷體"/>
          <w:spacing w:val="-4"/>
          <w:sz w:val="30"/>
          <w:szCs w:val="30"/>
        </w:rPr>
        <w:t>題。惟就聲請人等所指摘本國券商與外資券商發行認購（售）</w:t>
      </w:r>
      <w:r w:rsidRPr="007B5D03">
        <w:rPr>
          <w:rFonts w:hAnsi="標楷體"/>
          <w:sz w:val="30"/>
          <w:szCs w:val="30"/>
        </w:rPr>
        <w:t>權證之權利</w:t>
      </w:r>
      <w:r w:rsidRPr="007B5D03">
        <w:rPr>
          <w:rFonts w:hAnsi="標楷體"/>
          <w:sz w:val="30"/>
          <w:szCs w:val="30"/>
        </w:rPr>
        <w:lastRenderedPageBreak/>
        <w:t>金收入所負擔之稅捐不同，是否違反平等原則，則未置一詞。查依財政部九十六年十二月十九日台財稅字第</w:t>
      </w:r>
      <w:r w:rsidRPr="007B5D03">
        <w:rPr>
          <w:rFonts w:hAnsi="標楷體"/>
          <w:spacing w:val="4"/>
          <w:sz w:val="30"/>
          <w:szCs w:val="30"/>
        </w:rPr>
        <w:t>０九六００四六一八五０號函所示，在我國唯一發行認購</w:t>
      </w:r>
      <w:r w:rsidRPr="007B5D03">
        <w:rPr>
          <w:rFonts w:hAnsi="標楷體"/>
          <w:sz w:val="30"/>
          <w:szCs w:val="30"/>
        </w:rPr>
        <w:t>（售）權證之外資機構為美商美林證券股份有限公司（下稱美商美林公司），由在</w:t>
      </w:r>
      <w:r w:rsidRPr="007B5D03">
        <w:rPr>
          <w:rFonts w:hAnsi="標楷體" w:hint="eastAsia"/>
          <w:sz w:val="30"/>
          <w:szCs w:val="30"/>
        </w:rPr>
        <w:t>臺</w:t>
      </w:r>
      <w:r w:rsidRPr="007B5D03">
        <w:rPr>
          <w:rFonts w:hAnsi="標楷體"/>
          <w:sz w:val="30"/>
          <w:szCs w:val="30"/>
        </w:rPr>
        <w:t>美商美林公司臺灣分公司（下稱美林臺灣分公司）以其名義發行認購（售）權證，而依規定須從事之避險操作則委由瑞士商美林資本市場公司（下稱瑞士商美林公司）</w:t>
      </w:r>
      <w:r w:rsidRPr="007B5D03">
        <w:rPr>
          <w:rFonts w:hAnsi="標楷體"/>
          <w:sz w:val="20"/>
        </w:rPr>
        <w:t>（註一）</w:t>
      </w:r>
      <w:r w:rsidRPr="007B5D03">
        <w:rPr>
          <w:rFonts w:hAnsi="標楷體"/>
          <w:sz w:val="30"/>
          <w:szCs w:val="30"/>
        </w:rPr>
        <w:t>辦理，美商美林公司在我國發行認購權證所取得之權利金收入，依所得稅法第四十一條及第七十一條規定，於減除發行權證之成本（包含委外避險所支付與瑞士商美林公司之技術服務報酬）後之淨所得，由美林臺灣分公司合併辦理營利事業所得稅結算申報，而瑞士商美林公司在</w:t>
      </w:r>
      <w:r w:rsidRPr="007B5D03">
        <w:rPr>
          <w:rFonts w:hAnsi="標楷體"/>
          <w:spacing w:val="-4"/>
          <w:sz w:val="30"/>
          <w:szCs w:val="30"/>
        </w:rPr>
        <w:t>我國並未發行認購（售）權證，僅係提供避險操作技術服務，</w:t>
      </w:r>
      <w:r w:rsidRPr="007B5D03">
        <w:rPr>
          <w:rFonts w:hAnsi="標楷體"/>
          <w:sz w:val="30"/>
          <w:szCs w:val="30"/>
        </w:rPr>
        <w:t>其取得之技術服務報酬，因國內外成本費用分攤困難，而採推定所得方式課稅。依財政部上開函文所示，美林臺灣分公司之權利金收入，應係適用所得稅法第二十四條之規定計算所得額，而瑞士商美林公司從事避險操作之所得或損失，則自行承擔所有避險操作所發生之損益，其取得之技術服務報酬，則適用所得稅法第二十五條，採推計所得方式課稅。是對上開外資券商在我國發行認購（售）權證之課稅，係分二階段對二獨立之公司為之，此與國內券商發行認購（售）權證之權利金收入課徵營利事業所得，二者情形尚有不同，並無違反平等原則可言。解釋理由書對聲請人此部分違憲之指摘棄置不論，尚嫌不足。</w:t>
      </w:r>
    </w:p>
    <w:p w:rsidR="00514426" w:rsidRPr="007B5D03" w:rsidRDefault="00514426" w:rsidP="00FB2D5A">
      <w:pPr>
        <w:spacing w:line="437" w:lineRule="exact"/>
        <w:ind w:left="1169" w:hanging="851"/>
        <w:rPr>
          <w:sz w:val="26"/>
          <w:szCs w:val="26"/>
        </w:rPr>
      </w:pPr>
      <w:r w:rsidRPr="007B5D03">
        <w:rPr>
          <w:rFonts w:hAnsi="標楷體"/>
          <w:sz w:val="26"/>
          <w:szCs w:val="26"/>
        </w:rPr>
        <w:t>註一：惟依財政部賦稅署一００年</w:t>
      </w:r>
      <w:smartTag w:uri="urn:schemas-microsoft-com:office:smarttags" w:element="chsdate">
        <w:smartTagPr>
          <w:attr w:name="IsROCDate" w:val="False"/>
          <w:attr w:name="IsLunarDate" w:val="False"/>
          <w:attr w:name="Day" w:val="17"/>
          <w:attr w:name="Month" w:val="10"/>
          <w:attr w:name="Year" w:val="2011"/>
        </w:smartTagPr>
        <w:r w:rsidRPr="007B5D03">
          <w:rPr>
            <w:rFonts w:hAnsi="標楷體"/>
            <w:sz w:val="26"/>
            <w:szCs w:val="26"/>
          </w:rPr>
          <w:t>十月十七日</w:t>
        </w:r>
      </w:smartTag>
      <w:r w:rsidRPr="007B5D03">
        <w:rPr>
          <w:rFonts w:hAnsi="標楷體"/>
          <w:sz w:val="26"/>
          <w:szCs w:val="26"/>
        </w:rPr>
        <w:t>台稅一發字第一０００四一二二０二０號函所附資料，係美林國際股份有限公司（</w:t>
      </w:r>
      <w:r w:rsidRPr="007B5D03">
        <w:rPr>
          <w:sz w:val="26"/>
          <w:szCs w:val="26"/>
        </w:rPr>
        <w:t xml:space="preserve">Merrill </w:t>
      </w:r>
      <w:r w:rsidRPr="007B5D03">
        <w:rPr>
          <w:spacing w:val="4"/>
          <w:sz w:val="26"/>
          <w:szCs w:val="26"/>
        </w:rPr>
        <w:t xml:space="preserve">Lynch International, </w:t>
      </w:r>
      <w:r w:rsidRPr="007B5D03">
        <w:rPr>
          <w:rFonts w:hAnsi="標楷體"/>
          <w:spacing w:val="4"/>
          <w:sz w:val="26"/>
          <w:szCs w:val="26"/>
        </w:rPr>
        <w:t>簡稱美林國際，</w:t>
      </w:r>
      <w:r w:rsidRPr="007B5D03">
        <w:rPr>
          <w:spacing w:val="4"/>
          <w:sz w:val="26"/>
          <w:szCs w:val="26"/>
        </w:rPr>
        <w:t>MLI</w:t>
      </w:r>
      <w:r w:rsidRPr="007B5D03">
        <w:rPr>
          <w:rFonts w:hAnsi="標楷體"/>
          <w:spacing w:val="4"/>
          <w:sz w:val="26"/>
          <w:szCs w:val="26"/>
        </w:rPr>
        <w:t>）與美林臺灣分公司簽</w:t>
      </w:r>
      <w:r w:rsidRPr="007B5D03">
        <w:rPr>
          <w:rFonts w:hAnsi="標楷體"/>
          <w:sz w:val="26"/>
          <w:szCs w:val="26"/>
        </w:rPr>
        <w:lastRenderedPageBreak/>
        <w:t>訂合約書，由美林國際為美林臺灣分公司從事避險操作，而美林國際乃係依英國公司法成立之公司。</w:t>
      </w:r>
    </w:p>
    <w:p w:rsidR="00514426" w:rsidRPr="007B5D03" w:rsidRDefault="00514426" w:rsidP="00FB2D5A">
      <w:pPr>
        <w:spacing w:line="437" w:lineRule="exact"/>
        <w:ind w:left="1452" w:hanging="1134"/>
        <w:rPr>
          <w:sz w:val="30"/>
          <w:szCs w:val="30"/>
        </w:rPr>
      </w:pPr>
    </w:p>
    <w:p w:rsidR="00514426" w:rsidRPr="007B5D03" w:rsidRDefault="00514426" w:rsidP="00624270">
      <w:pPr>
        <w:spacing w:line="437" w:lineRule="exact"/>
        <w:ind w:left="907" w:right="641"/>
        <w:jc w:val="distribute"/>
        <w:rPr>
          <w:sz w:val="30"/>
          <w:szCs w:val="30"/>
        </w:rPr>
      </w:pPr>
      <w:r w:rsidRPr="007B5D03">
        <w:rPr>
          <w:rFonts w:hAnsi="標楷體"/>
          <w:sz w:val="30"/>
          <w:szCs w:val="30"/>
        </w:rPr>
        <w:t>部分不同意見書　　　　　　　　　大法官　羅昌發</w:t>
      </w:r>
    </w:p>
    <w:p w:rsidR="00514426" w:rsidRPr="007B5D03" w:rsidRDefault="00514426" w:rsidP="002B1D17">
      <w:pPr>
        <w:snapToGrid w:val="0"/>
        <w:spacing w:line="437" w:lineRule="exact"/>
        <w:ind w:firstLineChars="100" w:firstLine="300"/>
        <w:rPr>
          <w:sz w:val="30"/>
          <w:szCs w:val="30"/>
        </w:rPr>
      </w:pPr>
      <w:r w:rsidRPr="007B5D03">
        <w:rPr>
          <w:rFonts w:hAnsi="標楷體"/>
          <w:sz w:val="30"/>
          <w:szCs w:val="30"/>
        </w:rPr>
        <w:t>財政部</w:t>
      </w:r>
      <w:smartTag w:uri="urn:schemas-microsoft-com:office:smarttags" w:element="chsdate">
        <w:smartTagPr>
          <w:attr w:name="IsROCDate" w:val="True"/>
          <w:attr w:name="IsLunarDate" w:val="False"/>
          <w:attr w:name="Day" w:val="11"/>
          <w:attr w:name="Month" w:val="12"/>
          <w:attr w:name="Year" w:val="1997"/>
        </w:smartTagPr>
        <w:r w:rsidRPr="007B5D03">
          <w:rPr>
            <w:rFonts w:hAnsi="標楷體" w:hint="eastAsia"/>
            <w:sz w:val="30"/>
            <w:szCs w:val="30"/>
          </w:rPr>
          <w:t>中華民國</w:t>
        </w:r>
        <w:r w:rsidRPr="007B5D03">
          <w:rPr>
            <w:rFonts w:hAnsi="標楷體"/>
            <w:sz w:val="30"/>
            <w:szCs w:val="30"/>
          </w:rPr>
          <w:t>八十六年十二月十一日</w:t>
        </w:r>
      </w:smartTag>
      <w:r w:rsidRPr="007B5D03">
        <w:rPr>
          <w:rFonts w:hAnsi="標楷體"/>
          <w:sz w:val="30"/>
          <w:szCs w:val="30"/>
        </w:rPr>
        <w:t>台財稅第八六一九二二</w:t>
      </w:r>
      <w:r w:rsidRPr="007B5D03">
        <w:rPr>
          <w:rFonts w:hAnsi="標楷體"/>
          <w:spacing w:val="-4"/>
          <w:sz w:val="30"/>
          <w:szCs w:val="30"/>
        </w:rPr>
        <w:t>四六四號函（以下簡稱「系爭函一」）所載「認購（售）權證發行</w:t>
      </w:r>
      <w:r w:rsidRPr="007B5D03">
        <w:rPr>
          <w:rFonts w:hAnsi="標楷體"/>
          <w:sz w:val="30"/>
          <w:szCs w:val="30"/>
        </w:rPr>
        <w:t>人於發行後，因投資人行使權利而售出或購入標的股票產生之證</w:t>
      </w:r>
      <w:r w:rsidRPr="007B5D03">
        <w:rPr>
          <w:rFonts w:hAnsi="標楷體" w:hint="eastAsia"/>
          <w:sz w:val="30"/>
          <w:szCs w:val="30"/>
        </w:rPr>
        <w:t>券</w:t>
      </w:r>
      <w:r w:rsidRPr="007B5D03">
        <w:rPr>
          <w:rFonts w:hAnsi="標楷體"/>
          <w:sz w:val="30"/>
          <w:szCs w:val="30"/>
        </w:rPr>
        <w:t>交易所得或損失，應</w:t>
      </w:r>
      <w:r w:rsidRPr="007B5D03">
        <w:rPr>
          <w:rFonts w:hint="eastAsia"/>
          <w:sz w:val="30"/>
          <w:szCs w:val="30"/>
        </w:rPr>
        <w:t>……</w:t>
      </w:r>
      <w:r w:rsidRPr="007B5D03">
        <w:rPr>
          <w:rFonts w:hAnsi="標楷體"/>
          <w:sz w:val="30"/>
          <w:szCs w:val="30"/>
        </w:rPr>
        <w:t>依所得稅法第四條之一規定辦理」以及財政部八十六年七月三十一日台財稅第八六一九０九三一一號函所載「認購（售）權證持有人</w:t>
      </w:r>
      <w:r w:rsidRPr="007B5D03">
        <w:rPr>
          <w:rFonts w:hint="eastAsia"/>
          <w:sz w:val="30"/>
          <w:szCs w:val="30"/>
        </w:rPr>
        <w:t>……</w:t>
      </w:r>
      <w:r w:rsidRPr="007B5D03">
        <w:rPr>
          <w:rFonts w:hAnsi="標楷體"/>
          <w:sz w:val="30"/>
          <w:szCs w:val="30"/>
        </w:rPr>
        <w:t>以現金方式結算者</w:t>
      </w:r>
      <w:r w:rsidRPr="007B5D03">
        <w:rPr>
          <w:rFonts w:hint="eastAsia"/>
          <w:sz w:val="30"/>
          <w:szCs w:val="30"/>
        </w:rPr>
        <w:t>……</w:t>
      </w:r>
      <w:r w:rsidRPr="007B5D03">
        <w:rPr>
          <w:rFonts w:hAnsi="標楷體"/>
          <w:sz w:val="30"/>
          <w:szCs w:val="30"/>
        </w:rPr>
        <w:t>依前</w:t>
      </w:r>
      <w:r w:rsidRPr="007B5D03">
        <w:rPr>
          <w:rFonts w:hAnsi="標楷體"/>
          <w:spacing w:val="-8"/>
          <w:sz w:val="30"/>
          <w:szCs w:val="30"/>
        </w:rPr>
        <w:t>開所得稅法規定停止課徵所得稅」（以下簡稱「系爭函二」），均認</w:t>
      </w:r>
      <w:r w:rsidRPr="007B5D03">
        <w:rPr>
          <w:rFonts w:hAnsi="標楷體"/>
          <w:sz w:val="30"/>
          <w:szCs w:val="30"/>
        </w:rPr>
        <w:t>為認購（售）權證之發行人為履約及避險之目的而買賣股票（以</w:t>
      </w:r>
      <w:r w:rsidRPr="007B5D03">
        <w:rPr>
          <w:rFonts w:hAnsi="標楷體"/>
          <w:spacing w:val="-4"/>
          <w:sz w:val="30"/>
          <w:szCs w:val="30"/>
        </w:rPr>
        <w:t>下簡稱避險操作），仍應適用所得稅法第四條之一之規定。亦即發</w:t>
      </w:r>
      <w:r w:rsidRPr="007B5D03">
        <w:rPr>
          <w:rFonts w:hAnsi="標楷體"/>
          <w:sz w:val="30"/>
          <w:szCs w:val="30"/>
        </w:rPr>
        <w:t>行人不得依所得稅法第二十四條第一項「營利事業所得之計算，以其本年度總額減除各項成本費用、損失及稅捐後之純益為所得額」之規定，將避險操作之損失，由年度所得總額中減除。多數意見認為此二函釋並未違反租稅法律主義以及量能課稅原則，本席敬表同意。惟就部分聲請人所引財政部</w:t>
      </w:r>
      <w:smartTag w:uri="urn:schemas-microsoft-com:office:smarttags" w:element="chsdate">
        <w:smartTagPr>
          <w:attr w:name="IsROCDate" w:val="False"/>
          <w:attr w:name="IsLunarDate" w:val="False"/>
          <w:attr w:name="Day" w:val="16"/>
          <w:attr w:name="Month" w:val="1"/>
          <w:attr w:name="Year" w:val="1990"/>
        </w:smartTagPr>
        <w:r w:rsidRPr="007B5D03">
          <w:rPr>
            <w:rFonts w:hAnsi="標楷體"/>
            <w:sz w:val="30"/>
            <w:szCs w:val="30"/>
          </w:rPr>
          <w:t>九十年一月十六日</w:t>
        </w:r>
      </w:smartTag>
      <w:r w:rsidRPr="007B5D03">
        <w:rPr>
          <w:rFonts w:hAnsi="標楷體"/>
          <w:sz w:val="30"/>
          <w:szCs w:val="30"/>
        </w:rPr>
        <w:t>台財</w:t>
      </w:r>
      <w:r w:rsidRPr="007B5D03">
        <w:rPr>
          <w:rFonts w:hAnsi="標楷體"/>
          <w:spacing w:val="-4"/>
          <w:sz w:val="30"/>
          <w:szCs w:val="30"/>
        </w:rPr>
        <w:t>稅第０九００００一一五九號函（以下簡稱「系爭函三」）使外資</w:t>
      </w:r>
      <w:r w:rsidRPr="007B5D03">
        <w:rPr>
          <w:rFonts w:hAnsi="標楷體"/>
          <w:sz w:val="30"/>
          <w:szCs w:val="30"/>
        </w:rPr>
        <w:t>操作者得就其為外資發行人進行避險操作之代價，依所得稅法第二十五條規定推計課徵，以其在中華民國境內之營業收入之百分之十五為中華民國境內之營利事業所得額，亦即擬制或推定其有百分之八十五之營業成本，間接使國內認購（售）權證發行人受到差別待遇而造成「超國民待遇」部分，多數意見認為未牴觸平等原則。本席認頗有斟酌餘地。爰對此提出部分不同意見書。</w:t>
      </w:r>
    </w:p>
    <w:p w:rsidR="00514426" w:rsidRPr="007B5D03" w:rsidRDefault="00624270" w:rsidP="00624270">
      <w:pPr>
        <w:snapToGrid w:val="0"/>
        <w:spacing w:line="437" w:lineRule="exact"/>
        <w:ind w:left="595" w:hanging="595"/>
        <w:rPr>
          <w:sz w:val="30"/>
          <w:szCs w:val="30"/>
        </w:rPr>
      </w:pPr>
      <w:r w:rsidRPr="007B5D03">
        <w:rPr>
          <w:rFonts w:hAnsi="標楷體" w:hint="eastAsia"/>
          <w:sz w:val="30"/>
          <w:szCs w:val="30"/>
        </w:rPr>
        <w:t>一</w:t>
      </w:r>
      <w:r w:rsidRPr="007B5D03">
        <w:rPr>
          <w:rFonts w:hAnsi="標楷體"/>
          <w:sz w:val="30"/>
          <w:szCs w:val="30"/>
        </w:rPr>
        <w:t>、</w:t>
      </w:r>
      <w:r w:rsidR="00514426" w:rsidRPr="007B5D03">
        <w:rPr>
          <w:rFonts w:hAnsi="標楷體"/>
          <w:sz w:val="30"/>
          <w:szCs w:val="30"/>
        </w:rPr>
        <w:t>憲法禁止無正當理由差別待遇之意旨：</w:t>
      </w:r>
      <w:r w:rsidR="00514426" w:rsidRPr="007B5D03">
        <w:rPr>
          <w:rFonts w:hAnsi="標楷體" w:hint="eastAsia"/>
          <w:sz w:val="30"/>
          <w:szCs w:val="30"/>
        </w:rPr>
        <w:br/>
      </w:r>
      <w:r w:rsidR="00514426" w:rsidRPr="007B5D03">
        <w:rPr>
          <w:rFonts w:hAnsi="標楷體"/>
          <w:spacing w:val="-4"/>
          <w:sz w:val="30"/>
          <w:szCs w:val="30"/>
        </w:rPr>
        <w:lastRenderedPageBreak/>
        <w:t>憲法第七條規定：「中華民國人民，無分男女、宗教、種族、</w:t>
      </w:r>
      <w:r w:rsidR="00514426" w:rsidRPr="007B5D03">
        <w:rPr>
          <w:rFonts w:hAnsi="標楷體"/>
          <w:sz w:val="30"/>
          <w:szCs w:val="30"/>
        </w:rPr>
        <w:t>階級、黨派，在法律上一律平等。」此條規定，一方面可以作為一項憲法上的重要原則，以確保人民所應擁有之其他憲法上權利，可以平等的方式享有。另一方面，該條雖未使用「權利」一詞，然其規定在憲法第二章「人民之權利義務」中的第一個條文，顯然憲法亦承認其為一項獨立且重要的權利。憲法第七條之規定除可確保人民以平等之基礎享有「憲</w:t>
      </w:r>
      <w:r w:rsidR="00514426" w:rsidRPr="007B5D03">
        <w:rPr>
          <w:rFonts w:hAnsi="標楷體"/>
          <w:spacing w:val="6"/>
          <w:sz w:val="30"/>
          <w:szCs w:val="30"/>
        </w:rPr>
        <w:t>法上其他基本權利」之外，如涉及「非憲法上的權利或利</w:t>
      </w:r>
      <w:r w:rsidR="00514426" w:rsidRPr="007B5D03">
        <w:rPr>
          <w:rFonts w:hAnsi="標楷體"/>
          <w:sz w:val="30"/>
          <w:szCs w:val="30"/>
        </w:rPr>
        <w:t>益」，該條規定亦可使人民獲得憲法上平等權的保障。故承認其為獨立的權利，有其實質功能（參見本席於釋字第六九二號解釋所提出之協同意見書之闡述）。本件情形，財政部在「系爭函一」及「系爭函二」之下之課稅措施，雖未必直接侵害聲請人憲法上之其他自由權利，然此二函釋並未賦予聲請人（即國內認購（售）權證發行人）如同外資發行人得「間接」享受「系爭函三」之下將營業收入之百分之八十五擬制或推定為其營業成本之利益，造成差別待遇</w:t>
      </w:r>
      <w:r w:rsidR="00514426" w:rsidRPr="007B5D03">
        <w:rPr>
          <w:rFonts w:hAnsi="標楷體" w:hint="eastAsia"/>
          <w:sz w:val="30"/>
          <w:szCs w:val="30"/>
        </w:rPr>
        <w:t>，</w:t>
      </w:r>
      <w:r w:rsidR="00514426" w:rsidRPr="007B5D03">
        <w:rPr>
          <w:rFonts w:hAnsi="標楷體"/>
          <w:sz w:val="30"/>
          <w:szCs w:val="30"/>
        </w:rPr>
        <w:t>仍應認為有憲法第七條平等權規定之適用。</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二、不違背「量能課稅」情形下，仍有可能違反平等原則：</w:t>
      </w:r>
    </w:p>
    <w:p w:rsidR="00514426" w:rsidRPr="007B5D03" w:rsidRDefault="00514426" w:rsidP="00624270">
      <w:pPr>
        <w:snapToGrid w:val="0"/>
        <w:spacing w:line="437" w:lineRule="exact"/>
        <w:ind w:left="1225" w:hanging="907"/>
        <w:rPr>
          <w:sz w:val="30"/>
          <w:szCs w:val="30"/>
        </w:rPr>
      </w:pPr>
      <w:r w:rsidRPr="007B5D03">
        <w:rPr>
          <w:rFonts w:hAnsi="標楷體"/>
          <w:sz w:val="30"/>
          <w:szCs w:val="30"/>
        </w:rPr>
        <w:t>（一）政府支出之主要財源係來自人民所繳納的各種稅捐。國家為合理徵收各種稅捐以獲取財源，必須基於若干考量或原則。其中一項重要原則即為量能課稅原則（</w:t>
      </w:r>
      <w:r w:rsidRPr="007B5D03">
        <w:rPr>
          <w:sz w:val="30"/>
          <w:szCs w:val="30"/>
        </w:rPr>
        <w:t xml:space="preserve">the principle of ability-to-pay; the principle of </w:t>
      </w:r>
      <w:r w:rsidRPr="007B5D03">
        <w:rPr>
          <w:rStyle w:val="apple-style-span"/>
          <w:sz w:val="30"/>
          <w:szCs w:val="30"/>
        </w:rPr>
        <w:t xml:space="preserve">contribution </w:t>
      </w:r>
      <w:r w:rsidRPr="007B5D03">
        <w:rPr>
          <w:rStyle w:val="apple-style-span"/>
          <w:spacing w:val="6"/>
          <w:sz w:val="30"/>
          <w:szCs w:val="30"/>
        </w:rPr>
        <w:t>capability</w:t>
      </w:r>
      <w:r w:rsidRPr="007B5D03">
        <w:rPr>
          <w:rFonts w:hAnsi="標楷體"/>
          <w:spacing w:val="6"/>
          <w:sz w:val="30"/>
          <w:szCs w:val="30"/>
        </w:rPr>
        <w:t>）。其主要意旨在於稅捐之繳納義務及其內</w:t>
      </w:r>
      <w:r w:rsidRPr="007B5D03">
        <w:rPr>
          <w:rFonts w:hAnsi="標楷體"/>
          <w:spacing w:val="-6"/>
          <w:sz w:val="30"/>
          <w:szCs w:val="30"/>
        </w:rPr>
        <w:t>容，係將納稅義務人的「經濟能力」（</w:t>
      </w:r>
      <w:r w:rsidRPr="007B5D03">
        <w:rPr>
          <w:spacing w:val="-6"/>
          <w:sz w:val="30"/>
          <w:szCs w:val="30"/>
        </w:rPr>
        <w:t>economic strength</w:t>
      </w:r>
      <w:r w:rsidRPr="007B5D03">
        <w:rPr>
          <w:rFonts w:hAnsi="標楷體"/>
          <w:spacing w:val="-6"/>
          <w:sz w:val="30"/>
          <w:szCs w:val="30"/>
        </w:rPr>
        <w:t>）或「相對的經濟福祉」（</w:t>
      </w:r>
      <w:r w:rsidRPr="007B5D03">
        <w:rPr>
          <w:rStyle w:val="apple-style-span"/>
          <w:spacing w:val="-6"/>
          <w:sz w:val="30"/>
          <w:szCs w:val="30"/>
        </w:rPr>
        <w:t>comparative economic well-being</w:t>
      </w:r>
      <w:r w:rsidRPr="007B5D03">
        <w:rPr>
          <w:rFonts w:hAnsi="標楷體"/>
          <w:spacing w:val="-6"/>
          <w:sz w:val="30"/>
          <w:szCs w:val="30"/>
        </w:rPr>
        <w:t>）</w:t>
      </w:r>
      <w:r w:rsidRPr="007B5D03">
        <w:rPr>
          <w:rFonts w:hAnsi="標楷體"/>
          <w:sz w:val="30"/>
          <w:szCs w:val="30"/>
        </w:rPr>
        <w:t>納入考量。</w:t>
      </w:r>
      <w:r w:rsidRPr="007B5D03">
        <w:rPr>
          <w:rFonts w:hAnsi="標楷體"/>
          <w:sz w:val="20"/>
        </w:rPr>
        <w:t>（註一）</w:t>
      </w:r>
      <w:r w:rsidRPr="007B5D03">
        <w:rPr>
          <w:rFonts w:hAnsi="標楷體"/>
          <w:sz w:val="30"/>
          <w:szCs w:val="30"/>
        </w:rPr>
        <w:t>亦即，允許國家在適當情形下，使「經濟能力」較強或</w:t>
      </w:r>
      <w:r w:rsidRPr="007B5D03">
        <w:rPr>
          <w:rFonts w:hAnsi="標楷體"/>
          <w:sz w:val="30"/>
          <w:szCs w:val="30"/>
        </w:rPr>
        <w:lastRenderedPageBreak/>
        <w:t>「相對經濟福祉」較高者負擔較高比例或較高程度的納稅義務。此種差別之稅負，在適當情形下，應不至於侵害人民之平等權。此項「量能課稅」原則與租稅公平原則、平等權保障有關，已為大法官解釋所承認（本院釋字第五九七</w:t>
      </w:r>
      <w:r w:rsidRPr="007B5D03">
        <w:rPr>
          <w:rFonts w:hAnsi="標楷體" w:hint="eastAsia"/>
          <w:sz w:val="30"/>
          <w:szCs w:val="30"/>
        </w:rPr>
        <w:t>號</w:t>
      </w:r>
      <w:r w:rsidRPr="007B5D03">
        <w:rPr>
          <w:rFonts w:hAnsi="標楷體"/>
          <w:sz w:val="30"/>
          <w:szCs w:val="30"/>
        </w:rPr>
        <w:t>解釋參照）。</w:t>
      </w:r>
    </w:p>
    <w:p w:rsidR="00514426" w:rsidRPr="007B5D03" w:rsidRDefault="00514426" w:rsidP="00624270">
      <w:pPr>
        <w:snapToGrid w:val="0"/>
        <w:spacing w:line="437" w:lineRule="exact"/>
        <w:ind w:left="1225" w:hanging="907"/>
        <w:rPr>
          <w:sz w:val="30"/>
          <w:szCs w:val="30"/>
        </w:rPr>
      </w:pPr>
      <w:r w:rsidRPr="007B5D03">
        <w:rPr>
          <w:rFonts w:hAnsi="標楷體"/>
          <w:sz w:val="30"/>
          <w:szCs w:val="30"/>
        </w:rPr>
        <w:t>（二）在適當情形下，對於不同「經濟能力」或不同「相對經濟福祉」者課以不同比例或不同程度的稅負，固然為憲法所允許，然其並非謂所有的稅捐差別待遇情形均可因「量能課稅」原則而正當化。如課稅的差別待遇所依據</w:t>
      </w:r>
      <w:r w:rsidRPr="007B5D03">
        <w:rPr>
          <w:rFonts w:hAnsi="標楷體"/>
          <w:spacing w:val="-4"/>
          <w:sz w:val="30"/>
          <w:szCs w:val="30"/>
        </w:rPr>
        <w:t>者，與納稅義務人</w:t>
      </w:r>
      <w:r w:rsidRPr="007B5D03">
        <w:rPr>
          <w:rFonts w:hAnsi="標楷體" w:hint="eastAsia"/>
          <w:spacing w:val="-4"/>
          <w:sz w:val="30"/>
          <w:szCs w:val="30"/>
        </w:rPr>
        <w:t>之</w:t>
      </w:r>
      <w:r w:rsidRPr="007B5D03">
        <w:rPr>
          <w:rFonts w:hAnsi="標楷體"/>
          <w:spacing w:val="-4"/>
          <w:sz w:val="30"/>
          <w:szCs w:val="30"/>
        </w:rPr>
        <w:t>「經濟能力」或「相對的經濟福祉」</w:t>
      </w:r>
      <w:r w:rsidRPr="007B5D03">
        <w:rPr>
          <w:rFonts w:hAnsi="標楷體"/>
          <w:sz w:val="30"/>
          <w:szCs w:val="30"/>
        </w:rPr>
        <w:t>無合理關聯時，即與「量能課稅」無關；其差別待遇自須受平等權之檢視。</w:t>
      </w:r>
    </w:p>
    <w:p w:rsidR="00514426" w:rsidRPr="007B5D03" w:rsidRDefault="00514426" w:rsidP="00624270">
      <w:pPr>
        <w:snapToGrid w:val="0"/>
        <w:spacing w:line="437" w:lineRule="exact"/>
        <w:ind w:left="1225" w:hanging="907"/>
        <w:rPr>
          <w:rStyle w:val="apple-style-span"/>
          <w:sz w:val="30"/>
          <w:szCs w:val="30"/>
        </w:rPr>
      </w:pPr>
      <w:r w:rsidRPr="007B5D03">
        <w:rPr>
          <w:rFonts w:hAnsi="標楷體"/>
          <w:sz w:val="30"/>
          <w:szCs w:val="30"/>
        </w:rPr>
        <w:t>（三）</w:t>
      </w:r>
      <w:r w:rsidRPr="007B5D03">
        <w:rPr>
          <w:rFonts w:hAnsi="標楷體"/>
          <w:spacing w:val="-4"/>
          <w:sz w:val="30"/>
          <w:szCs w:val="30"/>
        </w:rPr>
        <w:t>本件情形，本席同意多數意見，認為「系爭函一」及「系</w:t>
      </w:r>
      <w:r w:rsidRPr="007B5D03">
        <w:rPr>
          <w:rFonts w:hAnsi="標楷體"/>
          <w:sz w:val="30"/>
          <w:szCs w:val="30"/>
        </w:rPr>
        <w:t>爭函二」並不違背「量能課稅」原則。然由於財政部另以「系爭函三」使外資發行人「間接」享有較優惠之稅</w:t>
      </w:r>
      <w:r w:rsidRPr="007B5D03">
        <w:rPr>
          <w:rFonts w:hAnsi="標楷體"/>
          <w:spacing w:val="-4"/>
          <w:sz w:val="30"/>
          <w:szCs w:val="30"/>
        </w:rPr>
        <w:t>捐待遇（詳如後述），導致「系爭函一」及「系爭函二」</w:t>
      </w:r>
      <w:r w:rsidRPr="007B5D03">
        <w:rPr>
          <w:rFonts w:hAnsi="標楷體"/>
          <w:sz w:val="30"/>
          <w:szCs w:val="30"/>
        </w:rPr>
        <w:t>之適用，對聲請人產生歧視性稅捐待遇之結果。財政部系爭各函所形成之此種歧視性之稅捐規範，係基於納稅義務人為國內業者或為外資業者而為區別，而與納稅義務人</w:t>
      </w:r>
      <w:r w:rsidRPr="007B5D03">
        <w:rPr>
          <w:rFonts w:hAnsi="標楷體" w:hint="eastAsia"/>
          <w:sz w:val="30"/>
          <w:szCs w:val="30"/>
        </w:rPr>
        <w:t>之</w:t>
      </w:r>
      <w:r w:rsidRPr="007B5D03">
        <w:rPr>
          <w:rFonts w:hAnsi="標楷體"/>
          <w:sz w:val="30"/>
          <w:szCs w:val="30"/>
        </w:rPr>
        <w:t>「經濟能力」或「相對的經濟福祉」毫無關</w:t>
      </w:r>
      <w:r w:rsidRPr="007B5D03">
        <w:rPr>
          <w:rFonts w:hAnsi="標楷體" w:hint="eastAsia"/>
          <w:sz w:val="30"/>
          <w:szCs w:val="30"/>
        </w:rPr>
        <w:t>連</w:t>
      </w:r>
      <w:r w:rsidRPr="007B5D03">
        <w:rPr>
          <w:rFonts w:hAnsi="標楷體"/>
          <w:sz w:val="30"/>
          <w:szCs w:val="30"/>
        </w:rPr>
        <w:t>，故其措施與「量能課稅」原則無關，而有依平等權檢視之必要。</w:t>
      </w:r>
    </w:p>
    <w:p w:rsidR="00514426" w:rsidRPr="007B5D03" w:rsidRDefault="00514426" w:rsidP="00624270">
      <w:pPr>
        <w:snapToGrid w:val="0"/>
        <w:spacing w:line="437" w:lineRule="exact"/>
        <w:ind w:left="624" w:hanging="624"/>
        <w:rPr>
          <w:sz w:val="30"/>
          <w:szCs w:val="30"/>
        </w:rPr>
      </w:pPr>
      <w:bookmarkStart w:id="1" w:name="sp_111260_299"/>
      <w:bookmarkStart w:id="2" w:name="SDU_299"/>
      <w:bookmarkStart w:id="3" w:name="citeas((Cite_as:_5_Fla._Tax_Rev._299,_*2"/>
      <w:bookmarkEnd w:id="1"/>
      <w:bookmarkEnd w:id="2"/>
      <w:bookmarkEnd w:id="3"/>
      <w:r w:rsidRPr="007B5D03">
        <w:rPr>
          <w:rFonts w:hAnsi="標楷體"/>
          <w:sz w:val="30"/>
          <w:szCs w:val="30"/>
        </w:rPr>
        <w:t>三、本件財政部依系爭各函所形成之租稅規範確有差別待遇，並直接違反憲法第七條所規定平等權之情形：</w:t>
      </w:r>
    </w:p>
    <w:p w:rsidR="00514426" w:rsidRPr="007B5D03" w:rsidRDefault="00514426" w:rsidP="005A6AB7">
      <w:pPr>
        <w:snapToGrid w:val="0"/>
        <w:spacing w:line="437" w:lineRule="exact"/>
        <w:ind w:left="1254" w:hanging="936"/>
        <w:rPr>
          <w:sz w:val="30"/>
          <w:szCs w:val="30"/>
        </w:rPr>
      </w:pPr>
      <w:r w:rsidRPr="007B5D03">
        <w:rPr>
          <w:rFonts w:hAnsi="標楷體"/>
          <w:sz w:val="30"/>
          <w:szCs w:val="30"/>
        </w:rPr>
        <w:t>（一）憲法第七條所要求的平等權，目的在禁止對相同或類似情形，而給予差別的待遇而言。故該規定所規範的差別待遇，應包括二要件：其一，必須被比較的情形為「相同」</w:t>
      </w:r>
      <w:r w:rsidRPr="007B5D03">
        <w:rPr>
          <w:rFonts w:hAnsi="標楷體"/>
          <w:sz w:val="30"/>
          <w:szCs w:val="30"/>
        </w:rPr>
        <w:lastRenderedPageBreak/>
        <w:t>或「類似」。其二，必須人民所受之待遇有所差異（亦即有法令上之差別待遇或有事實上之差別待遇）。</w:t>
      </w:r>
    </w:p>
    <w:p w:rsidR="00514426" w:rsidRPr="007B5D03" w:rsidRDefault="00514426" w:rsidP="005A6AB7">
      <w:pPr>
        <w:snapToGrid w:val="0"/>
        <w:spacing w:line="437" w:lineRule="exact"/>
        <w:ind w:left="1254" w:hanging="936"/>
        <w:rPr>
          <w:sz w:val="30"/>
          <w:szCs w:val="30"/>
        </w:rPr>
      </w:pPr>
      <w:r w:rsidRPr="007B5D03">
        <w:rPr>
          <w:rFonts w:hAnsi="標楷體"/>
          <w:sz w:val="30"/>
          <w:szCs w:val="30"/>
        </w:rPr>
        <w:t>（二）本件涉及被比較的兩種情形顯然「類似」：</w:t>
      </w:r>
      <w:r w:rsidRPr="007B5D03">
        <w:rPr>
          <w:rFonts w:hAnsi="標楷體" w:hint="eastAsia"/>
          <w:sz w:val="30"/>
          <w:szCs w:val="30"/>
        </w:rPr>
        <w:br/>
      </w:r>
      <w:r w:rsidRPr="007B5D03">
        <w:rPr>
          <w:rFonts w:hAnsi="標楷體"/>
          <w:sz w:val="30"/>
          <w:szCs w:val="30"/>
        </w:rPr>
        <w:t>本件被比較的對象有二。其一為在「系爭函一」及「系爭函二」之下，國內發行人為避險操作而買賣股票所產生之損失，不得作為成本費用或損失，自年度所得總額（包括權利金）中扣除。其二為在「系爭函三」之下，</w:t>
      </w:r>
      <w:r w:rsidRPr="007B5D03">
        <w:rPr>
          <w:rFonts w:hAnsi="標楷體"/>
          <w:spacing w:val="-4"/>
          <w:sz w:val="30"/>
          <w:szCs w:val="30"/>
        </w:rPr>
        <w:t>外資證</w:t>
      </w:r>
      <w:r w:rsidRPr="007B5D03">
        <w:rPr>
          <w:rFonts w:hAnsi="標楷體" w:hint="eastAsia"/>
          <w:spacing w:val="-4"/>
          <w:sz w:val="30"/>
          <w:szCs w:val="30"/>
        </w:rPr>
        <w:t>券</w:t>
      </w:r>
      <w:r w:rsidRPr="007B5D03">
        <w:rPr>
          <w:rFonts w:hAnsi="標楷體"/>
          <w:spacing w:val="-4"/>
          <w:sz w:val="30"/>
          <w:szCs w:val="30"/>
        </w:rPr>
        <w:t>發行人發行認購（售）權證，就其收入，得「間</w:t>
      </w:r>
      <w:r w:rsidRPr="007B5D03">
        <w:rPr>
          <w:rFonts w:hAnsi="標楷體"/>
          <w:sz w:val="30"/>
          <w:szCs w:val="30"/>
        </w:rPr>
        <w:t>接」享受擬制或推定百分之八十五之營業成本。「系爭函三」允許「美林國際股份有限公司」（以下簡稱「美林國際」）就其為「美商美林證券股份有限公司臺灣分</w:t>
      </w:r>
      <w:r w:rsidRPr="007B5D03">
        <w:rPr>
          <w:rFonts w:hAnsi="標楷體"/>
          <w:spacing w:val="-4"/>
          <w:sz w:val="30"/>
          <w:szCs w:val="30"/>
        </w:rPr>
        <w:t>公司」（以下簡稱「美商美林」）發行之認購（售）權證</w:t>
      </w:r>
      <w:r w:rsidRPr="007B5D03">
        <w:rPr>
          <w:rFonts w:hAnsi="標楷體"/>
          <w:sz w:val="30"/>
          <w:szCs w:val="30"/>
        </w:rPr>
        <w:t>提供避險操作之技術服務所取得之收入（以下簡稱「外資情形」），適用所得稅法第二十五條第一項規定；亦即，使其服務收入享受擬制或推定百分之八十五之營業成本。其外觀上「似」與國內認購（售）權證發行人係自行（而非委託他人）進行避險操作之情形（以下簡稱</w:t>
      </w:r>
      <w:r w:rsidRPr="007B5D03">
        <w:rPr>
          <w:rFonts w:hAnsi="標楷體"/>
          <w:spacing w:val="-4"/>
          <w:sz w:val="30"/>
          <w:szCs w:val="30"/>
        </w:rPr>
        <w:t>「國內發行人情形」）不同。亦即，在形式上，「系爭函</w:t>
      </w:r>
      <w:r w:rsidRPr="007B5D03">
        <w:rPr>
          <w:rFonts w:hAnsi="標楷體"/>
          <w:sz w:val="30"/>
          <w:szCs w:val="30"/>
        </w:rPr>
        <w:t>三」係針對外資情形，允許避險之「代為操作者」（即</w:t>
      </w:r>
      <w:r w:rsidRPr="007B5D03">
        <w:rPr>
          <w:rFonts w:hAnsi="標楷體"/>
          <w:spacing w:val="-4"/>
          <w:sz w:val="30"/>
          <w:szCs w:val="30"/>
        </w:rPr>
        <w:t>「美林國際」），而非允許認購（售）權證之「發行人」（即「美商美林」），適用擬制或推定百分之八十五之營</w:t>
      </w:r>
      <w:r w:rsidRPr="007B5D03">
        <w:rPr>
          <w:rFonts w:hAnsi="標楷體"/>
          <w:sz w:val="30"/>
          <w:szCs w:val="30"/>
        </w:rPr>
        <w:t>業成本；且其適用此種擬制或推定成本者，為「代為避</w:t>
      </w:r>
      <w:r w:rsidRPr="007B5D03">
        <w:rPr>
          <w:rFonts w:hAnsi="標楷體"/>
          <w:spacing w:val="-4"/>
          <w:sz w:val="30"/>
          <w:szCs w:val="30"/>
        </w:rPr>
        <w:t>險操作之代價」，而非發行人所獲得之「權利金」。而國</w:t>
      </w:r>
      <w:r w:rsidRPr="007B5D03">
        <w:rPr>
          <w:rFonts w:hAnsi="標楷體"/>
          <w:sz w:val="30"/>
          <w:szCs w:val="30"/>
        </w:rPr>
        <w:t>內發行人情形，則係使認購（售）權證之「發行人」適用所得稅法第四條之一之規定，致不得將為避險操作目的所買賣股票之損失，自年度所得總額中減除；且其不得適用擬制或推定成本</w:t>
      </w:r>
      <w:r w:rsidRPr="007B5D03">
        <w:rPr>
          <w:rFonts w:hAnsi="標楷體"/>
          <w:sz w:val="30"/>
          <w:szCs w:val="30"/>
        </w:rPr>
        <w:lastRenderedPageBreak/>
        <w:t>者為發行人之「權利金」，而非「操作之代價」。然在實質上，外資情形與國內發行人情形，並無差異：其一，兩種情形均涉及為認購（售）權證將來之履約而進行之避險操作，並因而在國內買賣股票。其二，為自己或為他人進行避險操作均可能造成損失。其三，為自己或為他人進行避險操作均受相同之規範。其四，美林國際（操作人）如可將避險操作損失作為成本，則其無庸將此成本納入其為美商美林（權證發行人）進行避險操作之代價中；換言之，美商美林將因「系爭函三」，而減少其支付予美林國際之對價，使美商美林「間接」免於因適用所得稅法第四條之一所導</w:t>
      </w:r>
      <w:r w:rsidRPr="007B5D03">
        <w:rPr>
          <w:rFonts w:hAnsi="標楷體"/>
          <w:spacing w:val="4"/>
          <w:sz w:val="30"/>
          <w:szCs w:val="30"/>
        </w:rPr>
        <w:t>致不得將為避險操作目的所買賣股票之損失自年度總</w:t>
      </w:r>
      <w:r w:rsidRPr="007B5D03">
        <w:rPr>
          <w:rFonts w:hAnsi="標楷體"/>
          <w:sz w:val="30"/>
          <w:szCs w:val="30"/>
        </w:rPr>
        <w:t>額中減除的結果；並使美商美林於國內認購（售）權證之發行市場，相較於國內發行人，立於競爭成本上之優勢地位。外資與國內發行人兩種情形，在避險操作是否得</w:t>
      </w:r>
      <w:r w:rsidRPr="007B5D03">
        <w:rPr>
          <w:rFonts w:hAnsi="標楷體" w:hint="eastAsia"/>
          <w:sz w:val="30"/>
          <w:szCs w:val="30"/>
        </w:rPr>
        <w:t>作</w:t>
      </w:r>
      <w:r w:rsidRPr="007B5D03">
        <w:rPr>
          <w:rFonts w:hAnsi="標楷體"/>
          <w:sz w:val="30"/>
          <w:szCs w:val="30"/>
        </w:rPr>
        <w:t>為成本的實質問題上，本應無差異，故屬檢視憲法平等權時，可資比較之「類似」情況。</w:t>
      </w:r>
    </w:p>
    <w:p w:rsidR="00514426" w:rsidRPr="007B5D03" w:rsidRDefault="00514426" w:rsidP="00C51D98">
      <w:pPr>
        <w:snapToGrid w:val="0"/>
        <w:spacing w:line="437" w:lineRule="exact"/>
        <w:ind w:left="1254" w:hanging="936"/>
        <w:rPr>
          <w:sz w:val="30"/>
          <w:szCs w:val="30"/>
        </w:rPr>
      </w:pPr>
      <w:r w:rsidRPr="007B5D03">
        <w:rPr>
          <w:rFonts w:hAnsi="標楷體"/>
          <w:sz w:val="30"/>
          <w:szCs w:val="30"/>
        </w:rPr>
        <w:t>（三）本件聲請人所受之待遇確有所差異（亦即有事實上之差別待遇）：</w:t>
      </w:r>
    </w:p>
    <w:p w:rsidR="00514426" w:rsidRPr="007B5D03" w:rsidRDefault="00514426" w:rsidP="00C51D98">
      <w:pPr>
        <w:spacing w:line="437" w:lineRule="exact"/>
        <w:ind w:leftChars="475" w:left="1540" w:hangingChars="70" w:hanging="210"/>
        <w:rPr>
          <w:sz w:val="30"/>
          <w:szCs w:val="30"/>
        </w:rPr>
      </w:pPr>
      <w:r w:rsidRPr="007B5D03">
        <w:rPr>
          <w:sz w:val="30"/>
          <w:szCs w:val="30"/>
        </w:rPr>
        <w:t>1.</w:t>
      </w:r>
      <w:r w:rsidRPr="007B5D03">
        <w:rPr>
          <w:rFonts w:hAnsi="標楷體"/>
          <w:sz w:val="30"/>
          <w:szCs w:val="30"/>
        </w:rPr>
        <w:t>蓋如前所述，依「系爭函一」及「系爭函二」之下，國內證</w:t>
      </w:r>
      <w:r w:rsidRPr="007B5D03">
        <w:rPr>
          <w:rFonts w:hAnsi="標楷體" w:hint="eastAsia"/>
          <w:sz w:val="30"/>
          <w:szCs w:val="30"/>
        </w:rPr>
        <w:t>券</w:t>
      </w:r>
      <w:r w:rsidRPr="007B5D03">
        <w:rPr>
          <w:rFonts w:hAnsi="標楷體"/>
          <w:sz w:val="30"/>
          <w:szCs w:val="30"/>
        </w:rPr>
        <w:t>發行人發行認購（售）權證時，係適用所得稅法第四條之一之規定，故不得依所得稅法第二十四條第一項「營利事業所得之計算，以其本年度總額減除各項成本費用、損失及稅捐後之純益為所得額」之規定，將為避險操作目的所買賣股票之損失，自年度總額中減除。然「系爭函三」使外資證</w:t>
      </w:r>
      <w:r w:rsidRPr="007B5D03">
        <w:rPr>
          <w:rFonts w:hAnsi="標楷體" w:hint="eastAsia"/>
          <w:sz w:val="30"/>
          <w:szCs w:val="30"/>
        </w:rPr>
        <w:t>券</w:t>
      </w:r>
      <w:r w:rsidRPr="007B5D03">
        <w:rPr>
          <w:rFonts w:hAnsi="標楷體"/>
          <w:sz w:val="30"/>
          <w:szCs w:val="30"/>
        </w:rPr>
        <w:t>發行人，就其權利金</w:t>
      </w:r>
      <w:r w:rsidRPr="007B5D03">
        <w:rPr>
          <w:rFonts w:hAnsi="標楷體"/>
          <w:sz w:val="30"/>
          <w:szCs w:val="30"/>
        </w:rPr>
        <w:lastRenderedPageBreak/>
        <w:t>收入，得「間接」享受其操作者收入依所得</w:t>
      </w:r>
      <w:r w:rsidRPr="007B5D03">
        <w:rPr>
          <w:rFonts w:hAnsi="標楷體"/>
          <w:spacing w:val="4"/>
          <w:sz w:val="30"/>
          <w:szCs w:val="30"/>
        </w:rPr>
        <w:t>稅法第二十五條規定推計課徵以其在中華民國境內之營業收入之百分之十五為中華民國境內之營利事</w:t>
      </w:r>
      <w:r w:rsidRPr="007B5D03">
        <w:rPr>
          <w:rFonts w:hAnsi="標楷體"/>
          <w:sz w:val="30"/>
          <w:szCs w:val="30"/>
        </w:rPr>
        <w:t>業所得額（亦即擬制或推定其有百分之八十五之營業成本）之利益。財政部認定認購（售）權證之發行人</w:t>
      </w:r>
      <w:r w:rsidRPr="007B5D03">
        <w:rPr>
          <w:rFonts w:hAnsi="標楷體"/>
          <w:spacing w:val="-4"/>
          <w:sz w:val="30"/>
          <w:szCs w:val="30"/>
        </w:rPr>
        <w:t>是否可以享受扣除成本費用或損失之利益，「實質上」</w:t>
      </w:r>
      <w:r w:rsidRPr="007B5D03">
        <w:rPr>
          <w:rFonts w:hAnsi="標楷體"/>
          <w:sz w:val="30"/>
          <w:szCs w:val="30"/>
        </w:rPr>
        <w:t>係基於發行人是否為國內業者或外資業者，而有差別之處理方式。</w:t>
      </w:r>
    </w:p>
    <w:p w:rsidR="00514426" w:rsidRPr="007B5D03" w:rsidRDefault="00514426" w:rsidP="00C51D98">
      <w:pPr>
        <w:spacing w:line="437" w:lineRule="exact"/>
        <w:ind w:leftChars="475" w:left="1540" w:hangingChars="70" w:hanging="210"/>
        <w:rPr>
          <w:sz w:val="30"/>
          <w:szCs w:val="30"/>
        </w:rPr>
      </w:pPr>
      <w:r w:rsidRPr="007B5D03">
        <w:rPr>
          <w:sz w:val="30"/>
          <w:szCs w:val="30"/>
        </w:rPr>
        <w:t>2.</w:t>
      </w:r>
      <w:r w:rsidRPr="007B5D03">
        <w:rPr>
          <w:rFonts w:hAnsi="標楷體"/>
          <w:sz w:val="30"/>
          <w:szCs w:val="30"/>
        </w:rPr>
        <w:t>此項措施，屬「事實上之差別待遇」（</w:t>
      </w:r>
      <w:r w:rsidRPr="007B5D03">
        <w:rPr>
          <w:i/>
          <w:sz w:val="30"/>
          <w:szCs w:val="30"/>
        </w:rPr>
        <w:t>de facto</w:t>
      </w:r>
      <w:r w:rsidRPr="007B5D03">
        <w:rPr>
          <w:sz w:val="30"/>
          <w:szCs w:val="30"/>
        </w:rPr>
        <w:t xml:space="preserve"> discrimination</w:t>
      </w:r>
      <w:r w:rsidRPr="007B5D03">
        <w:rPr>
          <w:rFonts w:hAnsi="標楷體"/>
          <w:sz w:val="30"/>
          <w:szCs w:val="30"/>
        </w:rPr>
        <w:t>），而非「法律上之差別待遇」（</w:t>
      </w:r>
      <w:r w:rsidRPr="007B5D03">
        <w:rPr>
          <w:i/>
          <w:sz w:val="30"/>
          <w:szCs w:val="30"/>
        </w:rPr>
        <w:t>de jure</w:t>
      </w:r>
      <w:r w:rsidRPr="007B5D03">
        <w:rPr>
          <w:sz w:val="30"/>
          <w:szCs w:val="30"/>
        </w:rPr>
        <w:t xml:space="preserve"> </w:t>
      </w:r>
      <w:r w:rsidRPr="007B5D03">
        <w:rPr>
          <w:spacing w:val="-4"/>
          <w:sz w:val="30"/>
          <w:szCs w:val="30"/>
        </w:rPr>
        <w:t>discrimination</w:t>
      </w:r>
      <w:r w:rsidRPr="007B5D03">
        <w:rPr>
          <w:rFonts w:hAnsi="標楷體"/>
          <w:spacing w:val="-4"/>
          <w:sz w:val="30"/>
          <w:szCs w:val="30"/>
        </w:rPr>
        <w:t>）。蓋所得稅法第四條之一（以及「系爭函一」與「系爭函二」），針對國內與外資認購（售）</w:t>
      </w:r>
      <w:r w:rsidRPr="007B5D03">
        <w:rPr>
          <w:rFonts w:hAnsi="標楷體"/>
          <w:sz w:val="30"/>
          <w:szCs w:val="30"/>
        </w:rPr>
        <w:t>權證發行人有關避險操作損失之適用，原無差別之規範。然由於「系爭函三」的結果，使外資發行人得以透過所得稅法第二十五條第一項「技術服務所取得之收入，其成本費用分攤計算既有困難，可依所得稅法第二十五條第一項規定，以該收入之百分之十五核計營利事業所得額」之規定，而間接規避適用第四條之</w:t>
      </w:r>
      <w:r w:rsidRPr="007B5D03">
        <w:rPr>
          <w:rFonts w:hAnsi="標楷體"/>
          <w:spacing w:val="4"/>
          <w:sz w:val="30"/>
          <w:szCs w:val="30"/>
        </w:rPr>
        <w:t>一有關避險操作損失無法列為發行人權利金收入之</w:t>
      </w:r>
      <w:r w:rsidRPr="007B5D03">
        <w:rPr>
          <w:rFonts w:hAnsi="標楷體"/>
          <w:sz w:val="30"/>
          <w:szCs w:val="30"/>
        </w:rPr>
        <w:t>成本之不利情形。此種情形，顯屬「事實上之差別待</w:t>
      </w:r>
      <w:r w:rsidRPr="007B5D03">
        <w:rPr>
          <w:rFonts w:hAnsi="標楷體"/>
          <w:spacing w:val="-4"/>
          <w:sz w:val="30"/>
          <w:szCs w:val="30"/>
        </w:rPr>
        <w:t>遇」。另所得稅法第二十五條第一項係規定：「總機構</w:t>
      </w:r>
      <w:r w:rsidRPr="007B5D03">
        <w:rPr>
          <w:rFonts w:hAnsi="標楷體"/>
          <w:sz w:val="30"/>
          <w:szCs w:val="30"/>
        </w:rPr>
        <w:t>在中華民國境外之營利事業，在中華民國境內經營國際運輸、承包營建工程、提供技術服務或出租機器設備等業務，其成本費用分攤計算困難者，不論其在中華民國境內是否設有分支機構或代理人，得向財政部申請核准，或由財政部核定，國際運輸業務按其在中華民國境內之營業收入之百分之十，其餘業務按其在</w:t>
      </w:r>
      <w:r w:rsidRPr="007B5D03">
        <w:rPr>
          <w:rFonts w:hAnsi="標楷體"/>
          <w:spacing w:val="4"/>
          <w:sz w:val="30"/>
          <w:szCs w:val="30"/>
        </w:rPr>
        <w:t>中華民</w:t>
      </w:r>
      <w:r w:rsidRPr="007B5D03">
        <w:rPr>
          <w:rFonts w:hAnsi="標楷體"/>
          <w:spacing w:val="4"/>
          <w:sz w:val="30"/>
          <w:szCs w:val="30"/>
        </w:rPr>
        <w:lastRenderedPageBreak/>
        <w:t>國境內之營業收入之百分之十五為中華民國</w:t>
      </w:r>
      <w:r w:rsidRPr="007B5D03">
        <w:rPr>
          <w:rFonts w:hAnsi="標楷體"/>
          <w:sz w:val="30"/>
          <w:szCs w:val="30"/>
        </w:rPr>
        <w:t>境內之營利事業所得額。但不適用第三十九條關於虧損扣除之規定。」本條適用於外資企業之條件有二，</w:t>
      </w:r>
      <w:r w:rsidRPr="007B5D03">
        <w:rPr>
          <w:rFonts w:hAnsi="標楷體"/>
          <w:spacing w:val="4"/>
          <w:sz w:val="30"/>
          <w:szCs w:val="30"/>
        </w:rPr>
        <w:t>其一為必須該外資企業在中華民國境內經營國際運</w:t>
      </w:r>
      <w:r w:rsidRPr="007B5D03">
        <w:rPr>
          <w:rFonts w:hAnsi="標楷體"/>
          <w:sz w:val="30"/>
          <w:szCs w:val="30"/>
        </w:rPr>
        <w:t>輸、承包營建工程、提供技術服務或出租機器設備等業務；其二為必須其成本費用分攤計算困難。為權證</w:t>
      </w:r>
      <w:r w:rsidRPr="007B5D03">
        <w:rPr>
          <w:rFonts w:hAnsi="標楷體"/>
          <w:spacing w:val="-4"/>
          <w:sz w:val="30"/>
          <w:szCs w:val="30"/>
        </w:rPr>
        <w:t>發行人進行避險操作，明顯不符合第二個條件（即「成</w:t>
      </w:r>
      <w:r w:rsidRPr="007B5D03">
        <w:rPr>
          <w:rFonts w:hAnsi="標楷體"/>
          <w:sz w:val="30"/>
          <w:szCs w:val="30"/>
        </w:rPr>
        <w:t>本費用分攤計算困難」之條件）。蓋依該條文義，所謂「成本費用分攤計算困難」，係指「在中華民國境外之總機構」與「在中華民國境內經營之國際運輸、</w:t>
      </w:r>
      <w:r w:rsidRPr="007B5D03">
        <w:rPr>
          <w:rFonts w:hAnsi="標楷體"/>
          <w:spacing w:val="4"/>
          <w:sz w:val="30"/>
          <w:szCs w:val="30"/>
        </w:rPr>
        <w:t>承包營建工程、提供技術服務或出租機器設備等業</w:t>
      </w:r>
      <w:r w:rsidRPr="007B5D03">
        <w:rPr>
          <w:rFonts w:hAnsi="標楷體"/>
          <w:sz w:val="30"/>
          <w:szCs w:val="30"/>
        </w:rPr>
        <w:t>務」間，成本費用分攤計算困難而言。本件情形，避險操作者在我國境內進行操作所買賣之權證標的，為</w:t>
      </w:r>
      <w:r w:rsidRPr="007B5D03">
        <w:rPr>
          <w:rFonts w:hAnsi="標楷體"/>
          <w:spacing w:val="4"/>
          <w:sz w:val="30"/>
          <w:szCs w:val="30"/>
        </w:rPr>
        <w:t>我國境內發行之股票；其操作之損失金額客觀而明</w:t>
      </w:r>
      <w:r w:rsidRPr="007B5D03">
        <w:rPr>
          <w:rFonts w:hAnsi="標楷體"/>
          <w:sz w:val="30"/>
          <w:szCs w:val="30"/>
        </w:rPr>
        <w:t>確，與其境外之總機構營運，顯可截然劃分。避險操</w:t>
      </w:r>
      <w:r w:rsidRPr="007B5D03">
        <w:rPr>
          <w:rFonts w:hAnsi="標楷體"/>
          <w:spacing w:val="4"/>
          <w:sz w:val="30"/>
          <w:szCs w:val="30"/>
        </w:rPr>
        <w:t>作者在中華民國境內為進行避險操作之買賣股票行</w:t>
      </w:r>
      <w:r w:rsidRPr="007B5D03">
        <w:rPr>
          <w:rFonts w:hAnsi="標楷體"/>
          <w:sz w:val="30"/>
          <w:szCs w:val="30"/>
        </w:rPr>
        <w:t>為所產生之損失或成本費用，與其在中華民國境外之總機構之間，在分攤計算上並無困難可言。應無適用所得稅法第二十五條第一項之餘地。換言之，所得稅法對為認購（售）權證發行人進行避險操作之損失是</w:t>
      </w:r>
      <w:r w:rsidRPr="007B5D03">
        <w:rPr>
          <w:rFonts w:hAnsi="標楷體"/>
          <w:spacing w:val="4"/>
          <w:sz w:val="30"/>
          <w:szCs w:val="30"/>
        </w:rPr>
        <w:t>否可以作為成本與費用，並由營利事業所得額中扣</w:t>
      </w:r>
      <w:r w:rsidRPr="007B5D03">
        <w:rPr>
          <w:rFonts w:hAnsi="標楷體"/>
          <w:sz w:val="30"/>
          <w:szCs w:val="30"/>
        </w:rPr>
        <w:t>除，本無明文承認。造成國內發行人與外資發行人稅捐待遇上之差異，係財政部系爭各函所導致的結果。故由此而言，財政部系爭各函所造成者，亦屬「事實上之差別待遇」。此種差別待遇係優惠外資業者，歧視國內發行人，屬俗稱之「超國民待遇」。</w:t>
      </w:r>
    </w:p>
    <w:p w:rsidR="00514426" w:rsidRPr="007B5D03" w:rsidRDefault="00514426" w:rsidP="00C51D98">
      <w:pPr>
        <w:snapToGrid w:val="0"/>
        <w:spacing w:line="437" w:lineRule="exact"/>
        <w:ind w:left="624" w:hanging="624"/>
        <w:rPr>
          <w:rStyle w:val="apple-style-span"/>
          <w:sz w:val="30"/>
          <w:szCs w:val="30"/>
        </w:rPr>
      </w:pPr>
      <w:r w:rsidRPr="007B5D03">
        <w:rPr>
          <w:rFonts w:hAnsi="標楷體"/>
          <w:sz w:val="30"/>
          <w:szCs w:val="30"/>
        </w:rPr>
        <w:lastRenderedPageBreak/>
        <w:t>四、本件</w:t>
      </w:r>
      <w:r w:rsidRPr="007B5D03">
        <w:rPr>
          <w:rStyle w:val="apple-style-span"/>
          <w:rFonts w:hAnsi="標楷體"/>
          <w:sz w:val="30"/>
          <w:szCs w:val="30"/>
        </w:rPr>
        <w:t>並不符合憲法第二十三條所規定「以法律</w:t>
      </w:r>
      <w:r w:rsidRPr="007B5D03">
        <w:rPr>
          <w:rStyle w:val="apple-style-span"/>
          <w:rFonts w:hAnsi="標楷體" w:hint="eastAsia"/>
          <w:sz w:val="30"/>
          <w:szCs w:val="30"/>
        </w:rPr>
        <w:t>限制</w:t>
      </w:r>
      <w:r w:rsidRPr="007B5D03">
        <w:rPr>
          <w:rStyle w:val="apple-style-span"/>
          <w:rFonts w:hAnsi="標楷體"/>
          <w:sz w:val="30"/>
          <w:szCs w:val="30"/>
        </w:rPr>
        <w:t>之」之要件：</w:t>
      </w:r>
    </w:p>
    <w:p w:rsidR="00514426" w:rsidRPr="007B5D03" w:rsidRDefault="00514426" w:rsidP="0018542B">
      <w:pPr>
        <w:snapToGrid w:val="0"/>
        <w:spacing w:line="437" w:lineRule="exact"/>
        <w:ind w:left="1225" w:hanging="907"/>
        <w:rPr>
          <w:rStyle w:val="apple-style-span"/>
          <w:sz w:val="30"/>
          <w:szCs w:val="30"/>
        </w:rPr>
      </w:pPr>
      <w:r w:rsidRPr="007B5D03">
        <w:rPr>
          <w:rStyle w:val="apple-style-span"/>
          <w:rFonts w:hAnsi="標楷體"/>
          <w:sz w:val="30"/>
          <w:szCs w:val="30"/>
        </w:rPr>
        <w:t>（一）前述差別待遇固然違反憲法第七條之規定，但此種差別待遇究竟有無正當理由，仍應依憲法第二十三條檢視。憲法第二十三條規定：「以上各條列舉之自由權利，除為防止妨礙他人自由、避免緊急危難、維持社會秩序或增進公共利益所必要者外，不得以法律限制之。」本條所規定限制自由權利之前提為須以法律為之（某些情況下，亦得以法律明確授權之命令為之）。如非以法律為之，無論其理由如何正當，均無法通過憲法第二十三條之檢視。在確定有法律作為基礎之前提下，尚須進一步</w:t>
      </w:r>
      <w:r w:rsidRPr="007B5D03">
        <w:rPr>
          <w:rStyle w:val="apple-style-span"/>
          <w:rFonts w:hAnsi="標楷體"/>
          <w:spacing w:val="6"/>
          <w:sz w:val="30"/>
          <w:szCs w:val="30"/>
        </w:rPr>
        <w:t>檢視本條所列舉「為防止妨礙他人自由、避免緊急危</w:t>
      </w:r>
      <w:r w:rsidRPr="007B5D03">
        <w:rPr>
          <w:rStyle w:val="apple-style-span"/>
          <w:rFonts w:hAnsi="標楷體"/>
          <w:sz w:val="30"/>
          <w:szCs w:val="30"/>
        </w:rPr>
        <w:t>難、維持社會秩序或增進公共利益」之要件，以及本條之「必要」的要件。針對必要性及所列舉之要件，本席認為，在憲法第二十三條之下，任何限制或影響憲法權利的措施，應先確認有無「為防止妨礙他人自由、避免緊急危難、維持社會秩序或增進公共利益」之情形。如其情形非為此等目的之一，則顯然無法通過憲法第二十三條的檢視。在通過此項檢視之後，則應再進一步依該條所規定「必要」之要件，進行檢視。故憲法第二十三條屬兩階段的檢視過程。而「必要」與否的認定，係一</w:t>
      </w:r>
      <w:r w:rsidRPr="007B5D03">
        <w:rPr>
          <w:rStyle w:val="apple-style-span"/>
          <w:rFonts w:hAnsi="標楷體"/>
          <w:spacing w:val="4"/>
          <w:sz w:val="30"/>
          <w:szCs w:val="30"/>
        </w:rPr>
        <w:t>種衡量與平衡各種相關因素的過程（</w:t>
      </w:r>
      <w:r w:rsidRPr="007B5D03">
        <w:rPr>
          <w:spacing w:val="4"/>
          <w:sz w:val="30"/>
          <w:szCs w:val="30"/>
        </w:rPr>
        <w:t>a process of</w:t>
      </w:r>
      <w:r w:rsidRPr="007B5D03">
        <w:rPr>
          <w:sz w:val="30"/>
          <w:szCs w:val="30"/>
        </w:rPr>
        <w:t xml:space="preserve"> weighing and balancing a series of factors</w:t>
      </w:r>
      <w:r w:rsidRPr="007B5D03">
        <w:rPr>
          <w:rStyle w:val="apple-style-span"/>
          <w:rFonts w:hAnsi="標楷體"/>
          <w:sz w:val="30"/>
          <w:szCs w:val="30"/>
        </w:rPr>
        <w:t>），包括某種規範「所欲防止妨礙的他人自由」、「所欲避免的緊急危</w:t>
      </w:r>
      <w:r w:rsidRPr="007B5D03">
        <w:rPr>
          <w:rStyle w:val="apple-style-span"/>
          <w:rFonts w:hAnsi="標楷體"/>
          <w:spacing w:val="-8"/>
          <w:sz w:val="30"/>
          <w:szCs w:val="30"/>
        </w:rPr>
        <w:t>難」、「所欲維持的社會秩序」或「所欲增進的公共利益」</w:t>
      </w:r>
      <w:r w:rsidRPr="007B5D03">
        <w:rPr>
          <w:rStyle w:val="apple-style-span"/>
          <w:rFonts w:hAnsi="標楷體"/>
          <w:sz w:val="30"/>
          <w:szCs w:val="30"/>
        </w:rPr>
        <w:t>的相對重要性、該規範對於所擬達成的目的可以提供的貢獻或功能，以及該規範對憲法上權利所造成限</w:t>
      </w:r>
      <w:r w:rsidRPr="007B5D03">
        <w:rPr>
          <w:rStyle w:val="apple-style-span"/>
          <w:rFonts w:hAnsi="標楷體"/>
          <w:sz w:val="30"/>
          <w:szCs w:val="30"/>
        </w:rPr>
        <w:lastRenderedPageBreak/>
        <w:t>制或影響的程度。在權衡與平衡此等因素之後，憲法解釋者應進一步考量客觀上是否存有「較不侵害憲法權利」的措施存在</w:t>
      </w:r>
      <w:r w:rsidRPr="007B5D03">
        <w:rPr>
          <w:rFonts w:hAnsi="標楷體"/>
          <w:sz w:val="30"/>
          <w:szCs w:val="30"/>
        </w:rPr>
        <w:t>（參見本席於釋字第六九二號解釋所提出之協同意見書之闡述）。</w:t>
      </w:r>
    </w:p>
    <w:p w:rsidR="00514426" w:rsidRPr="007B5D03" w:rsidRDefault="00514426" w:rsidP="0018542B">
      <w:pPr>
        <w:snapToGrid w:val="0"/>
        <w:spacing w:line="437" w:lineRule="exact"/>
        <w:ind w:left="1225" w:hanging="907"/>
        <w:rPr>
          <w:sz w:val="30"/>
          <w:szCs w:val="30"/>
        </w:rPr>
      </w:pPr>
      <w:r w:rsidRPr="007B5D03">
        <w:rPr>
          <w:rStyle w:val="apple-style-span"/>
          <w:rFonts w:hAnsi="標楷體"/>
          <w:sz w:val="30"/>
          <w:szCs w:val="30"/>
        </w:rPr>
        <w:t>（二</w:t>
      </w:r>
      <w:r w:rsidRPr="007B5D03">
        <w:rPr>
          <w:rStyle w:val="apple-style-span"/>
          <w:rFonts w:hAnsi="標楷體"/>
          <w:spacing w:val="14"/>
          <w:sz w:val="30"/>
          <w:szCs w:val="30"/>
        </w:rPr>
        <w:t>）</w:t>
      </w:r>
      <w:r w:rsidRPr="007B5D03">
        <w:rPr>
          <w:rStyle w:val="apple-style-span"/>
          <w:rFonts w:hAnsi="標楷體"/>
          <w:spacing w:val="6"/>
          <w:sz w:val="30"/>
          <w:szCs w:val="30"/>
        </w:rPr>
        <w:t>本件情形，財政部透過系爭各函所形成之差別待遇規</w:t>
      </w:r>
      <w:r w:rsidRPr="007B5D03">
        <w:rPr>
          <w:rStyle w:val="apple-style-span"/>
          <w:rFonts w:hAnsi="標楷體"/>
          <w:sz w:val="30"/>
          <w:szCs w:val="30"/>
        </w:rPr>
        <w:t>範，並不符合「以法律限制之」之要件：</w:t>
      </w:r>
      <w:r w:rsidRPr="007B5D03">
        <w:rPr>
          <w:rStyle w:val="apple-style-span"/>
          <w:rFonts w:hAnsi="標楷體" w:hint="eastAsia"/>
          <w:sz w:val="30"/>
          <w:szCs w:val="30"/>
        </w:rPr>
        <w:br/>
      </w:r>
      <w:r w:rsidRPr="007B5D03">
        <w:rPr>
          <w:rStyle w:val="apple-style-span"/>
          <w:rFonts w:hAnsi="標楷體"/>
          <w:sz w:val="30"/>
          <w:szCs w:val="30"/>
        </w:rPr>
        <w:t>蓋如前所述，</w:t>
      </w:r>
      <w:r w:rsidRPr="007B5D03">
        <w:rPr>
          <w:rFonts w:hAnsi="標楷體"/>
          <w:sz w:val="30"/>
          <w:szCs w:val="30"/>
        </w:rPr>
        <w:t>「系爭函三」雖引所得稅法第二十五條第一項規定為其依據，然所涉及之外資操作人在中華民國境內進行之避險操作，與其在中華民國境外之總機構之間，有關避險操作所產生之損失或成本費用，在分攤計算上並無困難可言，故應不符合該條項規定。亦即，財政部對國內及外資業者之差別待遇，並無法律規定作為其依據。是該租稅上之差別待遇（優惠外資發行人而歧視國內發行人），不符合憲法第二十三條「以法律限制之」之要件。</w:t>
      </w:r>
    </w:p>
    <w:p w:rsidR="00514426" w:rsidRPr="007B5D03" w:rsidRDefault="00514426" w:rsidP="0018542B">
      <w:pPr>
        <w:snapToGrid w:val="0"/>
        <w:spacing w:line="437" w:lineRule="exact"/>
        <w:ind w:left="1225" w:hanging="907"/>
        <w:rPr>
          <w:rStyle w:val="apple-style-span"/>
          <w:sz w:val="30"/>
          <w:szCs w:val="30"/>
        </w:rPr>
      </w:pPr>
      <w:r w:rsidRPr="007B5D03">
        <w:rPr>
          <w:rStyle w:val="apple-style-span"/>
          <w:rFonts w:hAnsi="標楷體"/>
          <w:sz w:val="30"/>
          <w:szCs w:val="30"/>
        </w:rPr>
        <w:t>（三）退一步言，縱使所得稅法第二十五條得作為直接賦予外</w:t>
      </w:r>
      <w:r w:rsidRPr="007B5D03">
        <w:rPr>
          <w:rStyle w:val="apple-style-span"/>
          <w:rFonts w:hAnsi="標楷體"/>
          <w:spacing w:val="4"/>
          <w:sz w:val="30"/>
          <w:szCs w:val="30"/>
        </w:rPr>
        <w:t>資避險操作人並間接使外資發行人享受特定租稅優惠</w:t>
      </w:r>
      <w:r w:rsidRPr="007B5D03">
        <w:rPr>
          <w:rStyle w:val="apple-style-span"/>
          <w:rFonts w:hAnsi="標楷體"/>
          <w:sz w:val="30"/>
          <w:szCs w:val="30"/>
        </w:rPr>
        <w:t>措施之</w:t>
      </w:r>
      <w:r w:rsidRPr="007B5D03">
        <w:t>依據</w:t>
      </w:r>
      <w:r w:rsidRPr="007B5D03">
        <w:rPr>
          <w:rStyle w:val="apple-style-span"/>
          <w:rFonts w:hAnsi="標楷體"/>
          <w:sz w:val="30"/>
          <w:szCs w:val="30"/>
        </w:rPr>
        <w:t>，則「該條規定適用於代外資認購（售）權證發行人進行避險操作之情形」亦須符合憲法第七條平等權之意旨（亦即，該條規定「本身」（</w:t>
      </w:r>
      <w:r w:rsidRPr="007B5D03">
        <w:rPr>
          <w:rStyle w:val="apple-style-span"/>
          <w:sz w:val="30"/>
          <w:szCs w:val="30"/>
        </w:rPr>
        <w:t>as such</w:t>
      </w:r>
      <w:r w:rsidRPr="007B5D03">
        <w:rPr>
          <w:rStyle w:val="apple-style-span"/>
          <w:rFonts w:hAnsi="標楷體"/>
          <w:sz w:val="30"/>
          <w:szCs w:val="30"/>
        </w:rPr>
        <w:t>）未必全面違反平等權之規定，而係該條規定適用於為外資證</w:t>
      </w:r>
      <w:r w:rsidRPr="007B5D03">
        <w:rPr>
          <w:rStyle w:val="apple-style-span"/>
          <w:rFonts w:hAnsi="標楷體" w:hint="eastAsia"/>
          <w:sz w:val="30"/>
          <w:szCs w:val="30"/>
        </w:rPr>
        <w:t>券</w:t>
      </w:r>
      <w:r w:rsidRPr="007B5D03">
        <w:rPr>
          <w:rStyle w:val="apple-style-span"/>
          <w:rFonts w:hAnsi="標楷體"/>
          <w:sz w:val="30"/>
          <w:szCs w:val="30"/>
        </w:rPr>
        <w:t>發行人操作者的情形，可能違反平等權之規定）。蓋</w:t>
      </w:r>
      <w:r w:rsidRPr="007B5D03">
        <w:rPr>
          <w:rFonts w:hAnsi="標楷體"/>
          <w:sz w:val="30"/>
          <w:szCs w:val="30"/>
        </w:rPr>
        <w:t>憲法禁止無正當理由差別待遇之範圍，顯包括立法行為與執行法律之行為。憲法第七條所規定「在法律上一律平等」，應不限於執行法律時必須避免無正當理由之差別待遇；而應包括立法時亦必須避免無正當理由之差別待遇。此可</w:t>
      </w:r>
      <w:r w:rsidRPr="007B5D03">
        <w:rPr>
          <w:rFonts w:hAnsi="標楷體"/>
          <w:sz w:val="30"/>
          <w:szCs w:val="30"/>
        </w:rPr>
        <w:lastRenderedPageBreak/>
        <w:t>由憲法使用「法律上」一律平等，而非使用「法律之前」一律平等得知，憲法文義所保障平等權的範圍，顯然不限於法律制定後的執行層面；而包括法律規定本身必須符合平等原則之要求。換言之，立法機關與行政機關行使職權均應符合憲法平等原則的要求，避免無正當理由的差別待遇；不論租稅立法及租稅措施，如有違反平等權之情形，均有憲法上疑義。</w:t>
      </w:r>
    </w:p>
    <w:p w:rsidR="00514426" w:rsidRPr="007B5D03" w:rsidRDefault="00514426" w:rsidP="000E1F31">
      <w:pPr>
        <w:snapToGrid w:val="0"/>
        <w:spacing w:line="437" w:lineRule="exact"/>
        <w:ind w:left="595" w:hanging="595"/>
        <w:rPr>
          <w:rStyle w:val="apple-style-span"/>
          <w:sz w:val="30"/>
          <w:szCs w:val="30"/>
        </w:rPr>
      </w:pPr>
      <w:r w:rsidRPr="007B5D03">
        <w:rPr>
          <w:rStyle w:val="apple-style-span"/>
          <w:rFonts w:hAnsi="標楷體"/>
          <w:sz w:val="30"/>
          <w:szCs w:val="30"/>
        </w:rPr>
        <w:t>五、本件「為防止妨礙他人自由、避免緊急危難、維持社會秩序或增進公共利益」之情形並不明顯：</w:t>
      </w:r>
      <w:r w:rsidRPr="007B5D03">
        <w:rPr>
          <w:rStyle w:val="apple-style-span"/>
          <w:rFonts w:hAnsi="標楷體" w:hint="eastAsia"/>
          <w:sz w:val="30"/>
          <w:szCs w:val="30"/>
        </w:rPr>
        <w:br/>
      </w:r>
      <w:r w:rsidRPr="007B5D03">
        <w:rPr>
          <w:rStyle w:val="apple-style-span"/>
          <w:rFonts w:hAnsi="標楷體"/>
          <w:spacing w:val="4"/>
          <w:sz w:val="30"/>
          <w:szCs w:val="30"/>
        </w:rPr>
        <w:t>系爭各函所形成歧視國內證</w:t>
      </w:r>
      <w:r w:rsidRPr="007B5D03">
        <w:rPr>
          <w:rStyle w:val="apple-style-span"/>
          <w:rFonts w:hAnsi="標楷體" w:hint="eastAsia"/>
          <w:spacing w:val="4"/>
          <w:sz w:val="30"/>
          <w:szCs w:val="30"/>
        </w:rPr>
        <w:t>券</w:t>
      </w:r>
      <w:r w:rsidRPr="007B5D03">
        <w:rPr>
          <w:rStyle w:val="apple-style-span"/>
          <w:rFonts w:hAnsi="標楷體"/>
          <w:spacing w:val="4"/>
          <w:sz w:val="30"/>
          <w:szCs w:val="30"/>
        </w:rPr>
        <w:t>發行人之結果，其目的應與</w:t>
      </w:r>
      <w:r w:rsidRPr="007B5D03">
        <w:rPr>
          <w:rStyle w:val="apple-style-span"/>
          <w:rFonts w:hAnsi="標楷體"/>
          <w:spacing w:val="-8"/>
          <w:sz w:val="30"/>
          <w:szCs w:val="30"/>
        </w:rPr>
        <w:t>「防止妨礙他人自由」、「避免緊急危難」或「維持社會秩序」</w:t>
      </w:r>
      <w:r w:rsidRPr="007B5D03">
        <w:rPr>
          <w:rStyle w:val="apple-style-span"/>
          <w:rFonts w:hAnsi="標楷體"/>
          <w:spacing w:val="-4"/>
          <w:sz w:val="30"/>
          <w:szCs w:val="30"/>
        </w:rPr>
        <w:t>無直接關聯。比較相關者應為有無「增進公共利益」的目的。</w:t>
      </w:r>
      <w:r w:rsidRPr="007B5D03">
        <w:rPr>
          <w:rStyle w:val="apple-style-span"/>
          <w:rFonts w:hAnsi="標楷體"/>
          <w:sz w:val="30"/>
          <w:szCs w:val="30"/>
        </w:rPr>
        <w:t>惟由系爭課稅之性質而言，此種差別待遇是否有「增進公共利益」的目的，並不明顯；縱使具備「增進公共利益」的目的，較可想像者，僅有增加國庫收入、減少課徵困難、履行國際義務（詳如後述）。較難確定者，財政部在此是否有減低證</w:t>
      </w:r>
      <w:r w:rsidRPr="007B5D03">
        <w:rPr>
          <w:rStyle w:val="apple-style-span"/>
          <w:rFonts w:hAnsi="標楷體" w:hint="eastAsia"/>
          <w:sz w:val="30"/>
          <w:szCs w:val="30"/>
        </w:rPr>
        <w:t>券</w:t>
      </w:r>
      <w:r w:rsidRPr="007B5D03">
        <w:rPr>
          <w:rStyle w:val="apple-style-span"/>
          <w:rFonts w:hAnsi="標楷體"/>
          <w:sz w:val="30"/>
          <w:szCs w:val="30"/>
        </w:rPr>
        <w:t>發行人投入發行衍生性金融商品行列之意願。然由財</w:t>
      </w:r>
      <w:r w:rsidRPr="007B5D03">
        <w:rPr>
          <w:rStyle w:val="apple-style-span"/>
          <w:rFonts w:hAnsi="標楷體"/>
          <w:spacing w:val="4"/>
          <w:sz w:val="30"/>
          <w:szCs w:val="30"/>
        </w:rPr>
        <w:t>政部允許為外資發行人進行避險操作之人將收入之百分之</w:t>
      </w:r>
      <w:r w:rsidRPr="007B5D03">
        <w:rPr>
          <w:rStyle w:val="apple-style-span"/>
          <w:rFonts w:hAnsi="標楷體"/>
          <w:sz w:val="30"/>
          <w:szCs w:val="30"/>
        </w:rPr>
        <w:t>八十五列為成本可知，減低發行認購（售）權證之意願並非財政部相關措施之目的。</w:t>
      </w:r>
    </w:p>
    <w:p w:rsidR="00514426" w:rsidRPr="007B5D03" w:rsidRDefault="00514426" w:rsidP="00FB2D5A">
      <w:pPr>
        <w:snapToGrid w:val="0"/>
        <w:spacing w:line="437" w:lineRule="exact"/>
        <w:ind w:left="680" w:hanging="680"/>
        <w:rPr>
          <w:rStyle w:val="apple-style-span"/>
          <w:sz w:val="30"/>
          <w:szCs w:val="30"/>
        </w:rPr>
      </w:pPr>
      <w:r w:rsidRPr="007B5D03">
        <w:rPr>
          <w:rStyle w:val="apple-style-span"/>
          <w:rFonts w:hAnsi="標楷體"/>
          <w:sz w:val="30"/>
          <w:szCs w:val="30"/>
        </w:rPr>
        <w:t>六、本件情形，是否符合「必要」要件，亦值得懷疑：</w:t>
      </w:r>
    </w:p>
    <w:p w:rsidR="00514426" w:rsidRPr="007B5D03" w:rsidRDefault="00514426" w:rsidP="007A04D5">
      <w:pPr>
        <w:snapToGrid w:val="0"/>
        <w:spacing w:line="437" w:lineRule="exact"/>
        <w:ind w:left="1225" w:hanging="907"/>
        <w:rPr>
          <w:rStyle w:val="apple-style-span"/>
          <w:sz w:val="30"/>
          <w:szCs w:val="30"/>
        </w:rPr>
      </w:pPr>
      <w:r w:rsidRPr="007B5D03">
        <w:rPr>
          <w:rStyle w:val="apple-style-span"/>
          <w:rFonts w:hAnsi="標楷體"/>
          <w:sz w:val="30"/>
          <w:szCs w:val="30"/>
        </w:rPr>
        <w:t>（一）財政部此種差別待遇之措施縱有增加國庫收入、減少課</w:t>
      </w:r>
      <w:r w:rsidRPr="007B5D03">
        <w:rPr>
          <w:rStyle w:val="apple-style-span"/>
          <w:rFonts w:hAnsi="標楷體"/>
          <w:spacing w:val="4"/>
          <w:sz w:val="30"/>
          <w:szCs w:val="30"/>
        </w:rPr>
        <w:t>徵困難，此種公共利益，在量上（</w:t>
      </w:r>
      <w:r w:rsidRPr="007B5D03">
        <w:rPr>
          <w:rStyle w:val="apple-style-span"/>
          <w:spacing w:val="4"/>
          <w:sz w:val="30"/>
          <w:szCs w:val="30"/>
        </w:rPr>
        <w:t>quantitatively</w:t>
      </w:r>
      <w:r w:rsidRPr="007B5D03">
        <w:rPr>
          <w:rStyle w:val="apple-style-span"/>
          <w:rFonts w:hAnsi="標楷體"/>
          <w:spacing w:val="4"/>
          <w:sz w:val="30"/>
          <w:szCs w:val="30"/>
        </w:rPr>
        <w:t>）可能</w:t>
      </w:r>
      <w:r w:rsidRPr="007B5D03">
        <w:rPr>
          <w:rStyle w:val="apple-style-span"/>
          <w:rFonts w:hAnsi="標楷體"/>
          <w:sz w:val="30"/>
          <w:szCs w:val="30"/>
        </w:rPr>
        <w:t>巨大（例如本件所有聲請人因此種差別待遇總共被課稅</w:t>
      </w:r>
      <w:r w:rsidRPr="007B5D03">
        <w:rPr>
          <w:rStyle w:val="apple-style-span"/>
          <w:rFonts w:hAnsi="標楷體"/>
          <w:spacing w:val="-4"/>
          <w:sz w:val="30"/>
          <w:szCs w:val="30"/>
        </w:rPr>
        <w:t>之金額達一百餘億元），但在質上（</w:t>
      </w:r>
      <w:r w:rsidRPr="007B5D03">
        <w:rPr>
          <w:rStyle w:val="apple-style-span"/>
          <w:spacing w:val="-4"/>
          <w:sz w:val="30"/>
          <w:szCs w:val="30"/>
        </w:rPr>
        <w:t>qualitatively</w:t>
      </w:r>
      <w:r w:rsidRPr="007B5D03">
        <w:rPr>
          <w:rStyle w:val="apple-style-span"/>
          <w:rFonts w:hAnsi="標楷體"/>
          <w:spacing w:val="-4"/>
          <w:sz w:val="30"/>
          <w:szCs w:val="30"/>
        </w:rPr>
        <w:t>），此種</w:t>
      </w:r>
      <w:r w:rsidRPr="007B5D03">
        <w:rPr>
          <w:rStyle w:val="apple-style-span"/>
          <w:rFonts w:hAnsi="標楷體"/>
          <w:sz w:val="30"/>
          <w:szCs w:val="30"/>
        </w:rPr>
        <w:t>差別待遇是否係為重要之權益保障，尚有疑問。並且，此種差</w:t>
      </w:r>
      <w:r w:rsidRPr="007B5D03">
        <w:rPr>
          <w:rStyle w:val="apple-style-span"/>
          <w:rFonts w:hAnsi="標楷體"/>
          <w:sz w:val="30"/>
          <w:szCs w:val="30"/>
        </w:rPr>
        <w:lastRenderedPageBreak/>
        <w:t>別待遇固然可以增加國庫收入，然其對作為憲法</w:t>
      </w:r>
      <w:r w:rsidRPr="007B5D03">
        <w:rPr>
          <w:rStyle w:val="apple-style-span"/>
          <w:rFonts w:hAnsi="標楷體"/>
          <w:spacing w:val="4"/>
          <w:sz w:val="30"/>
          <w:szCs w:val="30"/>
        </w:rPr>
        <w:t>重要權利的平等權造成的侵害，極為明顯、直接而重</w:t>
      </w:r>
      <w:r w:rsidRPr="007B5D03">
        <w:rPr>
          <w:rStyle w:val="apple-style-span"/>
          <w:rFonts w:hAnsi="標楷體"/>
          <w:sz w:val="30"/>
          <w:szCs w:val="30"/>
        </w:rPr>
        <w:t>大。在檢視憲法第二十三條規定時，自應權衡與平衡此等因素。並且，財政部如欲增加國庫收入，為何非以將外資發行人一體適用課稅之方式達成；如欲減少課稅困難，又為何非以使國內發行人一體享受推計百分之八十</w:t>
      </w:r>
      <w:r w:rsidRPr="007B5D03">
        <w:rPr>
          <w:rStyle w:val="apple-style-span"/>
          <w:rFonts w:hAnsi="標楷體"/>
          <w:spacing w:val="4"/>
          <w:sz w:val="30"/>
          <w:szCs w:val="30"/>
        </w:rPr>
        <w:t>五作為成本之利益之方式達成？此亦顯示財政部如為達成增加國庫收入或減少課稅困難，客觀上均有其他</w:t>
      </w:r>
      <w:r w:rsidRPr="007B5D03">
        <w:rPr>
          <w:rStyle w:val="apple-style-span"/>
          <w:rFonts w:hAnsi="標楷體"/>
          <w:sz w:val="30"/>
          <w:szCs w:val="30"/>
        </w:rPr>
        <w:t>「較不侵害憲法權利」的方法存在。本席認為，在權衡與平衡相關因素，並在客觀上有其他「較不侵害憲法權利」的方法存在的情形下，甚難認為財政部系爭函間所形成之差別待遇，符合憲法第二十三條之必要性要件。</w:t>
      </w:r>
    </w:p>
    <w:p w:rsidR="00514426" w:rsidRPr="007B5D03" w:rsidRDefault="00514426" w:rsidP="007A04D5">
      <w:pPr>
        <w:snapToGrid w:val="0"/>
        <w:spacing w:line="437" w:lineRule="exact"/>
        <w:ind w:left="1225" w:hanging="907"/>
        <w:rPr>
          <w:rStyle w:val="apple-style-span"/>
          <w:sz w:val="30"/>
          <w:szCs w:val="30"/>
        </w:rPr>
      </w:pPr>
      <w:r w:rsidRPr="007B5D03">
        <w:rPr>
          <w:rStyle w:val="apple-style-span"/>
          <w:rFonts w:hAnsi="標楷體"/>
          <w:sz w:val="30"/>
          <w:szCs w:val="30"/>
        </w:rPr>
        <w:t>（二</w:t>
      </w:r>
      <w:r w:rsidRPr="007B5D03">
        <w:rPr>
          <w:rStyle w:val="apple-style-span"/>
          <w:rFonts w:hAnsi="標楷體"/>
          <w:spacing w:val="14"/>
          <w:sz w:val="30"/>
          <w:szCs w:val="30"/>
        </w:rPr>
        <w:t>）如</w:t>
      </w:r>
      <w:r w:rsidRPr="007B5D03">
        <w:rPr>
          <w:rStyle w:val="apple-style-span"/>
          <w:rFonts w:hAnsi="標楷體"/>
          <w:sz w:val="30"/>
          <w:szCs w:val="30"/>
        </w:rPr>
        <w:t>前所述，財政部此種差別待遇另一項「可能」「增進公共</w:t>
      </w:r>
      <w:r w:rsidRPr="007B5D03">
        <w:rPr>
          <w:rStyle w:val="apple-style-span"/>
          <w:sz w:val="30"/>
          <w:szCs w:val="30"/>
        </w:rPr>
        <w:t>利益</w:t>
      </w:r>
      <w:r w:rsidRPr="007B5D03">
        <w:rPr>
          <w:rStyle w:val="apple-style-span"/>
          <w:rFonts w:hAnsi="標楷體"/>
          <w:sz w:val="30"/>
          <w:szCs w:val="30"/>
        </w:rPr>
        <w:t>」的理由，為履行我國之國際義務。我國為世界貿易組織（</w:t>
      </w:r>
      <w:r w:rsidRPr="007B5D03">
        <w:rPr>
          <w:rStyle w:val="apple-style-span"/>
          <w:sz w:val="30"/>
          <w:szCs w:val="30"/>
        </w:rPr>
        <w:t>World Trade Organization</w:t>
      </w:r>
      <w:r w:rsidRPr="007B5D03">
        <w:rPr>
          <w:rStyle w:val="apple-style-span"/>
          <w:rFonts w:hAnsi="標楷體"/>
          <w:sz w:val="30"/>
          <w:szCs w:val="30"/>
        </w:rPr>
        <w:t>；簡稱</w:t>
      </w:r>
      <w:r w:rsidRPr="007B5D03">
        <w:rPr>
          <w:rStyle w:val="apple-style-span"/>
          <w:sz w:val="30"/>
          <w:szCs w:val="30"/>
        </w:rPr>
        <w:t>WTO</w:t>
      </w:r>
      <w:r w:rsidRPr="007B5D03">
        <w:rPr>
          <w:rStyle w:val="apple-style-span"/>
          <w:rFonts w:hAnsi="標楷體"/>
          <w:sz w:val="30"/>
          <w:szCs w:val="30"/>
        </w:rPr>
        <w:t>）之</w:t>
      </w:r>
      <w:r w:rsidRPr="007B5D03">
        <w:rPr>
          <w:rStyle w:val="apple-style-span"/>
          <w:rFonts w:hAnsi="標楷體"/>
          <w:spacing w:val="6"/>
          <w:sz w:val="30"/>
          <w:szCs w:val="30"/>
        </w:rPr>
        <w:t>會員。在</w:t>
      </w:r>
      <w:r w:rsidRPr="007B5D03">
        <w:rPr>
          <w:rStyle w:val="apple-style-span"/>
          <w:spacing w:val="6"/>
          <w:sz w:val="30"/>
          <w:szCs w:val="30"/>
        </w:rPr>
        <w:t>WTO</w:t>
      </w:r>
      <w:r w:rsidRPr="007B5D03">
        <w:rPr>
          <w:rStyle w:val="apple-style-span"/>
          <w:rFonts w:hAnsi="標楷體"/>
          <w:spacing w:val="6"/>
          <w:sz w:val="30"/>
          <w:szCs w:val="30"/>
        </w:rPr>
        <w:t>之下，我國必須遵守服務貿易總協定</w:t>
      </w:r>
      <w:r w:rsidRPr="007B5D03">
        <w:rPr>
          <w:rStyle w:val="apple-style-span"/>
          <w:rFonts w:hAnsi="標楷體"/>
          <w:sz w:val="30"/>
          <w:szCs w:val="30"/>
        </w:rPr>
        <w:t>（</w:t>
      </w:r>
      <w:r w:rsidRPr="007B5D03">
        <w:rPr>
          <w:rStyle w:val="apple-style-span"/>
          <w:sz w:val="30"/>
          <w:szCs w:val="30"/>
        </w:rPr>
        <w:t>General Agreement on Trade in Services</w:t>
      </w:r>
      <w:r w:rsidRPr="007B5D03">
        <w:rPr>
          <w:rStyle w:val="apple-style-span"/>
          <w:rFonts w:hAnsi="標楷體"/>
          <w:sz w:val="30"/>
          <w:szCs w:val="30"/>
        </w:rPr>
        <w:t>；簡稱</w:t>
      </w:r>
      <w:r w:rsidRPr="007B5D03">
        <w:rPr>
          <w:rStyle w:val="apple-style-span"/>
          <w:sz w:val="30"/>
          <w:szCs w:val="30"/>
        </w:rPr>
        <w:t xml:space="preserve"> GATS</w:t>
      </w:r>
      <w:r w:rsidRPr="007B5D03">
        <w:rPr>
          <w:rStyle w:val="apple-style-span"/>
          <w:rFonts w:hAnsi="標楷體"/>
          <w:sz w:val="30"/>
          <w:szCs w:val="30"/>
        </w:rPr>
        <w:t>）之規定以及我國在</w:t>
      </w:r>
      <w:r w:rsidRPr="007B5D03">
        <w:rPr>
          <w:rStyle w:val="apple-style-span"/>
          <w:sz w:val="30"/>
          <w:szCs w:val="30"/>
        </w:rPr>
        <w:t>GATS</w:t>
      </w:r>
      <w:r w:rsidRPr="007B5D03">
        <w:rPr>
          <w:rStyle w:val="apple-style-span"/>
          <w:rFonts w:hAnsi="標楷體"/>
          <w:sz w:val="30"/>
          <w:szCs w:val="30"/>
        </w:rPr>
        <w:t>下的市場開放承諾。外資業者</w:t>
      </w:r>
      <w:r w:rsidRPr="007B5D03">
        <w:rPr>
          <w:rStyle w:val="apple-style-span"/>
          <w:rFonts w:hAnsi="標楷體"/>
          <w:spacing w:val="4"/>
          <w:sz w:val="30"/>
          <w:szCs w:val="30"/>
        </w:rPr>
        <w:t>在國內發行權證以及外資業者在國內代他人進行避險</w:t>
      </w:r>
      <w:r w:rsidRPr="007B5D03">
        <w:rPr>
          <w:rStyle w:val="apple-style-span"/>
          <w:rFonts w:hAnsi="標楷體"/>
          <w:sz w:val="30"/>
          <w:szCs w:val="30"/>
        </w:rPr>
        <w:t>操作而買賣股票，均屬金融服務的一種類型；我國針對外資業者在我國發行證</w:t>
      </w:r>
      <w:r w:rsidRPr="007B5D03">
        <w:rPr>
          <w:rStyle w:val="apple-style-span"/>
          <w:rFonts w:hAnsi="標楷體" w:hint="eastAsia"/>
          <w:sz w:val="30"/>
          <w:szCs w:val="30"/>
        </w:rPr>
        <w:t>券</w:t>
      </w:r>
      <w:r w:rsidRPr="007B5D03">
        <w:rPr>
          <w:rStyle w:val="apple-style-span"/>
          <w:rFonts w:hAnsi="標楷體"/>
          <w:sz w:val="30"/>
          <w:szCs w:val="30"/>
        </w:rPr>
        <w:t>及為他人進行證券買賣，亦曾在</w:t>
      </w:r>
      <w:r w:rsidRPr="007B5D03">
        <w:rPr>
          <w:rStyle w:val="apple-style-span"/>
          <w:sz w:val="30"/>
          <w:szCs w:val="30"/>
        </w:rPr>
        <w:t>GATS</w:t>
      </w:r>
      <w:r w:rsidRPr="007B5D03">
        <w:rPr>
          <w:rStyle w:val="apple-style-span"/>
          <w:rFonts w:hAnsi="標楷體"/>
          <w:sz w:val="30"/>
          <w:szCs w:val="30"/>
        </w:rPr>
        <w:t>之下承諾開放市場。</w:t>
      </w:r>
      <w:r w:rsidRPr="007B5D03">
        <w:rPr>
          <w:rStyle w:val="apple-style-span"/>
          <w:rFonts w:hAnsi="標楷體"/>
          <w:sz w:val="20"/>
        </w:rPr>
        <w:t>（註二）</w:t>
      </w:r>
      <w:r w:rsidRPr="007B5D03">
        <w:rPr>
          <w:rStyle w:val="apple-style-span"/>
          <w:sz w:val="30"/>
          <w:szCs w:val="30"/>
        </w:rPr>
        <w:t>GATS</w:t>
      </w:r>
      <w:r w:rsidRPr="007B5D03">
        <w:rPr>
          <w:rStyle w:val="apple-style-span"/>
          <w:rFonts w:hAnsi="標楷體"/>
          <w:sz w:val="30"/>
          <w:szCs w:val="30"/>
        </w:rPr>
        <w:t>第六條第一項規定</w:t>
      </w:r>
      <w:r w:rsidRPr="007B5D03">
        <w:rPr>
          <w:rFonts w:hAnsi="標楷體"/>
          <w:sz w:val="30"/>
          <w:szCs w:val="30"/>
        </w:rPr>
        <w:t>：「就會員已經作成特定承諾之部門，該會員應確保影響服務貿易之所有一般性適用之措施，均以合理、客觀且公正之方式實施。」</w:t>
      </w:r>
      <w:r w:rsidRPr="007B5D03">
        <w:rPr>
          <w:rFonts w:hAnsi="標楷體"/>
          <w:sz w:val="20"/>
        </w:rPr>
        <w:t>（註三）</w:t>
      </w:r>
      <w:r w:rsidRPr="007B5D03">
        <w:rPr>
          <w:rFonts w:hAnsi="標楷體"/>
          <w:sz w:val="30"/>
          <w:szCs w:val="30"/>
        </w:rPr>
        <w:t>由於本件涉及證</w:t>
      </w:r>
      <w:r w:rsidRPr="007B5D03">
        <w:rPr>
          <w:rFonts w:hAnsi="標楷體" w:hint="eastAsia"/>
          <w:sz w:val="30"/>
          <w:szCs w:val="30"/>
        </w:rPr>
        <w:t>券</w:t>
      </w:r>
      <w:r w:rsidRPr="007B5D03">
        <w:rPr>
          <w:rFonts w:hAnsi="標楷體"/>
          <w:sz w:val="30"/>
          <w:szCs w:val="30"/>
        </w:rPr>
        <w:t>（認購（售）權證）之發行及證券（避險操作之標的股票）之買賣，</w:t>
      </w:r>
      <w:r w:rsidRPr="007B5D03">
        <w:rPr>
          <w:rFonts w:hAnsi="標楷體"/>
          <w:sz w:val="30"/>
          <w:szCs w:val="30"/>
        </w:rPr>
        <w:lastRenderedPageBreak/>
        <w:t>屬我國已經作成特定承諾之金融服務部門，而租稅規範又屬於影響服務貿易之一般性適用的措施，故將租稅規範適用於外資業者時，自亦應以合理、客觀且公正之方式實施。倘若財政部完全不許外資發行人或避險操作者將其在我國發行認購（售）權證或進行避險操作的一切成本與損失，作為得在所得總額中扣除之成本與損失，固然「有可能」被認為有違合理性，進而影響服務貿易，並「有可能」被認為違反</w:t>
      </w:r>
      <w:r w:rsidRPr="007B5D03">
        <w:rPr>
          <w:rStyle w:val="apple-style-span"/>
          <w:sz w:val="30"/>
          <w:szCs w:val="30"/>
        </w:rPr>
        <w:t>GATS</w:t>
      </w:r>
      <w:r w:rsidRPr="007B5D03">
        <w:rPr>
          <w:rStyle w:val="apple-style-span"/>
          <w:rFonts w:hAnsi="標楷體"/>
          <w:sz w:val="30"/>
          <w:szCs w:val="30"/>
        </w:rPr>
        <w:t>第六條第一項之規定</w:t>
      </w:r>
      <w:r w:rsidRPr="007B5D03">
        <w:rPr>
          <w:rFonts w:hAnsi="標楷體"/>
          <w:sz w:val="30"/>
          <w:szCs w:val="30"/>
        </w:rPr>
        <w:t>（惟是否確有違背該條規定，並非本意見書主要意旨）</w:t>
      </w:r>
      <w:r w:rsidRPr="007B5D03">
        <w:rPr>
          <w:rStyle w:val="apple-style-span"/>
          <w:rFonts w:hAnsi="標楷體"/>
          <w:sz w:val="30"/>
          <w:szCs w:val="30"/>
        </w:rPr>
        <w:t>；然縱使如此，亦不能合理化對於國內發行人所造成之歧視性差別待遇。蓋為符合</w:t>
      </w:r>
      <w:r w:rsidRPr="007B5D03">
        <w:rPr>
          <w:rStyle w:val="apple-style-span"/>
          <w:sz w:val="30"/>
          <w:szCs w:val="30"/>
        </w:rPr>
        <w:t>GATS</w:t>
      </w:r>
      <w:r w:rsidRPr="007B5D03">
        <w:rPr>
          <w:rStyle w:val="apple-style-span"/>
          <w:rFonts w:hAnsi="標楷體"/>
          <w:sz w:val="30"/>
          <w:szCs w:val="30"/>
        </w:rPr>
        <w:t>第六條第一項之規定，並非必須以歧視國內業者之方式達成不可。</w:t>
      </w:r>
      <w:r w:rsidRPr="007B5D03">
        <w:rPr>
          <w:rStyle w:val="apple-style-span"/>
          <w:rFonts w:hAnsi="標楷體"/>
          <w:spacing w:val="4"/>
          <w:sz w:val="30"/>
          <w:szCs w:val="30"/>
        </w:rPr>
        <w:t>財政部如使國內業者亦適用與外資發行人所可間接享</w:t>
      </w:r>
      <w:r w:rsidRPr="007B5D03">
        <w:rPr>
          <w:rStyle w:val="apple-style-span"/>
          <w:rFonts w:hAnsi="標楷體"/>
          <w:sz w:val="30"/>
          <w:szCs w:val="30"/>
        </w:rPr>
        <w:t>受之推計成本之處理方式，不但不違背</w:t>
      </w:r>
      <w:r w:rsidRPr="007B5D03">
        <w:rPr>
          <w:rStyle w:val="apple-style-span"/>
          <w:sz w:val="30"/>
          <w:szCs w:val="30"/>
        </w:rPr>
        <w:t>GATS</w:t>
      </w:r>
      <w:r w:rsidRPr="007B5D03">
        <w:rPr>
          <w:rStyle w:val="apple-style-span"/>
          <w:rFonts w:hAnsi="標楷體"/>
          <w:sz w:val="30"/>
          <w:szCs w:val="30"/>
        </w:rPr>
        <w:t>第六條第一項之規定，反而更符合該條「</w:t>
      </w:r>
      <w:r w:rsidRPr="007B5D03">
        <w:rPr>
          <w:rFonts w:hAnsi="標楷體"/>
          <w:sz w:val="30"/>
          <w:szCs w:val="30"/>
        </w:rPr>
        <w:t>合理、客觀且公正」之</w:t>
      </w:r>
      <w:r w:rsidRPr="007B5D03">
        <w:rPr>
          <w:rStyle w:val="apple-style-span"/>
          <w:rFonts w:hAnsi="標楷體"/>
          <w:sz w:val="30"/>
          <w:szCs w:val="30"/>
        </w:rPr>
        <w:t>意旨。換言之，財政部如為符合我國在</w:t>
      </w:r>
      <w:r w:rsidRPr="007B5D03">
        <w:rPr>
          <w:rStyle w:val="apple-style-span"/>
          <w:sz w:val="30"/>
          <w:szCs w:val="30"/>
        </w:rPr>
        <w:t>WTO</w:t>
      </w:r>
      <w:r w:rsidRPr="007B5D03">
        <w:rPr>
          <w:rStyle w:val="apple-style-span"/>
          <w:rFonts w:hAnsi="標楷體"/>
          <w:sz w:val="30"/>
          <w:szCs w:val="30"/>
        </w:rPr>
        <w:t>下之國際義務，客觀上尚有其他「較不侵害憲法權利」的方法存</w:t>
      </w:r>
      <w:r w:rsidRPr="007B5D03">
        <w:rPr>
          <w:rStyle w:val="apple-style-span"/>
          <w:rFonts w:hAnsi="標楷體"/>
          <w:spacing w:val="-4"/>
          <w:sz w:val="30"/>
          <w:szCs w:val="30"/>
        </w:rPr>
        <w:t>在。故本席認為，在客觀上有其他「較不侵害憲法權利」</w:t>
      </w:r>
      <w:r w:rsidRPr="007B5D03">
        <w:rPr>
          <w:rStyle w:val="apple-style-span"/>
          <w:rFonts w:hAnsi="標楷體"/>
          <w:sz w:val="30"/>
          <w:szCs w:val="30"/>
        </w:rPr>
        <w:t>的方法存在的情形下，縱使系爭差別待遇之目的係為符合我國之國際義務，亦難認其符合憲法第二十三條之必要性要件。</w:t>
      </w:r>
    </w:p>
    <w:p w:rsidR="00514426" w:rsidRPr="007B5D03" w:rsidRDefault="00514426" w:rsidP="007A04D5">
      <w:pPr>
        <w:snapToGrid w:val="0"/>
        <w:spacing w:line="437" w:lineRule="exact"/>
        <w:ind w:left="624" w:hanging="624"/>
        <w:rPr>
          <w:rStyle w:val="apple-style-span"/>
          <w:sz w:val="30"/>
          <w:szCs w:val="30"/>
        </w:rPr>
      </w:pPr>
      <w:r w:rsidRPr="007B5D03">
        <w:rPr>
          <w:rStyle w:val="apple-style-span"/>
          <w:rFonts w:hAnsi="標楷體"/>
          <w:sz w:val="30"/>
          <w:szCs w:val="30"/>
        </w:rPr>
        <w:t>七、本席有關系爭各函間所形成之差別待遇違反憲法平等權之見解，雖未為多數意見所採納，但仍期相關機關將來在制定相關規範及採行相關租稅措施時，將憲法平等權規範之意旨以及憲法第二十三條保護公共利益之必要性，納為基本原則及</w:t>
      </w:r>
      <w:r w:rsidRPr="007B5D03">
        <w:rPr>
          <w:rStyle w:val="apple-style-span"/>
          <w:rFonts w:hAnsi="標楷體"/>
          <w:spacing w:val="4"/>
          <w:sz w:val="30"/>
          <w:szCs w:val="30"/>
        </w:rPr>
        <w:t>重要考量，避免以提供外資業者之待遇優於國內業者之方</w:t>
      </w:r>
      <w:r w:rsidRPr="007B5D03">
        <w:rPr>
          <w:rStyle w:val="apple-style-span"/>
          <w:rFonts w:hAnsi="標楷體"/>
          <w:sz w:val="30"/>
          <w:szCs w:val="30"/>
        </w:rPr>
        <w:t>式，造成對國內業者不利之結果，而引起憲法上權利遭受侵害之</w:t>
      </w:r>
      <w:r w:rsidRPr="007B5D03">
        <w:rPr>
          <w:rStyle w:val="apple-style-span"/>
          <w:rFonts w:hAnsi="標楷體"/>
          <w:sz w:val="30"/>
          <w:szCs w:val="30"/>
        </w:rPr>
        <w:lastRenderedPageBreak/>
        <w:t>疑慮。</w:t>
      </w:r>
    </w:p>
    <w:p w:rsidR="00514426" w:rsidRPr="007B5D03" w:rsidRDefault="00514426" w:rsidP="007A04D5">
      <w:pPr>
        <w:spacing w:line="437" w:lineRule="exact"/>
        <w:ind w:left="1112" w:hanging="794"/>
        <w:rPr>
          <w:sz w:val="26"/>
          <w:szCs w:val="26"/>
        </w:rPr>
      </w:pPr>
      <w:r w:rsidRPr="007B5D03">
        <w:rPr>
          <w:rFonts w:hAnsi="標楷體"/>
          <w:sz w:val="26"/>
          <w:szCs w:val="26"/>
        </w:rPr>
        <w:t>註一：</w:t>
      </w:r>
      <w:bookmarkStart w:id="4" w:name="sp_999_1"/>
      <w:bookmarkStart w:id="5" w:name="SDU_1"/>
      <w:r w:rsidRPr="007B5D03">
        <w:rPr>
          <w:sz w:val="26"/>
          <w:szCs w:val="26"/>
        </w:rPr>
        <w:t xml:space="preserve">Marco Venuti, </w:t>
      </w:r>
      <w:r w:rsidRPr="007B5D03">
        <w:rPr>
          <w:i/>
          <w:sz w:val="26"/>
          <w:szCs w:val="26"/>
        </w:rPr>
        <w:t xml:space="preserve">Measuring Company Income Tax on the Basis of the </w:t>
      </w:r>
      <w:r w:rsidRPr="007B5D03">
        <w:rPr>
          <w:i/>
          <w:spacing w:val="10"/>
          <w:sz w:val="26"/>
          <w:szCs w:val="26"/>
        </w:rPr>
        <w:t>International Accounting Standards/International Financial</w:t>
      </w:r>
      <w:r w:rsidRPr="007B5D03">
        <w:rPr>
          <w:i/>
          <w:sz w:val="26"/>
          <w:szCs w:val="26"/>
        </w:rPr>
        <w:t xml:space="preserve"> Reporting Standards (IAS/IFRS): the Italian Case</w:t>
      </w:r>
      <w:r w:rsidRPr="007B5D03">
        <w:rPr>
          <w:sz w:val="26"/>
          <w:szCs w:val="26"/>
        </w:rPr>
        <w:t>, B.T.R. 2010, 4, 361-375, at 363 (2010); J. Clifton Fleming, Jr</w:t>
      </w:r>
      <w:bookmarkStart w:id="6" w:name="FNRFaa1288235976"/>
      <w:bookmarkEnd w:id="6"/>
      <w:r w:rsidRPr="007B5D03">
        <w:rPr>
          <w:sz w:val="26"/>
          <w:szCs w:val="26"/>
        </w:rPr>
        <w:t xml:space="preserve">. </w:t>
      </w:r>
      <w:hyperlink r:id="rId12" w:tgtFrame="_top" w:history="1">
        <w:r w:rsidRPr="007B5D03">
          <w:rPr>
            <w:sz w:val="26"/>
            <w:szCs w:val="26"/>
          </w:rPr>
          <w:t>Robert J. Peroni</w:t>
        </w:r>
      </w:hyperlink>
      <w:r w:rsidRPr="007B5D03">
        <w:rPr>
          <w:sz w:val="26"/>
          <w:szCs w:val="26"/>
        </w:rPr>
        <w:t xml:space="preserve">, and </w:t>
      </w:r>
      <w:hyperlink r:id="rId13" w:tgtFrame="_top" w:history="1">
        <w:r w:rsidRPr="007B5D03">
          <w:rPr>
            <w:sz w:val="26"/>
            <w:szCs w:val="26"/>
          </w:rPr>
          <w:t>Stephen E. Shay</w:t>
        </w:r>
      </w:hyperlink>
      <w:r w:rsidRPr="007B5D03">
        <w:rPr>
          <w:sz w:val="26"/>
          <w:szCs w:val="26"/>
        </w:rPr>
        <w:t xml:space="preserve">, </w:t>
      </w:r>
      <w:r w:rsidRPr="007B5D03">
        <w:rPr>
          <w:i/>
          <w:sz w:val="26"/>
          <w:szCs w:val="26"/>
        </w:rPr>
        <w:t>Fairness in International Taxation: The Ability-To-Pay Case for Taxing Worldwide Income</w:t>
      </w:r>
      <w:bookmarkStart w:id="7" w:name="FNRFa1288235976"/>
      <w:bookmarkEnd w:id="4"/>
      <w:bookmarkEnd w:id="5"/>
      <w:bookmarkEnd w:id="7"/>
      <w:r w:rsidRPr="007B5D03">
        <w:rPr>
          <w:sz w:val="26"/>
          <w:szCs w:val="26"/>
        </w:rPr>
        <w:t>, 5 Fla. Tax Rev. 299, at 307 (2001).</w:t>
      </w:r>
    </w:p>
    <w:p w:rsidR="00514426" w:rsidRPr="007B5D03" w:rsidRDefault="00514426" w:rsidP="007A04D5">
      <w:pPr>
        <w:spacing w:line="437" w:lineRule="exact"/>
        <w:ind w:left="1112" w:hanging="794"/>
        <w:rPr>
          <w:sz w:val="26"/>
          <w:szCs w:val="26"/>
        </w:rPr>
      </w:pPr>
      <w:r w:rsidRPr="007B5D03">
        <w:rPr>
          <w:rFonts w:hAnsi="標楷體"/>
          <w:sz w:val="26"/>
          <w:szCs w:val="26"/>
        </w:rPr>
        <w:t>註二：</w:t>
      </w:r>
      <w:r w:rsidRPr="007B5D03">
        <w:rPr>
          <w:rFonts w:hAnsi="標楷體"/>
          <w:spacing w:val="-4"/>
          <w:sz w:val="26"/>
          <w:szCs w:val="26"/>
        </w:rPr>
        <w:t>我國在</w:t>
      </w:r>
      <w:r w:rsidRPr="007B5D03">
        <w:rPr>
          <w:spacing w:val="-4"/>
          <w:sz w:val="26"/>
          <w:szCs w:val="26"/>
        </w:rPr>
        <w:t>WTO</w:t>
      </w:r>
      <w:r w:rsidRPr="007B5D03">
        <w:rPr>
          <w:rFonts w:hAnsi="標楷體"/>
          <w:spacing w:val="-4"/>
          <w:sz w:val="26"/>
          <w:szCs w:val="26"/>
        </w:rPr>
        <w:t>下之服務貿易特定承諾表，請見經濟部國際貿易局網站</w:t>
      </w:r>
      <w:hyperlink r:id="rId14" w:history="1">
        <w:r w:rsidRPr="007B5D03">
          <w:rPr>
            <w:sz w:val="26"/>
            <w:szCs w:val="26"/>
            <w:u w:val="single"/>
          </w:rPr>
          <w:t>http://cwto.trade.gov.tw/kmi.asp?xdurl=kmif.asp&amp;cat=CAT313</w:t>
        </w:r>
      </w:hyperlink>
      <w:r w:rsidRPr="007B5D03">
        <w:rPr>
          <w:rFonts w:hAnsi="標楷體"/>
          <w:sz w:val="26"/>
          <w:szCs w:val="26"/>
        </w:rPr>
        <w:t>。</w:t>
      </w:r>
    </w:p>
    <w:p w:rsidR="00514426" w:rsidRPr="007B5D03" w:rsidRDefault="00514426" w:rsidP="007A04D5">
      <w:pPr>
        <w:spacing w:line="437" w:lineRule="exact"/>
        <w:ind w:left="1112" w:hanging="794"/>
        <w:rPr>
          <w:sz w:val="26"/>
          <w:szCs w:val="26"/>
        </w:rPr>
      </w:pPr>
      <w:r w:rsidRPr="007B5D03">
        <w:rPr>
          <w:rFonts w:hAnsi="標楷體"/>
          <w:sz w:val="26"/>
          <w:szCs w:val="26"/>
        </w:rPr>
        <w:t>註三：</w:t>
      </w:r>
      <w:r w:rsidRPr="007B5D03">
        <w:rPr>
          <w:sz w:val="26"/>
          <w:szCs w:val="26"/>
        </w:rPr>
        <w:t>Article VI, para. 1 of the GATS: "In sectors where specific commitments are undertaken, each Member shall ensure that all measures of general application affecting trade in services are administered in a reasonable, objective and impartial manner."</w:t>
      </w:r>
    </w:p>
    <w:p w:rsidR="00514426" w:rsidRPr="007B5D03" w:rsidRDefault="00514426" w:rsidP="00FB2D5A">
      <w:pPr>
        <w:snapToGrid w:val="0"/>
        <w:spacing w:line="437" w:lineRule="exact"/>
        <w:ind w:left="992" w:firstLine="318"/>
        <w:rPr>
          <w:sz w:val="30"/>
          <w:szCs w:val="30"/>
        </w:rPr>
      </w:pPr>
    </w:p>
    <w:p w:rsidR="00514426" w:rsidRPr="007B5D03" w:rsidRDefault="00514426" w:rsidP="00D23130">
      <w:pPr>
        <w:spacing w:line="437" w:lineRule="exact"/>
        <w:ind w:left="907" w:right="641"/>
        <w:rPr>
          <w:sz w:val="30"/>
          <w:szCs w:val="30"/>
        </w:rPr>
      </w:pPr>
      <w:r w:rsidRPr="007B5D03">
        <w:rPr>
          <w:sz w:val="30"/>
          <w:szCs w:val="30"/>
        </w:rPr>
        <w:tab/>
      </w:r>
      <w:r w:rsidRPr="007B5D03">
        <w:rPr>
          <w:rFonts w:hAnsi="標楷體"/>
          <w:sz w:val="30"/>
          <w:szCs w:val="30"/>
        </w:rPr>
        <w:t>不同意見書　　　　　　　　　　大法官　黃茂榮</w:t>
      </w:r>
    </w:p>
    <w:p w:rsidR="00514426" w:rsidRPr="007B5D03" w:rsidRDefault="00514426" w:rsidP="00D23130">
      <w:pPr>
        <w:spacing w:line="437" w:lineRule="exact"/>
        <w:ind w:leftChars="2400" w:left="6720" w:right="641"/>
        <w:rPr>
          <w:sz w:val="30"/>
          <w:szCs w:val="30"/>
        </w:rPr>
      </w:pPr>
      <w:r w:rsidRPr="007B5D03">
        <w:rPr>
          <w:rFonts w:hAnsi="標楷體"/>
          <w:sz w:val="30"/>
          <w:szCs w:val="30"/>
        </w:rPr>
        <w:t>葉百修</w:t>
      </w:r>
    </w:p>
    <w:p w:rsidR="00514426" w:rsidRPr="007B5D03" w:rsidRDefault="00514426" w:rsidP="00D23130">
      <w:pPr>
        <w:spacing w:line="437" w:lineRule="exact"/>
        <w:ind w:leftChars="2400" w:left="6720" w:right="641"/>
        <w:rPr>
          <w:sz w:val="30"/>
          <w:szCs w:val="30"/>
        </w:rPr>
      </w:pPr>
      <w:r w:rsidRPr="007B5D03">
        <w:rPr>
          <w:rFonts w:hAnsi="標楷體"/>
          <w:sz w:val="30"/>
          <w:szCs w:val="30"/>
        </w:rPr>
        <w:t>陳碧玉</w:t>
      </w:r>
    </w:p>
    <w:p w:rsidR="00514426" w:rsidRPr="007B5D03" w:rsidRDefault="00514426" w:rsidP="007A04D5">
      <w:pPr>
        <w:snapToGrid w:val="0"/>
        <w:spacing w:line="437" w:lineRule="exact"/>
        <w:ind w:firstLineChars="100" w:firstLine="300"/>
        <w:rPr>
          <w:sz w:val="30"/>
          <w:szCs w:val="30"/>
        </w:rPr>
      </w:pPr>
      <w:r w:rsidRPr="007B5D03">
        <w:rPr>
          <w:rFonts w:hAnsi="標楷體"/>
          <w:sz w:val="30"/>
          <w:szCs w:val="30"/>
        </w:rPr>
        <w:t>本號解釋多數意見認為財政部</w:t>
      </w:r>
      <w:smartTag w:uri="urn:schemas-microsoft-com:office:smarttags" w:element="chsdate">
        <w:smartTagPr>
          <w:attr w:name="IsROCDate" w:val="True"/>
          <w:attr w:name="IsLunarDate" w:val="False"/>
          <w:attr w:name="Day" w:val="11"/>
          <w:attr w:name="Month" w:val="12"/>
          <w:attr w:name="Year" w:val="1997"/>
        </w:smartTagPr>
        <w:r w:rsidRPr="007B5D03">
          <w:rPr>
            <w:rFonts w:hAnsi="標楷體"/>
            <w:sz w:val="30"/>
            <w:szCs w:val="30"/>
          </w:rPr>
          <w:t>中華民國</w:t>
        </w:r>
        <w:r w:rsidRPr="007B5D03">
          <w:rPr>
            <w:rFonts w:hAnsi="標楷體"/>
            <w:bCs/>
            <w:sz w:val="30"/>
            <w:szCs w:val="30"/>
          </w:rPr>
          <w:t>八十六年十二月十一日</w:t>
        </w:r>
      </w:smartTag>
      <w:r w:rsidRPr="007B5D03">
        <w:rPr>
          <w:rFonts w:hAnsi="標楷體"/>
          <w:bCs/>
          <w:sz w:val="30"/>
          <w:szCs w:val="30"/>
        </w:rPr>
        <w:t>台財稅第八六一九二二四六四號函及</w:t>
      </w:r>
      <w:r w:rsidRPr="007B5D03">
        <w:rPr>
          <w:rFonts w:hAnsi="標楷體"/>
          <w:sz w:val="30"/>
          <w:szCs w:val="30"/>
        </w:rPr>
        <w:t>財政部</w:t>
      </w:r>
      <w:r w:rsidRPr="007B5D03">
        <w:rPr>
          <w:rFonts w:hAnsi="標楷體"/>
          <w:bCs/>
          <w:sz w:val="30"/>
          <w:szCs w:val="30"/>
        </w:rPr>
        <w:t>八十六年七月三十一日台財稅第八六一九０九三一一號函均</w:t>
      </w:r>
      <w:r w:rsidRPr="007B5D03">
        <w:rPr>
          <w:rFonts w:hAnsi="標楷體"/>
          <w:sz w:val="30"/>
          <w:szCs w:val="30"/>
        </w:rPr>
        <w:t>合憲，符合一般法律解釋方法、租稅法律主義及量能課稅原則。然因財政部上開二函之見解根本違反所得稅法建制之基礎原則：淨額原則及費用損失與收</w:t>
      </w:r>
      <w:r w:rsidRPr="007B5D03">
        <w:rPr>
          <w:rFonts w:hAnsi="標楷體"/>
          <w:spacing w:val="-4"/>
          <w:sz w:val="30"/>
          <w:szCs w:val="30"/>
        </w:rPr>
        <w:t>入之配合原則，使得依該函釋計算之結果不能正確表現認購（售）</w:t>
      </w:r>
      <w:r w:rsidRPr="007B5D03">
        <w:rPr>
          <w:rFonts w:hAnsi="標楷體"/>
          <w:sz w:val="30"/>
          <w:szCs w:val="30"/>
        </w:rPr>
        <w:t>權證發行人自其權利金收入取得之所得，爰提出不同意見書，以供為往後國人檢討所得稅法建制原則之立法及其實踐的參考。</w:t>
      </w:r>
    </w:p>
    <w:p w:rsidR="00514426" w:rsidRPr="007B5D03" w:rsidRDefault="00514426" w:rsidP="0036126B">
      <w:pPr>
        <w:snapToGrid w:val="0"/>
        <w:spacing w:line="437" w:lineRule="exact"/>
        <w:ind w:firstLineChars="100" w:firstLine="300"/>
        <w:rPr>
          <w:sz w:val="30"/>
          <w:szCs w:val="30"/>
        </w:rPr>
      </w:pPr>
      <w:r w:rsidRPr="007B5D03">
        <w:rPr>
          <w:rFonts w:hAnsi="標楷體"/>
          <w:sz w:val="30"/>
          <w:szCs w:val="30"/>
        </w:rPr>
        <w:t>本號解釋涉及下列四個問題：（</w:t>
      </w:r>
      <w:r w:rsidRPr="007B5D03">
        <w:rPr>
          <w:sz w:val="30"/>
          <w:szCs w:val="30"/>
        </w:rPr>
        <w:t>1</w:t>
      </w:r>
      <w:r w:rsidRPr="007B5D03">
        <w:rPr>
          <w:rFonts w:hAnsi="標楷體"/>
          <w:sz w:val="30"/>
          <w:szCs w:val="30"/>
        </w:rPr>
        <w:t>）發行認購（售）權證之收入</w:t>
      </w:r>
      <w:r w:rsidRPr="007B5D03">
        <w:rPr>
          <w:rFonts w:hAnsi="標楷體"/>
          <w:sz w:val="30"/>
          <w:szCs w:val="30"/>
        </w:rPr>
        <w:lastRenderedPageBreak/>
        <w:t>（權利金收入）應依所得稅法第四條之一停徵所得稅，或依所得稅法其他規定課徵營利事業所得稅？（</w:t>
      </w:r>
      <w:r w:rsidRPr="007B5D03">
        <w:rPr>
          <w:sz w:val="30"/>
          <w:szCs w:val="30"/>
        </w:rPr>
        <w:t>2</w:t>
      </w:r>
      <w:r w:rsidRPr="007B5D03">
        <w:rPr>
          <w:rFonts w:hAnsi="標楷體"/>
          <w:sz w:val="30"/>
          <w:szCs w:val="30"/>
        </w:rPr>
        <w:t>）發行認購（售）權證之收入（權利金收入）如適用所得稅法其他規定，課徵營利事業所得稅，其營利事業所得之計算？（</w:t>
      </w:r>
      <w:r w:rsidRPr="007B5D03">
        <w:rPr>
          <w:sz w:val="30"/>
          <w:szCs w:val="30"/>
        </w:rPr>
        <w:t>3</w:t>
      </w:r>
      <w:r w:rsidRPr="007B5D03">
        <w:rPr>
          <w:rFonts w:hAnsi="標楷體"/>
          <w:sz w:val="30"/>
          <w:szCs w:val="30"/>
        </w:rPr>
        <w:t>）發行人於發行時因未能完全賣出其預計發行之認購（售）權證，而依法自己購入該剩餘權證者，就該自己購入之權證，發行人有無因發行而取得之發行收入（權利金收入）？（</w:t>
      </w:r>
      <w:r w:rsidRPr="007B5D03">
        <w:rPr>
          <w:sz w:val="30"/>
          <w:szCs w:val="30"/>
        </w:rPr>
        <w:t>4</w:t>
      </w:r>
      <w:r w:rsidRPr="007B5D03">
        <w:rPr>
          <w:rFonts w:hAnsi="標楷體"/>
          <w:sz w:val="30"/>
          <w:szCs w:val="30"/>
        </w:rPr>
        <w:t>）關於認購（售）權證之發行收入的營利事</w:t>
      </w:r>
      <w:r w:rsidRPr="007B5D03">
        <w:rPr>
          <w:rFonts w:hAnsi="標楷體"/>
          <w:spacing w:val="-4"/>
          <w:sz w:val="30"/>
          <w:szCs w:val="30"/>
        </w:rPr>
        <w:t>業所得稅，其稽徵方法及稅基之計算，有無違反平等原則之情事？</w:t>
      </w:r>
      <w:r w:rsidRPr="007B5D03">
        <w:rPr>
          <w:rFonts w:hAnsi="標楷體"/>
          <w:sz w:val="30"/>
          <w:szCs w:val="30"/>
        </w:rPr>
        <w:t>歸納上開問題，其共同的焦點為：包含營利事業收入及所得之有無及範圍等事項，與淨額原則</w:t>
      </w:r>
      <w:r w:rsidRPr="007B5D03">
        <w:rPr>
          <w:rFonts w:hAnsi="標楷體"/>
          <w:bCs/>
          <w:sz w:val="30"/>
          <w:szCs w:val="30"/>
        </w:rPr>
        <w:t>及費用損失與收入之配合原則</w:t>
      </w:r>
      <w:r w:rsidRPr="007B5D03">
        <w:rPr>
          <w:rFonts w:hAnsi="標楷體"/>
          <w:sz w:val="30"/>
          <w:szCs w:val="30"/>
        </w:rPr>
        <w:t>有關的問題。</w:t>
      </w:r>
    </w:p>
    <w:p w:rsidR="00514426" w:rsidRPr="007B5D03" w:rsidRDefault="00514426" w:rsidP="0036126B">
      <w:pPr>
        <w:snapToGrid w:val="0"/>
        <w:spacing w:line="437" w:lineRule="exact"/>
        <w:ind w:left="624" w:hanging="624"/>
        <w:rPr>
          <w:b/>
          <w:sz w:val="30"/>
          <w:szCs w:val="30"/>
        </w:rPr>
      </w:pPr>
      <w:r w:rsidRPr="007B5D03">
        <w:rPr>
          <w:rFonts w:hAnsi="標楷體"/>
          <w:b/>
          <w:bCs/>
          <w:sz w:val="30"/>
          <w:szCs w:val="30"/>
        </w:rPr>
        <w:t>壹、釋憲解釋之理由曾肯認淨額原則及費用損失與收入之配合原則：營利事業所得來源，如於扣減相關之成本費用、損失後仍有餘額，即有稅負能力，就該筆所得核實課徵稅捐，與租稅公平原則並無不符</w:t>
      </w:r>
    </w:p>
    <w:p w:rsidR="00514426" w:rsidRPr="007B5D03" w:rsidRDefault="00514426" w:rsidP="0036126B">
      <w:pPr>
        <w:snapToGrid w:val="0"/>
        <w:spacing w:line="437" w:lineRule="exact"/>
        <w:ind w:leftChars="225" w:left="630" w:firstLineChars="100" w:firstLine="300"/>
        <w:rPr>
          <w:sz w:val="30"/>
          <w:szCs w:val="30"/>
        </w:rPr>
      </w:pPr>
      <w:r w:rsidRPr="007B5D03">
        <w:rPr>
          <w:rFonts w:hAnsi="標楷體"/>
          <w:bCs/>
          <w:sz w:val="30"/>
          <w:szCs w:val="30"/>
        </w:rPr>
        <w:t>司法院釋字第四二</w:t>
      </w:r>
      <w:r w:rsidRPr="007B5D03">
        <w:rPr>
          <w:rFonts w:hint="eastAsia"/>
          <w:bCs/>
          <w:sz w:val="30"/>
          <w:szCs w:val="30"/>
        </w:rPr>
        <w:t>０</w:t>
      </w:r>
      <w:r w:rsidRPr="007B5D03">
        <w:rPr>
          <w:rFonts w:hAnsi="標楷體"/>
          <w:bCs/>
          <w:sz w:val="30"/>
          <w:szCs w:val="30"/>
        </w:rPr>
        <w:t>號解釋文釋稱：「涉及租稅事項之法律，其解釋應本於租稅法律主義之精神，依各該法律之立法目的，衡酌經濟上之意義及實質課稅之公平原則為之。」該號解釋後，上述意旨不但常受明白引用（例如司法院釋字第四三八號、第四六０號、第四九六號、第五</w:t>
      </w:r>
      <w:r w:rsidRPr="007B5D03">
        <w:rPr>
          <w:rFonts w:hint="eastAsia"/>
          <w:bCs/>
          <w:sz w:val="30"/>
          <w:szCs w:val="30"/>
        </w:rPr>
        <w:t>００</w:t>
      </w:r>
      <w:r w:rsidRPr="007B5D03">
        <w:rPr>
          <w:rFonts w:hAnsi="標楷體"/>
          <w:bCs/>
          <w:sz w:val="30"/>
          <w:szCs w:val="30"/>
        </w:rPr>
        <w:t>號、第五九七號、第六二五號解釋），而且於</w:t>
      </w:r>
      <w:smartTag w:uri="urn:schemas-microsoft-com:office:smarttags" w:element="chsdate">
        <w:smartTagPr>
          <w:attr w:name="IsROCDate" w:val="True"/>
          <w:attr w:name="IsLunarDate" w:val="False"/>
          <w:attr w:name="Day" w:val="13"/>
          <w:attr w:name="Month" w:val="5"/>
          <w:attr w:name="Year" w:val="2009"/>
        </w:smartTagPr>
        <w:r w:rsidRPr="007B5D03">
          <w:rPr>
            <w:rFonts w:hAnsi="標楷體"/>
            <w:bCs/>
            <w:sz w:val="30"/>
            <w:szCs w:val="30"/>
          </w:rPr>
          <w:t>中華民國九十八年五月十三日</w:t>
        </w:r>
      </w:smartTag>
      <w:r w:rsidRPr="007B5D03">
        <w:rPr>
          <w:rFonts w:hAnsi="標楷體"/>
          <w:bCs/>
          <w:sz w:val="30"/>
          <w:szCs w:val="30"/>
        </w:rPr>
        <w:t>明文增訂於稅捐稽徵法第十二條之一第一項。其意旨主要為：稅法之解釋不得拘泥於文字。其中司法院釋字第五九七號解釋文並釋稱：「憲法第十九條規定，人民有依法律納稅之義務。所謂依法律納稅，係指租稅主體、租稅客體、稅基、稅率等租稅構成要件，均應依法律明定之。各該法律之內容且應符合量能課稅及公平原則。」該號解釋明白昭示：</w:t>
      </w:r>
      <w:r w:rsidRPr="007B5D03">
        <w:rPr>
          <w:rFonts w:hAnsi="標楷體"/>
          <w:bCs/>
          <w:spacing w:val="6"/>
          <w:sz w:val="30"/>
          <w:szCs w:val="30"/>
        </w:rPr>
        <w:t>據以課稅之</w:t>
      </w:r>
      <w:r w:rsidRPr="007B5D03">
        <w:rPr>
          <w:rFonts w:hAnsi="標楷體"/>
          <w:bCs/>
          <w:spacing w:val="6"/>
          <w:sz w:val="30"/>
          <w:szCs w:val="30"/>
        </w:rPr>
        <w:lastRenderedPageBreak/>
        <w:t>「各該法律之內容且應符合量能課稅及公平原</w:t>
      </w:r>
      <w:r w:rsidRPr="007B5D03">
        <w:rPr>
          <w:rFonts w:hAnsi="標楷體"/>
          <w:bCs/>
          <w:spacing w:val="-4"/>
          <w:sz w:val="30"/>
          <w:szCs w:val="30"/>
        </w:rPr>
        <w:t>則」。其所稱「公平原則」，從同院其他關於租稅公平原則的</w:t>
      </w:r>
      <w:r w:rsidRPr="007B5D03">
        <w:rPr>
          <w:rFonts w:hAnsi="標楷體"/>
          <w:bCs/>
          <w:spacing w:val="4"/>
          <w:sz w:val="30"/>
          <w:szCs w:val="30"/>
        </w:rPr>
        <w:t>闡釋，可謂是稅捐正義在量能課稅的基礎上之進一步的要</w:t>
      </w:r>
      <w:r w:rsidRPr="007B5D03">
        <w:rPr>
          <w:rFonts w:hAnsi="標楷體"/>
          <w:bCs/>
          <w:sz w:val="30"/>
          <w:szCs w:val="30"/>
        </w:rPr>
        <w:t>求。例如司法院釋字第六０七號解釋，除在解釋文重申下述原則外：「憲法第十九條規定，人民有依法律納稅之義務，</w:t>
      </w:r>
      <w:r w:rsidRPr="007B5D03">
        <w:rPr>
          <w:rFonts w:hAnsi="標楷體"/>
          <w:bCs/>
          <w:spacing w:val="4"/>
          <w:sz w:val="30"/>
          <w:szCs w:val="30"/>
        </w:rPr>
        <w:t>係指國家課人民以繳納稅捐之義務或給予人民減免稅捐之</w:t>
      </w:r>
      <w:r w:rsidRPr="007B5D03">
        <w:rPr>
          <w:rFonts w:hAnsi="標楷體"/>
          <w:bCs/>
          <w:sz w:val="30"/>
          <w:szCs w:val="30"/>
        </w:rPr>
        <w:t>優惠時，應就租稅主體、租稅客體、稅基、稅率等租稅構成要件，以法律明定之。各該法律規定之內容且應符合租稅公平原則。」並在解釋理由書闡述：「營利事業所得來源，如於扣減相關之成本費用、損失後仍有餘額，即有稅負能力，就該筆所得核實課徵稅捐，與租稅公平原則並無不符。」歸</w:t>
      </w:r>
      <w:r w:rsidRPr="007B5D03">
        <w:rPr>
          <w:rFonts w:hAnsi="標楷體"/>
          <w:bCs/>
          <w:spacing w:val="4"/>
          <w:sz w:val="30"/>
          <w:szCs w:val="30"/>
        </w:rPr>
        <w:t>納之，營利事業收入扣減相關之成本費用、損失後仍有餘</w:t>
      </w:r>
      <w:r w:rsidRPr="007B5D03">
        <w:rPr>
          <w:rFonts w:hAnsi="標楷體"/>
          <w:bCs/>
          <w:sz w:val="30"/>
          <w:szCs w:val="30"/>
        </w:rPr>
        <w:t>額，營利事業始有稅負能力。實質課稅與量能課稅同被引為課稅公平原則應具備的屬性。兩者相較，量能課稅可謂為實質課稅之具體原則。蓋如營利事業無負擔稅捐之能力，不應課以稅捐乃自明的道理。然上述原則之適用與闡揚，在本號解釋顯然有退轉的情形。</w:t>
      </w:r>
    </w:p>
    <w:p w:rsidR="00514426" w:rsidRPr="007B5D03" w:rsidRDefault="00514426" w:rsidP="0036126B">
      <w:pPr>
        <w:snapToGrid w:val="0"/>
        <w:spacing w:line="437" w:lineRule="exact"/>
        <w:ind w:left="624" w:hanging="624"/>
        <w:rPr>
          <w:sz w:val="30"/>
          <w:szCs w:val="30"/>
        </w:rPr>
      </w:pPr>
      <w:r w:rsidRPr="007B5D03">
        <w:rPr>
          <w:rFonts w:hAnsi="標楷體"/>
          <w:b/>
          <w:sz w:val="30"/>
          <w:szCs w:val="30"/>
        </w:rPr>
        <w:t>貳、發行認購（售）權證之收入（權利金收入）應依所得稅法第四條之一停徵所得稅，或依所得稅法其他規定課徵營利事業所得稅</w:t>
      </w:r>
      <w:r w:rsidRPr="007B5D03">
        <w:rPr>
          <w:rFonts w:hAnsi="標楷體"/>
          <w:sz w:val="30"/>
          <w:szCs w:val="30"/>
        </w:rPr>
        <w:t>？</w:t>
      </w:r>
    </w:p>
    <w:p w:rsidR="00514426" w:rsidRPr="007B5D03" w:rsidRDefault="00514426" w:rsidP="0036126B">
      <w:pPr>
        <w:snapToGrid w:val="0"/>
        <w:spacing w:line="437" w:lineRule="exact"/>
        <w:ind w:leftChars="225" w:left="630" w:firstLineChars="100" w:firstLine="292"/>
        <w:rPr>
          <w:sz w:val="30"/>
          <w:szCs w:val="30"/>
        </w:rPr>
      </w:pPr>
      <w:r w:rsidRPr="007B5D03">
        <w:rPr>
          <w:rFonts w:hAnsi="標楷體"/>
          <w:spacing w:val="-4"/>
          <w:sz w:val="30"/>
          <w:szCs w:val="30"/>
        </w:rPr>
        <w:t>這個問題涉及下列子題：一、認購（售）權證之法律性質；</w:t>
      </w:r>
      <w:r w:rsidRPr="007B5D03">
        <w:rPr>
          <w:rFonts w:hAnsi="標楷體"/>
          <w:sz w:val="30"/>
          <w:szCs w:val="30"/>
        </w:rPr>
        <w:t>二、</w:t>
      </w:r>
      <w:r w:rsidRPr="007B5D03">
        <w:rPr>
          <w:rFonts w:hAnsi="標楷體"/>
          <w:bCs/>
          <w:sz w:val="30"/>
          <w:szCs w:val="30"/>
        </w:rPr>
        <w:t>股票</w:t>
      </w:r>
      <w:r w:rsidRPr="007B5D03">
        <w:rPr>
          <w:rFonts w:hAnsi="標楷體"/>
          <w:sz w:val="30"/>
          <w:szCs w:val="30"/>
        </w:rPr>
        <w:t>與認購（售）權證之證券化時點的比較；三、發行</w:t>
      </w:r>
      <w:r w:rsidRPr="007B5D03">
        <w:rPr>
          <w:rFonts w:hAnsi="標楷體"/>
          <w:spacing w:val="-4"/>
          <w:sz w:val="30"/>
          <w:szCs w:val="30"/>
        </w:rPr>
        <w:t>認購（售）權證之原因關係的法律性質；四、發行認購（售）</w:t>
      </w:r>
      <w:r w:rsidRPr="007B5D03">
        <w:rPr>
          <w:rFonts w:hAnsi="標楷體"/>
          <w:sz w:val="30"/>
          <w:szCs w:val="30"/>
        </w:rPr>
        <w:t>權證之代價及其法律性質；五、發行認購（售）權證之證券交易與買賣認購（售）權證之證券交易的差別；六、在證券交易稅及證券交易所得稅之課徵上，該差別是否足為其差別待遇之正當理由；七、對於特定種類之證券交易不課徵證券交易稅</w:t>
      </w:r>
      <w:r w:rsidRPr="007B5D03">
        <w:rPr>
          <w:rFonts w:hAnsi="標楷體"/>
          <w:sz w:val="30"/>
          <w:szCs w:val="30"/>
        </w:rPr>
        <w:lastRenderedPageBreak/>
        <w:t>是否為應對其課徵營利事業所得稅的充分理由。</w:t>
      </w:r>
    </w:p>
    <w:p w:rsidR="00514426" w:rsidRPr="007B5D03" w:rsidRDefault="00514426" w:rsidP="00FB2D5A">
      <w:pPr>
        <w:snapToGrid w:val="0"/>
        <w:spacing w:line="437" w:lineRule="exact"/>
        <w:ind w:leftChars="100" w:left="960" w:hanging="680"/>
        <w:rPr>
          <w:b/>
          <w:spacing w:val="4"/>
          <w:sz w:val="30"/>
          <w:szCs w:val="30"/>
        </w:rPr>
      </w:pPr>
      <w:r w:rsidRPr="007B5D03">
        <w:rPr>
          <w:rFonts w:hAnsi="標楷體"/>
          <w:b/>
          <w:spacing w:val="4"/>
          <w:sz w:val="30"/>
          <w:szCs w:val="30"/>
        </w:rPr>
        <w:t>一、認購（售）權證之法律性質</w:t>
      </w:r>
    </w:p>
    <w:p w:rsidR="00514426" w:rsidRPr="007B5D03" w:rsidRDefault="00514426" w:rsidP="0036126B">
      <w:pPr>
        <w:snapToGrid w:val="0"/>
        <w:spacing w:line="437" w:lineRule="exact"/>
        <w:ind w:leftChars="325" w:left="910" w:firstLineChars="100" w:firstLine="276"/>
        <w:rPr>
          <w:sz w:val="30"/>
          <w:szCs w:val="30"/>
        </w:rPr>
      </w:pPr>
      <w:r w:rsidRPr="007B5D03">
        <w:rPr>
          <w:rFonts w:hAnsi="標楷體"/>
          <w:spacing w:val="-12"/>
          <w:sz w:val="30"/>
          <w:szCs w:val="30"/>
        </w:rPr>
        <w:t>認購（售）權證為認購權證與認售權證之合稱。認購（售）</w:t>
      </w:r>
      <w:r w:rsidRPr="007B5D03">
        <w:rPr>
          <w:rFonts w:hAnsi="標楷體"/>
          <w:sz w:val="30"/>
          <w:szCs w:val="30"/>
        </w:rPr>
        <w:t>權證之法律性質為經證券化之選擇權。認購權證，指權證持有人有權利，但無義務，依權證所載價格，在約定期日或期間，向發行人購買約定數量之約定標的；認售權證，指權證持有人有權利，但無義務，依權證所載價格，在約定期日或期間，向發行人售出約定數量之約定標的（發行人申請發行認購（售）權證處理準則第二點第二項規定參照）。</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上述認購（售）權證持有人有權利，而無義務行使其選擇權之法律地位，使權證發行人負擔其權證標的之行情漲落的風險。該標的證券之市價漲跌無上限，故權證持有人之潛在獲利無上限，發行人之潛在虧損亦無上限。由於該風險之存在，使選擇權具有經濟價值，可為交易之標的。</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二、股票與認購（售）權證之證券化時點的比較</w:t>
      </w:r>
    </w:p>
    <w:p w:rsidR="00514426" w:rsidRPr="007B5D03" w:rsidRDefault="00514426" w:rsidP="0036126B">
      <w:pPr>
        <w:snapToGrid w:val="0"/>
        <w:spacing w:line="437" w:lineRule="exact"/>
        <w:ind w:leftChars="325" w:left="910" w:firstLineChars="100" w:firstLine="300"/>
        <w:rPr>
          <w:bCs/>
          <w:sz w:val="30"/>
          <w:szCs w:val="30"/>
        </w:rPr>
      </w:pPr>
      <w:r w:rsidRPr="007B5D03">
        <w:rPr>
          <w:rFonts w:hAnsi="標楷體"/>
          <w:bCs/>
          <w:sz w:val="30"/>
          <w:szCs w:val="30"/>
        </w:rPr>
        <w:t>在股票之發行，其股東要先認股並繳清股款，而後該股東所投資之公司才製作表彰該股東權之股票，並交付</w:t>
      </w:r>
      <w:r w:rsidRPr="007B5D03">
        <w:rPr>
          <w:rFonts w:hAnsi="標楷體" w:hint="eastAsia"/>
          <w:bCs/>
          <w:sz w:val="30"/>
          <w:szCs w:val="30"/>
        </w:rPr>
        <w:t>予</w:t>
      </w:r>
      <w:r w:rsidRPr="007B5D03">
        <w:rPr>
          <w:rFonts w:hAnsi="標楷體"/>
          <w:bCs/>
          <w:sz w:val="30"/>
          <w:szCs w:val="30"/>
        </w:rPr>
        <w:t>該股東。亦即股東之認股及繳納股款發生在其股東權證券化</w:t>
      </w:r>
      <w:r w:rsidRPr="007B5D03">
        <w:rPr>
          <w:rFonts w:hAnsi="標楷體"/>
          <w:bCs/>
          <w:spacing w:val="-4"/>
          <w:sz w:val="30"/>
          <w:szCs w:val="30"/>
        </w:rPr>
        <w:t>為股票之前。反之，在</w:t>
      </w:r>
      <w:r w:rsidRPr="007B5D03">
        <w:rPr>
          <w:rFonts w:hAnsi="標楷體"/>
          <w:spacing w:val="-4"/>
          <w:sz w:val="30"/>
          <w:szCs w:val="30"/>
        </w:rPr>
        <w:t>認購（售）權證之「發行」，其製作人係先將該權證表彰之選擇權證券化為認購（售）權證後，</w:t>
      </w:r>
      <w:r w:rsidRPr="007B5D03">
        <w:rPr>
          <w:rFonts w:hAnsi="標楷體"/>
          <w:sz w:val="30"/>
          <w:szCs w:val="30"/>
        </w:rPr>
        <w:t>始就該權證，取得約定代價交付他人。</w:t>
      </w:r>
      <w:r w:rsidRPr="007B5D03">
        <w:rPr>
          <w:rFonts w:hAnsi="標楷體"/>
          <w:bCs/>
          <w:sz w:val="30"/>
          <w:szCs w:val="30"/>
        </w:rPr>
        <w:t>顯然以股票之發行</w:t>
      </w:r>
      <w:r w:rsidRPr="007B5D03">
        <w:rPr>
          <w:rFonts w:hAnsi="標楷體"/>
          <w:bCs/>
          <w:spacing w:val="-4"/>
          <w:sz w:val="30"/>
          <w:szCs w:val="30"/>
        </w:rPr>
        <w:t>流程為其藍本，證券交易法第八條第一項規定：「本法所稱</w:t>
      </w:r>
      <w:r w:rsidRPr="007B5D03">
        <w:rPr>
          <w:rFonts w:hAnsi="標楷體"/>
          <w:bCs/>
          <w:sz w:val="30"/>
          <w:szCs w:val="30"/>
        </w:rPr>
        <w:t>發行，謂發行人於募集後製作並交付，或以帳簿劃撥方式交付有價證券之行為。」該項規定所定之發行並未涵蓋</w:t>
      </w:r>
      <w:r w:rsidRPr="007B5D03">
        <w:rPr>
          <w:rFonts w:hAnsi="標楷體"/>
          <w:sz w:val="30"/>
          <w:szCs w:val="30"/>
        </w:rPr>
        <w:t>認購（售）權證這種在發行前已</w:t>
      </w:r>
      <w:r w:rsidRPr="007B5D03">
        <w:rPr>
          <w:rFonts w:hAnsi="標楷體"/>
          <w:bCs/>
          <w:sz w:val="30"/>
          <w:szCs w:val="30"/>
        </w:rPr>
        <w:t>證券化的態樣。</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三、發行認購（售）權證之原因關係的法律性質</w:t>
      </w:r>
    </w:p>
    <w:p w:rsidR="00514426" w:rsidRPr="007B5D03" w:rsidRDefault="00514426" w:rsidP="0036126B">
      <w:pPr>
        <w:snapToGrid w:val="0"/>
        <w:spacing w:line="437" w:lineRule="exact"/>
        <w:ind w:leftChars="325" w:left="910" w:firstLineChars="100" w:firstLine="300"/>
        <w:rPr>
          <w:bCs/>
          <w:sz w:val="30"/>
          <w:szCs w:val="30"/>
        </w:rPr>
      </w:pPr>
      <w:r w:rsidRPr="007B5D03">
        <w:rPr>
          <w:rFonts w:hAnsi="標楷體"/>
          <w:bCs/>
          <w:sz w:val="30"/>
          <w:szCs w:val="30"/>
        </w:rPr>
        <w:lastRenderedPageBreak/>
        <w:t>發行股票之公司所以交付經其證券化之股票給該股東的原因關係是</w:t>
      </w:r>
      <w:r w:rsidRPr="007B5D03">
        <w:rPr>
          <w:rFonts w:hAnsi="標楷體"/>
          <w:sz w:val="30"/>
          <w:szCs w:val="30"/>
        </w:rPr>
        <w:t>股東</w:t>
      </w:r>
      <w:r w:rsidRPr="007B5D03">
        <w:rPr>
          <w:rFonts w:hAnsi="標楷體"/>
          <w:bCs/>
          <w:sz w:val="30"/>
          <w:szCs w:val="30"/>
        </w:rPr>
        <w:t>對其認股及繳股款所構成之投資關係。該股票之交付單純</w:t>
      </w:r>
      <w:r w:rsidRPr="007B5D03">
        <w:rPr>
          <w:rFonts w:hAnsi="標楷體" w:hint="eastAsia"/>
          <w:bCs/>
          <w:sz w:val="30"/>
          <w:szCs w:val="30"/>
        </w:rPr>
        <w:t>地</w:t>
      </w:r>
      <w:r w:rsidRPr="007B5D03">
        <w:rPr>
          <w:rFonts w:hAnsi="標楷體"/>
          <w:bCs/>
          <w:sz w:val="30"/>
          <w:szCs w:val="30"/>
        </w:rPr>
        <w:t>只是要以證券表彰一個已存在之投資關係，以方便其表彰之股東權的行使與流通。</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認購（售）權證之製作人所以將該權證交付他人的原因關係是因為取得約定代價，而負擔該權證所載之選擇權債務的關係。以雙方約定之給付與對待給付所構成之對價關係的內容為基礎，認購（售）權證之製作人第一次就該權證，與他人成立之法律關係，實與民法所定權利買賣的特徵相當，應論為以權利為標的之買賣契約。將交易之選擇</w:t>
      </w:r>
      <w:r w:rsidRPr="007B5D03">
        <w:rPr>
          <w:rFonts w:hAnsi="標楷體"/>
          <w:spacing w:val="-4"/>
          <w:sz w:val="30"/>
          <w:szCs w:val="30"/>
        </w:rPr>
        <w:t>權預先證券化之目的，在於創設該選擇權，並將其有體化，</w:t>
      </w:r>
      <w:r w:rsidRPr="007B5D03">
        <w:rPr>
          <w:rFonts w:hAnsi="標楷體"/>
          <w:sz w:val="30"/>
          <w:szCs w:val="30"/>
        </w:rPr>
        <w:t>以方便其買賣及流通。</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實務上將以認購（售）權證為標的之第一次權利買賣定性為發行，在法律事實之認定上，該定性與實際存在者有所不同。</w:t>
      </w:r>
      <w:r w:rsidRPr="007B5D03">
        <w:rPr>
          <w:rFonts w:hAnsi="標楷體"/>
          <w:bCs/>
          <w:sz w:val="30"/>
          <w:szCs w:val="30"/>
        </w:rPr>
        <w:t>將製作該權證以證券化其所載選擇權之人，稱為該權證之發行人，並將其就該權證所從事之第一次交易，稱為該權證之發行，純係借用股票之發行的習慣用語。按諸</w:t>
      </w:r>
      <w:r w:rsidRPr="007B5D03">
        <w:rPr>
          <w:rFonts w:hAnsi="標楷體"/>
          <w:sz w:val="30"/>
          <w:szCs w:val="30"/>
        </w:rPr>
        <w:t>認購（售）權證與股票之證券化時點，以及其所以為交付之原因關係，一為選擇權買賣關係，一為投資關係，認購（售）權證並不具備股票之發行的類型特徵。</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bCs/>
          <w:sz w:val="30"/>
          <w:szCs w:val="30"/>
        </w:rPr>
        <w:t>憲法</w:t>
      </w:r>
      <w:r w:rsidRPr="007B5D03">
        <w:rPr>
          <w:rFonts w:hAnsi="標楷體"/>
          <w:sz w:val="30"/>
          <w:szCs w:val="30"/>
        </w:rPr>
        <w:t>第十九</w:t>
      </w:r>
      <w:r w:rsidRPr="007B5D03">
        <w:rPr>
          <w:rFonts w:hAnsi="標楷體"/>
          <w:bCs/>
          <w:sz w:val="30"/>
          <w:szCs w:val="30"/>
        </w:rPr>
        <w:t>條規定，人民有依法律納稅之義務，係指國</w:t>
      </w:r>
      <w:r w:rsidRPr="007B5D03">
        <w:rPr>
          <w:rFonts w:hAnsi="標楷體"/>
          <w:bCs/>
          <w:spacing w:val="4"/>
          <w:sz w:val="30"/>
          <w:szCs w:val="30"/>
        </w:rPr>
        <w:t>家課人民以繳納稅捐之義務或給予人民減免稅捐之優惠</w:t>
      </w:r>
      <w:r w:rsidRPr="007B5D03">
        <w:rPr>
          <w:rFonts w:hAnsi="標楷體"/>
          <w:bCs/>
          <w:sz w:val="30"/>
          <w:szCs w:val="30"/>
        </w:rPr>
        <w:t>時，應就租稅主體、租稅客體、稅基、稅率等</w:t>
      </w:r>
      <w:r w:rsidRPr="007B5D03">
        <w:rPr>
          <w:rFonts w:hAnsi="標楷體"/>
          <w:sz w:val="30"/>
          <w:szCs w:val="30"/>
        </w:rPr>
        <w:t>租稅</w:t>
      </w:r>
      <w:r w:rsidRPr="007B5D03">
        <w:rPr>
          <w:rFonts w:hAnsi="標楷體"/>
          <w:bCs/>
          <w:sz w:val="30"/>
          <w:szCs w:val="30"/>
        </w:rPr>
        <w:t>構成要件，以法律明定之（司法院釋字第六０七號、第六三五號</w:t>
      </w:r>
      <w:r w:rsidRPr="007B5D03">
        <w:rPr>
          <w:rFonts w:hAnsi="標楷體"/>
          <w:bCs/>
          <w:spacing w:val="-8"/>
          <w:sz w:val="30"/>
          <w:szCs w:val="30"/>
        </w:rPr>
        <w:t>解釋參照）。認購（售）權證的發行所指者其實是認購（售）</w:t>
      </w:r>
      <w:r w:rsidRPr="007B5D03">
        <w:rPr>
          <w:rFonts w:hAnsi="標楷體"/>
          <w:bCs/>
          <w:sz w:val="30"/>
          <w:szCs w:val="30"/>
        </w:rPr>
        <w:t>權證之第一次買賣。其買賣標的為業經證券化的選擇權。此為權利的</w:t>
      </w:r>
      <w:r w:rsidRPr="007B5D03">
        <w:rPr>
          <w:rFonts w:hAnsi="標楷體"/>
          <w:bCs/>
          <w:sz w:val="30"/>
          <w:szCs w:val="30"/>
        </w:rPr>
        <w:lastRenderedPageBreak/>
        <w:t>買賣。因此，其發行具有證券交易的特徵，依證券交易稅條例第一條應課徵證券交易稅，如有所得，並依所得稅法第四條之一停止課徵所得稅。然財政部</w:t>
      </w:r>
      <w:r w:rsidRPr="007B5D03">
        <w:rPr>
          <w:rFonts w:hAnsi="標楷體"/>
          <w:sz w:val="30"/>
          <w:szCs w:val="30"/>
        </w:rPr>
        <w:t>八十六</w:t>
      </w:r>
      <w:r w:rsidRPr="007B5D03">
        <w:rPr>
          <w:rFonts w:hAnsi="標楷體"/>
          <w:spacing w:val="-4"/>
          <w:sz w:val="30"/>
          <w:szCs w:val="30"/>
        </w:rPr>
        <w:t>年十二月</w:t>
      </w:r>
      <w:r w:rsidRPr="007B5D03">
        <w:rPr>
          <w:rFonts w:hAnsi="標楷體" w:hint="eastAsia"/>
          <w:spacing w:val="-4"/>
          <w:sz w:val="30"/>
          <w:szCs w:val="30"/>
        </w:rPr>
        <w:t>十</w:t>
      </w:r>
      <w:r w:rsidRPr="007B5D03">
        <w:rPr>
          <w:rFonts w:hAnsi="標楷體"/>
          <w:spacing w:val="-4"/>
          <w:sz w:val="30"/>
          <w:szCs w:val="30"/>
        </w:rPr>
        <w:t>一日</w:t>
      </w:r>
      <w:r w:rsidRPr="007B5D03">
        <w:rPr>
          <w:rFonts w:hAnsi="標楷體"/>
          <w:bCs/>
          <w:spacing w:val="-4"/>
          <w:sz w:val="30"/>
          <w:szCs w:val="30"/>
        </w:rPr>
        <w:t>台財稅第八六一九二二四六四號函釋：「認</w:t>
      </w:r>
      <w:r w:rsidRPr="007B5D03">
        <w:rPr>
          <w:rFonts w:hAnsi="標楷體"/>
          <w:bCs/>
          <w:sz w:val="30"/>
          <w:szCs w:val="30"/>
        </w:rPr>
        <w:t>購（售）</w:t>
      </w:r>
      <w:r w:rsidRPr="007B5D03">
        <w:rPr>
          <w:rFonts w:hAnsi="標楷體"/>
          <w:bCs/>
          <w:spacing w:val="20"/>
          <w:sz w:val="30"/>
          <w:szCs w:val="30"/>
        </w:rPr>
        <w:t>權</w:t>
      </w:r>
      <w:r w:rsidRPr="007B5D03">
        <w:rPr>
          <w:rFonts w:hAnsi="標楷體"/>
          <w:bCs/>
          <w:sz w:val="30"/>
          <w:szCs w:val="30"/>
        </w:rPr>
        <w:t>證發行人於發行時所取得之發行價款，係屬權利金收入，</w:t>
      </w:r>
      <w:r w:rsidRPr="007B5D03">
        <w:rPr>
          <w:rFonts w:hint="eastAsia"/>
          <w:bCs/>
          <w:sz w:val="30"/>
          <w:szCs w:val="30"/>
        </w:rPr>
        <w:t>……</w:t>
      </w:r>
      <w:r w:rsidRPr="007B5D03">
        <w:rPr>
          <w:rFonts w:hAnsi="標楷體"/>
          <w:bCs/>
          <w:sz w:val="30"/>
          <w:szCs w:val="30"/>
        </w:rPr>
        <w:t>依證券交易稅實施注意事項第二點規定，發行認購（售）權證，不屬於交易之行為，應免徵證券交易稅，自亦非屬營業稅之課稅範圍。」該函首先將發行權證所取得之發行價款定性為權利金收入，然後再以證券交易稅實施注意事項第二點為依據，認定發行認購（售）權證構成之選擇權的買賣，不屬於交易之行為。該認定固然使</w:t>
      </w:r>
      <w:r w:rsidRPr="007B5D03">
        <w:rPr>
          <w:rFonts w:hAnsi="標楷體"/>
          <w:sz w:val="30"/>
          <w:szCs w:val="30"/>
        </w:rPr>
        <w:t>發行</w:t>
      </w:r>
      <w:r w:rsidRPr="007B5D03">
        <w:rPr>
          <w:rFonts w:hAnsi="標楷體"/>
          <w:bCs/>
          <w:sz w:val="30"/>
          <w:szCs w:val="30"/>
        </w:rPr>
        <w:t>認購（售）權證免徵證券交易稅，但卻同時使該權證之發行收入成為非證券交易收入，應課一般的所得稅。</w:t>
      </w:r>
      <w:r w:rsidRPr="007B5D03">
        <w:rPr>
          <w:rFonts w:hAnsi="標楷體"/>
          <w:bCs/>
          <w:spacing w:val="4"/>
          <w:sz w:val="30"/>
          <w:szCs w:val="30"/>
        </w:rPr>
        <w:t>如該發行行為非為交易行為，權證購買人如何取得該權</w:t>
      </w:r>
      <w:r w:rsidRPr="007B5D03">
        <w:rPr>
          <w:rFonts w:hAnsi="標楷體"/>
          <w:bCs/>
          <w:sz w:val="30"/>
          <w:szCs w:val="30"/>
        </w:rPr>
        <w:t>證</w:t>
      </w:r>
      <w:r w:rsidRPr="007B5D03">
        <w:rPr>
          <w:rFonts w:hAnsi="標楷體" w:hint="eastAsia"/>
          <w:bCs/>
          <w:sz w:val="30"/>
          <w:szCs w:val="30"/>
        </w:rPr>
        <w:t>？</w:t>
      </w:r>
      <w:r w:rsidRPr="007B5D03">
        <w:rPr>
          <w:rFonts w:hAnsi="標楷體"/>
          <w:bCs/>
          <w:sz w:val="30"/>
          <w:szCs w:val="30"/>
        </w:rPr>
        <w:t>由是可見，不論認購（售）權證之發行的免徵證券交易稅，或就其權利金之應徵所得稅，該函釋皆顯然欠缺法律</w:t>
      </w:r>
      <w:r w:rsidRPr="007B5D03">
        <w:rPr>
          <w:rFonts w:hAnsi="標楷體"/>
          <w:sz w:val="30"/>
          <w:szCs w:val="30"/>
        </w:rPr>
        <w:t>或法律授權</w:t>
      </w:r>
      <w:r w:rsidRPr="007B5D03">
        <w:rPr>
          <w:rFonts w:hAnsi="標楷體" w:hint="eastAsia"/>
          <w:sz w:val="30"/>
          <w:szCs w:val="30"/>
        </w:rPr>
        <w:t>訂</w:t>
      </w:r>
      <w:r w:rsidRPr="007B5D03">
        <w:rPr>
          <w:rFonts w:hAnsi="標楷體"/>
          <w:sz w:val="30"/>
          <w:szCs w:val="30"/>
        </w:rPr>
        <w:t>定之法規命令為其</w:t>
      </w:r>
      <w:r w:rsidRPr="007B5D03">
        <w:rPr>
          <w:rFonts w:hAnsi="標楷體"/>
          <w:bCs/>
          <w:sz w:val="30"/>
          <w:szCs w:val="30"/>
        </w:rPr>
        <w:t>依據，有違租稅法律主義。</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四、發行認購（售）權證之代價及其法律性質</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在所謂認購（售）權證之發行，製作人係取得代價，將該權證交付於其相對人。該交換關係之特徵與權利的買賣</w:t>
      </w:r>
      <w:r w:rsidRPr="007B5D03">
        <w:rPr>
          <w:rFonts w:hAnsi="標楷體"/>
          <w:spacing w:val="-4"/>
          <w:sz w:val="30"/>
          <w:szCs w:val="30"/>
        </w:rPr>
        <w:t>關係相同；而與權利之使用與收益的授權關係不同。是故，該代價之正確稱呼應當是價金（民法第三百四十五條），而不是權利金收入。依所得稅法第八條第六款，權利金指「專</w:t>
      </w:r>
      <w:r w:rsidRPr="007B5D03">
        <w:rPr>
          <w:rFonts w:hAnsi="標楷體"/>
          <w:sz w:val="30"/>
          <w:szCs w:val="30"/>
        </w:rPr>
        <w:t>利權、商標權、著作權、秘密方法及各種特許權利，因在</w:t>
      </w:r>
      <w:r w:rsidRPr="007B5D03">
        <w:rPr>
          <w:rFonts w:hAnsi="標楷體"/>
          <w:spacing w:val="-4"/>
          <w:sz w:val="30"/>
          <w:szCs w:val="30"/>
        </w:rPr>
        <w:t>中華民國境內供他人使用所取得」之代價。在所得稅法上，</w:t>
      </w:r>
      <w:r w:rsidRPr="007B5D03">
        <w:rPr>
          <w:rFonts w:hAnsi="標楷體"/>
          <w:sz w:val="30"/>
          <w:szCs w:val="30"/>
        </w:rPr>
        <w:t>權利金從來就沒有用來指稱選擇權之使用代價。</w:t>
      </w:r>
      <w:r w:rsidRPr="007B5D03">
        <w:rPr>
          <w:rFonts w:hAnsi="標楷體"/>
          <w:bCs/>
          <w:sz w:val="30"/>
          <w:szCs w:val="30"/>
        </w:rPr>
        <w:t>財政部八十六</w:t>
      </w:r>
      <w:r w:rsidRPr="007B5D03">
        <w:rPr>
          <w:rFonts w:hAnsi="標楷體"/>
          <w:bCs/>
          <w:sz w:val="30"/>
          <w:szCs w:val="30"/>
        </w:rPr>
        <w:lastRenderedPageBreak/>
        <w:t>年十二月</w:t>
      </w:r>
      <w:r w:rsidRPr="007B5D03">
        <w:rPr>
          <w:rFonts w:hAnsi="標楷體" w:hint="eastAsia"/>
          <w:bCs/>
          <w:sz w:val="30"/>
          <w:szCs w:val="30"/>
        </w:rPr>
        <w:t>十</w:t>
      </w:r>
      <w:r w:rsidRPr="007B5D03">
        <w:rPr>
          <w:rFonts w:hAnsi="標楷體"/>
          <w:bCs/>
          <w:sz w:val="30"/>
          <w:szCs w:val="30"/>
        </w:rPr>
        <w:t>一日台財稅第八六一九二二四六四號函</w:t>
      </w:r>
      <w:r w:rsidRPr="007B5D03">
        <w:rPr>
          <w:rFonts w:hAnsi="標楷體"/>
          <w:sz w:val="30"/>
          <w:szCs w:val="30"/>
        </w:rPr>
        <w:t>將認購（售）權證之製作人於交付該權證給相對人時，取得之代價定性為權利金收入，進一步誤導對於認購（售）權</w:t>
      </w:r>
      <w:r w:rsidRPr="007B5D03">
        <w:rPr>
          <w:rFonts w:hAnsi="標楷體"/>
          <w:spacing w:val="-4"/>
          <w:sz w:val="30"/>
          <w:szCs w:val="30"/>
        </w:rPr>
        <w:t>證之第一次交易的認識：權利買賣是讓與之債；而專利權、</w:t>
      </w:r>
      <w:r w:rsidRPr="007B5D03">
        <w:rPr>
          <w:rFonts w:hAnsi="標楷體"/>
          <w:sz w:val="30"/>
          <w:szCs w:val="30"/>
        </w:rPr>
        <w:t>商標權、著作權、秘密方法及各種特許權利之授權使用是用益之債。</w:t>
      </w:r>
    </w:p>
    <w:p w:rsidR="00514426" w:rsidRPr="007B5D03" w:rsidRDefault="00514426" w:rsidP="002A0B45">
      <w:pPr>
        <w:snapToGrid w:val="0"/>
        <w:spacing w:line="437" w:lineRule="exact"/>
        <w:ind w:leftChars="100" w:left="904" w:hanging="624"/>
        <w:rPr>
          <w:b/>
          <w:sz w:val="30"/>
          <w:szCs w:val="30"/>
        </w:rPr>
      </w:pPr>
      <w:r w:rsidRPr="007B5D03">
        <w:rPr>
          <w:rFonts w:hAnsi="標楷體"/>
          <w:b/>
          <w:sz w:val="30"/>
          <w:szCs w:val="30"/>
        </w:rPr>
        <w:t>五、發行認購（售）權證之證券交易與買賣認購（售）權證之證券交易的異同</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股票之發行，是確認已存在之投資關係；而認購（售）</w:t>
      </w:r>
      <w:r w:rsidRPr="007B5D03">
        <w:rPr>
          <w:rFonts w:hAnsi="標楷體"/>
          <w:spacing w:val="-4"/>
          <w:sz w:val="30"/>
          <w:szCs w:val="30"/>
        </w:rPr>
        <w:t>權證之</w:t>
      </w:r>
      <w:r w:rsidRPr="007B5D03">
        <w:rPr>
          <w:rFonts w:hAnsi="標楷體" w:hint="eastAsia"/>
          <w:spacing w:val="-4"/>
          <w:sz w:val="30"/>
          <w:szCs w:val="30"/>
        </w:rPr>
        <w:t>所謂的</w:t>
      </w:r>
      <w:r w:rsidRPr="007B5D03">
        <w:rPr>
          <w:rFonts w:hAnsi="標楷體"/>
          <w:spacing w:val="-4"/>
          <w:sz w:val="30"/>
          <w:szCs w:val="30"/>
        </w:rPr>
        <w:t>發行，是成立及履行權利之買賣關係。因此，</w:t>
      </w:r>
      <w:r w:rsidRPr="007B5D03">
        <w:rPr>
          <w:rFonts w:hAnsi="標楷體"/>
          <w:sz w:val="30"/>
          <w:szCs w:val="30"/>
        </w:rPr>
        <w:t>在股票之發行，無證券交易關係發生，不能也不得對其課徵證券交易稅；而在認購（售）權證之所謂的發行，則有已製作之權證的證券交易關係。不對認購（售）權證之第一次交易課徵證券交易稅，是誤將其等同於無交易關係之股票發行的結果。</w:t>
      </w:r>
    </w:p>
    <w:p w:rsidR="00514426" w:rsidRPr="007B5D03" w:rsidRDefault="00514426" w:rsidP="0036126B">
      <w:pPr>
        <w:snapToGrid w:val="0"/>
        <w:spacing w:line="437" w:lineRule="exact"/>
        <w:ind w:leftChars="325" w:left="910" w:firstLineChars="100" w:firstLine="300"/>
        <w:rPr>
          <w:b/>
          <w:bCs/>
          <w:sz w:val="30"/>
          <w:szCs w:val="30"/>
        </w:rPr>
      </w:pPr>
      <w:r w:rsidRPr="007B5D03">
        <w:rPr>
          <w:rFonts w:hAnsi="標楷體"/>
          <w:sz w:val="30"/>
          <w:szCs w:val="30"/>
        </w:rPr>
        <w:t>認購（售）權證之所謂的發行是權利之買賣關係。其所謂之發行後的買賣關係亦是權利之買賣關係。認購（售）權證之發行或買賣所交換之標的內容都是「以約定之代價</w:t>
      </w:r>
      <w:r w:rsidRPr="007B5D03">
        <w:rPr>
          <w:rFonts w:hAnsi="標楷體"/>
          <w:spacing w:val="-4"/>
          <w:sz w:val="30"/>
          <w:szCs w:val="30"/>
        </w:rPr>
        <w:t>交換選擇權」。不同者，只是在已發行之認購（售）權證的</w:t>
      </w:r>
      <w:r w:rsidRPr="007B5D03">
        <w:rPr>
          <w:rFonts w:hAnsi="標楷體"/>
          <w:sz w:val="30"/>
          <w:szCs w:val="30"/>
        </w:rPr>
        <w:t>買賣，因買賣標的是一以他人（即發行人）為債務人之選</w:t>
      </w:r>
      <w:r w:rsidRPr="007B5D03">
        <w:rPr>
          <w:rFonts w:hAnsi="標楷體"/>
          <w:spacing w:val="-4"/>
          <w:sz w:val="30"/>
          <w:szCs w:val="30"/>
        </w:rPr>
        <w:t>擇權，所以其出賣人（即該權證之現時持有人），對於債務</w:t>
      </w:r>
      <w:r w:rsidRPr="007B5D03">
        <w:rPr>
          <w:rFonts w:hAnsi="標楷體"/>
          <w:sz w:val="30"/>
          <w:szCs w:val="30"/>
        </w:rPr>
        <w:t>人之支付能力，除契約另有訂定外，不負擔保責任（民法</w:t>
      </w:r>
      <w:r w:rsidRPr="007B5D03">
        <w:rPr>
          <w:rFonts w:hAnsi="標楷體"/>
          <w:spacing w:val="-4"/>
          <w:sz w:val="30"/>
          <w:szCs w:val="30"/>
        </w:rPr>
        <w:t>第三百五十二條前段）。除此而外，認購（售）權證之所謂</w:t>
      </w:r>
      <w:r w:rsidRPr="007B5D03">
        <w:rPr>
          <w:rFonts w:hAnsi="標楷體"/>
          <w:sz w:val="30"/>
          <w:szCs w:val="30"/>
        </w:rPr>
        <w:t>的發行及發行後之買賣，無疑問</w:t>
      </w:r>
      <w:r w:rsidRPr="007B5D03">
        <w:rPr>
          <w:rFonts w:hAnsi="標楷體" w:hint="eastAsia"/>
          <w:sz w:val="30"/>
          <w:szCs w:val="30"/>
        </w:rPr>
        <w:t>地</w:t>
      </w:r>
      <w:r w:rsidRPr="007B5D03">
        <w:rPr>
          <w:rFonts w:hAnsi="標楷體"/>
          <w:sz w:val="30"/>
          <w:szCs w:val="30"/>
        </w:rPr>
        <w:t>，其交易標的不但在存在形式上沒有區別：同樣是</w:t>
      </w:r>
      <w:r w:rsidRPr="007B5D03">
        <w:rPr>
          <w:rFonts w:hAnsi="標楷體"/>
          <w:bCs/>
          <w:sz w:val="30"/>
          <w:szCs w:val="30"/>
        </w:rPr>
        <w:t>證券交易</w:t>
      </w:r>
      <w:r w:rsidRPr="007B5D03">
        <w:rPr>
          <w:rFonts w:hAnsi="標楷體"/>
          <w:sz w:val="30"/>
          <w:szCs w:val="30"/>
        </w:rPr>
        <w:t>，而且其交易之選擇權亦相同。尚須注意者為，關於權證之買賣，出賣人僅負交付該權證之義務；相對</w:t>
      </w:r>
      <w:r w:rsidRPr="007B5D03">
        <w:rPr>
          <w:rFonts w:hAnsi="標楷體" w:hint="eastAsia"/>
          <w:sz w:val="30"/>
          <w:szCs w:val="30"/>
        </w:rPr>
        <w:t>地</w:t>
      </w:r>
      <w:r w:rsidRPr="007B5D03">
        <w:rPr>
          <w:rFonts w:hAnsi="標楷體"/>
          <w:sz w:val="30"/>
          <w:szCs w:val="30"/>
        </w:rPr>
        <w:t>，關於權證之發行，發行人因係該權證之製作人</w:t>
      </w:r>
      <w:r w:rsidRPr="007B5D03">
        <w:rPr>
          <w:rFonts w:hAnsi="標楷體"/>
          <w:sz w:val="30"/>
          <w:szCs w:val="30"/>
        </w:rPr>
        <w:lastRenderedPageBreak/>
        <w:t>，所以除負該權證之交付義務外，並負履行該權證所載之選擇權債務的義務。該義務範圍的差別並不使其發行行為成為非</w:t>
      </w:r>
      <w:r w:rsidRPr="007B5D03">
        <w:rPr>
          <w:rFonts w:hAnsi="標楷體"/>
          <w:bCs/>
          <w:sz w:val="30"/>
          <w:szCs w:val="30"/>
        </w:rPr>
        <w:t>證券交易</w:t>
      </w:r>
      <w:r w:rsidRPr="007B5D03">
        <w:rPr>
          <w:rFonts w:hAnsi="標楷體"/>
          <w:sz w:val="30"/>
          <w:szCs w:val="30"/>
        </w:rPr>
        <w:t>行為</w:t>
      </w:r>
      <w:r w:rsidRPr="007B5D03">
        <w:rPr>
          <w:rFonts w:hAnsi="標楷體"/>
          <w:bCs/>
          <w:sz w:val="30"/>
          <w:szCs w:val="30"/>
        </w:rPr>
        <w:t>。</w:t>
      </w:r>
    </w:p>
    <w:p w:rsidR="00514426" w:rsidRPr="007B5D03" w:rsidRDefault="00514426" w:rsidP="002A0B45">
      <w:pPr>
        <w:snapToGrid w:val="0"/>
        <w:spacing w:line="437" w:lineRule="exact"/>
        <w:ind w:leftChars="100" w:left="904" w:hanging="624"/>
        <w:rPr>
          <w:b/>
          <w:sz w:val="30"/>
          <w:szCs w:val="30"/>
        </w:rPr>
      </w:pPr>
      <w:r w:rsidRPr="007B5D03">
        <w:rPr>
          <w:rFonts w:hAnsi="標楷體"/>
          <w:b/>
          <w:sz w:val="30"/>
          <w:szCs w:val="30"/>
        </w:rPr>
        <w:t>六、在證券交易稅及證券交易所得稅之課徵上，該差別是否足為差別待遇的正當理由</w:t>
      </w:r>
    </w:p>
    <w:p w:rsidR="00514426" w:rsidRPr="007B5D03" w:rsidRDefault="00514426" w:rsidP="0036126B">
      <w:pPr>
        <w:snapToGrid w:val="0"/>
        <w:spacing w:line="437" w:lineRule="exact"/>
        <w:ind w:leftChars="325" w:left="910" w:firstLineChars="100" w:firstLine="300"/>
        <w:rPr>
          <w:dstrike/>
          <w:sz w:val="30"/>
          <w:szCs w:val="30"/>
        </w:rPr>
      </w:pPr>
      <w:r w:rsidRPr="007B5D03">
        <w:rPr>
          <w:rFonts w:hAnsi="標楷體"/>
          <w:sz w:val="30"/>
          <w:szCs w:val="30"/>
        </w:rPr>
        <w:t>在股票之發行，所以不對其發行人課徵證券交易稅的真正理由是：發行公司與其股東間並無證券交易。而在發行認購（售）權證之所謂的發行，其發行人係因取得代價，而交付已證券化之認購（售）權證，所以發行人與其所向之交付該權證的相對人間有證券交易關係。是故，不能以不對股票之發行課徵證券交易稅，</w:t>
      </w:r>
      <w:r w:rsidRPr="007B5D03">
        <w:rPr>
          <w:rFonts w:hAnsi="標楷體" w:hint="eastAsia"/>
          <w:sz w:val="30"/>
          <w:szCs w:val="30"/>
        </w:rPr>
        <w:t>作</w:t>
      </w:r>
      <w:r w:rsidRPr="007B5D03">
        <w:rPr>
          <w:rFonts w:hAnsi="標楷體"/>
          <w:sz w:val="30"/>
          <w:szCs w:val="30"/>
        </w:rPr>
        <w:t>為也不對認購（售）</w:t>
      </w:r>
      <w:r w:rsidRPr="007B5D03">
        <w:rPr>
          <w:rFonts w:hAnsi="標楷體"/>
          <w:spacing w:val="4"/>
          <w:sz w:val="30"/>
          <w:szCs w:val="30"/>
        </w:rPr>
        <w:t>權證之發行課徵證券交易稅的理由；更不得以不就認購</w:t>
      </w:r>
      <w:r w:rsidRPr="007B5D03">
        <w:rPr>
          <w:rFonts w:hAnsi="標楷體"/>
          <w:sz w:val="30"/>
          <w:szCs w:val="30"/>
        </w:rPr>
        <w:t>（售）權證之發行，課徵證券交易稅為理由，認為得就認購（售）權證之發行收入，對發行人課徵所得稅。如果可為如是之推論，豈非得就發行股票之股款收入，對發行公司課徵所得稅</w:t>
      </w:r>
      <w:r w:rsidRPr="007B5D03">
        <w:rPr>
          <w:rFonts w:hAnsi="標楷體" w:hint="eastAsia"/>
          <w:sz w:val="30"/>
          <w:szCs w:val="30"/>
        </w:rPr>
        <w:t>？</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在發行認購（售）權證之證券交易與買賣認購（售）權證之證券交易，因為其發行人與出賣人所負義務之上述差別，並不使認購（售）權證之發行喪失證券交易之性質。所以，在證券交易稅及證券交易所得稅之課徵上，該差別尚不足為對於「發行認購（售）權證之證券交易」與「買賣認購（售）權證之證券交易」為差別待遇的正當理由。</w:t>
      </w:r>
    </w:p>
    <w:p w:rsidR="00514426" w:rsidRPr="007B5D03" w:rsidRDefault="00514426" w:rsidP="002A0B45">
      <w:pPr>
        <w:snapToGrid w:val="0"/>
        <w:spacing w:line="437" w:lineRule="exact"/>
        <w:ind w:leftChars="100" w:left="904" w:hanging="624"/>
        <w:rPr>
          <w:b/>
          <w:sz w:val="30"/>
          <w:szCs w:val="30"/>
        </w:rPr>
      </w:pPr>
      <w:r w:rsidRPr="007B5D03">
        <w:rPr>
          <w:rFonts w:hAnsi="標楷體"/>
          <w:b/>
          <w:sz w:val="30"/>
          <w:szCs w:val="30"/>
        </w:rPr>
        <w:t>七、對於證券交易不課徵證券交易稅，是否為應課徵營利事業所得稅的充分理由</w:t>
      </w:r>
    </w:p>
    <w:p w:rsidR="00514426" w:rsidRPr="007B5D03" w:rsidRDefault="00514426" w:rsidP="0036126B">
      <w:pPr>
        <w:snapToGrid w:val="0"/>
        <w:spacing w:line="437" w:lineRule="exact"/>
        <w:ind w:leftChars="325" w:left="910" w:firstLineChars="100" w:firstLine="300"/>
        <w:rPr>
          <w:rFonts w:hint="eastAsia"/>
          <w:sz w:val="30"/>
          <w:szCs w:val="30"/>
        </w:rPr>
      </w:pPr>
      <w:r w:rsidRPr="007B5D03">
        <w:rPr>
          <w:rFonts w:hAnsi="標楷體"/>
          <w:sz w:val="30"/>
          <w:szCs w:val="30"/>
        </w:rPr>
        <w:t>由於發行認購（售）權證是證券交易，所以本來即可對之課徵證券交易稅。政策上，在規範規劃上，固得決定不對發行人課徵證券交易稅，但不得因為決定不對之課徵證券交</w:t>
      </w:r>
      <w:r w:rsidRPr="007B5D03">
        <w:rPr>
          <w:rFonts w:hAnsi="標楷體"/>
          <w:sz w:val="30"/>
          <w:szCs w:val="30"/>
        </w:rPr>
        <w:lastRenderedPageBreak/>
        <w:t>易稅，而以之為理由，否認其因發行而取得之收入為證券交易收入，或認為該證券交易收入無所得稅法第四條</w:t>
      </w:r>
      <w:r w:rsidRPr="007B5D03">
        <w:rPr>
          <w:rFonts w:hAnsi="標楷體"/>
          <w:spacing w:val="4"/>
          <w:sz w:val="30"/>
          <w:szCs w:val="30"/>
        </w:rPr>
        <w:t>之一的適用，應依所得稅法其他規定課徵營利事業所得</w:t>
      </w:r>
      <w:r w:rsidRPr="007B5D03">
        <w:rPr>
          <w:rFonts w:hAnsi="標楷體"/>
          <w:sz w:val="30"/>
          <w:szCs w:val="30"/>
        </w:rPr>
        <w:t>稅。何況，</w:t>
      </w:r>
      <w:r w:rsidRPr="007B5D03">
        <w:rPr>
          <w:rFonts w:hAnsi="標楷體"/>
          <w:bCs/>
          <w:sz w:val="30"/>
          <w:szCs w:val="30"/>
        </w:rPr>
        <w:t>財政部八十六年十二月</w:t>
      </w:r>
      <w:r w:rsidRPr="007B5D03">
        <w:rPr>
          <w:rFonts w:hAnsi="標楷體" w:hint="eastAsia"/>
          <w:bCs/>
          <w:sz w:val="30"/>
          <w:szCs w:val="30"/>
        </w:rPr>
        <w:t>十</w:t>
      </w:r>
      <w:r w:rsidRPr="007B5D03">
        <w:rPr>
          <w:rFonts w:hAnsi="標楷體"/>
          <w:bCs/>
          <w:sz w:val="30"/>
          <w:szCs w:val="30"/>
        </w:rPr>
        <w:t>一日台財稅第八六一九二二四六四號函</w:t>
      </w:r>
      <w:r w:rsidRPr="007B5D03">
        <w:rPr>
          <w:rFonts w:hAnsi="標楷體"/>
          <w:sz w:val="30"/>
          <w:szCs w:val="30"/>
        </w:rPr>
        <w:t>規定，發行認購（售）權證之證券交易不課徵證券交易稅，並無法律或法律授權</w:t>
      </w:r>
      <w:r w:rsidRPr="007B5D03">
        <w:rPr>
          <w:rFonts w:hAnsi="標楷體" w:hint="eastAsia"/>
          <w:sz w:val="30"/>
          <w:szCs w:val="30"/>
        </w:rPr>
        <w:t>訂</w:t>
      </w:r>
      <w:r w:rsidRPr="007B5D03">
        <w:rPr>
          <w:rFonts w:hAnsi="標楷體"/>
          <w:sz w:val="30"/>
          <w:szCs w:val="30"/>
        </w:rPr>
        <w:t>定之法規命令為其依據，不符憲法第十九條所定之租稅法律主義。</w:t>
      </w:r>
    </w:p>
    <w:p w:rsidR="00514426" w:rsidRPr="007B5D03" w:rsidRDefault="00514426" w:rsidP="0036126B">
      <w:pPr>
        <w:snapToGrid w:val="0"/>
        <w:spacing w:line="437" w:lineRule="exact"/>
        <w:ind w:leftChars="325" w:left="910" w:firstLineChars="100" w:firstLine="300"/>
        <w:rPr>
          <w:sz w:val="30"/>
          <w:szCs w:val="30"/>
        </w:rPr>
      </w:pPr>
      <w:r w:rsidRPr="007B5D03">
        <w:rPr>
          <w:rFonts w:hAnsi="標楷體"/>
          <w:sz w:val="30"/>
          <w:szCs w:val="30"/>
        </w:rPr>
        <w:t>如無其他充分理由，對於發行認購（售）權證是證券交易收入的正確處理應當是：對於發行認購（售）權證之證券交易課徵證券交易稅，並依所得稅法第四條之一，就其證券交易所得停徵證券交易所得稅。</w:t>
      </w:r>
    </w:p>
    <w:p w:rsidR="00514426" w:rsidRPr="007B5D03" w:rsidRDefault="00514426" w:rsidP="00FB2D5A">
      <w:pPr>
        <w:snapToGrid w:val="0"/>
        <w:spacing w:line="437" w:lineRule="exact"/>
        <w:ind w:left="680" w:hanging="680"/>
        <w:rPr>
          <w:b/>
          <w:spacing w:val="4"/>
          <w:sz w:val="30"/>
          <w:szCs w:val="30"/>
        </w:rPr>
      </w:pPr>
      <w:r w:rsidRPr="007B5D03">
        <w:rPr>
          <w:rFonts w:hAnsi="標楷體"/>
          <w:b/>
          <w:spacing w:val="4"/>
          <w:sz w:val="30"/>
          <w:szCs w:val="30"/>
        </w:rPr>
        <w:t>叁、認購（售）權證發行人須開立履約及避險專戶</w:t>
      </w:r>
    </w:p>
    <w:p w:rsidR="00514426" w:rsidRPr="007B5D03" w:rsidRDefault="00514426" w:rsidP="002C50F9">
      <w:pPr>
        <w:snapToGrid w:val="0"/>
        <w:spacing w:line="437" w:lineRule="exact"/>
        <w:ind w:left="624" w:firstLine="318"/>
        <w:rPr>
          <w:sz w:val="30"/>
          <w:szCs w:val="30"/>
        </w:rPr>
      </w:pPr>
      <w:r w:rsidRPr="007B5D03">
        <w:rPr>
          <w:rFonts w:hAnsi="標楷體"/>
          <w:sz w:val="30"/>
          <w:szCs w:val="30"/>
        </w:rPr>
        <w:t>認購（售）權證業經主管機關核定為有價證券</w:t>
      </w:r>
      <w:r w:rsidRPr="007B5D03">
        <w:rPr>
          <w:rFonts w:hAnsi="標楷體"/>
          <w:sz w:val="20"/>
        </w:rPr>
        <w:t>（註一）</w:t>
      </w:r>
      <w:r w:rsidRPr="007B5D03">
        <w:rPr>
          <w:rFonts w:hAnsi="標楷體"/>
          <w:sz w:val="30"/>
          <w:szCs w:val="30"/>
        </w:rPr>
        <w:t>，其發行與交易均應依證券交易相關法規辦理。由於認購（售）權證交易風險甚高，為維護交易安全</w:t>
      </w:r>
      <w:r w:rsidRPr="007B5D03">
        <w:rPr>
          <w:rFonts w:hAnsi="標楷體" w:hint="eastAsia"/>
          <w:sz w:val="30"/>
          <w:szCs w:val="30"/>
        </w:rPr>
        <w:t>及</w:t>
      </w:r>
      <w:r w:rsidRPr="007B5D03">
        <w:rPr>
          <w:rFonts w:hAnsi="標楷體"/>
          <w:sz w:val="30"/>
          <w:szCs w:val="30"/>
        </w:rPr>
        <w:t>建立認購（售）權證發行之風險管理法制，財政部證券暨期貨管理委員會</w:t>
      </w:r>
      <w:r w:rsidRPr="007B5D03">
        <w:rPr>
          <w:rFonts w:hAnsi="標楷體" w:hint="eastAsia"/>
          <w:sz w:val="30"/>
          <w:szCs w:val="30"/>
        </w:rPr>
        <w:t>（</w:t>
      </w:r>
      <w:r w:rsidRPr="007B5D03">
        <w:rPr>
          <w:rFonts w:hAnsi="標楷體"/>
          <w:sz w:val="30"/>
          <w:szCs w:val="30"/>
        </w:rPr>
        <w:t>現改制</w:t>
      </w:r>
      <w:r w:rsidRPr="007B5D03">
        <w:rPr>
          <w:rFonts w:hAnsi="標楷體"/>
          <w:spacing w:val="4"/>
          <w:sz w:val="30"/>
          <w:szCs w:val="30"/>
        </w:rPr>
        <w:t>為行政院金融監督管理委員會證券期貨局</w:t>
      </w:r>
      <w:r w:rsidRPr="007B5D03">
        <w:rPr>
          <w:rFonts w:hAnsi="標楷體" w:hint="eastAsia"/>
          <w:spacing w:val="4"/>
          <w:sz w:val="30"/>
          <w:szCs w:val="30"/>
        </w:rPr>
        <w:t>）</w:t>
      </w:r>
      <w:r w:rsidRPr="007B5D03">
        <w:rPr>
          <w:rFonts w:hAnsi="標楷體"/>
          <w:spacing w:val="4"/>
          <w:sz w:val="30"/>
          <w:szCs w:val="30"/>
        </w:rPr>
        <w:t>乃於</w:t>
      </w:r>
      <w:smartTag w:uri="urn:schemas-microsoft-com:office:smarttags" w:element="chsdate">
        <w:smartTagPr>
          <w:attr w:name="IsROCDate" w:val="False"/>
          <w:attr w:name="IsLunarDate" w:val="False"/>
          <w:attr w:name="Day" w:val="31"/>
          <w:attr w:name="Month" w:val="5"/>
          <w:attr w:name="Year" w:val="1986"/>
        </w:smartTagPr>
        <w:r w:rsidRPr="007B5D03">
          <w:rPr>
            <w:spacing w:val="4"/>
            <w:sz w:val="30"/>
            <w:szCs w:val="30"/>
          </w:rPr>
          <w:t>86</w:t>
        </w:r>
        <w:r w:rsidRPr="007B5D03">
          <w:rPr>
            <w:rFonts w:hAnsi="標楷體"/>
            <w:spacing w:val="4"/>
            <w:sz w:val="30"/>
            <w:szCs w:val="30"/>
          </w:rPr>
          <w:t>年</w:t>
        </w:r>
        <w:r w:rsidRPr="007B5D03">
          <w:rPr>
            <w:spacing w:val="4"/>
            <w:sz w:val="30"/>
            <w:szCs w:val="30"/>
          </w:rPr>
          <w:t>5</w:t>
        </w:r>
        <w:r w:rsidRPr="007B5D03">
          <w:rPr>
            <w:rFonts w:hAnsi="標楷體"/>
            <w:spacing w:val="4"/>
            <w:sz w:val="30"/>
            <w:szCs w:val="30"/>
          </w:rPr>
          <w:t>月</w:t>
        </w:r>
        <w:r w:rsidRPr="007B5D03">
          <w:rPr>
            <w:spacing w:val="4"/>
            <w:sz w:val="30"/>
            <w:szCs w:val="30"/>
          </w:rPr>
          <w:t>31</w:t>
        </w:r>
        <w:r w:rsidRPr="007B5D03">
          <w:rPr>
            <w:rFonts w:hAnsi="標楷體"/>
            <w:spacing w:val="4"/>
            <w:sz w:val="30"/>
            <w:szCs w:val="30"/>
          </w:rPr>
          <w:t>日</w:t>
        </w:r>
      </w:smartTag>
      <w:r w:rsidRPr="007B5D03">
        <w:rPr>
          <w:rFonts w:hAnsi="標楷體" w:hint="eastAsia"/>
          <w:spacing w:val="4"/>
          <w:sz w:val="30"/>
          <w:szCs w:val="30"/>
        </w:rPr>
        <w:t>訂定發</w:t>
      </w:r>
      <w:r w:rsidRPr="007B5D03">
        <w:rPr>
          <w:rFonts w:hAnsi="標楷體"/>
          <w:spacing w:val="4"/>
          <w:sz w:val="30"/>
          <w:szCs w:val="30"/>
        </w:rPr>
        <w:t>布發行人申請發行認購（售）權證處理要點規</w:t>
      </w:r>
      <w:r w:rsidRPr="007B5D03">
        <w:rPr>
          <w:rFonts w:hAnsi="標楷體"/>
          <w:spacing w:val="-4"/>
          <w:sz w:val="30"/>
          <w:szCs w:val="30"/>
        </w:rPr>
        <w:t>定，（</w:t>
      </w:r>
      <w:r w:rsidRPr="007B5D03">
        <w:rPr>
          <w:spacing w:val="-4"/>
          <w:sz w:val="30"/>
          <w:szCs w:val="30"/>
        </w:rPr>
        <w:t>1</w:t>
      </w:r>
      <w:r w:rsidRPr="007B5D03">
        <w:rPr>
          <w:rFonts w:hAnsi="標楷體"/>
          <w:spacing w:val="-4"/>
          <w:sz w:val="30"/>
          <w:szCs w:val="30"/>
        </w:rPr>
        <w:t>）認購（售）權證之發行主體資格、（</w:t>
      </w:r>
      <w:r w:rsidRPr="007B5D03">
        <w:rPr>
          <w:spacing w:val="-4"/>
          <w:sz w:val="30"/>
          <w:szCs w:val="30"/>
        </w:rPr>
        <w:t>2</w:t>
      </w:r>
      <w:r w:rsidRPr="007B5D03">
        <w:rPr>
          <w:rFonts w:hAnsi="標楷體"/>
          <w:spacing w:val="-4"/>
          <w:sz w:val="30"/>
          <w:szCs w:val="30"/>
        </w:rPr>
        <w:t>）發行人應向</w:t>
      </w:r>
      <w:r w:rsidRPr="007B5D03">
        <w:rPr>
          <w:rFonts w:hAnsi="標楷體"/>
          <w:spacing w:val="4"/>
          <w:sz w:val="30"/>
          <w:szCs w:val="30"/>
        </w:rPr>
        <w:t>證期會申請該資格之認可，以及（</w:t>
      </w:r>
      <w:r w:rsidRPr="007B5D03">
        <w:rPr>
          <w:spacing w:val="4"/>
          <w:sz w:val="30"/>
          <w:szCs w:val="30"/>
        </w:rPr>
        <w:t>3</w:t>
      </w:r>
      <w:r w:rsidRPr="007B5D03">
        <w:rPr>
          <w:rFonts w:hAnsi="標楷體"/>
          <w:spacing w:val="4"/>
          <w:sz w:val="30"/>
          <w:szCs w:val="30"/>
        </w:rPr>
        <w:t>）提出預定風險沖銷之</w:t>
      </w:r>
      <w:r w:rsidRPr="007B5D03">
        <w:rPr>
          <w:rFonts w:hAnsi="標楷體"/>
          <w:sz w:val="30"/>
          <w:szCs w:val="30"/>
        </w:rPr>
        <w:t>策略等，向臺灣證券交易所申請其同意擬發行之權證上市。證期會後來於八十九年十一月三日廢止該權證處理要點，改依證券交易法（八十九年七月十九日修正公布）第二十二條第一項之授權</w:t>
      </w:r>
      <w:r w:rsidRPr="007B5D03">
        <w:rPr>
          <w:rFonts w:hAnsi="標楷體"/>
          <w:sz w:val="20"/>
        </w:rPr>
        <w:t>（註二）</w:t>
      </w:r>
      <w:r w:rsidRPr="007B5D03">
        <w:rPr>
          <w:rFonts w:hAnsi="標楷體"/>
          <w:sz w:val="30"/>
          <w:szCs w:val="30"/>
        </w:rPr>
        <w:t>，</w:t>
      </w:r>
      <w:r w:rsidRPr="007B5D03">
        <w:rPr>
          <w:rFonts w:hAnsi="標楷體" w:hint="eastAsia"/>
          <w:sz w:val="30"/>
          <w:szCs w:val="30"/>
        </w:rPr>
        <w:t>訂</w:t>
      </w:r>
      <w:r w:rsidRPr="007B5D03">
        <w:rPr>
          <w:rFonts w:hAnsi="標楷體"/>
          <w:sz w:val="30"/>
          <w:szCs w:val="30"/>
        </w:rPr>
        <w:t>定發行人申請發行認購（售）權證處理準則，但仍沿用前開權證處理要點之風險管理法制架構。關於發行人向證券交易所申請權證上市之相關規範，證券交易所依證券</w:t>
      </w:r>
      <w:r w:rsidRPr="007B5D03">
        <w:rPr>
          <w:rFonts w:hAnsi="標楷體"/>
          <w:sz w:val="30"/>
          <w:szCs w:val="30"/>
        </w:rPr>
        <w:lastRenderedPageBreak/>
        <w:t>交易法第一百四十條之授權，</w:t>
      </w:r>
      <w:r w:rsidRPr="007B5D03">
        <w:rPr>
          <w:rFonts w:hAnsi="標楷體" w:hint="eastAsia"/>
          <w:sz w:val="30"/>
          <w:szCs w:val="30"/>
        </w:rPr>
        <w:t>訂</w:t>
      </w:r>
      <w:r w:rsidRPr="007B5D03">
        <w:rPr>
          <w:rFonts w:hAnsi="標楷體"/>
          <w:sz w:val="30"/>
          <w:szCs w:val="30"/>
        </w:rPr>
        <w:t>定臺灣證券交易所股份有限公司認購（售）權證上市審查基準</w:t>
      </w:r>
      <w:r w:rsidRPr="007B5D03">
        <w:rPr>
          <w:rFonts w:hAnsi="標楷體"/>
          <w:sz w:val="20"/>
        </w:rPr>
        <w:t>（註三）</w:t>
      </w:r>
      <w:r w:rsidRPr="007B5D03">
        <w:rPr>
          <w:rFonts w:hAnsi="標楷體"/>
          <w:sz w:val="30"/>
          <w:szCs w:val="30"/>
        </w:rPr>
        <w:t>。該審查基準中亦規定發行人應提出預定之風險沖銷策略，始可取得發行人資格之認可。再者，認購（售）權證於發行後，其避險交易之操作亦應在主管機關之監督下執行。以下簡介上開認購（售）權證之風險管理法制：</w:t>
      </w:r>
    </w:p>
    <w:p w:rsidR="00514426" w:rsidRPr="007B5D03" w:rsidRDefault="00514426" w:rsidP="00FB2D5A">
      <w:pPr>
        <w:snapToGrid w:val="0"/>
        <w:spacing w:line="437" w:lineRule="exact"/>
        <w:ind w:leftChars="100" w:left="960" w:hanging="680"/>
        <w:rPr>
          <w:b/>
          <w:spacing w:val="2"/>
          <w:sz w:val="30"/>
          <w:szCs w:val="30"/>
        </w:rPr>
      </w:pPr>
      <w:r w:rsidRPr="007B5D03">
        <w:rPr>
          <w:rFonts w:hAnsi="標楷體"/>
          <w:b/>
          <w:spacing w:val="2"/>
          <w:sz w:val="30"/>
          <w:szCs w:val="30"/>
        </w:rPr>
        <w:t>一、避險操作為發行人向主管機關申請發行權證之要件</w:t>
      </w:r>
    </w:p>
    <w:p w:rsidR="00514426" w:rsidRPr="007B5D03" w:rsidRDefault="00514426" w:rsidP="002A0B45">
      <w:pPr>
        <w:snapToGrid w:val="0"/>
        <w:spacing w:line="437" w:lineRule="exact"/>
        <w:ind w:leftChars="325" w:left="910" w:firstLineChars="100" w:firstLine="300"/>
        <w:rPr>
          <w:sz w:val="30"/>
          <w:szCs w:val="30"/>
        </w:rPr>
      </w:pPr>
      <w:r w:rsidRPr="007B5D03">
        <w:rPr>
          <w:rFonts w:hAnsi="標楷體"/>
          <w:sz w:val="30"/>
          <w:szCs w:val="30"/>
        </w:rPr>
        <w:t>認購權證發行人向臺灣證券交易所股份有限公司申請同</w:t>
      </w:r>
      <w:r w:rsidRPr="007B5D03">
        <w:rPr>
          <w:rFonts w:hAnsi="標楷體"/>
          <w:spacing w:val="4"/>
          <w:sz w:val="30"/>
          <w:szCs w:val="30"/>
        </w:rPr>
        <w:t>意其擬發行之認購權證上市時，依發行人申請發行認購</w:t>
      </w:r>
      <w:r w:rsidRPr="007B5D03">
        <w:rPr>
          <w:rFonts w:hAnsi="標楷體"/>
          <w:sz w:val="30"/>
          <w:szCs w:val="30"/>
        </w:rPr>
        <w:t>（售）權證處理準則第四條及第十條規定，須待證期會核給其發行認購（售）權證之資格，且向證券交易所申請同意其擬發行之認購（售）權證上市或上櫃，並俟證券交易所同意其發行計畫後，始得辦理發行及銷售。其中，向證期會提出適當之風險管理措施為發行人申請發行權證之資格認可的要件</w:t>
      </w:r>
      <w:r w:rsidRPr="007B5D03">
        <w:rPr>
          <w:rFonts w:hAnsi="標楷體"/>
          <w:sz w:val="20"/>
        </w:rPr>
        <w:t>（註四）</w:t>
      </w:r>
      <w:r w:rsidRPr="007B5D03">
        <w:rPr>
          <w:rFonts w:hAnsi="標楷體"/>
          <w:sz w:val="30"/>
          <w:szCs w:val="30"/>
        </w:rPr>
        <w:t>，亦為發行人向證券交易所申請權證上市上櫃之要件</w:t>
      </w:r>
      <w:r w:rsidRPr="007B5D03">
        <w:rPr>
          <w:rFonts w:hAnsi="標楷體"/>
          <w:sz w:val="20"/>
        </w:rPr>
        <w:t>（註五）</w:t>
      </w:r>
      <w:r w:rsidRPr="007B5D03">
        <w:rPr>
          <w:rFonts w:hAnsi="標楷體"/>
          <w:sz w:val="30"/>
          <w:szCs w:val="30"/>
        </w:rPr>
        <w:t>。倘發行人無適當之風險管理措施時，證期會及證券交易所得不同意發行人資格之認可</w:t>
      </w:r>
      <w:r w:rsidRPr="007B5D03">
        <w:rPr>
          <w:rFonts w:hAnsi="標楷體"/>
          <w:sz w:val="20"/>
        </w:rPr>
        <w:t>（註六）</w:t>
      </w:r>
      <w:r w:rsidRPr="007B5D03">
        <w:rPr>
          <w:rFonts w:hAnsi="標楷體"/>
          <w:sz w:val="30"/>
          <w:szCs w:val="30"/>
        </w:rPr>
        <w:t>。</w:t>
      </w:r>
    </w:p>
    <w:p w:rsidR="00514426" w:rsidRPr="007B5D03" w:rsidRDefault="00514426" w:rsidP="002A0B45">
      <w:pPr>
        <w:snapToGrid w:val="0"/>
        <w:spacing w:line="437" w:lineRule="exact"/>
        <w:ind w:leftChars="325" w:left="910" w:firstLineChars="100" w:firstLine="300"/>
        <w:rPr>
          <w:sz w:val="30"/>
          <w:szCs w:val="30"/>
        </w:rPr>
      </w:pPr>
      <w:r w:rsidRPr="007B5D03">
        <w:rPr>
          <w:rFonts w:hAnsi="標楷體"/>
          <w:sz w:val="30"/>
          <w:szCs w:val="30"/>
        </w:rPr>
        <w:t>再者，依臺灣證券交易所股份有限公司認購（售）權證上市審查準則第三條第二項授權臺灣證券交易所</w:t>
      </w:r>
      <w:r w:rsidRPr="007B5D03">
        <w:rPr>
          <w:rFonts w:hAnsi="標楷體" w:hint="eastAsia"/>
          <w:sz w:val="30"/>
          <w:szCs w:val="30"/>
        </w:rPr>
        <w:t>訂</w:t>
      </w:r>
      <w:r w:rsidRPr="007B5D03">
        <w:rPr>
          <w:rFonts w:hAnsi="標楷體"/>
          <w:sz w:val="30"/>
          <w:szCs w:val="30"/>
        </w:rPr>
        <w:t>定之臺灣證券交易所股份有限公司審查認購（售）權證上市作業程序（九十三年一月二日修正</w:t>
      </w:r>
      <w:r w:rsidRPr="007B5D03">
        <w:rPr>
          <w:rFonts w:hAnsi="標楷體" w:hint="eastAsia"/>
          <w:sz w:val="30"/>
          <w:szCs w:val="30"/>
        </w:rPr>
        <w:t>發</w:t>
      </w:r>
      <w:r w:rsidRPr="007B5D03">
        <w:rPr>
          <w:rFonts w:hAnsi="標楷體"/>
          <w:sz w:val="30"/>
          <w:szCs w:val="30"/>
        </w:rPr>
        <w:t>布之）第五點及第六點規定，證券交易所於審查認購權證發行人之申請書件時，須審核發行人填具之「認購（售）權證發行人風險管理制度及預定之風險沖銷策略檢查表」及「認購（售）權證預定</w:t>
      </w:r>
      <w:r w:rsidRPr="007B5D03">
        <w:rPr>
          <w:rFonts w:hAnsi="標楷體"/>
          <w:spacing w:val="-4"/>
          <w:sz w:val="30"/>
          <w:szCs w:val="30"/>
        </w:rPr>
        <w:t>之風險沖銷策略檢查表」。表中並要求發行人填報其風險管</w:t>
      </w:r>
      <w:r w:rsidRPr="007B5D03">
        <w:rPr>
          <w:rFonts w:hAnsi="標楷體"/>
          <w:sz w:val="30"/>
          <w:szCs w:val="30"/>
        </w:rPr>
        <w:t>理之定價模式是否參考</w:t>
      </w:r>
      <w:r w:rsidRPr="007B5D03">
        <w:rPr>
          <w:sz w:val="30"/>
          <w:szCs w:val="30"/>
        </w:rPr>
        <w:t xml:space="preserve">Black &amp; Scholes </w:t>
      </w:r>
      <w:r w:rsidRPr="007B5D03">
        <w:rPr>
          <w:rFonts w:hAnsi="標楷體"/>
          <w:sz w:val="30"/>
          <w:szCs w:val="30"/>
        </w:rPr>
        <w:t>或</w:t>
      </w:r>
      <w:r w:rsidRPr="007B5D03">
        <w:rPr>
          <w:sz w:val="30"/>
          <w:szCs w:val="30"/>
        </w:rPr>
        <w:t>Cox, Ross &amp; Rubinstein</w:t>
      </w:r>
      <w:r w:rsidRPr="007B5D03">
        <w:rPr>
          <w:rFonts w:hAnsi="標楷體"/>
          <w:sz w:val="30"/>
          <w:szCs w:val="30"/>
        </w:rPr>
        <w:t>之</w:t>
      </w:r>
      <w:r w:rsidRPr="007B5D03">
        <w:rPr>
          <w:rFonts w:hAnsi="標楷體"/>
          <w:sz w:val="30"/>
          <w:szCs w:val="30"/>
        </w:rPr>
        <w:lastRenderedPageBreak/>
        <w:t>選擇權定價模式，以及要求發行人填具其風險管理之決策程序，每檔認購權證避險部位之管理上限，實際與預計持有部位差異不得逾百分之二十，亦即發行人就避險部位，僅有百分之二十之自行決策的空間。</w:t>
      </w:r>
    </w:p>
    <w:p w:rsidR="00514426" w:rsidRPr="007B5D03" w:rsidRDefault="00514426" w:rsidP="002A0B45">
      <w:pPr>
        <w:snapToGrid w:val="0"/>
        <w:spacing w:line="437" w:lineRule="exact"/>
        <w:ind w:leftChars="325" w:left="910" w:firstLineChars="100" w:firstLine="300"/>
        <w:rPr>
          <w:sz w:val="30"/>
          <w:szCs w:val="30"/>
        </w:rPr>
      </w:pPr>
      <w:r w:rsidRPr="007B5D03">
        <w:rPr>
          <w:rFonts w:hAnsi="標楷體"/>
          <w:sz w:val="30"/>
          <w:szCs w:val="30"/>
        </w:rPr>
        <w:t>此外，證交所配合主管機關之要求，尚規定認購（售）權證發行人之避險操作必須於「避險專戶」內為之。發行人之避險專戶必須先向證交所申報，並只得買賣其所發行之認購權證及標的證券</w:t>
      </w:r>
      <w:r w:rsidRPr="007B5D03">
        <w:rPr>
          <w:rFonts w:hAnsi="標楷體"/>
          <w:sz w:val="20"/>
        </w:rPr>
        <w:t>（註七）</w:t>
      </w:r>
      <w:r w:rsidRPr="007B5D03">
        <w:rPr>
          <w:rFonts w:hAnsi="標楷體"/>
          <w:sz w:val="30"/>
          <w:szCs w:val="30"/>
        </w:rPr>
        <w:t>。依目前證交所規定，該避險專戶之帳號一律為「八八八八八八</w:t>
      </w:r>
      <w:r w:rsidRPr="007B5D03">
        <w:rPr>
          <w:sz w:val="30"/>
          <w:szCs w:val="30"/>
        </w:rPr>
        <w:t>—</w:t>
      </w:r>
      <w:r w:rsidRPr="007B5D03">
        <w:rPr>
          <w:rFonts w:hAnsi="標楷體"/>
          <w:sz w:val="30"/>
          <w:szCs w:val="30"/>
        </w:rPr>
        <w:t>八」</w:t>
      </w:r>
      <w:r w:rsidRPr="007B5D03">
        <w:rPr>
          <w:rFonts w:hAnsi="標楷體"/>
          <w:sz w:val="20"/>
        </w:rPr>
        <w:t>（註八）</w:t>
      </w:r>
      <w:r w:rsidRPr="007B5D03">
        <w:rPr>
          <w:rFonts w:hAnsi="標楷體"/>
          <w:sz w:val="30"/>
          <w:szCs w:val="30"/>
        </w:rPr>
        <w:t>。</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二、認購權證發行後，避險操作須於主管機關監督下執行</w:t>
      </w:r>
    </w:p>
    <w:p w:rsidR="00514426" w:rsidRPr="007B5D03" w:rsidRDefault="00514426" w:rsidP="002A0B45">
      <w:pPr>
        <w:snapToGrid w:val="0"/>
        <w:spacing w:line="437" w:lineRule="exact"/>
        <w:ind w:leftChars="325" w:left="910" w:firstLineChars="100" w:firstLine="300"/>
        <w:rPr>
          <w:sz w:val="30"/>
          <w:szCs w:val="30"/>
          <w:highlight w:val="yellow"/>
        </w:rPr>
      </w:pPr>
      <w:r w:rsidRPr="007B5D03">
        <w:rPr>
          <w:rFonts w:hAnsi="標楷體"/>
          <w:sz w:val="30"/>
          <w:szCs w:val="30"/>
        </w:rPr>
        <w:t>證期會八十六年六月十二日台財證（二）字第三二九四號函說明二規定，證券商發行認購（售）權證並自行從事</w:t>
      </w:r>
      <w:r w:rsidRPr="007B5D03">
        <w:rPr>
          <w:rFonts w:hAnsi="標楷體"/>
          <w:spacing w:val="4"/>
          <w:sz w:val="30"/>
          <w:szCs w:val="30"/>
        </w:rPr>
        <w:t>風險管理者，得依風險沖銷策略之需求持有所發行認購</w:t>
      </w:r>
      <w:r w:rsidRPr="007B5D03">
        <w:rPr>
          <w:rFonts w:hAnsi="標楷體"/>
          <w:sz w:val="30"/>
          <w:szCs w:val="30"/>
        </w:rPr>
        <w:t>（售）權證之標的股票，惟其持有數額以風險沖銷策略所需者為限，至多並不得超過認購（售）權證發行單位所代表之標的股票股數；發行認購（售）權證之證券商，於該認購（售）權證存續期間內，除基於風險沖銷之需求而買賣之標的股票外，其自營部門不得另外自行買進賣出該標的股票；發行前自營部門已持有之標的股票，亦應轉入風險沖銷策略之持有數額內一併計算。該函釋見解並落實於</w:t>
      </w:r>
      <w:smartTag w:uri="urn:schemas-microsoft-com:office:smarttags" w:element="chsdate">
        <w:smartTagPr>
          <w:attr w:name="IsROCDate" w:val="False"/>
          <w:attr w:name="IsLunarDate" w:val="False"/>
          <w:attr w:name="Day" w:val="19"/>
          <w:attr w:name="Month" w:val="9"/>
          <w:attr w:name="Year" w:val="1990"/>
        </w:smartTagPr>
        <w:r w:rsidRPr="007B5D03">
          <w:rPr>
            <w:rFonts w:hAnsi="標楷體"/>
            <w:sz w:val="30"/>
            <w:szCs w:val="30"/>
          </w:rPr>
          <w:t>九十年九月十九日</w:t>
        </w:r>
      </w:smartTag>
      <w:r w:rsidRPr="007B5D03">
        <w:rPr>
          <w:rFonts w:hAnsi="標楷體"/>
          <w:sz w:val="30"/>
          <w:szCs w:val="30"/>
        </w:rPr>
        <w:t>修</w:t>
      </w:r>
      <w:r w:rsidRPr="007B5D03">
        <w:rPr>
          <w:rFonts w:hAnsi="標楷體" w:hint="eastAsia"/>
          <w:sz w:val="30"/>
          <w:szCs w:val="30"/>
        </w:rPr>
        <w:t>正發</w:t>
      </w:r>
      <w:r w:rsidRPr="007B5D03">
        <w:rPr>
          <w:rFonts w:hAnsi="標楷體"/>
          <w:sz w:val="30"/>
          <w:szCs w:val="30"/>
        </w:rPr>
        <w:t>布之臺灣證券交易所股份有限公司認購（售）權證上市審查準則第十七條規定中</w:t>
      </w:r>
      <w:r w:rsidRPr="007B5D03">
        <w:rPr>
          <w:rFonts w:hAnsi="標楷體"/>
          <w:sz w:val="20"/>
        </w:rPr>
        <w:t>（註九）</w:t>
      </w:r>
      <w:r w:rsidRPr="007B5D03">
        <w:rPr>
          <w:rFonts w:hAnsi="標楷體"/>
          <w:sz w:val="30"/>
          <w:szCs w:val="30"/>
        </w:rPr>
        <w:t>。</w:t>
      </w:r>
    </w:p>
    <w:p w:rsidR="00514426" w:rsidRPr="007B5D03" w:rsidRDefault="00514426" w:rsidP="002A0B45">
      <w:pPr>
        <w:snapToGrid w:val="0"/>
        <w:spacing w:line="437" w:lineRule="exact"/>
        <w:ind w:leftChars="325" w:left="910" w:firstLineChars="100" w:firstLine="300"/>
        <w:rPr>
          <w:sz w:val="30"/>
          <w:szCs w:val="30"/>
        </w:rPr>
      </w:pPr>
      <w:r w:rsidRPr="007B5D03">
        <w:rPr>
          <w:rFonts w:hAnsi="標楷體"/>
          <w:sz w:val="30"/>
          <w:szCs w:val="30"/>
        </w:rPr>
        <w:t>因為權證標的應於避險專戶內進行相關操作及管理，其基於風險管理而買賣權證標的證券，與基於自營目的而買賣之同一標的證券，能明確區分。所以主管機關後來漸次放寬，容許權證發行人於避險專戶外經營同一標的證券之業</w:t>
      </w:r>
      <w:r w:rsidRPr="007B5D03">
        <w:rPr>
          <w:rFonts w:hAnsi="標楷體"/>
          <w:sz w:val="30"/>
          <w:szCs w:val="30"/>
        </w:rPr>
        <w:lastRenderedPageBreak/>
        <w:t>務。首先，九十三年六月十四日修正</w:t>
      </w:r>
      <w:r w:rsidRPr="007B5D03">
        <w:rPr>
          <w:rFonts w:hAnsi="標楷體" w:hint="eastAsia"/>
          <w:sz w:val="30"/>
          <w:szCs w:val="30"/>
        </w:rPr>
        <w:t>發</w:t>
      </w:r>
      <w:r w:rsidRPr="007B5D03">
        <w:rPr>
          <w:rFonts w:hAnsi="標楷體"/>
          <w:sz w:val="30"/>
          <w:szCs w:val="30"/>
        </w:rPr>
        <w:t>布之臺灣證券交易所股份有限公司認購（售）權證上市審查準則第十七條規定，權證發行人之自營部門亦得經營標的證券之買賣，僅於該認購（售）權證核准發行後一個月內及到期前一個月內，除基於風險沖銷之需求或本公司另為規定之情事者外，不得自行買進賣出該標的證券</w:t>
      </w:r>
      <w:r w:rsidRPr="007B5D03">
        <w:rPr>
          <w:rFonts w:hAnsi="標楷體"/>
          <w:sz w:val="20"/>
        </w:rPr>
        <w:t>（註十）</w:t>
      </w:r>
      <w:r w:rsidRPr="007B5D03">
        <w:rPr>
          <w:rFonts w:hAnsi="標楷體"/>
          <w:sz w:val="30"/>
          <w:szCs w:val="30"/>
        </w:rPr>
        <w:t>。其後於九十五年一月二十</w:t>
      </w:r>
      <w:r w:rsidRPr="007B5D03">
        <w:rPr>
          <w:rFonts w:hAnsi="標楷體" w:hint="eastAsia"/>
          <w:sz w:val="30"/>
          <w:szCs w:val="30"/>
        </w:rPr>
        <w:t>日</w:t>
      </w:r>
      <w:r w:rsidRPr="007B5D03">
        <w:rPr>
          <w:rFonts w:hAnsi="標楷體"/>
          <w:sz w:val="30"/>
          <w:szCs w:val="30"/>
        </w:rPr>
        <w:t>復修正該條，規定在認購（售）權證存續期間內，發行人自營部門與避險專戶部位之同一標的證券，除另有規定之情形外，原則上均不得辦理相互轉撥</w:t>
      </w:r>
      <w:r w:rsidRPr="007B5D03">
        <w:rPr>
          <w:rFonts w:hAnsi="標楷體"/>
          <w:sz w:val="20"/>
        </w:rPr>
        <w:t>（註十一）</w:t>
      </w:r>
      <w:r w:rsidRPr="007B5D03">
        <w:rPr>
          <w:rFonts w:hAnsi="標楷體"/>
          <w:sz w:val="30"/>
          <w:szCs w:val="30"/>
        </w:rPr>
        <w:t>。要之，雖然現行法目前不禁止權證發行人之自營部門為權證標的證券之買賣，但因避險交易應於避險專戶內為之，所以在此截然可分之規劃下，不會產生權證發行人可任意將自營部門證券交易損失轉入避險損失內之情事。於九十七年十月三十一日以前，發行人並應逐日向證交所申報避險專戶內之避險操作情形</w:t>
      </w:r>
      <w:r w:rsidRPr="007B5D03">
        <w:rPr>
          <w:rFonts w:hAnsi="標楷體"/>
          <w:sz w:val="20"/>
        </w:rPr>
        <w:t>（註十二）</w:t>
      </w:r>
      <w:r w:rsidRPr="007B5D03">
        <w:rPr>
          <w:rFonts w:hAnsi="標楷體"/>
          <w:sz w:val="30"/>
          <w:szCs w:val="30"/>
        </w:rPr>
        <w:t>，以利風險之控管。</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三、小結</w:t>
      </w:r>
    </w:p>
    <w:p w:rsidR="00514426" w:rsidRPr="007B5D03" w:rsidRDefault="00514426" w:rsidP="002C50F9">
      <w:pPr>
        <w:snapToGrid w:val="0"/>
        <w:spacing w:line="437" w:lineRule="exact"/>
        <w:ind w:leftChars="320" w:left="896" w:firstLineChars="100" w:firstLine="300"/>
        <w:rPr>
          <w:sz w:val="30"/>
          <w:szCs w:val="30"/>
        </w:rPr>
      </w:pPr>
      <w:r w:rsidRPr="007B5D03">
        <w:rPr>
          <w:rFonts w:hAnsi="標楷體"/>
          <w:sz w:val="30"/>
          <w:szCs w:val="30"/>
        </w:rPr>
        <w:t>避險交易為權證發行人因發行權證而依法負擔之義務。權證發行人自申請發行開始至上市上櫃後，其風險沖銷計畫之提出、執行及檢討，均受嚴格之審核及監督。除其避險交易僅得在避險專戶內為之外，權證發行人因風險沖銷</w:t>
      </w:r>
      <w:r w:rsidRPr="007B5D03">
        <w:rPr>
          <w:rFonts w:hAnsi="標楷體"/>
          <w:spacing w:val="4"/>
          <w:sz w:val="30"/>
          <w:szCs w:val="30"/>
        </w:rPr>
        <w:t>策略之需求而持有之標的股票數額，主管機關亦訂有限</w:t>
      </w:r>
      <w:r w:rsidRPr="007B5D03">
        <w:rPr>
          <w:rFonts w:hAnsi="標楷體"/>
          <w:spacing w:val="-8"/>
          <w:sz w:val="30"/>
          <w:szCs w:val="30"/>
        </w:rPr>
        <w:t>制。標的股票之買賣時點、數量、價格等均須嚴格依照</w:t>
      </w:r>
      <w:r w:rsidRPr="007B5D03">
        <w:rPr>
          <w:spacing w:val="-8"/>
          <w:sz w:val="30"/>
          <w:szCs w:val="30"/>
        </w:rPr>
        <w:t>Black</w:t>
      </w:r>
      <w:r w:rsidRPr="007B5D03">
        <w:rPr>
          <w:sz w:val="30"/>
          <w:szCs w:val="30"/>
        </w:rPr>
        <w:t xml:space="preserve"> &amp; Scholes </w:t>
      </w:r>
      <w:r w:rsidRPr="007B5D03">
        <w:rPr>
          <w:rFonts w:hAnsi="標楷體"/>
          <w:sz w:val="30"/>
          <w:szCs w:val="30"/>
        </w:rPr>
        <w:t>或</w:t>
      </w:r>
      <w:r w:rsidRPr="007B5D03">
        <w:rPr>
          <w:sz w:val="30"/>
          <w:szCs w:val="30"/>
        </w:rPr>
        <w:t>Cox, Ross &amp; Rubinstein</w:t>
      </w:r>
      <w:r w:rsidRPr="007B5D03">
        <w:rPr>
          <w:rFonts w:hAnsi="標楷體"/>
          <w:sz w:val="30"/>
          <w:szCs w:val="30"/>
        </w:rPr>
        <w:t>所建立之公式為之，發行人就避險部位僅於百分之二十之限度內有自行決定的</w:t>
      </w:r>
      <w:r w:rsidRPr="007B5D03">
        <w:rPr>
          <w:rFonts w:hAnsi="標楷體"/>
          <w:spacing w:val="4"/>
          <w:sz w:val="30"/>
          <w:szCs w:val="30"/>
        </w:rPr>
        <w:t>空間，以避免標的股票價格變動引起之風險（即</w:t>
      </w:r>
      <w:r w:rsidRPr="007B5D03">
        <w:rPr>
          <w:spacing w:val="4"/>
          <w:sz w:val="30"/>
          <w:szCs w:val="30"/>
        </w:rPr>
        <w:t>Delta</w:t>
      </w:r>
      <w:r w:rsidRPr="007B5D03">
        <w:rPr>
          <w:rFonts w:hAnsi="標楷體"/>
          <w:spacing w:val="4"/>
          <w:sz w:val="30"/>
          <w:szCs w:val="30"/>
        </w:rPr>
        <w:t>風</w:t>
      </w:r>
      <w:r w:rsidRPr="007B5D03">
        <w:rPr>
          <w:rFonts w:hAnsi="標楷體"/>
          <w:sz w:val="30"/>
          <w:szCs w:val="30"/>
        </w:rPr>
        <w:t>險）。</w:t>
      </w:r>
    </w:p>
    <w:p w:rsidR="00514426" w:rsidRPr="007B5D03" w:rsidRDefault="00514426" w:rsidP="0047202D">
      <w:pPr>
        <w:snapToGrid w:val="0"/>
        <w:spacing w:line="437" w:lineRule="exact"/>
        <w:ind w:left="624" w:hanging="624"/>
        <w:rPr>
          <w:b/>
          <w:sz w:val="30"/>
          <w:szCs w:val="30"/>
        </w:rPr>
      </w:pPr>
      <w:r w:rsidRPr="007B5D03">
        <w:rPr>
          <w:rFonts w:hAnsi="標楷體"/>
          <w:b/>
          <w:sz w:val="30"/>
          <w:szCs w:val="30"/>
        </w:rPr>
        <w:lastRenderedPageBreak/>
        <w:t>肆、發行認購（售）權證之權利金收入，適用所得稅法其他規定課徵營利事業所得稅時，其營利事業所得之計算</w:t>
      </w:r>
    </w:p>
    <w:p w:rsidR="00514426" w:rsidRPr="007B5D03" w:rsidRDefault="00514426" w:rsidP="00FB2D5A">
      <w:pPr>
        <w:snapToGrid w:val="0"/>
        <w:spacing w:line="437" w:lineRule="exact"/>
        <w:ind w:leftChars="100" w:left="960" w:hanging="680"/>
        <w:rPr>
          <w:b/>
          <w:bCs/>
          <w:spacing w:val="4"/>
          <w:sz w:val="30"/>
          <w:szCs w:val="30"/>
        </w:rPr>
      </w:pPr>
      <w:r w:rsidRPr="007B5D03">
        <w:rPr>
          <w:rFonts w:hAnsi="標楷體"/>
          <w:b/>
          <w:bCs/>
          <w:spacing w:val="4"/>
          <w:sz w:val="30"/>
          <w:szCs w:val="30"/>
        </w:rPr>
        <w:t>一、選擇權的買賣與期貨買賣不同而與保險的買賣類似</w:t>
      </w:r>
    </w:p>
    <w:p w:rsidR="00514426" w:rsidRPr="007B5D03" w:rsidRDefault="00514426" w:rsidP="0047202D">
      <w:pPr>
        <w:snapToGrid w:val="0"/>
        <w:spacing w:line="437" w:lineRule="exact"/>
        <w:ind w:leftChars="325" w:left="910" w:firstLineChars="100" w:firstLine="300"/>
        <w:rPr>
          <w:bCs/>
          <w:sz w:val="30"/>
          <w:szCs w:val="30"/>
        </w:rPr>
      </w:pPr>
      <w:r w:rsidRPr="007B5D03">
        <w:rPr>
          <w:rFonts w:hAnsi="標楷體"/>
          <w:bCs/>
          <w:sz w:val="30"/>
          <w:szCs w:val="30"/>
        </w:rPr>
        <w:t>選擇權的買賣與期貨買賣雖同樣具有將來給付之交易的特徵，但並不屬於相同類型。在選擇權的買賣，選擇權人有權利，但無義務為買賣；而在期貨的買賣，雙方在約定期間屆至時，皆有為買賣的義務。</w:t>
      </w:r>
      <w:r w:rsidRPr="007B5D03">
        <w:rPr>
          <w:rFonts w:hAnsi="標楷體"/>
          <w:sz w:val="30"/>
          <w:szCs w:val="30"/>
        </w:rPr>
        <w:t>反之</w:t>
      </w:r>
      <w:r w:rsidRPr="007B5D03">
        <w:rPr>
          <w:rFonts w:hAnsi="標楷體"/>
          <w:bCs/>
          <w:sz w:val="30"/>
          <w:szCs w:val="30"/>
        </w:rPr>
        <w:t>，選擇權的買賣與保險的買賣類似。在一定之停止條件成就時，認購（售）權證之發行人或保險人，始負對待給付的給付義務。在保險，其停止條件為保險事故發生；在選擇權的買賣，其停止條件為認購權證之選擇權標的市價高於約定價格，或認售權證之選擇權標的市價低於約定價格，從而選擇權人決定行使選擇權。在上述停止條件成就時，保險人對於購買</w:t>
      </w:r>
      <w:r w:rsidRPr="007B5D03">
        <w:rPr>
          <w:rFonts w:hAnsi="標楷體"/>
          <w:bCs/>
          <w:spacing w:val="4"/>
          <w:sz w:val="30"/>
          <w:szCs w:val="30"/>
        </w:rPr>
        <w:t>保險之被保險人或其指定之受益人，負保險金之給付義</w:t>
      </w:r>
      <w:r w:rsidRPr="007B5D03">
        <w:rPr>
          <w:rFonts w:hAnsi="標楷體"/>
          <w:bCs/>
          <w:sz w:val="30"/>
          <w:szCs w:val="30"/>
        </w:rPr>
        <w:t>務；認購（售）權證之發行人對於權證持有人，負按相對於市場價格不利於發行人之約定價格賣出或購進約定數量之權證標的之義務。該給付義務雖因附有停止條件，而具有或有債務的性質。但不因此使認購（售）權證之發行或保險喪失雙務契約之性質。停止條件成就時，發行人即因權證持有人行使選擇權，而負有履行相對於市場價格對自己不利之選擇權債務的義務。</w:t>
      </w:r>
    </w:p>
    <w:p w:rsidR="00514426" w:rsidRPr="007B5D03" w:rsidRDefault="00514426" w:rsidP="00FB2D5A">
      <w:pPr>
        <w:snapToGrid w:val="0"/>
        <w:spacing w:line="437" w:lineRule="exact"/>
        <w:ind w:leftChars="100" w:left="960" w:hanging="680"/>
        <w:rPr>
          <w:b/>
          <w:bCs/>
          <w:sz w:val="30"/>
          <w:szCs w:val="30"/>
        </w:rPr>
      </w:pPr>
      <w:r w:rsidRPr="007B5D03">
        <w:rPr>
          <w:rFonts w:hAnsi="標楷體"/>
          <w:b/>
          <w:bCs/>
          <w:sz w:val="30"/>
          <w:szCs w:val="30"/>
        </w:rPr>
        <w:t>二、購買選擇權者行使選擇權必使出售選擇權者遭受履行損失</w:t>
      </w:r>
    </w:p>
    <w:p w:rsidR="00514426" w:rsidRPr="007B5D03" w:rsidRDefault="00514426" w:rsidP="0047202D">
      <w:pPr>
        <w:snapToGrid w:val="0"/>
        <w:spacing w:line="437" w:lineRule="exact"/>
        <w:ind w:leftChars="325" w:left="910" w:firstLineChars="100" w:firstLine="300"/>
        <w:rPr>
          <w:bCs/>
          <w:sz w:val="30"/>
          <w:szCs w:val="30"/>
        </w:rPr>
      </w:pPr>
      <w:r w:rsidRPr="007B5D03">
        <w:rPr>
          <w:rFonts w:hAnsi="標楷體"/>
          <w:bCs/>
          <w:sz w:val="30"/>
          <w:szCs w:val="30"/>
        </w:rPr>
        <w:t>由於在選擇權</w:t>
      </w:r>
      <w:r w:rsidRPr="007B5D03">
        <w:rPr>
          <w:rFonts w:hAnsi="標楷體"/>
          <w:sz w:val="30"/>
          <w:szCs w:val="30"/>
        </w:rPr>
        <w:t>交易</w:t>
      </w:r>
      <w:r w:rsidRPr="007B5D03">
        <w:rPr>
          <w:rFonts w:hAnsi="標楷體"/>
          <w:bCs/>
          <w:sz w:val="30"/>
          <w:szCs w:val="30"/>
        </w:rPr>
        <w:t>，購買選擇權者只有在市場行情對其有利時，始行使其選擇權，而且只要其行使選擇權，一定可以獲得市場行情與約定價格之差價乘以約定數量之價差利益，而該價差利益正由出售選擇權者負擔。出售選擇權者在</w:t>
      </w:r>
      <w:r w:rsidRPr="007B5D03">
        <w:rPr>
          <w:rFonts w:hAnsi="標楷體"/>
          <w:bCs/>
          <w:sz w:val="30"/>
          <w:szCs w:val="30"/>
        </w:rPr>
        <w:lastRenderedPageBreak/>
        <w:t>選擇權期限屆至前，如果不預為選擇權標的之融資買進或融券賣出的避險交易，則在選擇權人依約行使其選擇</w:t>
      </w:r>
      <w:r w:rsidRPr="007B5D03">
        <w:rPr>
          <w:rFonts w:hAnsi="標楷體"/>
          <w:bCs/>
          <w:spacing w:val="4"/>
          <w:sz w:val="30"/>
          <w:szCs w:val="30"/>
        </w:rPr>
        <w:t>權時，出售選擇權者必然遭受等於該價差利益之履行損</w:t>
      </w:r>
      <w:r w:rsidRPr="007B5D03">
        <w:rPr>
          <w:rFonts w:hAnsi="標楷體"/>
          <w:bCs/>
          <w:sz w:val="30"/>
          <w:szCs w:val="30"/>
        </w:rPr>
        <w:t>失。如不為避險交易，該履行損失之有無及大小完全射倖</w:t>
      </w:r>
      <w:r w:rsidRPr="007B5D03">
        <w:rPr>
          <w:rFonts w:hAnsi="標楷體" w:hint="eastAsia"/>
          <w:bCs/>
          <w:sz w:val="30"/>
          <w:szCs w:val="30"/>
        </w:rPr>
        <w:t>地</w:t>
      </w:r>
      <w:r w:rsidRPr="007B5D03">
        <w:rPr>
          <w:rFonts w:hAnsi="標楷體"/>
          <w:bCs/>
          <w:sz w:val="30"/>
          <w:szCs w:val="30"/>
        </w:rPr>
        <w:t>取決於權證標的之行情。在對自選擇權買賣之雙務契約中取得之前開權利金課徵所得稅時，為該權利金之營利事業所得的計算，依所得稅法第二十四條第一項所定之淨額原則，應容許選擇權之出賣人減除該價差利益構成之履行損失。這不因選擇權標的為證券或為其他財產而有差異。</w:t>
      </w:r>
    </w:p>
    <w:p w:rsidR="00514426" w:rsidRPr="007B5D03" w:rsidRDefault="00514426" w:rsidP="0047202D">
      <w:pPr>
        <w:snapToGrid w:val="0"/>
        <w:spacing w:line="437" w:lineRule="exact"/>
        <w:ind w:leftChars="100" w:left="904" w:hanging="624"/>
        <w:rPr>
          <w:b/>
          <w:bCs/>
          <w:sz w:val="30"/>
          <w:szCs w:val="30"/>
        </w:rPr>
      </w:pPr>
      <w:r w:rsidRPr="007B5D03">
        <w:rPr>
          <w:rFonts w:hAnsi="標楷體"/>
          <w:b/>
          <w:bCs/>
          <w:sz w:val="30"/>
          <w:szCs w:val="30"/>
        </w:rPr>
        <w:t>三、出售選擇權者有義務從事避險交易以防止或減少該履行損失</w:t>
      </w:r>
    </w:p>
    <w:p w:rsidR="00514426" w:rsidRPr="007B5D03" w:rsidRDefault="00514426" w:rsidP="0047202D">
      <w:pPr>
        <w:snapToGrid w:val="0"/>
        <w:spacing w:line="437" w:lineRule="exact"/>
        <w:ind w:leftChars="325" w:left="910" w:firstLineChars="100" w:firstLine="300"/>
        <w:rPr>
          <w:bCs/>
          <w:sz w:val="30"/>
          <w:szCs w:val="30"/>
        </w:rPr>
      </w:pPr>
      <w:r w:rsidRPr="007B5D03">
        <w:rPr>
          <w:rFonts w:hAnsi="標楷體"/>
          <w:bCs/>
          <w:sz w:val="30"/>
          <w:szCs w:val="30"/>
        </w:rPr>
        <w:t>關於上述履行損失，出售選擇權者如果真是聽天由命，放任其依市場行情之漲落而發生，則選擇權之買賣便等於是法律禁止之買空賣空的賭博行為（最高法院八十三年度</w:t>
      </w:r>
      <w:r w:rsidRPr="007B5D03">
        <w:rPr>
          <w:rFonts w:hAnsi="標楷體" w:hint="eastAsia"/>
          <w:bCs/>
          <w:spacing w:val="-4"/>
          <w:sz w:val="30"/>
          <w:szCs w:val="30"/>
        </w:rPr>
        <w:t>台</w:t>
      </w:r>
      <w:r w:rsidRPr="007B5D03">
        <w:rPr>
          <w:rFonts w:hAnsi="標楷體"/>
          <w:bCs/>
          <w:spacing w:val="-4"/>
          <w:sz w:val="30"/>
          <w:szCs w:val="30"/>
        </w:rPr>
        <w:t>非字第六五號刑事判決），可能引發大量之違約行為，影</w:t>
      </w:r>
      <w:r w:rsidRPr="007B5D03">
        <w:rPr>
          <w:rFonts w:hAnsi="標楷體"/>
          <w:bCs/>
          <w:sz w:val="30"/>
          <w:szCs w:val="30"/>
        </w:rPr>
        <w:t>響金融市場之交易安全。當年，證期會（行政院金管會之前身）為確保認購（售）權證之發行的交易安全，除規定</w:t>
      </w:r>
      <w:r w:rsidRPr="007B5D03">
        <w:rPr>
          <w:rFonts w:hAnsi="標楷體"/>
          <w:bCs/>
          <w:spacing w:val="-4"/>
          <w:sz w:val="30"/>
          <w:szCs w:val="30"/>
        </w:rPr>
        <w:t>發行人應開立避險專戶，從事避險交易，以避免該損失外，</w:t>
      </w:r>
      <w:r w:rsidRPr="007B5D03">
        <w:rPr>
          <w:rFonts w:hAnsi="標楷體"/>
          <w:bCs/>
          <w:sz w:val="30"/>
          <w:szCs w:val="30"/>
        </w:rPr>
        <w:t>並禁止就權證標的從事避險以外之證券交易（證期會八十</w:t>
      </w:r>
      <w:r w:rsidRPr="007B5D03">
        <w:rPr>
          <w:rFonts w:hAnsi="標楷體"/>
          <w:bCs/>
          <w:spacing w:val="2"/>
          <w:sz w:val="30"/>
          <w:szCs w:val="30"/>
        </w:rPr>
        <w:t>六年六月十二日台財證（二）字第三二九四號函參照</w:t>
      </w:r>
      <w:r w:rsidRPr="007B5D03">
        <w:rPr>
          <w:rFonts w:hAnsi="標楷體"/>
          <w:bCs/>
          <w:spacing w:val="2"/>
          <w:sz w:val="20"/>
        </w:rPr>
        <w:t>（註十</w:t>
      </w:r>
      <w:r w:rsidRPr="007B5D03">
        <w:rPr>
          <w:rFonts w:hAnsi="標楷體"/>
          <w:bCs/>
          <w:spacing w:val="-4"/>
          <w:sz w:val="20"/>
        </w:rPr>
        <w:t>三）</w:t>
      </w:r>
      <w:r w:rsidRPr="007B5D03">
        <w:rPr>
          <w:rFonts w:hAnsi="標楷體"/>
          <w:bCs/>
          <w:spacing w:val="-4"/>
          <w:sz w:val="30"/>
          <w:szCs w:val="30"/>
        </w:rPr>
        <w:t>）。此外，並應分別記帳，管理因避險而融資買進之證券</w:t>
      </w:r>
      <w:r w:rsidRPr="007B5D03">
        <w:rPr>
          <w:rFonts w:hAnsi="標楷體"/>
          <w:bCs/>
          <w:sz w:val="30"/>
          <w:szCs w:val="30"/>
        </w:rPr>
        <w:t>或融券賣出之現金。所以該避險交易之證券交易與其他證券交易不但能按</w:t>
      </w:r>
      <w:r w:rsidRPr="007B5D03">
        <w:rPr>
          <w:rFonts w:hAnsi="標楷體"/>
          <w:sz w:val="30"/>
          <w:szCs w:val="30"/>
        </w:rPr>
        <w:t>交易</w:t>
      </w:r>
      <w:r w:rsidRPr="007B5D03">
        <w:rPr>
          <w:rFonts w:hAnsi="標楷體"/>
          <w:bCs/>
          <w:sz w:val="30"/>
          <w:szCs w:val="30"/>
        </w:rPr>
        <w:t>之經濟目的的關聯予以區分，而且其會計</w:t>
      </w:r>
      <w:r w:rsidRPr="007B5D03">
        <w:rPr>
          <w:rFonts w:hAnsi="標楷體" w:hint="eastAsia"/>
          <w:bCs/>
          <w:sz w:val="30"/>
          <w:szCs w:val="30"/>
        </w:rPr>
        <w:t>紀</w:t>
      </w:r>
      <w:r w:rsidRPr="007B5D03">
        <w:rPr>
          <w:rFonts w:hAnsi="標楷體"/>
          <w:bCs/>
          <w:sz w:val="30"/>
          <w:szCs w:val="30"/>
        </w:rPr>
        <w:t>錄及證券管理是完全區隔的。</w:t>
      </w:r>
    </w:p>
    <w:p w:rsidR="00514426" w:rsidRPr="007B5D03" w:rsidRDefault="00514426" w:rsidP="0047202D">
      <w:pPr>
        <w:snapToGrid w:val="0"/>
        <w:spacing w:line="437" w:lineRule="exact"/>
        <w:ind w:leftChars="100" w:left="904" w:hanging="624"/>
        <w:rPr>
          <w:b/>
          <w:bCs/>
          <w:sz w:val="30"/>
          <w:szCs w:val="30"/>
        </w:rPr>
      </w:pPr>
      <w:r w:rsidRPr="007B5D03">
        <w:rPr>
          <w:rFonts w:hAnsi="標楷體"/>
          <w:b/>
          <w:bCs/>
          <w:sz w:val="30"/>
          <w:szCs w:val="30"/>
        </w:rPr>
        <w:t>四、準備履行損失與履行損失皆應為權利金所得之計算上的減項</w:t>
      </w:r>
    </w:p>
    <w:p w:rsidR="00514426" w:rsidRPr="007B5D03" w:rsidRDefault="00514426" w:rsidP="0047202D">
      <w:pPr>
        <w:snapToGrid w:val="0"/>
        <w:spacing w:line="437" w:lineRule="exact"/>
        <w:ind w:leftChars="325" w:left="910" w:firstLineChars="100" w:firstLine="300"/>
        <w:rPr>
          <w:bCs/>
          <w:sz w:val="30"/>
          <w:szCs w:val="30"/>
        </w:rPr>
      </w:pPr>
      <w:r w:rsidRPr="007B5D03">
        <w:rPr>
          <w:rFonts w:hAnsi="標楷體"/>
          <w:bCs/>
          <w:sz w:val="30"/>
          <w:szCs w:val="30"/>
        </w:rPr>
        <w:lastRenderedPageBreak/>
        <w:t>為避免上述履行損失，出售選擇權者必須就選擇權標的預為準備履行的交易。實務上稱該準備履行的交易為避險交易，已如前述。其目的在於控制因出售選擇權而負擔之履約風險可能造成之損失的範圍。以</w:t>
      </w:r>
      <w:r w:rsidRPr="007B5D03">
        <w:rPr>
          <w:rFonts w:hAnsi="標楷體"/>
          <w:sz w:val="30"/>
          <w:szCs w:val="30"/>
        </w:rPr>
        <w:t>選擇</w:t>
      </w:r>
      <w:r w:rsidRPr="007B5D03">
        <w:rPr>
          <w:rFonts w:hAnsi="標楷體"/>
          <w:bCs/>
          <w:sz w:val="30"/>
          <w:szCs w:val="30"/>
        </w:rPr>
        <w:t>權標的是證券為例，為認購權證或認售權證從事避險交易，除分別會有融資或融券之利息、證券交易手續費、證券交易稅構成之成本費用及稅捐負擔外，其為避險而短線進出調節標的證券或現金的準備部位，亦可能有損益發生。以上成本、費用、稅捐及損益之加總即是出售選擇權者為準備履行所遭受之避險損益。然依大數法則，在大多數的情形，發行人會遭受證券交易損失。其中道理為：在認購權證之避險方法為融資買進，其高於約定價格之漲價利益，因權證持有人行使選擇權而歸屬於持有人；其低於約定價格之跌價損失，因權證持有人不行使選擇權而基本上歸屬於權證發行人。在認售權證之避險方法為融券賣出，其低於約定價格之跌價利益，因權證持有人行使選擇權而歸屬於權證持有人；其高於約定價格之漲價損失，因權證持有人不行使選擇權而基本上歸屬於權證發行人。避險交易的功能為：以較低之準備履行的避險損失，防止或減少權證發行人放任權證購買人行使選擇權時可能遭受之難以預測的較高履行損失。在出售選擇權者之損益的計算上，該準備履行損失與履行損失間有替代關係。履行損失本來既是出售選擇權者之損益計算上的減項，則與其具有替代關係之準備履行損失自當亦為其減項。</w:t>
      </w:r>
    </w:p>
    <w:p w:rsidR="00514426" w:rsidRPr="007B5D03" w:rsidRDefault="00514426" w:rsidP="0047202D">
      <w:pPr>
        <w:snapToGrid w:val="0"/>
        <w:spacing w:line="437" w:lineRule="exact"/>
        <w:ind w:leftChars="325" w:left="910" w:firstLineChars="100" w:firstLine="300"/>
        <w:rPr>
          <w:bCs/>
          <w:sz w:val="30"/>
          <w:szCs w:val="30"/>
        </w:rPr>
      </w:pPr>
      <w:smartTag w:uri="urn:schemas-microsoft-com:office:smarttags" w:element="chsdate">
        <w:smartTagPr>
          <w:attr w:name="IsROCDate" w:val="True"/>
          <w:attr w:name="IsLunarDate" w:val="False"/>
          <w:attr w:name="Day" w:val="11"/>
          <w:attr w:name="Month" w:val="7"/>
          <w:attr w:name="Year" w:val="2007"/>
        </w:smartTagPr>
        <w:r w:rsidRPr="007B5D03">
          <w:rPr>
            <w:rFonts w:hAnsi="標楷體"/>
            <w:bCs/>
            <w:sz w:val="30"/>
            <w:szCs w:val="30"/>
          </w:rPr>
          <w:t>中華民國九十六年七月十一日</w:t>
        </w:r>
      </w:smartTag>
      <w:r w:rsidRPr="007B5D03">
        <w:rPr>
          <w:rFonts w:hAnsi="標楷體"/>
          <w:bCs/>
          <w:sz w:val="30"/>
          <w:szCs w:val="30"/>
        </w:rPr>
        <w:t>修正公布之所得稅法第二</w:t>
      </w:r>
      <w:r w:rsidRPr="007B5D03">
        <w:rPr>
          <w:rFonts w:hAnsi="標楷體"/>
          <w:bCs/>
          <w:spacing w:val="-4"/>
          <w:sz w:val="30"/>
          <w:szCs w:val="30"/>
        </w:rPr>
        <w:t>十四條之二第一項前段規定：「經目的事業主管機關核准發</w:t>
      </w:r>
      <w:r w:rsidRPr="007B5D03">
        <w:rPr>
          <w:rFonts w:hAnsi="標楷體"/>
          <w:bCs/>
          <w:spacing w:val="4"/>
          <w:sz w:val="30"/>
          <w:szCs w:val="30"/>
        </w:rPr>
        <w:t>行認購（售）權證者，發行人發行認購（售）權證，於該</w:t>
      </w:r>
      <w:r w:rsidRPr="007B5D03">
        <w:rPr>
          <w:rFonts w:hAnsi="標楷體"/>
          <w:bCs/>
          <w:sz w:val="30"/>
          <w:szCs w:val="30"/>
        </w:rPr>
        <w:lastRenderedPageBreak/>
        <w:t>權證發行日至到期日期間，基於風險管理而買賣經目的事業主管機關核可之有價證券及衍生性金融商品之交易所得</w:t>
      </w:r>
      <w:r w:rsidRPr="007B5D03">
        <w:rPr>
          <w:rFonts w:hAnsi="標楷體"/>
          <w:bCs/>
          <w:spacing w:val="4"/>
          <w:sz w:val="30"/>
          <w:szCs w:val="30"/>
        </w:rPr>
        <w:t>或損失，應併計發行認購（售）權證之損益課稅，不適用</w:t>
      </w:r>
      <w:r w:rsidRPr="007B5D03">
        <w:rPr>
          <w:rFonts w:hAnsi="標楷體"/>
          <w:bCs/>
          <w:sz w:val="30"/>
          <w:szCs w:val="30"/>
        </w:rPr>
        <w:t>第四條之一及第四條之二規定。」該項規定肯認所得稅法第四條之一規定之適用範圍過廣，超出其目的所需之規範對象，不當排擠同法第二十四條第一項之淨額原則的適用範圍，造成不符合實質課稅原則之課徵結果。因此，予以</w:t>
      </w:r>
      <w:r w:rsidRPr="007B5D03">
        <w:rPr>
          <w:rFonts w:hAnsi="標楷體"/>
          <w:bCs/>
          <w:spacing w:val="4"/>
          <w:sz w:val="30"/>
          <w:szCs w:val="30"/>
        </w:rPr>
        <w:t>修</w:t>
      </w:r>
      <w:r w:rsidRPr="007B5D03">
        <w:rPr>
          <w:rFonts w:hAnsi="標楷體" w:hint="eastAsia"/>
          <w:bCs/>
          <w:spacing w:val="4"/>
          <w:sz w:val="30"/>
          <w:szCs w:val="30"/>
        </w:rPr>
        <w:t>正</w:t>
      </w:r>
      <w:r w:rsidRPr="007B5D03">
        <w:rPr>
          <w:rFonts w:hAnsi="標楷體"/>
          <w:bCs/>
          <w:spacing w:val="4"/>
          <w:sz w:val="30"/>
          <w:szCs w:val="30"/>
        </w:rPr>
        <w:t>，限縮所得稅法第四條之一在實務上認定之適用範</w:t>
      </w:r>
      <w:r w:rsidRPr="007B5D03">
        <w:rPr>
          <w:rFonts w:hAnsi="標楷體"/>
          <w:bCs/>
          <w:sz w:val="30"/>
          <w:szCs w:val="30"/>
        </w:rPr>
        <w:t>圍，使認購（售）權證之發行權利金之所得的計算，符合淨額原則。</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bCs/>
          <w:sz w:val="30"/>
          <w:szCs w:val="30"/>
        </w:rPr>
        <w:t>所得稅法第二十四條之二第一項前段規定之增</w:t>
      </w:r>
      <w:r w:rsidRPr="007B5D03">
        <w:rPr>
          <w:rFonts w:hAnsi="標楷體" w:hint="eastAsia"/>
          <w:bCs/>
          <w:sz w:val="30"/>
          <w:szCs w:val="30"/>
        </w:rPr>
        <w:t>訂</w:t>
      </w:r>
      <w:r w:rsidRPr="007B5D03">
        <w:rPr>
          <w:rFonts w:hAnsi="標楷體"/>
          <w:bCs/>
          <w:sz w:val="30"/>
          <w:szCs w:val="30"/>
        </w:rPr>
        <w:t>的功能在於：修正實務上在前開函釋對於所得稅法第二十四條第一項與第四條之一之體系關係的解釋，以使第四條之一的適用不產生違反淨額原則及費用損失與收入配合原則的結果。所以該增</w:t>
      </w:r>
      <w:r w:rsidRPr="007B5D03">
        <w:rPr>
          <w:rFonts w:hAnsi="標楷體" w:hint="eastAsia"/>
          <w:bCs/>
          <w:sz w:val="30"/>
          <w:szCs w:val="30"/>
        </w:rPr>
        <w:t>訂</w:t>
      </w:r>
      <w:r w:rsidRPr="007B5D03">
        <w:rPr>
          <w:rFonts w:hAnsi="標楷體"/>
          <w:bCs/>
          <w:sz w:val="30"/>
          <w:szCs w:val="30"/>
        </w:rPr>
        <w:t>之意義應定性為：確認同法第二十四條第一項本來當有之適用範圍，而非引入新的規範內容。</w:t>
      </w:r>
    </w:p>
    <w:p w:rsidR="00514426" w:rsidRPr="007B5D03" w:rsidRDefault="00514426" w:rsidP="00FB2D5A">
      <w:pPr>
        <w:snapToGrid w:val="0"/>
        <w:spacing w:line="437" w:lineRule="exact"/>
        <w:ind w:leftChars="100" w:left="960" w:hanging="680"/>
        <w:rPr>
          <w:b/>
          <w:sz w:val="30"/>
          <w:szCs w:val="30"/>
        </w:rPr>
      </w:pPr>
      <w:r w:rsidRPr="007B5D03">
        <w:rPr>
          <w:rFonts w:hAnsi="標楷體"/>
          <w:b/>
          <w:sz w:val="30"/>
          <w:szCs w:val="30"/>
        </w:rPr>
        <w:t>五、所得的計算不得背離淨額原則及費用損失與收入配合原則</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sz w:val="30"/>
          <w:szCs w:val="30"/>
        </w:rPr>
        <w:t>所得的計算不得背離淨額原則及費用損失與收入配合原則。背離該等原則，將產生以收入毛額為所得，對之課徵所得稅的結果，根本牴觸所得與收入之概念的分野，違反無所得即無所得稅的原則。由於各人對於所得稅之建制原則的信念不同，可能在量能課稅原則的適用，有不同的看法。例如為淨額之計算，對於收入得減除之成本、費用、損失及稅捐等項目，得減除之百分比及絕對數額等，或許在數量或程度上，有應予如何限制的不同政策或看法。但</w:t>
      </w:r>
      <w:r w:rsidRPr="007B5D03">
        <w:rPr>
          <w:rFonts w:hAnsi="標楷體"/>
          <w:spacing w:val="4"/>
          <w:sz w:val="30"/>
          <w:szCs w:val="30"/>
        </w:rPr>
        <w:t>對於為履行或為準備履行債務而發生之費用、損失或稅</w:t>
      </w:r>
      <w:r w:rsidRPr="007B5D03">
        <w:rPr>
          <w:rFonts w:hAnsi="標楷體"/>
          <w:sz w:val="30"/>
          <w:szCs w:val="30"/>
        </w:rPr>
        <w:t>捐</w:t>
      </w:r>
      <w:r w:rsidRPr="007B5D03">
        <w:rPr>
          <w:rFonts w:hAnsi="標楷體" w:hint="eastAsia"/>
          <w:sz w:val="30"/>
          <w:szCs w:val="30"/>
        </w:rPr>
        <w:t>，</w:t>
      </w:r>
      <w:r w:rsidRPr="007B5D03">
        <w:rPr>
          <w:rFonts w:hAnsi="標楷體"/>
          <w:sz w:val="30"/>
          <w:szCs w:val="30"/>
        </w:rPr>
        <w:t>如根本不</w:t>
      </w:r>
      <w:r w:rsidRPr="007B5D03">
        <w:rPr>
          <w:rFonts w:hAnsi="標楷體"/>
          <w:sz w:val="30"/>
          <w:szCs w:val="30"/>
        </w:rPr>
        <w:lastRenderedPageBreak/>
        <w:t>許減除，或在形式上准許減除，而實際上不准許減除，以致在結果上，等於以因負擔該債務而取得之收入的毛額為所得，對之課徵所得稅，則該政策或看法違反量能課稅原則不再有任何疑問。</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sz w:val="30"/>
          <w:szCs w:val="30"/>
        </w:rPr>
        <w:t>不論以什麼理由，認為發行認購（售）權證之權利金收入，應依所得稅法第四條之一以外之其他規定，課徵營利事業所得稅時，在與該權利金收入有關之所得的計算，即應遵守所得稅法第二十四條第一項所定之淨額原則，容許減除其發行人為履行及為準備履行該權證所載之選擇權債務所發生之費用、損失及稅捐（例如證券交易手續費、證券交易損失及證券交易稅），而不得因該權證之標的為證券，而認為發行人為履行及為準備履行該權證所載之選擇權債務所從事之證券交易的所得與損失，應適用所得稅法第四條之一，不再得認列其損益，以與該權利金收入加總計算其所得。</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sz w:val="30"/>
          <w:szCs w:val="30"/>
        </w:rPr>
        <w:t>由於為履行及為準備履行權證債務而從事證券交易，對於發行人而言，有證券交易所得的或然率及數額，遠低於有證券交易損失的或然率及數額。是故，主張以證券交易所得之免稅，交換證券交易損失之減除的排除，對於納稅義務人不利。以自民國</w:t>
      </w:r>
      <w:r w:rsidRPr="007B5D03">
        <w:rPr>
          <w:rFonts w:hint="eastAsia"/>
          <w:sz w:val="30"/>
          <w:szCs w:val="30"/>
        </w:rPr>
        <w:t>八十七</w:t>
      </w:r>
      <w:r w:rsidRPr="007B5D03">
        <w:rPr>
          <w:rFonts w:hAnsi="標楷體"/>
          <w:sz w:val="30"/>
          <w:szCs w:val="30"/>
        </w:rPr>
        <w:t>年至</w:t>
      </w:r>
      <w:r w:rsidRPr="007B5D03">
        <w:rPr>
          <w:rFonts w:hint="eastAsia"/>
          <w:sz w:val="30"/>
          <w:szCs w:val="30"/>
        </w:rPr>
        <w:t>九十三</w:t>
      </w:r>
      <w:r w:rsidRPr="007B5D03">
        <w:rPr>
          <w:rFonts w:hAnsi="標楷體"/>
          <w:sz w:val="30"/>
          <w:szCs w:val="30"/>
        </w:rPr>
        <w:t>年</w:t>
      </w:r>
      <w:r w:rsidRPr="007B5D03">
        <w:rPr>
          <w:rFonts w:hint="eastAsia"/>
          <w:sz w:val="30"/>
          <w:szCs w:val="30"/>
        </w:rPr>
        <w:t>七</w:t>
      </w:r>
      <w:r w:rsidRPr="007B5D03">
        <w:rPr>
          <w:rFonts w:hAnsi="標楷體"/>
          <w:sz w:val="30"/>
          <w:szCs w:val="30"/>
        </w:rPr>
        <w:t>月底之前到期之認購（售）權證的避險交易為例</w:t>
      </w:r>
      <w:r w:rsidRPr="007B5D03">
        <w:rPr>
          <w:rFonts w:hAnsi="標楷體"/>
          <w:sz w:val="20"/>
        </w:rPr>
        <w:t>（註十四）</w:t>
      </w:r>
      <w:r w:rsidRPr="007B5D03">
        <w:rPr>
          <w:rFonts w:hAnsi="標楷體"/>
          <w:sz w:val="30"/>
          <w:szCs w:val="30"/>
        </w:rPr>
        <w:t>，發生證券交易所得之檔數為</w:t>
      </w:r>
      <w:r w:rsidRPr="007B5D03">
        <w:rPr>
          <w:sz w:val="30"/>
          <w:szCs w:val="30"/>
        </w:rPr>
        <w:t>179</w:t>
      </w:r>
      <w:r w:rsidRPr="007B5D03">
        <w:rPr>
          <w:rFonts w:hAnsi="標楷體"/>
          <w:sz w:val="30"/>
          <w:szCs w:val="30"/>
        </w:rPr>
        <w:t>檔，盈餘金額為新臺幣（下略）</w:t>
      </w:r>
      <w:r w:rsidRPr="007B5D03">
        <w:rPr>
          <w:sz w:val="30"/>
          <w:szCs w:val="30"/>
        </w:rPr>
        <w:t>2,838,487,023.00</w:t>
      </w:r>
      <w:r w:rsidRPr="007B5D03">
        <w:rPr>
          <w:rFonts w:hAnsi="標楷體"/>
          <w:sz w:val="30"/>
          <w:szCs w:val="30"/>
        </w:rPr>
        <w:t>元；發生證券交易損失之檔數為</w:t>
      </w:r>
      <w:r w:rsidRPr="007B5D03">
        <w:rPr>
          <w:sz w:val="30"/>
          <w:szCs w:val="30"/>
        </w:rPr>
        <w:t>341</w:t>
      </w:r>
      <w:r w:rsidRPr="007B5D03">
        <w:rPr>
          <w:rFonts w:hAnsi="標楷體"/>
          <w:sz w:val="30"/>
          <w:szCs w:val="30"/>
        </w:rPr>
        <w:t>檔，虧損金額為</w:t>
      </w:r>
      <w:r w:rsidRPr="007B5D03">
        <w:rPr>
          <w:sz w:val="30"/>
          <w:szCs w:val="30"/>
        </w:rPr>
        <w:t>12,903,175,148.00</w:t>
      </w:r>
      <w:r w:rsidRPr="007B5D03">
        <w:rPr>
          <w:rFonts w:hAnsi="標楷體"/>
          <w:sz w:val="30"/>
          <w:szCs w:val="30"/>
        </w:rPr>
        <w:t>元。上引證券交易所得與證券交易損失之總數額的比值大約是：「證券交易所得：證</w:t>
      </w:r>
      <w:r w:rsidRPr="007B5D03">
        <w:rPr>
          <w:rFonts w:hAnsi="標楷體"/>
          <w:spacing w:val="-12"/>
          <w:sz w:val="30"/>
          <w:szCs w:val="30"/>
        </w:rPr>
        <w:t>券交易損失＝</w:t>
      </w:r>
      <w:r w:rsidRPr="007B5D03">
        <w:rPr>
          <w:spacing w:val="-12"/>
          <w:sz w:val="30"/>
          <w:szCs w:val="30"/>
        </w:rPr>
        <w:t>1</w:t>
      </w:r>
      <w:r w:rsidRPr="007B5D03">
        <w:rPr>
          <w:rFonts w:hAnsi="標楷體"/>
          <w:spacing w:val="-12"/>
          <w:sz w:val="30"/>
          <w:szCs w:val="30"/>
        </w:rPr>
        <w:t>：</w:t>
      </w:r>
      <w:r w:rsidRPr="007B5D03">
        <w:rPr>
          <w:spacing w:val="-12"/>
          <w:sz w:val="30"/>
          <w:szCs w:val="30"/>
        </w:rPr>
        <w:t>4.6</w:t>
      </w:r>
      <w:r w:rsidRPr="007B5D03">
        <w:rPr>
          <w:rFonts w:hAnsi="標楷體"/>
          <w:spacing w:val="-12"/>
          <w:sz w:val="30"/>
          <w:szCs w:val="30"/>
        </w:rPr>
        <w:t>」（請參見李存修，證券商發行認購（售）</w:t>
      </w:r>
      <w:r w:rsidRPr="007B5D03">
        <w:rPr>
          <w:rFonts w:hAnsi="標楷體"/>
          <w:sz w:val="30"/>
          <w:szCs w:val="30"/>
        </w:rPr>
        <w:t>權證之定價策略及各項相關成本分析研究報告，</w:t>
      </w:r>
      <w:r w:rsidRPr="007B5D03">
        <w:rPr>
          <w:rFonts w:hint="eastAsia"/>
          <w:sz w:val="30"/>
          <w:szCs w:val="30"/>
        </w:rPr>
        <w:t>九十三</w:t>
      </w:r>
      <w:r w:rsidRPr="007B5D03">
        <w:rPr>
          <w:rFonts w:hAnsi="標楷體"/>
          <w:sz w:val="30"/>
          <w:szCs w:val="30"/>
        </w:rPr>
        <w:t>年</w:t>
      </w:r>
      <w:r w:rsidRPr="007B5D03">
        <w:rPr>
          <w:rFonts w:hint="eastAsia"/>
          <w:sz w:val="30"/>
          <w:szCs w:val="30"/>
        </w:rPr>
        <w:t>八</w:t>
      </w:r>
      <w:r w:rsidRPr="007B5D03">
        <w:rPr>
          <w:rFonts w:hAnsi="標楷體"/>
          <w:sz w:val="30"/>
          <w:szCs w:val="30"/>
        </w:rPr>
        <w:t>月）。</w:t>
      </w:r>
      <w:r w:rsidRPr="007B5D03">
        <w:rPr>
          <w:sz w:val="30"/>
          <w:szCs w:val="30"/>
        </w:rPr>
        <w:t xml:space="preserve"> </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sz w:val="30"/>
          <w:szCs w:val="30"/>
        </w:rPr>
        <w:lastRenderedPageBreak/>
        <w:t>將為履行及為準備履行權證債務所從事之證券交易的所</w:t>
      </w:r>
      <w:r w:rsidRPr="007B5D03">
        <w:rPr>
          <w:rFonts w:hAnsi="標楷體"/>
          <w:spacing w:val="4"/>
          <w:sz w:val="30"/>
          <w:szCs w:val="30"/>
        </w:rPr>
        <w:t>得或損失與發行權利金收入併計損益，不但符合淨額原</w:t>
      </w:r>
      <w:r w:rsidRPr="007B5D03">
        <w:rPr>
          <w:rFonts w:hAnsi="標楷體"/>
          <w:sz w:val="30"/>
          <w:szCs w:val="30"/>
        </w:rPr>
        <w:t>則，而且亦公平處理徵納雙方的利益。如依所得稅法第四條之一，將該為履行及為準備履行權證債務而發生之證券交易損益，自該權利金收入之所得的計算分離出來，並與其他無關之證券交易所得及損失一體適用該條規定。則關於同一交易，就其認購（售）權證之交易的權利金收入，適用所得稅法第二十四條第一項計為營利事業收入；而就其費用損失，不准適用同項規定，而認為應適用所得稅法第四條之一，不得自該營利事業收入減除，以計算自該權利金收入獲得之營利事業所得。該偏頗於國庫利益之見解與司法院釋字第三八五號解釋禁止割裂適用法律之解釋意旨不符。</w:t>
      </w:r>
    </w:p>
    <w:p w:rsidR="00514426" w:rsidRPr="007B5D03" w:rsidRDefault="00514426" w:rsidP="0047202D">
      <w:pPr>
        <w:snapToGrid w:val="0"/>
        <w:spacing w:line="437" w:lineRule="exact"/>
        <w:ind w:leftChars="325" w:left="910" w:firstLineChars="100" w:firstLine="300"/>
        <w:rPr>
          <w:sz w:val="30"/>
          <w:szCs w:val="30"/>
        </w:rPr>
      </w:pPr>
      <w:r w:rsidRPr="007B5D03">
        <w:rPr>
          <w:rFonts w:hAnsi="標楷體"/>
          <w:sz w:val="30"/>
          <w:szCs w:val="30"/>
        </w:rPr>
        <w:t>認購（售）權證發行人為履行及為準備履行該權證所載之選擇權債務所從事之交易固為證券交易，但該證券交易與發行人為其他目的所從事之證券交易，在會計</w:t>
      </w:r>
      <w:r w:rsidRPr="007B5D03">
        <w:rPr>
          <w:rFonts w:hAnsi="標楷體" w:hint="eastAsia"/>
          <w:sz w:val="30"/>
          <w:szCs w:val="30"/>
        </w:rPr>
        <w:t>紀</w:t>
      </w:r>
      <w:r w:rsidRPr="007B5D03">
        <w:rPr>
          <w:rFonts w:hAnsi="標楷體"/>
          <w:sz w:val="30"/>
          <w:szCs w:val="30"/>
        </w:rPr>
        <w:t>錄及財務管理上，依法皆應完全獨立，無混淆之虞。是故，為履行及為準備履行所發生之費用及損失可明確歸屬於其發行之認購（售）權證的權利金收入。因此從其事務上之合理</w:t>
      </w:r>
      <w:r w:rsidRPr="007B5D03">
        <w:rPr>
          <w:rFonts w:hAnsi="標楷體"/>
          <w:spacing w:val="-4"/>
          <w:sz w:val="30"/>
          <w:szCs w:val="30"/>
        </w:rPr>
        <w:t>關聯，沒有理由僅因所得稅法第四條之一在文字上未將《為</w:t>
      </w:r>
      <w:r w:rsidRPr="007B5D03">
        <w:rPr>
          <w:rFonts w:hAnsi="標楷體"/>
          <w:sz w:val="30"/>
          <w:szCs w:val="30"/>
        </w:rPr>
        <w:t>履行及為準備履行選擇權債務之證券交易》及《非為履行及非為準備履行選擇權債務之證券交易》加以區別，並將《為履行及為準備履行選擇權債務之證券交易》排除在該條之適用範圍外，即可認為《為履行及為準備履行選擇權債務之證券交易》亦應有該條之適用。蓋拘泥於該條文字之適用結果，將引起在該權證權利金收入之所得的計算，完全不容許減除為該權證所載選擇權債務之履行或為準備履行所發生之費</w:t>
      </w:r>
      <w:r w:rsidRPr="007B5D03">
        <w:rPr>
          <w:rFonts w:hAnsi="標楷體"/>
          <w:sz w:val="30"/>
          <w:szCs w:val="30"/>
        </w:rPr>
        <w:lastRenderedPageBreak/>
        <w:t>用、稅捐或遭受之損失，以致在結果上以該權利金之收入的毛額全部為其所得額之完全不符合淨額原則的情事。</w:t>
      </w:r>
    </w:p>
    <w:p w:rsidR="00514426" w:rsidRPr="007B5D03" w:rsidRDefault="00514426" w:rsidP="00FB2D5A">
      <w:pPr>
        <w:snapToGrid w:val="0"/>
        <w:spacing w:line="437" w:lineRule="exact"/>
        <w:ind w:leftChars="300" w:left="840" w:firstLineChars="100" w:firstLine="300"/>
        <w:rPr>
          <w:sz w:val="30"/>
          <w:szCs w:val="30"/>
        </w:rPr>
      </w:pPr>
      <w:r w:rsidRPr="007B5D03">
        <w:rPr>
          <w:rFonts w:hAnsi="標楷體"/>
          <w:sz w:val="30"/>
          <w:szCs w:val="30"/>
        </w:rPr>
        <w:t>因為稅捐稽徵機關透過符合事理之解釋，本來得將為履行及為準備履行權證債務而獲得之證券交易所得計入該認</w:t>
      </w:r>
      <w:r w:rsidRPr="007B5D03">
        <w:rPr>
          <w:rFonts w:hAnsi="標楷體"/>
          <w:spacing w:val="4"/>
          <w:sz w:val="30"/>
          <w:szCs w:val="30"/>
        </w:rPr>
        <w:t>購（售）權證之發行所得中，併同課徵營利事業所得稅，</w:t>
      </w:r>
      <w:r w:rsidRPr="007B5D03">
        <w:rPr>
          <w:rFonts w:hAnsi="標楷體"/>
          <w:sz w:val="30"/>
          <w:szCs w:val="30"/>
        </w:rPr>
        <w:t>所以稅捐稽徵機關如捨此而不為，並不得以發行人為履行及為準備履行權證所載選擇權債務，有時亦可能發生證券交易所得，且就證券交易所得，依所得稅法第四條之一，亦不對發行人課徵所得稅為理由，不容許發行人在為履行及為準備履行權證債務而有費用、稅捐及損失時，將之自</w:t>
      </w:r>
      <w:r w:rsidRPr="007B5D03">
        <w:rPr>
          <w:rFonts w:hAnsi="標楷體"/>
          <w:spacing w:val="-4"/>
          <w:sz w:val="30"/>
          <w:szCs w:val="30"/>
        </w:rPr>
        <w:t>其權利金收入中減除，以計算其自權利金收入取得之所得。</w:t>
      </w:r>
    </w:p>
    <w:p w:rsidR="00514426" w:rsidRPr="007B5D03" w:rsidRDefault="0047202D" w:rsidP="00C34FE6">
      <w:pPr>
        <w:snapToGrid w:val="0"/>
        <w:spacing w:line="437" w:lineRule="exact"/>
        <w:ind w:left="595" w:hanging="595"/>
        <w:rPr>
          <w:b/>
          <w:sz w:val="30"/>
          <w:szCs w:val="30"/>
        </w:rPr>
      </w:pPr>
      <w:r w:rsidRPr="007B5D03">
        <w:rPr>
          <w:rFonts w:hAnsi="標楷體" w:hint="eastAsia"/>
          <w:b/>
          <w:sz w:val="30"/>
          <w:szCs w:val="30"/>
        </w:rPr>
        <w:t>伍、</w:t>
      </w:r>
      <w:r w:rsidR="00514426" w:rsidRPr="007B5D03">
        <w:rPr>
          <w:rFonts w:hAnsi="標楷體"/>
          <w:b/>
          <w:spacing w:val="-4"/>
          <w:sz w:val="30"/>
          <w:szCs w:val="30"/>
        </w:rPr>
        <w:t>發行人依規定自行購買其於發行時未能對外發行之認購（售）</w:t>
      </w:r>
      <w:r w:rsidR="00514426" w:rsidRPr="007B5D03">
        <w:rPr>
          <w:rFonts w:hAnsi="標楷體"/>
          <w:b/>
          <w:sz w:val="30"/>
          <w:szCs w:val="30"/>
        </w:rPr>
        <w:t>權證時，該發行權利金收入的擬制</w:t>
      </w:r>
    </w:p>
    <w:p w:rsidR="00514426" w:rsidRPr="007B5D03" w:rsidRDefault="00514426" w:rsidP="00C34FE6">
      <w:pPr>
        <w:snapToGrid w:val="0"/>
        <w:spacing w:line="437" w:lineRule="exact"/>
        <w:ind w:left="595" w:firstLine="318"/>
        <w:rPr>
          <w:sz w:val="30"/>
          <w:szCs w:val="30"/>
        </w:rPr>
      </w:pPr>
      <w:r w:rsidRPr="007B5D03">
        <w:rPr>
          <w:rFonts w:hAnsi="標楷體"/>
          <w:sz w:val="30"/>
          <w:szCs w:val="30"/>
        </w:rPr>
        <w:t>所得稅法第二十四條第一項前段規定</w:t>
      </w:r>
      <w:r w:rsidRPr="007B5D03">
        <w:rPr>
          <w:rFonts w:hAnsi="標楷體" w:hint="eastAsia"/>
          <w:sz w:val="30"/>
          <w:szCs w:val="30"/>
        </w:rPr>
        <w:t>：</w:t>
      </w:r>
      <w:r w:rsidRPr="007B5D03">
        <w:rPr>
          <w:rFonts w:hAnsi="標楷體"/>
          <w:sz w:val="30"/>
          <w:szCs w:val="30"/>
        </w:rPr>
        <w:t>「營利事業所得之計算，以其本年度收入總額減除各項成本費用、損失及稅捐後之純益額為所得額。」然後才按計得之所得額適用該當稅率計算其應納所得稅額。今倘根本無收入，其計算之結果當即無所得額。在事實上無收入的情形，該項規定並無授權稅捐稽徵機關得擬制營利事業有該收入。</w:t>
      </w:r>
    </w:p>
    <w:p w:rsidR="00514426" w:rsidRPr="007B5D03" w:rsidRDefault="00514426" w:rsidP="00C34FE6">
      <w:pPr>
        <w:snapToGrid w:val="0"/>
        <w:spacing w:line="437" w:lineRule="exact"/>
        <w:ind w:left="595" w:firstLine="318"/>
        <w:rPr>
          <w:bCs/>
          <w:sz w:val="30"/>
          <w:szCs w:val="30"/>
        </w:rPr>
      </w:pPr>
      <w:r w:rsidRPr="007B5D03">
        <w:rPr>
          <w:rFonts w:hAnsi="標楷體"/>
          <w:bCs/>
          <w:spacing w:val="4"/>
          <w:sz w:val="30"/>
          <w:szCs w:val="30"/>
        </w:rPr>
        <w:t>按</w:t>
      </w:r>
      <w:smartTag w:uri="urn:schemas-microsoft-com:office:smarttags" w:element="chsdate">
        <w:smartTagPr>
          <w:attr w:name="IsROCDate" w:val="True"/>
          <w:attr w:name="IsLunarDate" w:val="False"/>
          <w:attr w:name="Day" w:val="16"/>
          <w:attr w:name="Month" w:val="11"/>
          <w:attr w:name="Year" w:val="1999"/>
        </w:smartTagPr>
        <w:r w:rsidRPr="007B5D03">
          <w:rPr>
            <w:rFonts w:hAnsi="標楷體"/>
            <w:spacing w:val="4"/>
            <w:sz w:val="30"/>
            <w:szCs w:val="30"/>
          </w:rPr>
          <w:t>中華民國</w:t>
        </w:r>
        <w:r w:rsidRPr="007B5D03">
          <w:rPr>
            <w:rFonts w:hAnsi="標楷體"/>
            <w:bCs/>
            <w:spacing w:val="4"/>
            <w:sz w:val="30"/>
            <w:szCs w:val="30"/>
          </w:rPr>
          <w:t>八十八年十一月十六日</w:t>
        </w:r>
      </w:smartTag>
      <w:r w:rsidRPr="007B5D03">
        <w:rPr>
          <w:rFonts w:hAnsi="標楷體"/>
          <w:bCs/>
          <w:spacing w:val="4"/>
          <w:sz w:val="30"/>
          <w:szCs w:val="30"/>
        </w:rPr>
        <w:t>修正通過之臺灣證券</w:t>
      </w:r>
      <w:r w:rsidRPr="007B5D03">
        <w:rPr>
          <w:rFonts w:hAnsi="標楷體"/>
          <w:bCs/>
          <w:sz w:val="30"/>
          <w:szCs w:val="30"/>
        </w:rPr>
        <w:t>交易所</w:t>
      </w:r>
      <w:r w:rsidRPr="007B5D03">
        <w:rPr>
          <w:rFonts w:hAnsi="標楷體"/>
          <w:sz w:val="30"/>
          <w:szCs w:val="30"/>
        </w:rPr>
        <w:t>股份有限公司</w:t>
      </w:r>
      <w:r w:rsidRPr="007B5D03">
        <w:rPr>
          <w:rFonts w:hAnsi="標楷體"/>
          <w:bCs/>
          <w:sz w:val="30"/>
          <w:szCs w:val="30"/>
        </w:rPr>
        <w:t>審查認購（售）權證上市作業程序第七點第一項規定：「七、發行公司應依下列規定辦理並檢送相關資料予本公司：（</w:t>
      </w:r>
      <w:r w:rsidRPr="007B5D03">
        <w:rPr>
          <w:rFonts w:hAnsi="標楷體" w:hint="eastAsia"/>
          <w:bCs/>
          <w:sz w:val="30"/>
          <w:szCs w:val="30"/>
        </w:rPr>
        <w:t>一</w:t>
      </w:r>
      <w:r w:rsidRPr="007B5D03">
        <w:rPr>
          <w:rFonts w:hAnsi="標楷體"/>
          <w:bCs/>
          <w:sz w:val="30"/>
          <w:szCs w:val="30"/>
        </w:rPr>
        <w:t>）本公司出具同意其認購（售）權證發行計畫之文件後，發行人應將認購（售）權證銷售之公告報紙三份於公告後二日內檢送本公司，並於銷售完成且其上市契約經主管機關核准後，於預定之上市買賣日至少三個營業日以前，</w:t>
      </w:r>
      <w:r w:rsidRPr="007B5D03">
        <w:rPr>
          <w:rFonts w:hAnsi="標楷體"/>
          <w:bCs/>
          <w:sz w:val="30"/>
          <w:szCs w:val="30"/>
        </w:rPr>
        <w:lastRenderedPageBreak/>
        <w:t>檢送認購（售）權證持有人分散檢查表及持有人名冊，向本公司辦理洽商預定上市買賣事宜，其預定上市買</w:t>
      </w:r>
      <w:r w:rsidRPr="007B5D03">
        <w:rPr>
          <w:rFonts w:hAnsi="標楷體"/>
          <w:bCs/>
          <w:spacing w:val="6"/>
          <w:sz w:val="30"/>
          <w:szCs w:val="30"/>
        </w:rPr>
        <w:t>賣日並不得逾洽商日後十個營業日。」故發行人發行認購</w:t>
      </w:r>
      <w:r w:rsidRPr="007B5D03">
        <w:rPr>
          <w:rFonts w:hAnsi="標楷體"/>
          <w:bCs/>
          <w:spacing w:val="-4"/>
          <w:sz w:val="30"/>
          <w:szCs w:val="30"/>
        </w:rPr>
        <w:t>（售）權證須「全額銷售完成」始能向證交所申請上市買賣。</w:t>
      </w:r>
      <w:r w:rsidRPr="007B5D03">
        <w:rPr>
          <w:rFonts w:hAnsi="標楷體"/>
          <w:bCs/>
          <w:spacing w:val="4"/>
          <w:sz w:val="30"/>
          <w:szCs w:val="30"/>
        </w:rPr>
        <w:t>復按</w:t>
      </w:r>
      <w:smartTag w:uri="urn:schemas-microsoft-com:office:smarttags" w:element="chsdate">
        <w:smartTagPr>
          <w:attr w:name="IsROCDate" w:val="True"/>
          <w:attr w:name="IsLunarDate" w:val="False"/>
          <w:attr w:name="Day" w:val="23"/>
          <w:attr w:name="Month" w:val="5"/>
          <w:attr w:name="Year" w:val="2003"/>
        </w:smartTagPr>
        <w:r w:rsidRPr="007B5D03">
          <w:rPr>
            <w:rFonts w:hAnsi="標楷體"/>
            <w:bCs/>
            <w:spacing w:val="4"/>
            <w:sz w:val="30"/>
            <w:szCs w:val="30"/>
          </w:rPr>
          <w:t>中華民國九十二年五月二十三日</w:t>
        </w:r>
      </w:smartTag>
      <w:r w:rsidRPr="007B5D03">
        <w:rPr>
          <w:rFonts w:hAnsi="標楷體"/>
          <w:bCs/>
          <w:spacing w:val="4"/>
          <w:sz w:val="30"/>
          <w:szCs w:val="30"/>
        </w:rPr>
        <w:t>修正通過之臺灣證券</w:t>
      </w:r>
      <w:r w:rsidRPr="007B5D03">
        <w:rPr>
          <w:rFonts w:hAnsi="標楷體"/>
          <w:bCs/>
          <w:sz w:val="30"/>
          <w:szCs w:val="30"/>
        </w:rPr>
        <w:t>交易所股份有限公司審查認購（售）權證上市作業程序第十條第二款第二目規定，發行人於不超過上市單位</w:t>
      </w:r>
      <w:r w:rsidRPr="007B5D03">
        <w:rPr>
          <w:bCs/>
          <w:sz w:val="30"/>
          <w:szCs w:val="30"/>
        </w:rPr>
        <w:t>30</w:t>
      </w:r>
      <w:r w:rsidRPr="007B5D03">
        <w:rPr>
          <w:rFonts w:hAnsi="標楷體"/>
          <w:bCs/>
          <w:sz w:val="30"/>
          <w:szCs w:val="30"/>
        </w:rPr>
        <w:t>％內，得持有其發行之權證。從而，發行人於未能將其所發行之權證全額銷售完畢時，應自行認購之。</w:t>
      </w:r>
    </w:p>
    <w:p w:rsidR="00514426" w:rsidRPr="007B5D03" w:rsidRDefault="00514426" w:rsidP="00C34FE6">
      <w:pPr>
        <w:snapToGrid w:val="0"/>
        <w:spacing w:line="437" w:lineRule="exact"/>
        <w:ind w:left="595" w:firstLine="318"/>
        <w:rPr>
          <w:sz w:val="30"/>
          <w:szCs w:val="30"/>
        </w:rPr>
      </w:pPr>
      <w:r w:rsidRPr="007B5D03">
        <w:rPr>
          <w:rFonts w:hAnsi="標楷體"/>
          <w:sz w:val="30"/>
          <w:szCs w:val="30"/>
        </w:rPr>
        <w:t>發行人於發行時未能將預定發行之認購（售）權證完全對外發行者，依規定應全部自行購買其餘額。實務上並對該自行購買之認購（售）權證，擬制有發行權利金之收入，並就該擬制發行之權利金收入課徵營利事業所</w:t>
      </w:r>
      <w:r w:rsidRPr="007B5D03">
        <w:rPr>
          <w:rFonts w:hAnsi="標楷體" w:hint="eastAsia"/>
          <w:sz w:val="30"/>
          <w:szCs w:val="30"/>
        </w:rPr>
        <w:t>得</w:t>
      </w:r>
      <w:r w:rsidRPr="007B5D03">
        <w:rPr>
          <w:rFonts w:hAnsi="標楷體"/>
          <w:sz w:val="30"/>
          <w:szCs w:val="30"/>
        </w:rPr>
        <w:t>稅。然縱使與認購（售）權證之發行有關之金融法規有規定發行人應自己購買其未能完全發行之認購（售）權證。但因其係自己購買，就該自己購買的部分，其價金之收入與支出相減的結果必然是零，發行人不可能有權利金收入發生。該權利金之收入僅是擬制，而實際上並未發生。以擬制發生之權利金收入為所得稅之課徵標的，違反所得稅法第二十四條第一項前段關於所得額之計算應以營利事業之收入為基礎的規定，顯然違反租稅法律主義。</w:t>
      </w:r>
    </w:p>
    <w:p w:rsidR="00514426" w:rsidRPr="007B5D03" w:rsidRDefault="00514426" w:rsidP="00C34FE6">
      <w:pPr>
        <w:snapToGrid w:val="0"/>
        <w:spacing w:line="437" w:lineRule="exact"/>
        <w:ind w:left="595" w:hanging="595"/>
        <w:rPr>
          <w:b/>
          <w:sz w:val="30"/>
          <w:szCs w:val="30"/>
        </w:rPr>
      </w:pPr>
      <w:r w:rsidRPr="007B5D03">
        <w:rPr>
          <w:rFonts w:hAnsi="標楷體"/>
          <w:b/>
          <w:sz w:val="30"/>
          <w:szCs w:val="30"/>
        </w:rPr>
        <w:t>陸、關於認購（售）權證之發行收入的營利事業所得稅，其稽徵方法及稅基之計算結果，有無違反平等原則之情事</w:t>
      </w:r>
    </w:p>
    <w:p w:rsidR="00514426" w:rsidRPr="007B5D03" w:rsidRDefault="00514426" w:rsidP="00C34FE6">
      <w:pPr>
        <w:snapToGrid w:val="0"/>
        <w:spacing w:line="437" w:lineRule="exact"/>
        <w:ind w:left="595" w:firstLine="318"/>
        <w:rPr>
          <w:sz w:val="30"/>
          <w:szCs w:val="30"/>
        </w:rPr>
      </w:pPr>
      <w:r w:rsidRPr="007B5D03">
        <w:rPr>
          <w:rFonts w:hAnsi="標楷體"/>
          <w:sz w:val="30"/>
          <w:szCs w:val="30"/>
        </w:rPr>
        <w:t>在這裡所稱稽徵方法，指推計課稅或核實課徵；所稱稅基之計算結果，指淨額或毛額。</w:t>
      </w:r>
    </w:p>
    <w:p w:rsidR="00514426" w:rsidRPr="007B5D03" w:rsidRDefault="00514426" w:rsidP="00C34FE6">
      <w:pPr>
        <w:snapToGrid w:val="0"/>
        <w:spacing w:line="437" w:lineRule="exact"/>
        <w:ind w:left="624" w:firstLine="318"/>
        <w:rPr>
          <w:sz w:val="30"/>
          <w:szCs w:val="30"/>
        </w:rPr>
      </w:pPr>
      <w:r w:rsidRPr="007B5D03">
        <w:rPr>
          <w:rFonts w:hAnsi="標楷體"/>
          <w:sz w:val="30"/>
          <w:szCs w:val="30"/>
        </w:rPr>
        <w:t>在來自發行認購（售）權證之發行權利金收入之所得的計算，對於發行認購（售）權證之本國證券商，一概採核實課徵</w:t>
      </w:r>
      <w:r w:rsidRPr="007B5D03">
        <w:rPr>
          <w:rFonts w:hAnsi="標楷體"/>
          <w:sz w:val="30"/>
          <w:szCs w:val="30"/>
        </w:rPr>
        <w:lastRenderedPageBreak/>
        <w:t>，但又以所得稅法第四條之一為依據，完全不准本國證券</w:t>
      </w:r>
      <w:r w:rsidRPr="007B5D03">
        <w:rPr>
          <w:rFonts w:hAnsi="標楷體"/>
          <w:spacing w:val="4"/>
          <w:sz w:val="30"/>
          <w:szCs w:val="30"/>
        </w:rPr>
        <w:t>商自該權利金收入減除其為履行或為準備履行權證所載選</w:t>
      </w:r>
      <w:r w:rsidRPr="007B5D03">
        <w:rPr>
          <w:rFonts w:hAnsi="標楷體"/>
          <w:sz w:val="30"/>
          <w:szCs w:val="30"/>
        </w:rPr>
        <w:t>擇權債務所發生之費用或遭受之損失，以致其稅基最後以該權利金收入之毛額全部為其計算結果。反之，對於發行認購（售）權證之外國證券商，實務上卻有容許依所得稅法第二十五條的規定，推計其發行人為履行及為準備履行權證所載</w:t>
      </w:r>
      <w:r w:rsidRPr="007B5D03">
        <w:rPr>
          <w:rFonts w:hAnsi="標楷體"/>
          <w:spacing w:val="4"/>
          <w:sz w:val="30"/>
          <w:szCs w:val="30"/>
        </w:rPr>
        <w:t>選擇權債務所發生之費用或遭受之損失為其收入之</w:t>
      </w:r>
      <w:r w:rsidRPr="007B5D03">
        <w:rPr>
          <w:spacing w:val="4"/>
          <w:sz w:val="30"/>
          <w:szCs w:val="30"/>
        </w:rPr>
        <w:t>85%</w:t>
      </w:r>
      <w:r w:rsidRPr="007B5D03">
        <w:rPr>
          <w:rFonts w:hAnsi="標楷體"/>
          <w:spacing w:val="4"/>
          <w:sz w:val="30"/>
          <w:szCs w:val="30"/>
        </w:rPr>
        <w:t>的</w:t>
      </w:r>
      <w:r w:rsidRPr="007B5D03">
        <w:rPr>
          <w:rFonts w:hAnsi="標楷體"/>
          <w:sz w:val="30"/>
          <w:szCs w:val="30"/>
        </w:rPr>
        <w:t>情形。其結果，以外國證券商權利金收入之</w:t>
      </w:r>
      <w:r w:rsidRPr="007B5D03">
        <w:rPr>
          <w:sz w:val="30"/>
          <w:szCs w:val="30"/>
        </w:rPr>
        <w:t>15%</w:t>
      </w:r>
      <w:r w:rsidRPr="007B5D03">
        <w:rPr>
          <w:rFonts w:hAnsi="標楷體"/>
          <w:sz w:val="30"/>
          <w:szCs w:val="30"/>
        </w:rPr>
        <w:t>推計其營利事業所得稅稅基。該推計的見解，含肯認發行人可能有為履</w:t>
      </w:r>
      <w:r w:rsidRPr="007B5D03">
        <w:rPr>
          <w:rFonts w:hAnsi="標楷體"/>
          <w:spacing w:val="10"/>
          <w:sz w:val="30"/>
          <w:szCs w:val="30"/>
        </w:rPr>
        <w:t>行及為準備履行權證所載選擇權債務而發生證券交易損</w:t>
      </w:r>
      <w:r w:rsidRPr="007B5D03">
        <w:rPr>
          <w:rFonts w:hAnsi="標楷體"/>
          <w:sz w:val="30"/>
          <w:szCs w:val="30"/>
        </w:rPr>
        <w:t>失，且不因其為履行及為準備履行亦有可能發生證券交易所得，而否認其如有證券交易損失亦得自其權利金收入減除。然該見解對於聲請案為何不能適用？</w:t>
      </w:r>
    </w:p>
    <w:p w:rsidR="00514426" w:rsidRPr="007B5D03" w:rsidRDefault="00514426" w:rsidP="00C34FE6">
      <w:pPr>
        <w:snapToGrid w:val="0"/>
        <w:spacing w:line="437" w:lineRule="exact"/>
        <w:ind w:left="624" w:firstLine="318"/>
        <w:rPr>
          <w:sz w:val="30"/>
          <w:szCs w:val="30"/>
        </w:rPr>
      </w:pPr>
      <w:r w:rsidRPr="007B5D03">
        <w:rPr>
          <w:rFonts w:hAnsi="標楷體"/>
          <w:sz w:val="30"/>
          <w:szCs w:val="30"/>
        </w:rPr>
        <w:t>其實，即便是外國證券商，當其發現依我國財稅實務，該特殊待遇終非永制，亦在忽而容許其全身而退後，即不再進場。不知該不再進場的現象給主管機關多少啟示？不能一體對待之難以預測法律效力的稅法環境，縱使是外國證券商有例外可全身而退的可能性，亦不敢冒然一再嘗試。這應已明白顯示，難以預測法律效力之稅法環境，將有礙於亞太金融中心之營造。</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柒、</w:t>
      </w:r>
      <w:r w:rsidRPr="007B5D03">
        <w:rPr>
          <w:rFonts w:hAnsi="標楷體"/>
          <w:b/>
          <w:bCs/>
          <w:sz w:val="30"/>
          <w:szCs w:val="30"/>
        </w:rPr>
        <w:t>所得稅法第四條之一之解釋與適用問題</w:t>
      </w:r>
    </w:p>
    <w:p w:rsidR="00514426" w:rsidRPr="007B5D03" w:rsidRDefault="00514426" w:rsidP="00FB2D5A">
      <w:pPr>
        <w:snapToGrid w:val="0"/>
        <w:spacing w:line="437" w:lineRule="exact"/>
        <w:ind w:leftChars="100" w:left="960" w:hanging="680"/>
        <w:rPr>
          <w:b/>
          <w:bCs/>
          <w:sz w:val="30"/>
          <w:szCs w:val="30"/>
        </w:rPr>
      </w:pPr>
      <w:r w:rsidRPr="007B5D03">
        <w:rPr>
          <w:rFonts w:hAnsi="標楷體"/>
          <w:b/>
          <w:bCs/>
          <w:sz w:val="30"/>
          <w:szCs w:val="30"/>
        </w:rPr>
        <w:t>一、所得稅法第四條之一的規定引起疑義</w:t>
      </w:r>
    </w:p>
    <w:p w:rsidR="00514426" w:rsidRPr="007B5D03" w:rsidRDefault="00514426" w:rsidP="00C34FE6">
      <w:pPr>
        <w:snapToGrid w:val="0"/>
        <w:spacing w:line="437" w:lineRule="exact"/>
        <w:ind w:leftChars="325" w:left="910" w:firstLineChars="100" w:firstLine="300"/>
        <w:rPr>
          <w:bCs/>
          <w:sz w:val="30"/>
          <w:szCs w:val="30"/>
        </w:rPr>
      </w:pPr>
      <w:r w:rsidRPr="007B5D03">
        <w:rPr>
          <w:rFonts w:hAnsi="標楷體"/>
          <w:bCs/>
          <w:sz w:val="30"/>
          <w:szCs w:val="30"/>
        </w:rPr>
        <w:t>認購（售）權證的發行係以選擇權為標的之權利買賣。雙方互負有對價關係之給付與對待給付的義務：購買人負</w:t>
      </w:r>
      <w:r w:rsidRPr="007B5D03">
        <w:rPr>
          <w:rFonts w:hAnsi="標楷體"/>
          <w:bCs/>
          <w:spacing w:val="-4"/>
          <w:sz w:val="30"/>
          <w:szCs w:val="30"/>
        </w:rPr>
        <w:t>給付價金（權利金），發行人負</w:t>
      </w:r>
      <w:r w:rsidRPr="007B5D03">
        <w:rPr>
          <w:rFonts w:hAnsi="標楷體"/>
          <w:spacing w:val="-4"/>
          <w:sz w:val="30"/>
          <w:szCs w:val="30"/>
        </w:rPr>
        <w:t>履行</w:t>
      </w:r>
      <w:r w:rsidRPr="007B5D03">
        <w:rPr>
          <w:rFonts w:hAnsi="標楷體"/>
          <w:bCs/>
          <w:spacing w:val="-4"/>
          <w:sz w:val="30"/>
          <w:szCs w:val="30"/>
        </w:rPr>
        <w:t>選擇權的債務。因此，</w:t>
      </w:r>
      <w:r w:rsidRPr="007B5D03">
        <w:rPr>
          <w:rFonts w:hAnsi="標楷體"/>
          <w:bCs/>
          <w:sz w:val="30"/>
          <w:szCs w:val="30"/>
        </w:rPr>
        <w:t>在認購（售）權證的發行，發行人固有權利金收入，但該收入</w:t>
      </w:r>
      <w:r w:rsidRPr="007B5D03">
        <w:rPr>
          <w:rFonts w:hAnsi="標楷體"/>
          <w:bCs/>
          <w:sz w:val="30"/>
          <w:szCs w:val="30"/>
        </w:rPr>
        <w:lastRenderedPageBreak/>
        <w:t>必須減除其為發行及為履行或為準備履行所負擔之各項成本費用、損失及稅捐後，始有以其純益額為範圍之發行所得額。在認購（售）權證的發行，發行人為發行及為履行或為準備履行可能負擔具有選擇權買賣之特徵的各項</w:t>
      </w:r>
      <w:r w:rsidRPr="007B5D03">
        <w:rPr>
          <w:rFonts w:hAnsi="標楷體"/>
          <w:bCs/>
          <w:spacing w:val="-4"/>
          <w:sz w:val="30"/>
          <w:szCs w:val="30"/>
        </w:rPr>
        <w:t>成本費用、損失及稅捐。例如在以證券為權證標的之情形，</w:t>
      </w:r>
      <w:r w:rsidRPr="007B5D03">
        <w:rPr>
          <w:rFonts w:hAnsi="標楷體"/>
          <w:bCs/>
          <w:sz w:val="30"/>
          <w:szCs w:val="30"/>
        </w:rPr>
        <w:t>發行人為履行或為準備履行其選擇權債務，必須先後與第</w:t>
      </w:r>
      <w:r w:rsidRPr="007B5D03">
        <w:rPr>
          <w:rFonts w:hAnsi="標楷體"/>
          <w:bCs/>
          <w:spacing w:val="-4"/>
          <w:sz w:val="30"/>
          <w:szCs w:val="30"/>
        </w:rPr>
        <w:t>三人及認購（售）權證的持有人從事權證標的之證券交易。</w:t>
      </w:r>
      <w:r w:rsidRPr="007B5D03">
        <w:rPr>
          <w:rFonts w:hAnsi="標楷體"/>
          <w:bCs/>
          <w:sz w:val="30"/>
          <w:szCs w:val="30"/>
        </w:rPr>
        <w:t>因此，首先至少會發生證券交易稅及證券交易手續費等費用。其次，發行人如自第三人融資或融券，以遵守主管機關的法令，從事避險交易，則除上述費用外還會有利息費用。更重要的是：發行人所從事之履行交易或避險交易如果發生損失，同樣會減少發行人可能自其發行權利金獲得之盈餘。該等費用、損失及稅捐之減除為所得稅法第二十四條第一項前段所定之自明的道理，不因權證標的究為大麥、玉米、黃豆、黃金、外匯或證券而有差別。然由於所得稅法第四條之一規定：「自</w:t>
      </w:r>
      <w:smartTag w:uri="urn:schemas-microsoft-com:office:smarttags" w:element="chsdate">
        <w:smartTagPr>
          <w:attr w:name="IsROCDate" w:val="True"/>
          <w:attr w:name="IsLunarDate" w:val="False"/>
          <w:attr w:name="Day" w:val="1"/>
          <w:attr w:name="Month" w:val="1"/>
          <w:attr w:name="Year" w:val="1990"/>
        </w:smartTagPr>
        <w:r w:rsidRPr="007B5D03">
          <w:rPr>
            <w:rFonts w:hAnsi="標楷體"/>
            <w:bCs/>
            <w:sz w:val="30"/>
            <w:szCs w:val="30"/>
          </w:rPr>
          <w:t>中華民國七十九年一月一日</w:t>
        </w:r>
      </w:smartTag>
      <w:r w:rsidRPr="007B5D03">
        <w:rPr>
          <w:rFonts w:hAnsi="標楷體"/>
          <w:bCs/>
          <w:sz w:val="30"/>
          <w:szCs w:val="30"/>
        </w:rPr>
        <w:t>起，關於證券交易所得停止課徵所得稅，證券交易損失亦不得自所得額中減除。」引起發行人上述避險交易損益是否得與其權利金收入併計，以計算其認購（售）權證之發行損益的疑義。</w:t>
      </w:r>
    </w:p>
    <w:p w:rsidR="00514426" w:rsidRPr="007B5D03" w:rsidRDefault="00514426" w:rsidP="00C34FE6">
      <w:pPr>
        <w:snapToGrid w:val="0"/>
        <w:spacing w:line="437" w:lineRule="exact"/>
        <w:ind w:leftChars="100" w:left="904" w:hanging="624"/>
        <w:rPr>
          <w:b/>
          <w:bCs/>
          <w:sz w:val="30"/>
          <w:szCs w:val="30"/>
        </w:rPr>
      </w:pPr>
      <w:r w:rsidRPr="007B5D03">
        <w:rPr>
          <w:rFonts w:hAnsi="標楷體"/>
          <w:b/>
          <w:bCs/>
          <w:sz w:val="30"/>
          <w:szCs w:val="30"/>
        </w:rPr>
        <w:t>二、財政部八十六年十二月</w:t>
      </w:r>
      <w:r w:rsidRPr="007B5D03">
        <w:rPr>
          <w:rFonts w:hAnsi="標楷體" w:hint="eastAsia"/>
          <w:b/>
          <w:bCs/>
          <w:sz w:val="30"/>
          <w:szCs w:val="30"/>
        </w:rPr>
        <w:t>十</w:t>
      </w:r>
      <w:r w:rsidRPr="007B5D03">
        <w:rPr>
          <w:rFonts w:hAnsi="標楷體"/>
          <w:b/>
          <w:bCs/>
          <w:sz w:val="30"/>
          <w:szCs w:val="30"/>
        </w:rPr>
        <w:t>一日台財稅第八六一九二二四六四號函對該疑義的解釋</w:t>
      </w:r>
    </w:p>
    <w:p w:rsidR="00514426" w:rsidRPr="007B5D03" w:rsidRDefault="00514426" w:rsidP="00C34FE6">
      <w:pPr>
        <w:snapToGrid w:val="0"/>
        <w:spacing w:line="437" w:lineRule="exact"/>
        <w:ind w:leftChars="325" w:left="910" w:firstLineChars="100" w:firstLine="300"/>
        <w:rPr>
          <w:bCs/>
          <w:sz w:val="30"/>
          <w:szCs w:val="30"/>
        </w:rPr>
      </w:pPr>
      <w:r w:rsidRPr="007B5D03">
        <w:rPr>
          <w:rFonts w:hAnsi="標楷體"/>
          <w:bCs/>
          <w:sz w:val="30"/>
          <w:szCs w:val="30"/>
        </w:rPr>
        <w:t>對該疑義，財政部八十六年十二月十一日台財稅第八六</w:t>
      </w:r>
      <w:r w:rsidRPr="007B5D03">
        <w:rPr>
          <w:rFonts w:hAnsi="標楷體"/>
          <w:bCs/>
          <w:spacing w:val="-4"/>
          <w:sz w:val="30"/>
          <w:szCs w:val="30"/>
        </w:rPr>
        <w:t>一九二二四六四號函釋：「認購（售）權證發行人於發行時</w:t>
      </w:r>
      <w:r w:rsidRPr="007B5D03">
        <w:rPr>
          <w:rFonts w:hAnsi="標楷體"/>
          <w:bCs/>
          <w:sz w:val="30"/>
          <w:szCs w:val="30"/>
        </w:rPr>
        <w:t>所取得之發行價款，係屬權利金收入，依現行所得稅法第</w:t>
      </w:r>
      <w:r w:rsidRPr="007B5D03">
        <w:rPr>
          <w:rFonts w:hAnsi="標楷體"/>
          <w:bCs/>
          <w:spacing w:val="4"/>
          <w:sz w:val="30"/>
          <w:szCs w:val="30"/>
        </w:rPr>
        <w:t>二十二條有關公司組織之會計基礎應採權責發生制之規</w:t>
      </w:r>
      <w:r w:rsidRPr="007B5D03">
        <w:rPr>
          <w:rFonts w:hAnsi="標楷體"/>
          <w:bCs/>
          <w:sz w:val="30"/>
          <w:szCs w:val="30"/>
        </w:rPr>
        <w:t>定，應於發行期間內分期計算損益或於履約時認列損益。認購（</w:t>
      </w:r>
      <w:r w:rsidRPr="007B5D03">
        <w:rPr>
          <w:rFonts w:hAnsi="標楷體"/>
          <w:bCs/>
          <w:sz w:val="30"/>
          <w:szCs w:val="30"/>
        </w:rPr>
        <w:lastRenderedPageBreak/>
        <w:t>售）權證發行人於發行後，因投資人行使權利而售出或購入標的股票產生之證券交易所得或損失，應於履約時認列損益，並依所得稅法第四條之一規定辦理。</w:t>
      </w:r>
      <w:r w:rsidRPr="007B5D03">
        <w:rPr>
          <w:rFonts w:hint="eastAsia"/>
          <w:bCs/>
          <w:sz w:val="30"/>
          <w:szCs w:val="30"/>
        </w:rPr>
        <w:t>……</w:t>
      </w:r>
      <w:r w:rsidRPr="007B5D03">
        <w:rPr>
          <w:rFonts w:hAnsi="標楷體"/>
          <w:bCs/>
          <w:sz w:val="30"/>
          <w:szCs w:val="30"/>
        </w:rPr>
        <w:t>」該函釋雖首先肯認所得稅法第二十四條第一項前段的規定</w:t>
      </w:r>
      <w:r w:rsidRPr="007B5D03">
        <w:rPr>
          <w:rFonts w:hAnsi="標楷體"/>
          <w:bCs/>
          <w:spacing w:val="-4"/>
          <w:sz w:val="30"/>
          <w:szCs w:val="30"/>
        </w:rPr>
        <w:t>意旨，釋稱：「認購（售）權證發行人於發行後，因投資人</w:t>
      </w:r>
      <w:r w:rsidRPr="007B5D03">
        <w:rPr>
          <w:rFonts w:hAnsi="標楷體"/>
          <w:bCs/>
          <w:sz w:val="30"/>
          <w:szCs w:val="30"/>
        </w:rPr>
        <w:t>行使權利而售出或購入標的股票產生之證券交易所得或損</w:t>
      </w:r>
      <w:r w:rsidRPr="007B5D03">
        <w:rPr>
          <w:rFonts w:hAnsi="標楷體"/>
          <w:bCs/>
          <w:spacing w:val="-4"/>
          <w:sz w:val="30"/>
          <w:szCs w:val="30"/>
        </w:rPr>
        <w:t>失，應於履約時認列損益。」但緊接著矛盾</w:t>
      </w:r>
      <w:r w:rsidRPr="007B5D03">
        <w:rPr>
          <w:rFonts w:hAnsi="標楷體" w:hint="eastAsia"/>
          <w:bCs/>
          <w:spacing w:val="-4"/>
          <w:sz w:val="30"/>
          <w:szCs w:val="30"/>
        </w:rPr>
        <w:t>地</w:t>
      </w:r>
      <w:r w:rsidRPr="007B5D03">
        <w:rPr>
          <w:rFonts w:hAnsi="標楷體"/>
          <w:bCs/>
          <w:spacing w:val="-4"/>
          <w:sz w:val="30"/>
          <w:szCs w:val="30"/>
        </w:rPr>
        <w:t>指示：「並依</w:t>
      </w:r>
      <w:r w:rsidRPr="007B5D03">
        <w:rPr>
          <w:rFonts w:hAnsi="標楷體"/>
          <w:bCs/>
          <w:sz w:val="30"/>
          <w:szCs w:val="30"/>
        </w:rPr>
        <w:t>所得稅法第四條之一規定辦理。」蓋既然規定「發行後，因投資人行使權利而售出或購入標的股票產生之證券交易所得或損失，應於履約時認列損益」於先，如何又可規定「依所得稅法第四條之一規定辦理」一概不准減除於後？當其形式上各有法律依據，而前後矛盾構成規範衝突時，</w:t>
      </w:r>
      <w:r w:rsidRPr="007B5D03">
        <w:rPr>
          <w:rFonts w:hAnsi="標楷體"/>
          <w:bCs/>
          <w:spacing w:val="4"/>
          <w:sz w:val="30"/>
          <w:szCs w:val="30"/>
        </w:rPr>
        <w:t>究竟應依所得稅法第二十四條第一項前段，容許認列損</w:t>
      </w:r>
      <w:r w:rsidRPr="007B5D03">
        <w:rPr>
          <w:rFonts w:hAnsi="標楷體"/>
          <w:bCs/>
          <w:sz w:val="30"/>
          <w:szCs w:val="30"/>
        </w:rPr>
        <w:t>益，或主張所得稅法第四條之一是第二十四條第一項前段的特別規定，應依第四條之一，不准認列損益？</w:t>
      </w:r>
    </w:p>
    <w:p w:rsidR="00514426" w:rsidRPr="007B5D03" w:rsidRDefault="00514426" w:rsidP="00FB2D5A">
      <w:pPr>
        <w:snapToGrid w:val="0"/>
        <w:spacing w:line="437" w:lineRule="exact"/>
        <w:ind w:leftChars="100" w:left="960" w:hanging="680"/>
        <w:rPr>
          <w:b/>
          <w:bCs/>
          <w:sz w:val="30"/>
          <w:szCs w:val="30"/>
        </w:rPr>
      </w:pPr>
      <w:r w:rsidRPr="007B5D03">
        <w:rPr>
          <w:rFonts w:hAnsi="標楷體"/>
          <w:b/>
          <w:bCs/>
          <w:sz w:val="30"/>
          <w:szCs w:val="30"/>
        </w:rPr>
        <w:t>三、所得稅法第二十四條第一項前段與第四條之一的規範衝突</w:t>
      </w:r>
    </w:p>
    <w:p w:rsidR="00514426" w:rsidRPr="007B5D03" w:rsidRDefault="00514426" w:rsidP="006F0381">
      <w:pPr>
        <w:snapToGrid w:val="0"/>
        <w:spacing w:line="437" w:lineRule="exact"/>
        <w:ind w:leftChars="325" w:left="910" w:firstLineChars="100" w:firstLine="300"/>
        <w:rPr>
          <w:bCs/>
          <w:sz w:val="30"/>
          <w:szCs w:val="30"/>
        </w:rPr>
      </w:pPr>
      <w:r w:rsidRPr="007B5D03">
        <w:rPr>
          <w:rFonts w:hAnsi="標楷體"/>
          <w:bCs/>
          <w:sz w:val="30"/>
          <w:szCs w:val="30"/>
        </w:rPr>
        <w:t>按「涉及租稅事項之法律，其解釋應本於租稅法律主義之精神，依各該法律之立法目的，衡酌經濟上之意義及實質課稅之公平原則為之」（司法院釋字第四二０號解釋參</w:t>
      </w:r>
      <w:r w:rsidRPr="007B5D03">
        <w:rPr>
          <w:rFonts w:hAnsi="標楷體"/>
          <w:bCs/>
          <w:spacing w:val="-4"/>
          <w:sz w:val="30"/>
          <w:szCs w:val="30"/>
        </w:rPr>
        <w:t>照）。且「憲法第十九條規定，人民有依法律納稅之義務。</w:t>
      </w:r>
      <w:r w:rsidRPr="007B5D03">
        <w:rPr>
          <w:rFonts w:hAnsi="標楷體"/>
          <w:bCs/>
          <w:sz w:val="30"/>
          <w:szCs w:val="30"/>
        </w:rPr>
        <w:t>所謂依法律納稅，係指租稅主體、租稅客體、稅基、稅率等租稅構成要件，均應依法律明定之。各該法律之內容且應符合量能課稅及公平原則</w:t>
      </w:r>
      <w:r w:rsidRPr="007B5D03">
        <w:rPr>
          <w:rFonts w:hAnsi="標楷體"/>
          <w:bCs/>
          <w:spacing w:val="20"/>
          <w:sz w:val="30"/>
          <w:szCs w:val="30"/>
        </w:rPr>
        <w:t>」（</w:t>
      </w:r>
      <w:r w:rsidRPr="007B5D03">
        <w:rPr>
          <w:rFonts w:hAnsi="標楷體"/>
          <w:bCs/>
          <w:sz w:val="30"/>
          <w:szCs w:val="30"/>
        </w:rPr>
        <w:t>司法院釋字第五九七號解</w:t>
      </w:r>
      <w:r w:rsidRPr="007B5D03">
        <w:rPr>
          <w:rFonts w:hAnsi="標楷體"/>
          <w:bCs/>
          <w:spacing w:val="-4"/>
          <w:sz w:val="30"/>
          <w:szCs w:val="30"/>
        </w:rPr>
        <w:t>釋文）。要之，稅捐稽徵機關不但解釋稅法應「依各該法律</w:t>
      </w:r>
      <w:r w:rsidRPr="007B5D03">
        <w:rPr>
          <w:rFonts w:hAnsi="標楷體"/>
          <w:bCs/>
          <w:sz w:val="30"/>
          <w:szCs w:val="30"/>
        </w:rPr>
        <w:t>之立法目的，衡酌經濟上之意義及實質課稅之公平原則為</w:t>
      </w:r>
      <w:r w:rsidRPr="007B5D03">
        <w:rPr>
          <w:rFonts w:hAnsi="標楷體"/>
          <w:bCs/>
          <w:spacing w:val="-4"/>
          <w:sz w:val="30"/>
          <w:szCs w:val="30"/>
        </w:rPr>
        <w:t>之」，而且其所據以課稅之「法律之內容且應符合量能課稅</w:t>
      </w:r>
      <w:r w:rsidRPr="007B5D03">
        <w:rPr>
          <w:rFonts w:hAnsi="標楷體"/>
          <w:bCs/>
          <w:sz w:val="30"/>
          <w:szCs w:val="30"/>
        </w:rPr>
        <w:t>及公平原則」。</w:t>
      </w:r>
    </w:p>
    <w:p w:rsidR="00514426" w:rsidRPr="007B5D03" w:rsidRDefault="00514426" w:rsidP="006F0381">
      <w:pPr>
        <w:snapToGrid w:val="0"/>
        <w:spacing w:line="437" w:lineRule="exact"/>
        <w:ind w:leftChars="325" w:left="910" w:firstLineChars="100" w:firstLine="308"/>
        <w:rPr>
          <w:bCs/>
          <w:sz w:val="30"/>
          <w:szCs w:val="30"/>
        </w:rPr>
      </w:pPr>
      <w:r w:rsidRPr="007B5D03">
        <w:rPr>
          <w:rFonts w:hAnsi="標楷體"/>
          <w:bCs/>
          <w:spacing w:val="4"/>
          <w:sz w:val="30"/>
          <w:szCs w:val="30"/>
        </w:rPr>
        <w:lastRenderedPageBreak/>
        <w:t>在立法機關未明白肯認其中一個條文是特別規定的情</w:t>
      </w:r>
      <w:r w:rsidRPr="007B5D03">
        <w:rPr>
          <w:rFonts w:hAnsi="標楷體"/>
          <w:bCs/>
          <w:sz w:val="30"/>
          <w:szCs w:val="30"/>
        </w:rPr>
        <w:t>形，要透過解釋化解所得稅法第二十四條第一項前段與第四條之一間之規範衝突，應視二者中，哪</w:t>
      </w:r>
      <w:r w:rsidRPr="007B5D03">
        <w:rPr>
          <w:rFonts w:hAnsi="標楷體"/>
          <w:sz w:val="30"/>
          <w:szCs w:val="30"/>
        </w:rPr>
        <w:t>一個</w:t>
      </w:r>
      <w:r w:rsidRPr="007B5D03">
        <w:rPr>
          <w:rFonts w:hAnsi="標楷體"/>
          <w:bCs/>
          <w:sz w:val="30"/>
          <w:szCs w:val="30"/>
        </w:rPr>
        <w:t>規定較「符合量能課稅及公平原則」而定。</w:t>
      </w:r>
    </w:p>
    <w:p w:rsidR="00514426" w:rsidRPr="007B5D03" w:rsidRDefault="00514426" w:rsidP="00FB2D5A">
      <w:pPr>
        <w:snapToGrid w:val="0"/>
        <w:spacing w:line="437" w:lineRule="exact"/>
        <w:ind w:leftChars="100" w:left="960" w:hanging="680"/>
        <w:rPr>
          <w:bCs/>
          <w:sz w:val="30"/>
          <w:szCs w:val="30"/>
        </w:rPr>
      </w:pPr>
      <w:r w:rsidRPr="007B5D03">
        <w:rPr>
          <w:rFonts w:hAnsi="標楷體"/>
          <w:b/>
          <w:bCs/>
          <w:sz w:val="30"/>
          <w:szCs w:val="30"/>
        </w:rPr>
        <w:t>四、所得稅法第四條之一的適用範圍</w:t>
      </w:r>
    </w:p>
    <w:p w:rsidR="00514426" w:rsidRPr="007B5D03" w:rsidRDefault="00514426" w:rsidP="006F0381">
      <w:pPr>
        <w:snapToGrid w:val="0"/>
        <w:spacing w:line="437" w:lineRule="exact"/>
        <w:ind w:leftChars="325" w:left="910" w:firstLineChars="100" w:firstLine="300"/>
        <w:rPr>
          <w:sz w:val="30"/>
          <w:szCs w:val="30"/>
        </w:rPr>
      </w:pPr>
      <w:r w:rsidRPr="007B5D03">
        <w:rPr>
          <w:rFonts w:hAnsi="標楷體"/>
          <w:sz w:val="30"/>
          <w:szCs w:val="30"/>
        </w:rPr>
        <w:t>所得稅法第四條之一就其適用對象雖僅規定「證券交易</w:t>
      </w:r>
      <w:r w:rsidRPr="007B5D03">
        <w:rPr>
          <w:rFonts w:hAnsi="標楷體"/>
          <w:spacing w:val="-4"/>
          <w:sz w:val="30"/>
          <w:szCs w:val="30"/>
        </w:rPr>
        <w:t>所得」及「</w:t>
      </w:r>
      <w:r w:rsidRPr="007B5D03">
        <w:rPr>
          <w:rFonts w:hAnsi="標楷體"/>
          <w:bCs/>
          <w:spacing w:val="-4"/>
          <w:sz w:val="30"/>
          <w:szCs w:val="30"/>
        </w:rPr>
        <w:t>證券</w:t>
      </w:r>
      <w:r w:rsidRPr="007B5D03">
        <w:rPr>
          <w:rFonts w:hAnsi="標楷體"/>
          <w:spacing w:val="-4"/>
          <w:sz w:val="30"/>
          <w:szCs w:val="30"/>
        </w:rPr>
        <w:t>交易損失」，未對於證券交易加以分類。但與聲請案件有關者，實務上已有二對分類：（</w:t>
      </w:r>
      <w:r w:rsidRPr="007B5D03">
        <w:rPr>
          <w:spacing w:val="-4"/>
          <w:sz w:val="30"/>
          <w:szCs w:val="30"/>
        </w:rPr>
        <w:t>1</w:t>
      </w:r>
      <w:r w:rsidRPr="007B5D03">
        <w:rPr>
          <w:rFonts w:hAnsi="標楷體"/>
          <w:spacing w:val="-4"/>
          <w:sz w:val="30"/>
          <w:szCs w:val="30"/>
        </w:rPr>
        <w:t>）《發行認購</w:t>
      </w:r>
      <w:r w:rsidRPr="007B5D03">
        <w:rPr>
          <w:rFonts w:hAnsi="標楷體"/>
          <w:sz w:val="30"/>
          <w:szCs w:val="30"/>
        </w:rPr>
        <w:t>（售）權證之證券交易》與《買賣認購</w:t>
      </w:r>
      <w:bookmarkStart w:id="8" w:name="OLE_LINK3"/>
      <w:r w:rsidRPr="007B5D03">
        <w:rPr>
          <w:rFonts w:hAnsi="標楷體"/>
          <w:sz w:val="30"/>
          <w:szCs w:val="30"/>
        </w:rPr>
        <w:t>（售）</w:t>
      </w:r>
      <w:bookmarkEnd w:id="8"/>
      <w:r w:rsidRPr="007B5D03">
        <w:rPr>
          <w:rFonts w:hAnsi="標楷體"/>
          <w:sz w:val="30"/>
          <w:szCs w:val="30"/>
        </w:rPr>
        <w:t>權證之證券</w:t>
      </w:r>
      <w:r w:rsidRPr="007B5D03">
        <w:rPr>
          <w:rFonts w:hAnsi="標楷體"/>
          <w:spacing w:val="-4"/>
          <w:sz w:val="30"/>
          <w:szCs w:val="30"/>
        </w:rPr>
        <w:t>交易》，（</w:t>
      </w:r>
      <w:r w:rsidRPr="007B5D03">
        <w:rPr>
          <w:spacing w:val="-4"/>
          <w:sz w:val="30"/>
          <w:szCs w:val="30"/>
        </w:rPr>
        <w:t>2</w:t>
      </w:r>
      <w:r w:rsidRPr="007B5D03">
        <w:rPr>
          <w:rFonts w:hAnsi="標楷體"/>
          <w:spacing w:val="-4"/>
          <w:sz w:val="30"/>
          <w:szCs w:val="30"/>
        </w:rPr>
        <w:t>）《為履行及為準備履行權證債務而為之證券交</w:t>
      </w:r>
      <w:r w:rsidRPr="007B5D03">
        <w:rPr>
          <w:rFonts w:hAnsi="標楷體"/>
          <w:sz w:val="30"/>
          <w:szCs w:val="30"/>
        </w:rPr>
        <w:t>易》與《非為履行及非為準備履行權證債務而為之證券交</w:t>
      </w:r>
      <w:r w:rsidRPr="007B5D03">
        <w:rPr>
          <w:rFonts w:hAnsi="標楷體"/>
          <w:spacing w:val="-4"/>
          <w:sz w:val="30"/>
          <w:szCs w:val="30"/>
        </w:rPr>
        <w:t>易》。此外，還認為《發行認購（售）權證之證券交易》與</w:t>
      </w:r>
      <w:r w:rsidRPr="007B5D03">
        <w:rPr>
          <w:rFonts w:hAnsi="標楷體"/>
          <w:sz w:val="30"/>
          <w:szCs w:val="30"/>
        </w:rPr>
        <w:t>《買賣認購（售）權證之證券交易》應予區別，並將《發行認購（售）權證之證券交易》排除在所得稅法第四條之一的適用外；反之，認為《為履行及為準備履行權證債務而為之證券交易》與《非為履行及非為準備履行權證債務而為之證券交易》應不予區別，並從而應一概適用所得稅法第四條之一。</w:t>
      </w:r>
    </w:p>
    <w:p w:rsidR="00514426" w:rsidRPr="007B5D03" w:rsidRDefault="00514426" w:rsidP="00E677A0">
      <w:pPr>
        <w:snapToGrid w:val="0"/>
        <w:spacing w:line="437" w:lineRule="exact"/>
        <w:ind w:leftChars="325" w:left="910" w:firstLineChars="100" w:firstLine="292"/>
        <w:rPr>
          <w:bCs/>
          <w:sz w:val="30"/>
          <w:szCs w:val="30"/>
        </w:rPr>
      </w:pPr>
      <w:r w:rsidRPr="007B5D03">
        <w:rPr>
          <w:rFonts w:hAnsi="標楷體"/>
          <w:spacing w:val="-4"/>
          <w:sz w:val="30"/>
          <w:szCs w:val="30"/>
        </w:rPr>
        <w:t>實務上</w:t>
      </w:r>
      <w:r w:rsidRPr="007B5D03">
        <w:rPr>
          <w:rFonts w:hAnsi="標楷體"/>
          <w:bCs/>
          <w:spacing w:val="-4"/>
          <w:sz w:val="30"/>
          <w:szCs w:val="30"/>
        </w:rPr>
        <w:t>無視</w:t>
      </w:r>
      <w:r w:rsidRPr="007B5D03">
        <w:rPr>
          <w:rFonts w:hAnsi="標楷體"/>
          <w:spacing w:val="-4"/>
          <w:sz w:val="30"/>
          <w:szCs w:val="30"/>
        </w:rPr>
        <w:t>於《發行認購（售）權證》確實是證券交易，</w:t>
      </w:r>
      <w:r w:rsidRPr="007B5D03">
        <w:rPr>
          <w:rFonts w:hAnsi="標楷體"/>
          <w:sz w:val="30"/>
          <w:szCs w:val="30"/>
        </w:rPr>
        <w:t>與股票之發行非屬於證券交易之不同</w:t>
      </w:r>
      <w:r w:rsidRPr="007B5D03">
        <w:rPr>
          <w:rFonts w:hAnsi="標楷體" w:hint="eastAsia"/>
          <w:sz w:val="30"/>
          <w:szCs w:val="30"/>
        </w:rPr>
        <w:t>，</w:t>
      </w:r>
      <w:r w:rsidRPr="007B5D03">
        <w:rPr>
          <w:rFonts w:hAnsi="標楷體"/>
          <w:sz w:val="30"/>
          <w:szCs w:val="30"/>
        </w:rPr>
        <w:t>而卻因其同是第一次製作後交付於相對人，即認為皆應無所得稅法第四條之</w:t>
      </w:r>
      <w:r w:rsidRPr="007B5D03">
        <w:rPr>
          <w:rFonts w:hAnsi="標楷體"/>
          <w:spacing w:val="-4"/>
          <w:sz w:val="30"/>
          <w:szCs w:val="30"/>
        </w:rPr>
        <w:t>一的適用。反之，《為履行及為準備履行權證債務而為之證</w:t>
      </w:r>
      <w:r w:rsidRPr="007B5D03">
        <w:rPr>
          <w:rFonts w:hAnsi="標楷體"/>
          <w:sz w:val="30"/>
          <w:szCs w:val="30"/>
        </w:rPr>
        <w:t>券交易》雖僅與其所為之權證債務的履行有關，而與《非為履行及非為準備履行權證債務而為之證券交易》無關，但財政部卻因其同係證券交易，而認為應一概適用所得稅法第四條之一。同樣是二個不同類型之證券交易，無視於其實質，而在第一個情形，認為《發行認購（售）權證之</w:t>
      </w:r>
      <w:r w:rsidRPr="007B5D03">
        <w:rPr>
          <w:rFonts w:hAnsi="標楷體"/>
          <w:spacing w:val="-4"/>
          <w:sz w:val="30"/>
          <w:szCs w:val="30"/>
        </w:rPr>
        <w:t>證券交易</w:t>
      </w:r>
      <w:r w:rsidRPr="007B5D03">
        <w:rPr>
          <w:rFonts w:hAnsi="標楷體"/>
          <w:spacing w:val="-4"/>
          <w:sz w:val="30"/>
          <w:szCs w:val="30"/>
        </w:rPr>
        <w:lastRenderedPageBreak/>
        <w:t>》無所得稅法第四條之一的適用；在第二個情形，</w:t>
      </w:r>
      <w:r w:rsidRPr="007B5D03">
        <w:rPr>
          <w:rFonts w:hAnsi="標楷體"/>
          <w:sz w:val="30"/>
          <w:szCs w:val="30"/>
        </w:rPr>
        <w:t>認為《為履行及為準備履行權證債務而為之證券交易》與《非為履行及非為準備履行權證債務而為之證券交易》應不予區別，一概適用所得稅法第四條之一。其法律解釋除朝向有利於國庫而為解釋外，所依據的方法並不一貫。</w:t>
      </w:r>
    </w:p>
    <w:p w:rsidR="00514426" w:rsidRPr="007B5D03" w:rsidRDefault="00514426" w:rsidP="006F0381">
      <w:pPr>
        <w:snapToGrid w:val="0"/>
        <w:spacing w:line="437" w:lineRule="exact"/>
        <w:ind w:leftChars="325" w:left="910" w:firstLineChars="100" w:firstLine="300"/>
        <w:rPr>
          <w:bCs/>
          <w:sz w:val="30"/>
          <w:szCs w:val="30"/>
        </w:rPr>
      </w:pPr>
      <w:r w:rsidRPr="007B5D03">
        <w:rPr>
          <w:rFonts w:hAnsi="標楷體"/>
          <w:bCs/>
          <w:sz w:val="30"/>
          <w:szCs w:val="30"/>
        </w:rPr>
        <w:t>基於分離課徵之特別規定，所得稅法將一個人當成以證券之買賣為其業務之人，將其全部證券交易集中為一個損益的計算中心，以結算其損益，且該損益因分離課徵，而皆不與該人之其他可稅所得或損失併計。在此情形下，所得稅法第四條之一的規定固可言之成理。但特定範圍之證</w:t>
      </w:r>
      <w:r w:rsidRPr="007B5D03">
        <w:rPr>
          <w:rFonts w:hAnsi="標楷體"/>
          <w:bCs/>
          <w:spacing w:val="-4"/>
          <w:sz w:val="30"/>
          <w:szCs w:val="30"/>
        </w:rPr>
        <w:t>券交易，如係為履行或為準備履行因取得其他可稅所得（例</w:t>
      </w:r>
      <w:r w:rsidRPr="007B5D03">
        <w:rPr>
          <w:rFonts w:hAnsi="標楷體"/>
          <w:bCs/>
          <w:sz w:val="30"/>
          <w:szCs w:val="30"/>
        </w:rPr>
        <w:t>如權利金）而負擔之債務，則該特定範圍之證券交易因與第四條之一所定免稅之證券交易無經濟目的上之關聯，所以依該條意旨，應不在其適用範圍之內。蓋該條規定之意旨為：全部</w:t>
      </w:r>
      <w:r w:rsidRPr="007B5D03">
        <w:rPr>
          <w:rFonts w:hAnsi="標楷體"/>
          <w:sz w:val="30"/>
          <w:szCs w:val="30"/>
        </w:rPr>
        <w:t>證券</w:t>
      </w:r>
      <w:r w:rsidRPr="007B5D03">
        <w:rPr>
          <w:rFonts w:hAnsi="標楷體"/>
          <w:bCs/>
          <w:sz w:val="30"/>
          <w:szCs w:val="30"/>
        </w:rPr>
        <w:t>交易之結算結果，有所得時，既對之停止課徵所得稅；則結算結果有損失時，證券交易損失也就不得自其他可稅所得減除。然為履行或為準備履行因取得可稅之選擇權權利金收入而負擔之債務，而為證券交易時，債務人因此所遭受之證券交易損失係為其應課所得稅之選擇權權利金收入而負擔之損失。因此，除非免除選擇權權利金收入之所得稅義務，否則即應容許自該權利金收入減除為履行或為準備履行該選擇權交易的債務所遭受之證券交易損失，以計算該選擇權交易之權利金收入的所得。</w:t>
      </w:r>
    </w:p>
    <w:p w:rsidR="00514426" w:rsidRPr="007B5D03" w:rsidRDefault="00514426" w:rsidP="00E677A0">
      <w:pPr>
        <w:snapToGrid w:val="0"/>
        <w:spacing w:line="437" w:lineRule="exact"/>
        <w:ind w:leftChars="100" w:left="904" w:hanging="624"/>
        <w:rPr>
          <w:b/>
          <w:bCs/>
          <w:sz w:val="30"/>
          <w:szCs w:val="30"/>
        </w:rPr>
      </w:pPr>
      <w:r w:rsidRPr="007B5D03">
        <w:rPr>
          <w:rFonts w:hAnsi="標楷體"/>
          <w:b/>
          <w:bCs/>
          <w:sz w:val="30"/>
          <w:szCs w:val="30"/>
        </w:rPr>
        <w:t>五、避險之證券交易能與所得稅法第四條之一所定之證券交易明確劃分</w:t>
      </w:r>
    </w:p>
    <w:p w:rsidR="00514426" w:rsidRPr="007B5D03" w:rsidRDefault="00514426" w:rsidP="006F0381">
      <w:pPr>
        <w:snapToGrid w:val="0"/>
        <w:spacing w:line="437" w:lineRule="exact"/>
        <w:ind w:leftChars="325" w:left="910" w:firstLineChars="100" w:firstLine="300"/>
        <w:rPr>
          <w:bCs/>
          <w:sz w:val="30"/>
          <w:szCs w:val="30"/>
        </w:rPr>
      </w:pPr>
      <w:r w:rsidRPr="007B5D03">
        <w:rPr>
          <w:rFonts w:hAnsi="標楷體"/>
          <w:bCs/>
          <w:sz w:val="30"/>
          <w:szCs w:val="30"/>
        </w:rPr>
        <w:t>為防止發行人買空賣空及操縱證券市場，認購（售）權證</w:t>
      </w:r>
      <w:r w:rsidRPr="007B5D03">
        <w:rPr>
          <w:rFonts w:hAnsi="標楷體"/>
          <w:bCs/>
          <w:sz w:val="30"/>
          <w:szCs w:val="30"/>
        </w:rPr>
        <w:lastRenderedPageBreak/>
        <w:t>之發行的主管機關除規定其發行人應從事避險交易外，並禁止其就權證標的，從事避險以外之證券交易。因此，認購（售）權證之發行人為從事相關避險證券交易所引起的損益，與其他證券交易之損益在計算上無混淆之虞。是故，容許發行人將其在發行後，因投資人行使權利而售出</w:t>
      </w:r>
      <w:r w:rsidRPr="007B5D03">
        <w:rPr>
          <w:rFonts w:hAnsi="標楷體"/>
          <w:bCs/>
          <w:spacing w:val="4"/>
          <w:sz w:val="30"/>
          <w:szCs w:val="30"/>
        </w:rPr>
        <w:t>或購入標的</w:t>
      </w:r>
      <w:r w:rsidRPr="007B5D03">
        <w:rPr>
          <w:rFonts w:hAnsi="標楷體"/>
          <w:spacing w:val="4"/>
          <w:sz w:val="30"/>
          <w:szCs w:val="30"/>
        </w:rPr>
        <w:t>股票</w:t>
      </w:r>
      <w:r w:rsidRPr="007B5D03">
        <w:rPr>
          <w:rFonts w:hAnsi="標楷體"/>
          <w:bCs/>
          <w:spacing w:val="4"/>
          <w:sz w:val="30"/>
          <w:szCs w:val="30"/>
        </w:rPr>
        <w:t>產生之證券交易損失，於履約時認列損</w:t>
      </w:r>
      <w:r w:rsidRPr="007B5D03">
        <w:rPr>
          <w:rFonts w:hAnsi="標楷體"/>
          <w:bCs/>
          <w:sz w:val="30"/>
          <w:szCs w:val="30"/>
        </w:rPr>
        <w:t>益，自其權利金收入減除，不致於發生容許免稅所得之證券交易損失自應稅之權利金收入減除的情形。反之，如依所得稅法第四條之一，一概不容許將避險交易之損失自其相關之權利金收入減除，則有要求將屬於應稅之權利金收入的履行或避險（準備履行之）證券交易損失，與其他無經濟目的之關聯之證券交易的免稅所得併計其損益之不合理情形，違反成本費用損失與收入之配合原則（司法院釋</w:t>
      </w:r>
      <w:r w:rsidRPr="007B5D03">
        <w:rPr>
          <w:rFonts w:hAnsi="標楷體"/>
          <w:bCs/>
          <w:spacing w:val="-4"/>
          <w:sz w:val="30"/>
          <w:szCs w:val="30"/>
        </w:rPr>
        <w:t>字第四九三號解釋參照）。因此，就避險交易損失，在前述</w:t>
      </w:r>
      <w:r w:rsidRPr="007B5D03">
        <w:rPr>
          <w:rFonts w:hAnsi="標楷體"/>
          <w:bCs/>
          <w:sz w:val="30"/>
          <w:szCs w:val="30"/>
        </w:rPr>
        <w:t>函釋所示的規範衝突，應解釋為：依所得稅法第二十四條第一項前段，容許認列損益，始符合司法院釋字第四二</w:t>
      </w:r>
      <w:r w:rsidRPr="007B5D03">
        <w:rPr>
          <w:rFonts w:hint="eastAsia"/>
          <w:bCs/>
          <w:sz w:val="30"/>
          <w:szCs w:val="30"/>
        </w:rPr>
        <w:t>０</w:t>
      </w:r>
      <w:r w:rsidRPr="007B5D03">
        <w:rPr>
          <w:rFonts w:hAnsi="標楷體"/>
          <w:bCs/>
          <w:sz w:val="30"/>
          <w:szCs w:val="30"/>
        </w:rPr>
        <w:t>號、第五九七號及第四九三號解釋所昭示：稅捐稽徵機關不但解釋稅法應「依各該法律之立法目的，衡酌經濟上之意義及實質課稅之公平原則為之」，而且其所據以課稅之「法律之內容且應符合量能課稅及公平原則」的意旨。</w:t>
      </w:r>
    </w:p>
    <w:p w:rsidR="00514426" w:rsidRPr="007B5D03" w:rsidRDefault="00514426" w:rsidP="00E677A0">
      <w:pPr>
        <w:snapToGrid w:val="0"/>
        <w:spacing w:line="437" w:lineRule="exact"/>
        <w:ind w:leftChars="100" w:left="904" w:hanging="624"/>
        <w:rPr>
          <w:b/>
          <w:bCs/>
          <w:sz w:val="30"/>
          <w:szCs w:val="30"/>
        </w:rPr>
      </w:pPr>
      <w:r w:rsidRPr="007B5D03">
        <w:rPr>
          <w:rFonts w:hAnsi="標楷體"/>
          <w:b/>
          <w:bCs/>
          <w:sz w:val="30"/>
          <w:szCs w:val="30"/>
        </w:rPr>
        <w:t>六、雙務契約之所得的計算應准減除履行或準備履行之費用及損失以符淨額原則</w:t>
      </w:r>
    </w:p>
    <w:p w:rsidR="00514426" w:rsidRPr="007B5D03" w:rsidRDefault="00514426" w:rsidP="006F0381">
      <w:pPr>
        <w:snapToGrid w:val="0"/>
        <w:spacing w:line="437" w:lineRule="exact"/>
        <w:ind w:leftChars="325" w:left="910" w:firstLineChars="100" w:firstLine="300"/>
        <w:rPr>
          <w:bCs/>
          <w:sz w:val="30"/>
          <w:szCs w:val="30"/>
        </w:rPr>
      </w:pPr>
      <w:r w:rsidRPr="007B5D03">
        <w:rPr>
          <w:rFonts w:hAnsi="標楷體"/>
          <w:bCs/>
          <w:sz w:val="30"/>
          <w:szCs w:val="30"/>
        </w:rPr>
        <w:t>認購（售）權證的發行為一種選擇權的交易行為。雙方互負有對價關係之給付與對待給付的義務。發行人是否因該權證的發行而獲得盈餘，視其為履行該選擇權債務所發生之成本費用及損失是否大於其權利金收入而定。該選擇權</w:t>
      </w:r>
      <w:r w:rsidRPr="007B5D03">
        <w:rPr>
          <w:rFonts w:hAnsi="標楷體"/>
          <w:bCs/>
          <w:sz w:val="30"/>
          <w:szCs w:val="30"/>
        </w:rPr>
        <w:lastRenderedPageBreak/>
        <w:t>交易之損益的結算方式，不因選擇權標的是否為股票或為其他停徵證券交易所得稅之證券而異。財政部</w:t>
      </w:r>
      <w:r w:rsidRPr="007B5D03">
        <w:rPr>
          <w:rFonts w:hAnsi="標楷體"/>
          <w:sz w:val="30"/>
          <w:szCs w:val="30"/>
        </w:rPr>
        <w:t>八十六年十二月十一日</w:t>
      </w:r>
      <w:r w:rsidRPr="007B5D03">
        <w:rPr>
          <w:rFonts w:hAnsi="標楷體"/>
          <w:bCs/>
          <w:sz w:val="30"/>
          <w:szCs w:val="30"/>
        </w:rPr>
        <w:t>台財稅第八六一九二二四六四號函：</w:t>
      </w:r>
      <w:r w:rsidRPr="007B5D03">
        <w:rPr>
          <w:rFonts w:hAnsi="標楷體" w:hint="eastAsia"/>
          <w:bCs/>
          <w:sz w:val="30"/>
          <w:szCs w:val="30"/>
        </w:rPr>
        <w:t>……</w:t>
      </w:r>
      <w:r w:rsidRPr="007B5D03">
        <w:rPr>
          <w:rFonts w:hAnsi="標楷體"/>
          <w:bCs/>
          <w:sz w:val="30"/>
          <w:szCs w:val="30"/>
        </w:rPr>
        <w:t>應</w:t>
      </w:r>
      <w:r w:rsidRPr="007B5D03">
        <w:rPr>
          <w:rFonts w:hAnsi="標楷體"/>
          <w:bCs/>
          <w:spacing w:val="10"/>
          <w:sz w:val="30"/>
          <w:szCs w:val="30"/>
        </w:rPr>
        <w:t>於履約時認列損益，並依所得稅法第四條之一規定辦</w:t>
      </w:r>
      <w:r w:rsidRPr="007B5D03">
        <w:rPr>
          <w:rFonts w:hAnsi="標楷體"/>
          <w:bCs/>
          <w:sz w:val="30"/>
          <w:szCs w:val="30"/>
        </w:rPr>
        <w:t>理。</w:t>
      </w:r>
      <w:r w:rsidRPr="007B5D03">
        <w:rPr>
          <w:rFonts w:hint="eastAsia"/>
          <w:bCs/>
          <w:sz w:val="30"/>
          <w:szCs w:val="30"/>
        </w:rPr>
        <w:t>……</w:t>
      </w:r>
      <w:r w:rsidRPr="007B5D03">
        <w:rPr>
          <w:rFonts w:hAnsi="標楷體"/>
          <w:bCs/>
          <w:sz w:val="30"/>
          <w:szCs w:val="30"/>
        </w:rPr>
        <w:t>」及</w:t>
      </w:r>
      <w:r w:rsidRPr="007B5D03">
        <w:rPr>
          <w:rFonts w:hAnsi="標楷體"/>
          <w:sz w:val="30"/>
          <w:szCs w:val="30"/>
        </w:rPr>
        <w:t>財政部</w:t>
      </w:r>
      <w:r w:rsidRPr="007B5D03">
        <w:rPr>
          <w:rFonts w:hAnsi="標楷體"/>
          <w:bCs/>
          <w:sz w:val="30"/>
          <w:szCs w:val="30"/>
        </w:rPr>
        <w:t>八十六年七月三十一日台財稅第八六</w:t>
      </w:r>
      <w:r w:rsidRPr="007B5D03">
        <w:rPr>
          <w:rFonts w:hAnsi="標楷體"/>
          <w:bCs/>
          <w:spacing w:val="-4"/>
          <w:sz w:val="30"/>
          <w:szCs w:val="30"/>
        </w:rPr>
        <w:t>一九０九三一一號函：「</w:t>
      </w:r>
      <w:r w:rsidRPr="007B5D03">
        <w:rPr>
          <w:rFonts w:hAnsi="標楷體"/>
          <w:spacing w:val="-4"/>
          <w:sz w:val="30"/>
          <w:szCs w:val="30"/>
          <w:lang w:val="de-DE"/>
        </w:rPr>
        <w:t>認購（售）權證持有人如於某一時</w:t>
      </w:r>
      <w:r w:rsidRPr="007B5D03">
        <w:rPr>
          <w:rFonts w:hAnsi="標楷體"/>
          <w:sz w:val="30"/>
          <w:szCs w:val="30"/>
          <w:lang w:val="de-DE"/>
        </w:rPr>
        <w:t>間或特定到期日，以現金方式結算者</w:t>
      </w:r>
      <w:r w:rsidRPr="007B5D03">
        <w:rPr>
          <w:rFonts w:hint="eastAsia"/>
          <w:sz w:val="30"/>
          <w:szCs w:val="30"/>
          <w:lang w:val="de-DE"/>
        </w:rPr>
        <w:t>……</w:t>
      </w:r>
      <w:r w:rsidRPr="007B5D03">
        <w:rPr>
          <w:rFonts w:hAnsi="標楷體"/>
          <w:sz w:val="30"/>
          <w:szCs w:val="30"/>
          <w:lang w:val="de-DE"/>
        </w:rPr>
        <w:t>並依前開所得稅法規定停止課徵所得稅。」</w:t>
      </w:r>
      <w:r w:rsidRPr="007B5D03">
        <w:rPr>
          <w:rFonts w:hAnsi="標楷體"/>
          <w:bCs/>
          <w:sz w:val="30"/>
          <w:szCs w:val="30"/>
        </w:rPr>
        <w:t>實務上依上開二函釋認為，發行人為履行或為準備履行認購（售）權證之選擇權債務，從事權證標的股票之交易所發生的損失，不得自權利金收入減除，而應與跟該選擇權債務之履行或準備履行之無經濟目的之關</w:t>
      </w:r>
      <w:r w:rsidRPr="007B5D03">
        <w:rPr>
          <w:rFonts w:hAnsi="標楷體" w:hint="eastAsia"/>
          <w:bCs/>
          <w:sz w:val="30"/>
          <w:szCs w:val="30"/>
        </w:rPr>
        <w:t>連</w:t>
      </w:r>
      <w:r w:rsidRPr="007B5D03">
        <w:rPr>
          <w:rFonts w:hAnsi="標楷體"/>
          <w:bCs/>
          <w:sz w:val="30"/>
          <w:szCs w:val="30"/>
        </w:rPr>
        <w:t>的其他證券交易一體適用所得稅法第四條之一的規定辦理，以致在認購（售）權證之選擇權交易所得的計算，實際上等於不准核實減除發行人之對待給付的費用。這顯然違反所得稅法第二十四條第一項規定之淨額原則，除不符憲法第十九條關於租稅法律主義的規定外，並造成在營利事業所得稅稅基之計算上，就履行損失及避險交易損失之減除，未「衡酌經濟上之意義及實質課稅之公平原則」而為認定，違反量能課稅原則的結果（司法院釋</w:t>
      </w:r>
      <w:r w:rsidRPr="007B5D03">
        <w:rPr>
          <w:rFonts w:hAnsi="標楷體"/>
          <w:bCs/>
          <w:spacing w:val="-4"/>
          <w:sz w:val="30"/>
          <w:szCs w:val="30"/>
        </w:rPr>
        <w:t>字第五九七號解釋參照），牴觸憲法第十五條關於財產權之</w:t>
      </w:r>
      <w:r w:rsidRPr="007B5D03">
        <w:rPr>
          <w:rFonts w:hAnsi="標楷體"/>
          <w:bCs/>
          <w:sz w:val="30"/>
          <w:szCs w:val="30"/>
        </w:rPr>
        <w:t>保障規定。</w:t>
      </w:r>
    </w:p>
    <w:p w:rsidR="00514426" w:rsidRPr="007B5D03" w:rsidRDefault="00514426" w:rsidP="00FB2D5A">
      <w:pPr>
        <w:snapToGrid w:val="0"/>
        <w:spacing w:line="437" w:lineRule="exact"/>
        <w:ind w:left="680" w:hanging="680"/>
        <w:rPr>
          <w:b/>
          <w:sz w:val="30"/>
          <w:szCs w:val="30"/>
        </w:rPr>
      </w:pPr>
      <w:r w:rsidRPr="007B5D03">
        <w:rPr>
          <w:rFonts w:hAnsi="標楷體"/>
          <w:b/>
          <w:sz w:val="30"/>
          <w:szCs w:val="30"/>
        </w:rPr>
        <w:t>捌、所得稅法第四條之一的檢討</w:t>
      </w:r>
    </w:p>
    <w:p w:rsidR="00514426" w:rsidRPr="007B5D03" w:rsidRDefault="00514426" w:rsidP="00D566C9">
      <w:pPr>
        <w:snapToGrid w:val="0"/>
        <w:spacing w:line="437" w:lineRule="exact"/>
        <w:ind w:left="595" w:firstLine="318"/>
        <w:rPr>
          <w:sz w:val="30"/>
          <w:szCs w:val="30"/>
        </w:rPr>
      </w:pPr>
      <w:r w:rsidRPr="007B5D03">
        <w:rPr>
          <w:rFonts w:hAnsi="標楷體"/>
          <w:spacing w:val="4"/>
          <w:sz w:val="30"/>
          <w:szCs w:val="30"/>
        </w:rPr>
        <w:t>所得稅法第四條之一在立法時未周全考量各種證券交易</w:t>
      </w:r>
      <w:r w:rsidRPr="007B5D03">
        <w:rPr>
          <w:rFonts w:hAnsi="標楷體"/>
          <w:spacing w:val="-6"/>
          <w:sz w:val="30"/>
          <w:szCs w:val="30"/>
        </w:rPr>
        <w:t>之規範上的需要，以致有規定範圍過大的情形。未區別：（</w:t>
      </w:r>
      <w:r w:rsidRPr="007B5D03">
        <w:rPr>
          <w:spacing w:val="-6"/>
          <w:sz w:val="30"/>
          <w:szCs w:val="30"/>
        </w:rPr>
        <w:t>1</w:t>
      </w:r>
      <w:r w:rsidRPr="007B5D03">
        <w:rPr>
          <w:rFonts w:hAnsi="標楷體"/>
          <w:spacing w:val="-6"/>
          <w:sz w:val="30"/>
          <w:szCs w:val="30"/>
        </w:rPr>
        <w:t>）</w:t>
      </w:r>
      <w:r w:rsidRPr="007B5D03">
        <w:rPr>
          <w:rFonts w:hAnsi="標楷體"/>
          <w:sz w:val="30"/>
          <w:szCs w:val="30"/>
        </w:rPr>
        <w:t>「發行認購（售）權證之證券交易」及「買賣認購（售）權</w:t>
      </w:r>
      <w:r w:rsidRPr="007B5D03">
        <w:rPr>
          <w:rFonts w:hAnsi="標楷體"/>
          <w:spacing w:val="-4"/>
          <w:sz w:val="30"/>
          <w:szCs w:val="30"/>
        </w:rPr>
        <w:t>證或其權證標的之證券交易」，（</w:t>
      </w:r>
      <w:r w:rsidRPr="007B5D03">
        <w:rPr>
          <w:spacing w:val="-4"/>
          <w:sz w:val="30"/>
          <w:szCs w:val="30"/>
        </w:rPr>
        <w:t>2</w:t>
      </w:r>
      <w:r w:rsidRPr="007B5D03">
        <w:rPr>
          <w:rFonts w:hAnsi="標楷體"/>
          <w:spacing w:val="-4"/>
          <w:sz w:val="30"/>
          <w:szCs w:val="30"/>
        </w:rPr>
        <w:t>）「為履行及為準備履行權</w:t>
      </w:r>
      <w:r w:rsidRPr="007B5D03">
        <w:rPr>
          <w:rFonts w:hAnsi="標楷體"/>
          <w:sz w:val="30"/>
          <w:szCs w:val="30"/>
        </w:rPr>
        <w:t>證所載選擇權債務所從事之證券交易」及「非為履行及非為準備</w:t>
      </w:r>
      <w:r w:rsidRPr="007B5D03">
        <w:rPr>
          <w:rFonts w:hAnsi="標楷體"/>
          <w:sz w:val="30"/>
          <w:szCs w:val="30"/>
        </w:rPr>
        <w:lastRenderedPageBreak/>
        <w:t>履行權證所載選擇權債務所從事之證券交易」。沒有妥</w:t>
      </w:r>
      <w:r w:rsidRPr="007B5D03">
        <w:rPr>
          <w:rFonts w:hAnsi="標楷體"/>
          <w:spacing w:val="4"/>
          <w:sz w:val="30"/>
          <w:szCs w:val="30"/>
        </w:rPr>
        <w:t>適按該區別為規範規劃，導致（</w:t>
      </w:r>
      <w:r w:rsidRPr="007B5D03">
        <w:rPr>
          <w:spacing w:val="4"/>
          <w:sz w:val="30"/>
          <w:szCs w:val="30"/>
        </w:rPr>
        <w:t>1</w:t>
      </w:r>
      <w:r w:rsidRPr="007B5D03">
        <w:rPr>
          <w:rFonts w:hAnsi="標楷體"/>
          <w:spacing w:val="4"/>
          <w:sz w:val="30"/>
          <w:szCs w:val="30"/>
        </w:rPr>
        <w:t>）在要對於證券商之發行</w:t>
      </w:r>
      <w:r w:rsidRPr="007B5D03">
        <w:rPr>
          <w:rFonts w:hAnsi="標楷體"/>
          <w:sz w:val="30"/>
          <w:szCs w:val="30"/>
        </w:rPr>
        <w:t>的「業務收入」課徵營利事業所得稅時遭遇說明上的困難，（</w:t>
      </w:r>
      <w:r w:rsidRPr="007B5D03">
        <w:rPr>
          <w:sz w:val="30"/>
          <w:szCs w:val="30"/>
        </w:rPr>
        <w:t>2</w:t>
      </w:r>
      <w:r w:rsidRPr="007B5D03">
        <w:rPr>
          <w:rFonts w:hAnsi="標楷體"/>
          <w:sz w:val="30"/>
          <w:szCs w:val="30"/>
        </w:rPr>
        <w:t>）在對該業務收入課徵營利事業所得稅時，不准減除「為履行及為準備履行權證所載選擇權債務所從事之證券交易」的費用及損失。</w:t>
      </w:r>
    </w:p>
    <w:p w:rsidR="00514426" w:rsidRPr="007B5D03" w:rsidRDefault="00514426" w:rsidP="00D566C9">
      <w:pPr>
        <w:snapToGrid w:val="0"/>
        <w:spacing w:line="437" w:lineRule="exact"/>
        <w:ind w:left="595" w:firstLine="318"/>
        <w:rPr>
          <w:sz w:val="30"/>
          <w:szCs w:val="30"/>
        </w:rPr>
      </w:pPr>
      <w:r w:rsidRPr="007B5D03">
        <w:rPr>
          <w:rFonts w:hAnsi="標楷體"/>
          <w:spacing w:val="4"/>
          <w:sz w:val="30"/>
          <w:szCs w:val="30"/>
        </w:rPr>
        <w:t>當發現由於立法不周全而產生遵守淨額原則及費用損失</w:t>
      </w:r>
      <w:r w:rsidRPr="007B5D03">
        <w:rPr>
          <w:rFonts w:hAnsi="標楷體"/>
          <w:sz w:val="30"/>
          <w:szCs w:val="30"/>
        </w:rPr>
        <w:t>與收入配合原則，以量能課稅之困難時，應在立法上及執法上儘速謀求公平的解決。而不是依靠解釋權之優勢，可以時而在發行之業務收入的課稅，例外於所得稅法第四條之一，時而在該發行之業務收入之所得的計算，緊抓該條規定之文字不放，縱使緊抓的結果係以該發行之業務收入的毛額為其所得稅之稅基，亦不改其志，儘往對於國庫有利的方向解釋。這不是現代實質法治國家應有的現象。</w:t>
      </w:r>
    </w:p>
    <w:p w:rsidR="00514426" w:rsidRPr="007B5D03" w:rsidRDefault="00514426" w:rsidP="00D566C9">
      <w:pPr>
        <w:snapToGrid w:val="0"/>
        <w:spacing w:line="437" w:lineRule="exact"/>
        <w:ind w:left="595" w:firstLine="318"/>
        <w:rPr>
          <w:sz w:val="30"/>
          <w:szCs w:val="30"/>
        </w:rPr>
      </w:pPr>
      <w:r w:rsidRPr="007B5D03">
        <w:rPr>
          <w:rFonts w:hAnsi="標楷體"/>
          <w:sz w:val="30"/>
          <w:szCs w:val="30"/>
        </w:rPr>
        <w:t>當法律規定有不周全時，執行法律的機關應當力圖補救，</w:t>
      </w:r>
      <w:r w:rsidRPr="007B5D03">
        <w:rPr>
          <w:rFonts w:hAnsi="標楷體"/>
          <w:spacing w:val="4"/>
          <w:sz w:val="30"/>
          <w:szCs w:val="30"/>
        </w:rPr>
        <w:t>使法律之規定內容經補救後，還是符合其應遵守的法律原</w:t>
      </w:r>
      <w:r w:rsidRPr="007B5D03">
        <w:rPr>
          <w:rFonts w:hAnsi="標楷體"/>
          <w:sz w:val="30"/>
          <w:szCs w:val="30"/>
        </w:rPr>
        <w:t>則。</w:t>
      </w:r>
    </w:p>
    <w:p w:rsidR="00514426" w:rsidRPr="007B5D03" w:rsidRDefault="00514426" w:rsidP="00D566C9">
      <w:pPr>
        <w:snapToGrid w:val="0"/>
        <w:spacing w:line="437" w:lineRule="exact"/>
        <w:ind w:left="595" w:firstLine="318"/>
        <w:rPr>
          <w:sz w:val="30"/>
          <w:szCs w:val="30"/>
        </w:rPr>
      </w:pPr>
      <w:r w:rsidRPr="007B5D03">
        <w:rPr>
          <w:rFonts w:hAnsi="標楷體"/>
          <w:sz w:val="30"/>
          <w:szCs w:val="30"/>
        </w:rPr>
        <w:t>由於稅捐法是由國家機關研擬制定，如有疑義，即使不要求應</w:t>
      </w:r>
      <w:r w:rsidRPr="007B5D03">
        <w:rPr>
          <w:rFonts w:hAnsi="標楷體" w:hint="eastAsia"/>
          <w:sz w:val="30"/>
          <w:szCs w:val="30"/>
        </w:rPr>
        <w:t>作</w:t>
      </w:r>
      <w:r w:rsidRPr="007B5D03">
        <w:rPr>
          <w:rFonts w:hAnsi="標楷體"/>
          <w:sz w:val="30"/>
          <w:szCs w:val="30"/>
        </w:rPr>
        <w:t>有利於納稅義務人之解釋，至少其解釋的結果應當公</w:t>
      </w:r>
      <w:r w:rsidRPr="007B5D03">
        <w:rPr>
          <w:rFonts w:hAnsi="標楷體"/>
          <w:spacing w:val="4"/>
          <w:sz w:val="30"/>
          <w:szCs w:val="30"/>
        </w:rPr>
        <w:t>允</w:t>
      </w:r>
      <w:r w:rsidRPr="007B5D03">
        <w:rPr>
          <w:rFonts w:hAnsi="標楷體" w:hint="eastAsia"/>
          <w:spacing w:val="4"/>
          <w:sz w:val="30"/>
          <w:szCs w:val="30"/>
        </w:rPr>
        <w:t>地</w:t>
      </w:r>
      <w:r w:rsidRPr="007B5D03">
        <w:rPr>
          <w:rFonts w:hAnsi="標楷體"/>
          <w:spacing w:val="4"/>
          <w:sz w:val="30"/>
          <w:szCs w:val="30"/>
        </w:rPr>
        <w:t>符合事務法則，不得有所偏頗。在聲請案所涉法律事</w:t>
      </w:r>
      <w:r w:rsidRPr="007B5D03">
        <w:rPr>
          <w:rFonts w:hAnsi="標楷體"/>
          <w:sz w:val="30"/>
          <w:szCs w:val="30"/>
        </w:rPr>
        <w:t>實，其最根本的問題是：在選擇權之買賣的雙務契約，當財政部解釋，要對其權利金收入課徵營利事業所得稅時，便必須力求遵守淨額原則及費用損失與收入之配合原則，計算發行人自該權利金收入取得之所得。不可執任何所得稅法或其他與證券交易有關之規定為依據，試圖背離淨額原則及費用損失與收入之配合原則，強勢主張以該權利金收入之毛額全部為其所得，對發行人課徵營利事業所得稅。否則，不論所</w:t>
      </w:r>
      <w:r w:rsidRPr="007B5D03">
        <w:rPr>
          <w:rFonts w:hAnsi="標楷體"/>
          <w:spacing w:val="4"/>
          <w:sz w:val="30"/>
          <w:szCs w:val="30"/>
        </w:rPr>
        <w:t>涉聲請案之</w:t>
      </w:r>
      <w:r w:rsidRPr="007B5D03">
        <w:rPr>
          <w:rFonts w:hAnsi="標楷體"/>
          <w:spacing w:val="4"/>
          <w:sz w:val="30"/>
          <w:szCs w:val="30"/>
        </w:rPr>
        <w:lastRenderedPageBreak/>
        <w:t>稅額的大小，將使有權機關的解釋失去以理服</w:t>
      </w:r>
      <w:r w:rsidRPr="007B5D03">
        <w:rPr>
          <w:rFonts w:hAnsi="標楷體"/>
          <w:sz w:val="30"/>
          <w:szCs w:val="30"/>
        </w:rPr>
        <w:t>人，領導群倫的權威地位。結果將是：稅法規定之法律效力的可預測性下降至不能忍受的程度。如果因此使國內外企業選擇離開或尋求特殊待遇，以免除不當稅法規定形塑之營運障礙，則將煩不勝煩，面子裡子皆輸，得不償失。外國證券商淺</w:t>
      </w:r>
      <w:r w:rsidRPr="007B5D03">
        <w:rPr>
          <w:rFonts w:hAnsi="標楷體" w:hint="eastAsia"/>
          <w:sz w:val="30"/>
          <w:szCs w:val="30"/>
        </w:rPr>
        <w:t>嚐</w:t>
      </w:r>
      <w:r w:rsidRPr="007B5D03">
        <w:rPr>
          <w:rFonts w:hAnsi="標楷體"/>
          <w:sz w:val="30"/>
          <w:szCs w:val="30"/>
        </w:rPr>
        <w:t>之後，即全面退出認購（售）權證之發行市場，應已可以給我們足夠清楚的警示。</w:t>
      </w:r>
    </w:p>
    <w:p w:rsidR="00514426" w:rsidRPr="007B5D03" w:rsidRDefault="00514426" w:rsidP="00D566C9">
      <w:pPr>
        <w:snapToGrid w:val="0"/>
        <w:spacing w:line="437" w:lineRule="exact"/>
        <w:ind w:left="595" w:firstLine="318"/>
        <w:rPr>
          <w:sz w:val="30"/>
          <w:szCs w:val="30"/>
        </w:rPr>
      </w:pPr>
      <w:r w:rsidRPr="007B5D03">
        <w:rPr>
          <w:rFonts w:hAnsi="標楷體"/>
          <w:sz w:val="30"/>
          <w:szCs w:val="30"/>
        </w:rPr>
        <w:t>因為認購（售）權證之履約及避險專戶的管理不成問題，所以只要有公平量能課稅的心志，要規劃認購（售）權證之公平的所得稅制並不困難。然對於認購（售）權證之所得稅的課徵</w:t>
      </w:r>
      <w:r w:rsidRPr="007B5D03">
        <w:rPr>
          <w:rFonts w:hAnsi="標楷體" w:hint="eastAsia"/>
          <w:sz w:val="30"/>
          <w:szCs w:val="30"/>
        </w:rPr>
        <w:t>之</w:t>
      </w:r>
      <w:r w:rsidRPr="007B5D03">
        <w:rPr>
          <w:rFonts w:hAnsi="標楷體"/>
          <w:sz w:val="30"/>
          <w:szCs w:val="30"/>
        </w:rPr>
        <w:t>實踐情形，為何不但事先不能規劃能夠圓滿達到稽徵目的之相關規定，而且事後耗費十年以上的時間才能立法解決。此外，至今尚有後遺問題。這不是單純之法律釋義學的問題，需要從政治、社會及文化面相，</w:t>
      </w:r>
      <w:r w:rsidRPr="007B5D03">
        <w:rPr>
          <w:rFonts w:hAnsi="標楷體" w:hint="eastAsia"/>
          <w:sz w:val="30"/>
          <w:szCs w:val="30"/>
        </w:rPr>
        <w:t>澈</w:t>
      </w:r>
      <w:r w:rsidRPr="007B5D03">
        <w:rPr>
          <w:rFonts w:hAnsi="標楷體"/>
          <w:sz w:val="30"/>
          <w:szCs w:val="30"/>
        </w:rPr>
        <w:t>底省思，才能理性認識事實真相及其中的事務法則，以走出柳暗，進入花明的境地。</w:t>
      </w:r>
    </w:p>
    <w:p w:rsidR="00514426" w:rsidRPr="007B5D03" w:rsidRDefault="00514426" w:rsidP="00D566C9">
      <w:pPr>
        <w:snapToGrid w:val="0"/>
        <w:spacing w:line="437" w:lineRule="exact"/>
        <w:ind w:left="595" w:firstLine="318"/>
        <w:rPr>
          <w:sz w:val="30"/>
          <w:szCs w:val="30"/>
        </w:rPr>
      </w:pPr>
      <w:r w:rsidRPr="007B5D03">
        <w:rPr>
          <w:rFonts w:hAnsi="標楷體"/>
          <w:sz w:val="30"/>
          <w:szCs w:val="30"/>
        </w:rPr>
        <w:t>金融市場是一個高度國際化的市場，如不努力使其相關稅捐法制接近於進步國家所要求之建制及執法原則與標準，則本國金融事業將只能試圖以走偏鋒的方法，在國內有限之夾縫中求生存，而不容易鍛鍊出必要的氣魄與能力，力爭在國際市場出人頭地。</w:t>
      </w:r>
    </w:p>
    <w:p w:rsidR="00514426" w:rsidRPr="007B5D03" w:rsidRDefault="00514426" w:rsidP="00FB2D5A">
      <w:pPr>
        <w:spacing w:line="437" w:lineRule="exact"/>
        <w:ind w:left="1169" w:hanging="851"/>
        <w:rPr>
          <w:sz w:val="26"/>
          <w:szCs w:val="26"/>
        </w:rPr>
      </w:pPr>
      <w:r w:rsidRPr="007B5D03">
        <w:rPr>
          <w:rFonts w:hAnsi="標楷體"/>
          <w:sz w:val="26"/>
          <w:szCs w:val="26"/>
        </w:rPr>
        <w:t>註一：</w:t>
      </w:r>
      <w:smartTag w:uri="urn:schemas-microsoft-com:office:smarttags" w:element="chsdate">
        <w:smartTagPr>
          <w:attr w:name="IsROCDate" w:val="False"/>
          <w:attr w:name="IsLunarDate" w:val="False"/>
          <w:attr w:name="Day" w:val="23"/>
          <w:attr w:name="Month" w:val="05"/>
          <w:attr w:name="Year" w:val="1986"/>
        </w:smartTagPr>
        <w:r w:rsidRPr="007B5D03">
          <w:rPr>
            <w:sz w:val="26"/>
            <w:szCs w:val="26"/>
          </w:rPr>
          <w:t>86</w:t>
        </w:r>
        <w:r w:rsidRPr="007B5D03">
          <w:rPr>
            <w:rFonts w:hAnsi="標楷體"/>
            <w:sz w:val="26"/>
            <w:szCs w:val="26"/>
          </w:rPr>
          <w:t>年</w:t>
        </w:r>
        <w:r w:rsidRPr="007B5D03">
          <w:rPr>
            <w:sz w:val="26"/>
            <w:szCs w:val="26"/>
          </w:rPr>
          <w:t>05</w:t>
        </w:r>
        <w:r w:rsidRPr="007B5D03">
          <w:rPr>
            <w:rFonts w:hAnsi="標楷體"/>
            <w:sz w:val="26"/>
            <w:szCs w:val="26"/>
          </w:rPr>
          <w:t>月</w:t>
        </w:r>
        <w:r w:rsidRPr="007B5D03">
          <w:rPr>
            <w:sz w:val="26"/>
            <w:szCs w:val="26"/>
          </w:rPr>
          <w:t>23</w:t>
        </w:r>
        <w:r w:rsidRPr="007B5D03">
          <w:rPr>
            <w:rFonts w:hAnsi="標楷體"/>
            <w:sz w:val="26"/>
            <w:szCs w:val="26"/>
          </w:rPr>
          <w:t>日</w:t>
        </w:r>
      </w:smartTag>
      <w:r w:rsidRPr="007B5D03">
        <w:rPr>
          <w:sz w:val="26"/>
          <w:szCs w:val="26"/>
        </w:rPr>
        <w:t>86</w:t>
      </w:r>
      <w:r w:rsidRPr="007B5D03">
        <w:rPr>
          <w:rFonts w:hAnsi="標楷體"/>
          <w:sz w:val="26"/>
          <w:szCs w:val="26"/>
        </w:rPr>
        <w:t>台財證（五）第</w:t>
      </w:r>
      <w:r w:rsidRPr="007B5D03">
        <w:rPr>
          <w:sz w:val="26"/>
          <w:szCs w:val="26"/>
        </w:rPr>
        <w:t>03037</w:t>
      </w:r>
      <w:r w:rsidRPr="007B5D03">
        <w:rPr>
          <w:rFonts w:hAnsi="標楷體"/>
          <w:sz w:val="26"/>
          <w:szCs w:val="26"/>
        </w:rPr>
        <w:t>號</w:t>
      </w:r>
      <w:r w:rsidRPr="007B5D03">
        <w:rPr>
          <w:rFonts w:hAnsi="標楷體" w:hint="eastAsia"/>
          <w:sz w:val="26"/>
          <w:szCs w:val="26"/>
        </w:rPr>
        <w:t>函</w:t>
      </w:r>
      <w:r w:rsidRPr="007B5D03">
        <w:rPr>
          <w:rFonts w:hAnsi="標楷體"/>
          <w:sz w:val="26"/>
          <w:szCs w:val="26"/>
        </w:rPr>
        <w:t>參照。</w:t>
      </w:r>
    </w:p>
    <w:p w:rsidR="00514426" w:rsidRPr="007B5D03" w:rsidRDefault="00514426" w:rsidP="00D566C9">
      <w:pPr>
        <w:spacing w:line="437" w:lineRule="exact"/>
        <w:ind w:left="1112" w:hanging="794"/>
        <w:rPr>
          <w:sz w:val="26"/>
          <w:szCs w:val="26"/>
        </w:rPr>
      </w:pPr>
      <w:r w:rsidRPr="007B5D03">
        <w:rPr>
          <w:rFonts w:hAnsi="標楷體"/>
          <w:sz w:val="26"/>
          <w:szCs w:val="26"/>
        </w:rPr>
        <w:t>註二：證券交易法第</w:t>
      </w:r>
      <w:r w:rsidRPr="007B5D03">
        <w:rPr>
          <w:sz w:val="26"/>
          <w:szCs w:val="26"/>
        </w:rPr>
        <w:t>22</w:t>
      </w:r>
      <w:r w:rsidRPr="007B5D03">
        <w:rPr>
          <w:rFonts w:hAnsi="標楷體"/>
          <w:sz w:val="26"/>
          <w:szCs w:val="26"/>
        </w:rPr>
        <w:t>條第</w:t>
      </w:r>
      <w:r w:rsidRPr="007B5D03">
        <w:rPr>
          <w:sz w:val="26"/>
          <w:szCs w:val="26"/>
        </w:rPr>
        <w:t>1</w:t>
      </w:r>
      <w:r w:rsidRPr="007B5D03">
        <w:rPr>
          <w:rFonts w:hAnsi="標楷體"/>
          <w:sz w:val="26"/>
          <w:szCs w:val="26"/>
        </w:rPr>
        <w:t>項規定：「有價證券之募集與發行，除政府債券或經財政部核定之其他有價證券外，非經主管機關核准或向主管機關申報生效後，不得為之；其處理準則，由主管機關定之。」</w:t>
      </w:r>
    </w:p>
    <w:p w:rsidR="00514426" w:rsidRPr="007B5D03" w:rsidRDefault="00514426" w:rsidP="00D566C9">
      <w:pPr>
        <w:spacing w:line="437" w:lineRule="exact"/>
        <w:ind w:left="1112" w:hanging="794"/>
        <w:rPr>
          <w:sz w:val="26"/>
          <w:szCs w:val="26"/>
        </w:rPr>
      </w:pPr>
      <w:r w:rsidRPr="007B5D03">
        <w:rPr>
          <w:rFonts w:hAnsi="標楷體"/>
          <w:sz w:val="26"/>
          <w:szCs w:val="26"/>
        </w:rPr>
        <w:t>註三：</w:t>
      </w:r>
      <w:r w:rsidRPr="007B5D03">
        <w:rPr>
          <w:rFonts w:hAnsi="標楷體"/>
          <w:spacing w:val="4"/>
          <w:sz w:val="26"/>
          <w:szCs w:val="26"/>
        </w:rPr>
        <w:t>證券交易法第</w:t>
      </w:r>
      <w:r w:rsidRPr="007B5D03">
        <w:rPr>
          <w:spacing w:val="4"/>
          <w:sz w:val="26"/>
          <w:szCs w:val="26"/>
        </w:rPr>
        <w:t>140</w:t>
      </w:r>
      <w:r w:rsidRPr="007B5D03">
        <w:rPr>
          <w:rFonts w:hAnsi="標楷體"/>
          <w:spacing w:val="4"/>
          <w:sz w:val="26"/>
          <w:szCs w:val="26"/>
        </w:rPr>
        <w:t>條規定：「證券交易所應訂定有價證券上市審</w:t>
      </w:r>
      <w:r w:rsidRPr="007B5D03">
        <w:rPr>
          <w:rFonts w:hAnsi="標楷體"/>
          <w:sz w:val="26"/>
          <w:szCs w:val="26"/>
        </w:rPr>
        <w:lastRenderedPageBreak/>
        <w:t>查準則及上市契約準則，申請主管機關核定之。」</w:t>
      </w:r>
    </w:p>
    <w:p w:rsidR="00514426" w:rsidRPr="007B5D03" w:rsidRDefault="00514426" w:rsidP="00D566C9">
      <w:pPr>
        <w:spacing w:line="437" w:lineRule="exact"/>
        <w:ind w:left="1112" w:hanging="794"/>
        <w:rPr>
          <w:sz w:val="26"/>
          <w:szCs w:val="26"/>
        </w:rPr>
      </w:pPr>
      <w:r w:rsidRPr="007B5D03">
        <w:rPr>
          <w:rFonts w:hAnsi="標楷體"/>
          <w:spacing w:val="14"/>
          <w:sz w:val="26"/>
          <w:szCs w:val="26"/>
        </w:rPr>
        <w:t>註四：</w:t>
      </w:r>
      <w:r w:rsidRPr="007B5D03">
        <w:rPr>
          <w:rFonts w:hAnsi="標楷體"/>
          <w:spacing w:val="-4"/>
          <w:sz w:val="26"/>
          <w:szCs w:val="26"/>
        </w:rPr>
        <w:t>發行人申請發行認購（售）權證處理準則第</w:t>
      </w:r>
      <w:r w:rsidRPr="007B5D03">
        <w:rPr>
          <w:spacing w:val="-4"/>
          <w:sz w:val="26"/>
          <w:szCs w:val="26"/>
        </w:rPr>
        <w:t>7</w:t>
      </w:r>
      <w:r w:rsidRPr="007B5D03">
        <w:rPr>
          <w:rFonts w:hAnsi="標楷體"/>
          <w:spacing w:val="-4"/>
          <w:sz w:val="26"/>
          <w:szCs w:val="26"/>
        </w:rPr>
        <w:t>條第</w:t>
      </w:r>
      <w:r w:rsidRPr="007B5D03">
        <w:rPr>
          <w:spacing w:val="-4"/>
          <w:sz w:val="26"/>
          <w:szCs w:val="26"/>
        </w:rPr>
        <w:t>8</w:t>
      </w:r>
      <w:r w:rsidRPr="007B5D03">
        <w:rPr>
          <w:rFonts w:hAnsi="標楷體"/>
          <w:spacing w:val="-4"/>
          <w:sz w:val="26"/>
          <w:szCs w:val="26"/>
        </w:rPr>
        <w:t>款規定參照。</w:t>
      </w:r>
    </w:p>
    <w:p w:rsidR="00514426" w:rsidRPr="007B5D03" w:rsidRDefault="00514426" w:rsidP="00D566C9">
      <w:pPr>
        <w:spacing w:line="437" w:lineRule="exact"/>
        <w:ind w:left="1112" w:hanging="794"/>
        <w:rPr>
          <w:sz w:val="26"/>
          <w:szCs w:val="26"/>
        </w:rPr>
      </w:pPr>
      <w:r w:rsidRPr="007B5D03">
        <w:rPr>
          <w:rFonts w:hAnsi="標楷體"/>
          <w:sz w:val="26"/>
          <w:szCs w:val="26"/>
        </w:rPr>
        <w:t>註五：</w:t>
      </w:r>
      <w:r w:rsidRPr="007B5D03">
        <w:rPr>
          <w:rFonts w:hAnsi="標楷體"/>
          <w:spacing w:val="14"/>
          <w:sz w:val="26"/>
          <w:szCs w:val="26"/>
        </w:rPr>
        <w:t>臺灣證券交易所股份有限公司認購（售）權證上市審查準則</w:t>
      </w:r>
      <w:r w:rsidRPr="007B5D03">
        <w:rPr>
          <w:rFonts w:hAnsi="標楷體"/>
          <w:spacing w:val="4"/>
          <w:sz w:val="26"/>
          <w:szCs w:val="26"/>
        </w:rPr>
        <w:t>（</w:t>
      </w:r>
      <w:r w:rsidRPr="007B5D03">
        <w:rPr>
          <w:spacing w:val="4"/>
          <w:sz w:val="26"/>
          <w:szCs w:val="26"/>
        </w:rPr>
        <w:t>86.6.4</w:t>
      </w:r>
      <w:r w:rsidRPr="007B5D03">
        <w:rPr>
          <w:rFonts w:hAnsi="標楷體"/>
          <w:spacing w:val="4"/>
          <w:sz w:val="26"/>
          <w:szCs w:val="26"/>
        </w:rPr>
        <w:t>）第</w:t>
      </w:r>
      <w:r w:rsidRPr="007B5D03">
        <w:rPr>
          <w:spacing w:val="4"/>
          <w:sz w:val="26"/>
          <w:szCs w:val="26"/>
        </w:rPr>
        <w:t>5</w:t>
      </w:r>
      <w:r w:rsidRPr="007B5D03">
        <w:rPr>
          <w:rFonts w:hAnsi="標楷體"/>
          <w:spacing w:val="4"/>
          <w:sz w:val="26"/>
          <w:szCs w:val="26"/>
        </w:rPr>
        <w:t>條第</w:t>
      </w:r>
      <w:r w:rsidRPr="007B5D03">
        <w:rPr>
          <w:spacing w:val="4"/>
          <w:sz w:val="26"/>
          <w:szCs w:val="26"/>
        </w:rPr>
        <w:t>2</w:t>
      </w:r>
      <w:r w:rsidRPr="007B5D03">
        <w:rPr>
          <w:rFonts w:hAnsi="標楷體"/>
          <w:spacing w:val="4"/>
          <w:sz w:val="26"/>
          <w:szCs w:val="26"/>
        </w:rPr>
        <w:t>項第</w:t>
      </w:r>
      <w:r w:rsidRPr="007B5D03">
        <w:rPr>
          <w:spacing w:val="4"/>
          <w:sz w:val="26"/>
          <w:szCs w:val="26"/>
        </w:rPr>
        <w:t>3</w:t>
      </w:r>
      <w:r w:rsidRPr="007B5D03">
        <w:rPr>
          <w:rFonts w:hAnsi="標楷體"/>
          <w:spacing w:val="4"/>
          <w:sz w:val="26"/>
          <w:szCs w:val="26"/>
        </w:rPr>
        <w:t>款、第</w:t>
      </w:r>
      <w:r w:rsidRPr="007B5D03">
        <w:rPr>
          <w:spacing w:val="4"/>
          <w:sz w:val="26"/>
          <w:szCs w:val="26"/>
        </w:rPr>
        <w:t>6</w:t>
      </w:r>
      <w:r w:rsidRPr="007B5D03">
        <w:rPr>
          <w:rFonts w:hAnsi="標楷體"/>
          <w:spacing w:val="4"/>
          <w:sz w:val="26"/>
          <w:szCs w:val="26"/>
        </w:rPr>
        <w:t>條第</w:t>
      </w:r>
      <w:r w:rsidRPr="007B5D03">
        <w:rPr>
          <w:spacing w:val="4"/>
          <w:sz w:val="26"/>
          <w:szCs w:val="26"/>
        </w:rPr>
        <w:t>6</w:t>
      </w:r>
      <w:r w:rsidRPr="007B5D03">
        <w:rPr>
          <w:rFonts w:hAnsi="標楷體"/>
          <w:spacing w:val="4"/>
          <w:sz w:val="26"/>
          <w:szCs w:val="26"/>
        </w:rPr>
        <w:t>款第</w:t>
      </w:r>
      <w:r w:rsidRPr="007B5D03">
        <w:rPr>
          <w:spacing w:val="4"/>
          <w:sz w:val="26"/>
          <w:szCs w:val="26"/>
        </w:rPr>
        <w:t>7</w:t>
      </w:r>
      <w:r w:rsidRPr="007B5D03">
        <w:rPr>
          <w:rFonts w:hAnsi="標楷體"/>
          <w:spacing w:val="4"/>
          <w:sz w:val="26"/>
          <w:szCs w:val="26"/>
        </w:rPr>
        <w:t>目規定；財</w:t>
      </w:r>
      <w:r w:rsidRPr="007B5D03">
        <w:rPr>
          <w:rFonts w:hAnsi="標楷體"/>
          <w:spacing w:val="10"/>
          <w:sz w:val="26"/>
          <w:szCs w:val="26"/>
        </w:rPr>
        <w:t>團法人中華民國證券櫃臺買賣中心證券商營業處所買賣認購</w:t>
      </w:r>
      <w:r w:rsidRPr="007B5D03">
        <w:rPr>
          <w:rFonts w:hAnsi="標楷體"/>
          <w:spacing w:val="-4"/>
          <w:sz w:val="26"/>
          <w:szCs w:val="26"/>
        </w:rPr>
        <w:t>（售）權證審查準則第</w:t>
      </w:r>
      <w:r w:rsidRPr="007B5D03">
        <w:rPr>
          <w:spacing w:val="-4"/>
          <w:sz w:val="26"/>
          <w:szCs w:val="26"/>
        </w:rPr>
        <w:t>4</w:t>
      </w:r>
      <w:r w:rsidRPr="007B5D03">
        <w:rPr>
          <w:rFonts w:hAnsi="標楷體"/>
          <w:spacing w:val="-4"/>
          <w:sz w:val="26"/>
          <w:szCs w:val="26"/>
        </w:rPr>
        <w:t>條</w:t>
      </w:r>
      <w:r w:rsidRPr="007B5D03">
        <w:rPr>
          <w:spacing w:val="-4"/>
          <w:sz w:val="26"/>
          <w:szCs w:val="26"/>
        </w:rPr>
        <w:t>2</w:t>
      </w:r>
      <w:r w:rsidRPr="007B5D03">
        <w:rPr>
          <w:rFonts w:hAnsi="標楷體"/>
          <w:spacing w:val="-4"/>
          <w:sz w:val="26"/>
          <w:szCs w:val="26"/>
        </w:rPr>
        <w:t>項第</w:t>
      </w:r>
      <w:r w:rsidRPr="007B5D03">
        <w:rPr>
          <w:spacing w:val="-4"/>
          <w:sz w:val="26"/>
          <w:szCs w:val="26"/>
        </w:rPr>
        <w:t>4</w:t>
      </w:r>
      <w:r w:rsidRPr="007B5D03">
        <w:rPr>
          <w:rFonts w:hAnsi="標楷體"/>
          <w:spacing w:val="-4"/>
          <w:sz w:val="26"/>
          <w:szCs w:val="26"/>
        </w:rPr>
        <w:t>款</w:t>
      </w:r>
      <w:r w:rsidRPr="007B5D03">
        <w:rPr>
          <w:rFonts w:hAnsi="標楷體" w:hint="eastAsia"/>
          <w:spacing w:val="-4"/>
          <w:sz w:val="26"/>
          <w:szCs w:val="26"/>
        </w:rPr>
        <w:t>、</w:t>
      </w:r>
      <w:r w:rsidRPr="007B5D03">
        <w:rPr>
          <w:rFonts w:hAnsi="標楷體"/>
          <w:spacing w:val="-4"/>
          <w:sz w:val="26"/>
          <w:szCs w:val="26"/>
        </w:rPr>
        <w:t>第</w:t>
      </w:r>
      <w:r w:rsidRPr="007B5D03">
        <w:rPr>
          <w:spacing w:val="-4"/>
          <w:sz w:val="26"/>
          <w:szCs w:val="26"/>
        </w:rPr>
        <w:t>8</w:t>
      </w:r>
      <w:r w:rsidRPr="007B5D03">
        <w:rPr>
          <w:rFonts w:hAnsi="標楷體"/>
          <w:spacing w:val="-4"/>
          <w:sz w:val="26"/>
          <w:szCs w:val="26"/>
        </w:rPr>
        <w:t>條第</w:t>
      </w:r>
      <w:r w:rsidRPr="007B5D03">
        <w:rPr>
          <w:spacing w:val="-4"/>
          <w:sz w:val="26"/>
          <w:szCs w:val="26"/>
        </w:rPr>
        <w:t>7</w:t>
      </w:r>
      <w:r w:rsidRPr="007B5D03">
        <w:rPr>
          <w:rFonts w:hAnsi="標楷體"/>
          <w:spacing w:val="-4"/>
          <w:sz w:val="26"/>
          <w:szCs w:val="26"/>
        </w:rPr>
        <w:t>款規定參照。</w:t>
      </w:r>
    </w:p>
    <w:p w:rsidR="00514426" w:rsidRPr="007B5D03" w:rsidRDefault="00514426" w:rsidP="00D566C9">
      <w:pPr>
        <w:spacing w:line="437" w:lineRule="exact"/>
        <w:ind w:left="1112" w:hanging="794"/>
        <w:rPr>
          <w:sz w:val="26"/>
          <w:szCs w:val="26"/>
        </w:rPr>
      </w:pPr>
      <w:r w:rsidRPr="007B5D03">
        <w:rPr>
          <w:rFonts w:hAnsi="標楷體"/>
          <w:sz w:val="26"/>
          <w:szCs w:val="26"/>
        </w:rPr>
        <w:t>註六：</w:t>
      </w:r>
      <w:r w:rsidRPr="007B5D03">
        <w:rPr>
          <w:rFonts w:hAnsi="標楷體"/>
          <w:spacing w:val="4"/>
          <w:sz w:val="26"/>
          <w:szCs w:val="26"/>
        </w:rPr>
        <w:t>發行人申請發行認購（售）權證處理準則第</w:t>
      </w:r>
      <w:r w:rsidRPr="007B5D03">
        <w:rPr>
          <w:spacing w:val="4"/>
          <w:sz w:val="26"/>
          <w:szCs w:val="26"/>
        </w:rPr>
        <w:t>7</w:t>
      </w:r>
      <w:r w:rsidRPr="007B5D03">
        <w:rPr>
          <w:rFonts w:hAnsi="標楷體"/>
          <w:spacing w:val="4"/>
          <w:sz w:val="26"/>
          <w:szCs w:val="26"/>
        </w:rPr>
        <w:t>條第</w:t>
      </w:r>
      <w:r w:rsidRPr="007B5D03">
        <w:rPr>
          <w:spacing w:val="4"/>
          <w:sz w:val="26"/>
          <w:szCs w:val="26"/>
        </w:rPr>
        <w:t>8</w:t>
      </w:r>
      <w:r w:rsidRPr="007B5D03">
        <w:rPr>
          <w:rFonts w:hAnsi="標楷體"/>
          <w:spacing w:val="4"/>
          <w:sz w:val="26"/>
          <w:szCs w:val="26"/>
        </w:rPr>
        <w:t>款、臺灣證券交易所股份有限公司認購（售）權證上市審查準則（</w:t>
      </w:r>
      <w:r w:rsidRPr="007B5D03">
        <w:rPr>
          <w:spacing w:val="4"/>
          <w:sz w:val="26"/>
          <w:szCs w:val="26"/>
        </w:rPr>
        <w:t>86.6.4</w:t>
      </w:r>
      <w:r w:rsidRPr="007B5D03">
        <w:rPr>
          <w:rFonts w:hAnsi="標楷體"/>
          <w:spacing w:val="4"/>
          <w:sz w:val="26"/>
          <w:szCs w:val="26"/>
        </w:rPr>
        <w:t>）</w:t>
      </w:r>
      <w:r w:rsidRPr="007B5D03">
        <w:rPr>
          <w:rFonts w:hAnsi="標楷體"/>
          <w:sz w:val="26"/>
          <w:szCs w:val="26"/>
        </w:rPr>
        <w:t>第</w:t>
      </w:r>
      <w:r w:rsidRPr="007B5D03">
        <w:rPr>
          <w:sz w:val="26"/>
          <w:szCs w:val="26"/>
        </w:rPr>
        <w:t>8</w:t>
      </w:r>
      <w:r w:rsidRPr="007B5D03">
        <w:rPr>
          <w:rFonts w:hAnsi="標楷體"/>
          <w:sz w:val="26"/>
          <w:szCs w:val="26"/>
        </w:rPr>
        <w:t>條第</w:t>
      </w:r>
      <w:r w:rsidRPr="007B5D03">
        <w:rPr>
          <w:sz w:val="26"/>
          <w:szCs w:val="26"/>
        </w:rPr>
        <w:t>11</w:t>
      </w:r>
      <w:r w:rsidRPr="007B5D03">
        <w:rPr>
          <w:rFonts w:hAnsi="標楷體"/>
          <w:sz w:val="26"/>
          <w:szCs w:val="26"/>
        </w:rPr>
        <w:t>款規定參照。</w:t>
      </w:r>
    </w:p>
    <w:p w:rsidR="00514426" w:rsidRPr="007B5D03" w:rsidRDefault="00514426" w:rsidP="00D566C9">
      <w:pPr>
        <w:spacing w:line="437" w:lineRule="exact"/>
        <w:ind w:left="1112" w:hanging="794"/>
        <w:rPr>
          <w:sz w:val="26"/>
          <w:szCs w:val="26"/>
        </w:rPr>
      </w:pPr>
      <w:r w:rsidRPr="007B5D03">
        <w:rPr>
          <w:rFonts w:hAnsi="標楷體"/>
          <w:sz w:val="26"/>
          <w:szCs w:val="26"/>
        </w:rPr>
        <w:t>註七：</w:t>
      </w:r>
      <w:r w:rsidRPr="007B5D03">
        <w:rPr>
          <w:rFonts w:hAnsi="標楷體"/>
          <w:spacing w:val="-10"/>
          <w:sz w:val="26"/>
          <w:szCs w:val="26"/>
        </w:rPr>
        <w:t>證交所（</w:t>
      </w:r>
      <w:r w:rsidRPr="007B5D03">
        <w:rPr>
          <w:spacing w:val="-10"/>
          <w:sz w:val="26"/>
          <w:szCs w:val="26"/>
        </w:rPr>
        <w:t>86</w:t>
      </w:r>
      <w:r w:rsidRPr="007B5D03">
        <w:rPr>
          <w:rFonts w:hAnsi="標楷體"/>
          <w:spacing w:val="-10"/>
          <w:sz w:val="26"/>
          <w:szCs w:val="26"/>
        </w:rPr>
        <w:t>）台證上字第</w:t>
      </w:r>
      <w:r w:rsidRPr="007B5D03">
        <w:rPr>
          <w:spacing w:val="-10"/>
          <w:sz w:val="26"/>
          <w:szCs w:val="26"/>
        </w:rPr>
        <w:t>29888</w:t>
      </w:r>
      <w:r w:rsidRPr="007B5D03">
        <w:rPr>
          <w:rFonts w:hAnsi="標楷體"/>
          <w:spacing w:val="-10"/>
          <w:sz w:val="26"/>
          <w:szCs w:val="26"/>
        </w:rPr>
        <w:t>號函（</w:t>
      </w:r>
      <w:r w:rsidRPr="007B5D03">
        <w:rPr>
          <w:spacing w:val="-10"/>
          <w:sz w:val="26"/>
          <w:szCs w:val="26"/>
        </w:rPr>
        <w:t>86.9.18</w:t>
      </w:r>
      <w:r w:rsidRPr="007B5D03">
        <w:rPr>
          <w:rFonts w:hAnsi="標楷體"/>
          <w:spacing w:val="-10"/>
          <w:sz w:val="26"/>
          <w:szCs w:val="26"/>
        </w:rPr>
        <w:t>）：「要旨：認購（售）</w:t>
      </w:r>
      <w:r w:rsidRPr="007B5D03">
        <w:rPr>
          <w:rFonts w:hAnsi="標楷體"/>
          <w:sz w:val="26"/>
          <w:szCs w:val="26"/>
        </w:rPr>
        <w:t>權證發行人避險專戶之設立。主旨：為符合主管機關對發行人風險控管應予逐日控管之要求，本公司已研擬有關認購（售）權證發行人整體風險之控管措施如說明，請</w:t>
      </w:r>
      <w:r w:rsidRPr="007B5D03">
        <w:rPr>
          <w:sz w:val="26"/>
          <w:szCs w:val="26"/>
        </w:rPr>
        <w:t xml:space="preserve">　</w:t>
      </w:r>
      <w:r w:rsidRPr="007B5D03">
        <w:rPr>
          <w:rFonts w:hAnsi="標楷體"/>
          <w:sz w:val="26"/>
          <w:szCs w:val="26"/>
        </w:rPr>
        <w:t>查照。說明：一、依據主管機關</w:t>
      </w:r>
      <w:smartTag w:uri="urn:schemas-microsoft-com:office:smarttags" w:element="chsdate">
        <w:smartTagPr>
          <w:attr w:name="IsROCDate" w:val="False"/>
          <w:attr w:name="IsLunarDate" w:val="False"/>
          <w:attr w:name="Day" w:val="3"/>
          <w:attr w:name="Month" w:val="9"/>
          <w:attr w:name="Year" w:val="1986"/>
        </w:smartTagPr>
        <w:r w:rsidRPr="007B5D03">
          <w:rPr>
            <w:sz w:val="26"/>
            <w:szCs w:val="26"/>
          </w:rPr>
          <w:t>86</w:t>
        </w:r>
        <w:r w:rsidRPr="007B5D03">
          <w:rPr>
            <w:rFonts w:hAnsi="標楷體"/>
            <w:sz w:val="26"/>
            <w:szCs w:val="26"/>
          </w:rPr>
          <w:t>年</w:t>
        </w:r>
        <w:r w:rsidRPr="007B5D03">
          <w:rPr>
            <w:sz w:val="26"/>
            <w:szCs w:val="26"/>
          </w:rPr>
          <w:t>9</w:t>
        </w:r>
        <w:r w:rsidRPr="007B5D03">
          <w:rPr>
            <w:rFonts w:hAnsi="標楷體"/>
            <w:sz w:val="26"/>
            <w:szCs w:val="26"/>
          </w:rPr>
          <w:t>月</w:t>
        </w:r>
        <w:r w:rsidRPr="007B5D03">
          <w:rPr>
            <w:sz w:val="26"/>
            <w:szCs w:val="26"/>
          </w:rPr>
          <w:t>3</w:t>
        </w:r>
        <w:r w:rsidRPr="007B5D03">
          <w:rPr>
            <w:rFonts w:hAnsi="標楷體"/>
            <w:sz w:val="26"/>
            <w:szCs w:val="26"/>
          </w:rPr>
          <w:t>日</w:t>
        </w:r>
      </w:smartTag>
      <w:r w:rsidRPr="007B5D03">
        <w:rPr>
          <w:rFonts w:hAnsi="標楷體"/>
          <w:sz w:val="26"/>
          <w:szCs w:val="26"/>
        </w:rPr>
        <w:t>（</w:t>
      </w:r>
      <w:r w:rsidRPr="007B5D03">
        <w:rPr>
          <w:sz w:val="26"/>
          <w:szCs w:val="26"/>
        </w:rPr>
        <w:t>86</w:t>
      </w:r>
      <w:r w:rsidRPr="007B5D03">
        <w:rPr>
          <w:rFonts w:hAnsi="標楷體"/>
          <w:sz w:val="26"/>
          <w:szCs w:val="26"/>
        </w:rPr>
        <w:t>）台財證（五）第</w:t>
      </w:r>
      <w:r w:rsidRPr="007B5D03">
        <w:rPr>
          <w:sz w:val="26"/>
          <w:szCs w:val="26"/>
        </w:rPr>
        <w:t>04401</w:t>
      </w:r>
      <w:r w:rsidRPr="007B5D03">
        <w:rPr>
          <w:rFonts w:hAnsi="標楷體"/>
          <w:sz w:val="26"/>
          <w:szCs w:val="26"/>
        </w:rPr>
        <w:t>號函辦理。二、發行人如為自行避險或部分自行避險，應另設避險專戶，作</w:t>
      </w:r>
      <w:r w:rsidRPr="007B5D03">
        <w:rPr>
          <w:rFonts w:hAnsi="標楷體"/>
          <w:spacing w:val="4"/>
          <w:sz w:val="26"/>
          <w:szCs w:val="26"/>
        </w:rPr>
        <w:t>為發行人發行認購權證之後建立避險部位及將來投資人要求履</w:t>
      </w:r>
      <w:r w:rsidRPr="007B5D03">
        <w:rPr>
          <w:rFonts w:hAnsi="標楷體"/>
          <w:sz w:val="26"/>
          <w:szCs w:val="26"/>
        </w:rPr>
        <w:t>約時提供作為履約專戶之用。上開由發行人開設之帳戶須先向本公司申報，並只得買賣其所發行之認購權證及標的證券，帳戶中之股票並不得申請領回。發行人於其避險沖銷專戶買賣標的證券時可不受開盤前申報買進（賣出）價格不得高於（低於）前一營業日收盤價，及漲停不得買進、跌停不得賣出之限制。三、發行人如全數委託其他金融機構避險，發行人亦須另設專戶，作為將來投資人要求履約時提供作為履約專戶之用。另其委託之金融機構亦須於發行人處開設帳戶，作為其發行認購權證之後建立避險部位之用。」</w:t>
      </w:r>
    </w:p>
    <w:p w:rsidR="00514426" w:rsidRPr="007B5D03" w:rsidRDefault="00514426" w:rsidP="00D566C9">
      <w:pPr>
        <w:spacing w:line="437" w:lineRule="exact"/>
        <w:ind w:left="1112" w:hanging="794"/>
        <w:rPr>
          <w:sz w:val="26"/>
          <w:szCs w:val="26"/>
        </w:rPr>
      </w:pPr>
      <w:r w:rsidRPr="007B5D03">
        <w:rPr>
          <w:rFonts w:hAnsi="標楷體"/>
          <w:sz w:val="26"/>
          <w:szCs w:val="26"/>
        </w:rPr>
        <w:t>註八：</w:t>
      </w:r>
      <w:r w:rsidRPr="007B5D03">
        <w:rPr>
          <w:rFonts w:hAnsi="標楷體"/>
          <w:spacing w:val="4"/>
          <w:sz w:val="26"/>
          <w:szCs w:val="26"/>
        </w:rPr>
        <w:t>證交所</w:t>
      </w:r>
      <w:smartTag w:uri="urn:schemas-microsoft-com:office:smarttags" w:element="chsdate">
        <w:smartTagPr>
          <w:attr w:name="IsROCDate" w:val="False"/>
          <w:attr w:name="IsLunarDate" w:val="False"/>
          <w:attr w:name="Day" w:val="24"/>
          <w:attr w:name="Month" w:val="9"/>
          <w:attr w:name="Year" w:val="1990"/>
        </w:smartTagPr>
        <w:r w:rsidRPr="007B5D03">
          <w:rPr>
            <w:spacing w:val="4"/>
            <w:sz w:val="26"/>
            <w:szCs w:val="26"/>
          </w:rPr>
          <w:t>90</w:t>
        </w:r>
        <w:r w:rsidRPr="007B5D03">
          <w:rPr>
            <w:rFonts w:hAnsi="標楷體"/>
            <w:spacing w:val="4"/>
            <w:sz w:val="26"/>
            <w:szCs w:val="26"/>
          </w:rPr>
          <w:t>年</w:t>
        </w:r>
        <w:r w:rsidRPr="007B5D03">
          <w:rPr>
            <w:spacing w:val="4"/>
            <w:sz w:val="26"/>
            <w:szCs w:val="26"/>
          </w:rPr>
          <w:t>9</w:t>
        </w:r>
        <w:r w:rsidRPr="007B5D03">
          <w:rPr>
            <w:rFonts w:hAnsi="標楷體"/>
            <w:spacing w:val="4"/>
            <w:sz w:val="26"/>
            <w:szCs w:val="26"/>
          </w:rPr>
          <w:t>月</w:t>
        </w:r>
        <w:r w:rsidRPr="007B5D03">
          <w:rPr>
            <w:spacing w:val="4"/>
            <w:sz w:val="26"/>
            <w:szCs w:val="26"/>
          </w:rPr>
          <w:t>24</w:t>
        </w:r>
        <w:r w:rsidRPr="007B5D03">
          <w:rPr>
            <w:rFonts w:hAnsi="標楷體"/>
            <w:spacing w:val="4"/>
            <w:sz w:val="26"/>
            <w:szCs w:val="26"/>
          </w:rPr>
          <w:t>日</w:t>
        </w:r>
      </w:smartTag>
      <w:r w:rsidRPr="007B5D03">
        <w:rPr>
          <w:rFonts w:hAnsi="標楷體"/>
          <w:spacing w:val="4"/>
          <w:sz w:val="26"/>
          <w:szCs w:val="26"/>
        </w:rPr>
        <w:t>修正認購（售）權證上市審查準則時，已</w:t>
      </w:r>
      <w:r w:rsidRPr="007B5D03">
        <w:rPr>
          <w:rFonts w:hAnsi="標楷體"/>
          <w:sz w:val="26"/>
          <w:szCs w:val="26"/>
        </w:rPr>
        <w:t>在其第</w:t>
      </w:r>
      <w:r w:rsidRPr="007B5D03">
        <w:rPr>
          <w:rFonts w:hAnsi="標楷體"/>
          <w:sz w:val="26"/>
          <w:szCs w:val="26"/>
        </w:rPr>
        <w:t>14</w:t>
      </w:r>
      <w:r w:rsidRPr="007B5D03">
        <w:rPr>
          <w:rFonts w:hAnsi="標楷體"/>
          <w:sz w:val="26"/>
          <w:szCs w:val="26"/>
        </w:rPr>
        <w:t>條第</w:t>
      </w:r>
      <w:r w:rsidRPr="007B5D03">
        <w:rPr>
          <w:sz w:val="26"/>
          <w:szCs w:val="26"/>
        </w:rPr>
        <w:t>2</w:t>
      </w:r>
      <w:r w:rsidRPr="007B5D03">
        <w:rPr>
          <w:rFonts w:hAnsi="標楷體"/>
          <w:sz w:val="26"/>
          <w:szCs w:val="26"/>
        </w:rPr>
        <w:t>項規定：「發行人前項專戶戶號一律為自營商帳</w:t>
      </w:r>
      <w:r w:rsidRPr="007B5D03">
        <w:rPr>
          <w:rFonts w:hAnsi="標楷體"/>
          <w:sz w:val="26"/>
          <w:szCs w:val="26"/>
        </w:rPr>
        <w:lastRenderedPageBreak/>
        <w:t>號下之八八八八八</w:t>
      </w:r>
      <w:r w:rsidRPr="007B5D03">
        <w:rPr>
          <w:sz w:val="26"/>
          <w:szCs w:val="26"/>
        </w:rPr>
        <w:t>–</w:t>
      </w:r>
      <w:r w:rsidRPr="007B5D03">
        <w:rPr>
          <w:rFonts w:hAnsi="標楷體"/>
          <w:sz w:val="26"/>
          <w:szCs w:val="26"/>
        </w:rPr>
        <w:t>八，（後略）。」現行認購（售）權證上市審查準則（</w:t>
      </w:r>
      <w:r w:rsidRPr="007B5D03">
        <w:rPr>
          <w:sz w:val="26"/>
          <w:szCs w:val="26"/>
        </w:rPr>
        <w:t>100.9.28</w:t>
      </w:r>
      <w:r w:rsidRPr="007B5D03">
        <w:rPr>
          <w:rFonts w:hAnsi="標楷體"/>
          <w:sz w:val="26"/>
          <w:szCs w:val="26"/>
        </w:rPr>
        <w:t>）第</w:t>
      </w:r>
      <w:r w:rsidRPr="007B5D03">
        <w:rPr>
          <w:sz w:val="26"/>
          <w:szCs w:val="26"/>
        </w:rPr>
        <w:t>14</w:t>
      </w:r>
      <w:r w:rsidRPr="007B5D03">
        <w:rPr>
          <w:rFonts w:hAnsi="標楷體"/>
          <w:sz w:val="26"/>
          <w:szCs w:val="26"/>
        </w:rPr>
        <w:t>條則規定：「（</w:t>
      </w:r>
      <w:r w:rsidRPr="007B5D03">
        <w:rPr>
          <w:sz w:val="26"/>
          <w:szCs w:val="26"/>
        </w:rPr>
        <w:t>1</w:t>
      </w:r>
      <w:r w:rsidRPr="007B5D03">
        <w:rPr>
          <w:rFonts w:hAnsi="標楷體"/>
          <w:sz w:val="26"/>
          <w:szCs w:val="26"/>
        </w:rPr>
        <w:t>）發行人應於初次發行國內及以國內證券為標的證券發行海外認購（售）權證時向本公司申請設立專戶，發行人如為自行避險或部分自行避險，該專戶應作為發行認購（售）權證之後建立避險部位及將來投資人要求</w:t>
      </w:r>
      <w:r w:rsidRPr="007B5D03">
        <w:rPr>
          <w:rFonts w:hAnsi="標楷體"/>
          <w:spacing w:val="4"/>
          <w:sz w:val="26"/>
          <w:szCs w:val="26"/>
        </w:rPr>
        <w:t>履約時提供作為履約專戶之用。發行人如全數委託其他機構避險，該專戶則作為將來投資人要求履約時提供作為履約專戶之</w:t>
      </w:r>
      <w:r w:rsidRPr="007B5D03">
        <w:rPr>
          <w:rFonts w:hAnsi="標楷體"/>
          <w:sz w:val="26"/>
          <w:szCs w:val="26"/>
        </w:rPr>
        <w:t>用，另其委託之風險管理機構亦須於發行人處開設專戶，作為其發行認購（售）權證之後建立避險部位之用。（</w:t>
      </w:r>
      <w:r w:rsidRPr="007B5D03">
        <w:rPr>
          <w:sz w:val="26"/>
          <w:szCs w:val="26"/>
        </w:rPr>
        <w:t>2</w:t>
      </w:r>
      <w:r w:rsidRPr="007B5D03">
        <w:rPr>
          <w:rFonts w:hAnsi="標楷體"/>
          <w:sz w:val="26"/>
          <w:szCs w:val="26"/>
        </w:rPr>
        <w:t>）前項發行人專戶一律設於自營商帳號下，惟外國發行人係透過直接或間接持股百分之百之子公司在中華民國境內設立分支機構提出申請者，該外國發行人應於該分支機構證券經紀商部門設立避險專戶；風險管理機構於發行人處開設之避險專戶，應設於證券經紀商部門。上開避險專戶帳號一律為八八八八八八</w:t>
      </w:r>
      <w:r w:rsidRPr="007B5D03">
        <w:rPr>
          <w:sz w:val="26"/>
          <w:szCs w:val="26"/>
        </w:rPr>
        <w:t>–</w:t>
      </w:r>
      <w:r w:rsidRPr="007B5D03">
        <w:rPr>
          <w:rFonts w:hAnsi="標楷體"/>
          <w:sz w:val="26"/>
          <w:szCs w:val="26"/>
        </w:rPr>
        <w:t>八，均須先向本公司申報，並只得買賣因避險所採之避險金融工具，另於該避險專戶內之有價證券一律不得辦理質押。」櫃買中心</w:t>
      </w:r>
      <w:smartTag w:uri="urn:schemas-microsoft-com:office:smarttags" w:element="chsdate">
        <w:smartTagPr>
          <w:attr w:name="IsROCDate" w:val="False"/>
          <w:attr w:name="IsLunarDate" w:val="False"/>
          <w:attr w:name="Day" w:val="26"/>
          <w:attr w:name="Month" w:val="3"/>
          <w:attr w:name="Year" w:val="1992"/>
        </w:smartTagPr>
        <w:r w:rsidRPr="007B5D03">
          <w:rPr>
            <w:sz w:val="26"/>
            <w:szCs w:val="26"/>
          </w:rPr>
          <w:t>92</w:t>
        </w:r>
        <w:r w:rsidRPr="007B5D03">
          <w:rPr>
            <w:rFonts w:hAnsi="標楷體"/>
            <w:sz w:val="26"/>
            <w:szCs w:val="26"/>
          </w:rPr>
          <w:t>年</w:t>
        </w:r>
        <w:r w:rsidRPr="007B5D03">
          <w:rPr>
            <w:sz w:val="26"/>
            <w:szCs w:val="26"/>
          </w:rPr>
          <w:t>3</w:t>
        </w:r>
        <w:r w:rsidRPr="007B5D03">
          <w:rPr>
            <w:rFonts w:hAnsi="標楷體"/>
            <w:sz w:val="26"/>
            <w:szCs w:val="26"/>
          </w:rPr>
          <w:t>月</w:t>
        </w:r>
        <w:r w:rsidRPr="007B5D03">
          <w:rPr>
            <w:sz w:val="26"/>
            <w:szCs w:val="26"/>
          </w:rPr>
          <w:t>26</w:t>
        </w:r>
        <w:r w:rsidRPr="007B5D03">
          <w:rPr>
            <w:rFonts w:hAnsi="標楷體"/>
            <w:sz w:val="26"/>
            <w:szCs w:val="26"/>
          </w:rPr>
          <w:t>日</w:t>
        </w:r>
      </w:smartTag>
      <w:r w:rsidRPr="007B5D03">
        <w:rPr>
          <w:rFonts w:hAnsi="標楷體" w:hint="eastAsia"/>
          <w:sz w:val="26"/>
          <w:szCs w:val="26"/>
        </w:rPr>
        <w:t>發</w:t>
      </w:r>
      <w:r w:rsidRPr="007B5D03">
        <w:rPr>
          <w:rFonts w:hAnsi="標楷體"/>
          <w:sz w:val="26"/>
          <w:szCs w:val="26"/>
        </w:rPr>
        <w:t>布</w:t>
      </w:r>
      <w:r w:rsidRPr="007B5D03">
        <w:rPr>
          <w:rFonts w:hAnsi="標楷體"/>
          <w:spacing w:val="4"/>
          <w:sz w:val="26"/>
          <w:szCs w:val="26"/>
        </w:rPr>
        <w:t>之證券商營業處所買賣認購（售）權證審查準則第</w:t>
      </w:r>
      <w:r w:rsidRPr="007B5D03">
        <w:rPr>
          <w:spacing w:val="4"/>
          <w:sz w:val="26"/>
          <w:szCs w:val="26"/>
        </w:rPr>
        <w:t>14</w:t>
      </w:r>
      <w:r w:rsidRPr="007B5D03">
        <w:rPr>
          <w:rFonts w:hAnsi="標楷體"/>
          <w:spacing w:val="4"/>
          <w:sz w:val="26"/>
          <w:szCs w:val="26"/>
        </w:rPr>
        <w:t>條，亦設</w:t>
      </w:r>
      <w:r w:rsidRPr="007B5D03">
        <w:rPr>
          <w:rFonts w:hAnsi="標楷體"/>
          <w:sz w:val="26"/>
          <w:szCs w:val="26"/>
        </w:rPr>
        <w:t>有與證交所認購（售）權證上市審查準則相同之避險專戶帳號之規定。</w:t>
      </w:r>
    </w:p>
    <w:p w:rsidR="00514426" w:rsidRPr="007B5D03" w:rsidRDefault="00514426" w:rsidP="00D566C9">
      <w:pPr>
        <w:spacing w:line="437" w:lineRule="exact"/>
        <w:ind w:left="1112" w:hanging="794"/>
        <w:rPr>
          <w:sz w:val="26"/>
          <w:szCs w:val="26"/>
        </w:rPr>
      </w:pPr>
      <w:r w:rsidRPr="007B5D03">
        <w:rPr>
          <w:rFonts w:hAnsi="標楷體"/>
          <w:sz w:val="26"/>
          <w:szCs w:val="26"/>
        </w:rPr>
        <w:t>註九：</w:t>
      </w:r>
      <w:r w:rsidRPr="007B5D03">
        <w:rPr>
          <w:rFonts w:hAnsi="標楷體"/>
          <w:spacing w:val="12"/>
          <w:sz w:val="26"/>
          <w:szCs w:val="26"/>
        </w:rPr>
        <w:t>臺灣證券交易所股份有限公司認購（售）權證上市審查準則</w:t>
      </w:r>
      <w:r w:rsidRPr="007B5D03">
        <w:rPr>
          <w:rFonts w:hAnsi="標楷體"/>
          <w:sz w:val="26"/>
          <w:szCs w:val="26"/>
        </w:rPr>
        <w:t>（</w:t>
      </w:r>
      <w:r w:rsidRPr="007B5D03">
        <w:rPr>
          <w:sz w:val="26"/>
          <w:szCs w:val="26"/>
        </w:rPr>
        <w:t>90.9.19</w:t>
      </w:r>
      <w:r w:rsidRPr="007B5D03">
        <w:rPr>
          <w:rFonts w:hAnsi="標楷體"/>
          <w:sz w:val="26"/>
          <w:szCs w:val="26"/>
        </w:rPr>
        <w:t>）第</w:t>
      </w:r>
      <w:r w:rsidRPr="007B5D03">
        <w:rPr>
          <w:sz w:val="26"/>
          <w:szCs w:val="26"/>
        </w:rPr>
        <w:t>17</w:t>
      </w:r>
      <w:r w:rsidRPr="007B5D03">
        <w:rPr>
          <w:rFonts w:hAnsi="標楷體"/>
          <w:sz w:val="26"/>
          <w:szCs w:val="26"/>
        </w:rPr>
        <w:t>條：「發行認購（售）權證之證券商，於該認購（售）權證存續期間內，除基於風險沖銷之需求而買賣之標的證券外，其自營部門不得另外自行買進賣出該標的證券；發行前自營部門已持有之標的證券，亦應轉入風險沖銷策略之持有數額內一併計算，如係採委外避險者，受委託之風險管理機構亦不得另外自行買進賣出該標的證券。」</w:t>
      </w:r>
    </w:p>
    <w:p w:rsidR="00514426" w:rsidRPr="007B5D03" w:rsidRDefault="00514426" w:rsidP="00D566C9">
      <w:pPr>
        <w:spacing w:line="437" w:lineRule="exact"/>
        <w:ind w:left="1112" w:hanging="794"/>
        <w:rPr>
          <w:rFonts w:hint="eastAsia"/>
          <w:sz w:val="26"/>
          <w:szCs w:val="26"/>
        </w:rPr>
      </w:pPr>
      <w:r w:rsidRPr="007B5D03">
        <w:rPr>
          <w:rFonts w:hAnsi="標楷體"/>
          <w:sz w:val="26"/>
          <w:szCs w:val="26"/>
        </w:rPr>
        <w:t>註十：</w:t>
      </w:r>
      <w:r w:rsidRPr="007B5D03">
        <w:rPr>
          <w:rFonts w:hAnsi="標楷體"/>
          <w:spacing w:val="12"/>
          <w:sz w:val="26"/>
          <w:szCs w:val="26"/>
        </w:rPr>
        <w:t>臺灣證券交易所股份有限公司認購（售）權證上市審查準則</w:t>
      </w:r>
      <w:r w:rsidRPr="007B5D03">
        <w:rPr>
          <w:rFonts w:hAnsi="標楷體"/>
          <w:sz w:val="26"/>
          <w:szCs w:val="26"/>
        </w:rPr>
        <w:lastRenderedPageBreak/>
        <w:t>（</w:t>
      </w:r>
      <w:r w:rsidRPr="007B5D03">
        <w:rPr>
          <w:sz w:val="26"/>
          <w:szCs w:val="26"/>
        </w:rPr>
        <w:t>93.6.14</w:t>
      </w:r>
      <w:r w:rsidRPr="007B5D03">
        <w:rPr>
          <w:rFonts w:hAnsi="標楷體"/>
          <w:sz w:val="26"/>
          <w:szCs w:val="26"/>
        </w:rPr>
        <w:t>）第</w:t>
      </w:r>
      <w:r w:rsidRPr="007B5D03">
        <w:rPr>
          <w:rFonts w:hAnsi="標楷體"/>
          <w:sz w:val="26"/>
          <w:szCs w:val="26"/>
        </w:rPr>
        <w:t>17</w:t>
      </w:r>
      <w:r w:rsidRPr="007B5D03">
        <w:rPr>
          <w:rFonts w:hAnsi="標楷體"/>
          <w:sz w:val="26"/>
          <w:szCs w:val="26"/>
        </w:rPr>
        <w:t>條：「</w:t>
      </w:r>
      <w:r w:rsidRPr="007B5D03">
        <w:rPr>
          <w:rFonts w:hAnsi="標楷體"/>
          <w:sz w:val="26"/>
          <w:szCs w:val="26"/>
          <w:u w:val="single"/>
        </w:rPr>
        <w:t>發行人自營</w:t>
      </w:r>
      <w:r w:rsidRPr="007B5D03">
        <w:rPr>
          <w:rFonts w:hAnsi="標楷體"/>
          <w:sz w:val="26"/>
          <w:szCs w:val="26"/>
        </w:rPr>
        <w:t>部門於該認購（售）權證核准發行後一個月內及到期前一個月內，除基於風險沖銷之需求或本公司另為規定之情事者外，不得自行買進賣出該標的證券。但上（</w:t>
      </w:r>
      <w:r w:rsidRPr="007B5D03">
        <w:rPr>
          <w:rFonts w:hAnsi="標楷體" w:hint="eastAsia"/>
          <w:sz w:val="26"/>
          <w:szCs w:val="26"/>
        </w:rPr>
        <w:t>下</w:t>
      </w:r>
      <w:r w:rsidRPr="007B5D03">
        <w:rPr>
          <w:rFonts w:hAnsi="標楷體"/>
          <w:sz w:val="26"/>
          <w:szCs w:val="26"/>
        </w:rPr>
        <w:t>）限型認購（售）權證有提前到期之情形者，不在此限（第一項）。發行人應於每月五日前，將前月份其自營部門自行買進賣出所發行權證之標的證券相關資料</w:t>
      </w:r>
      <w:r w:rsidRPr="007B5D03">
        <w:rPr>
          <w:rFonts w:hint="eastAsia"/>
          <w:sz w:val="26"/>
          <w:szCs w:val="26"/>
        </w:rPr>
        <w:t>（</w:t>
      </w:r>
      <w:r w:rsidRPr="007B5D03">
        <w:rPr>
          <w:rFonts w:hAnsi="標楷體"/>
          <w:sz w:val="26"/>
          <w:szCs w:val="26"/>
        </w:rPr>
        <w:t>含交易日期、標的證券名稱及數量等</w:t>
      </w:r>
      <w:r w:rsidRPr="007B5D03">
        <w:rPr>
          <w:rFonts w:hint="eastAsia"/>
          <w:sz w:val="26"/>
          <w:szCs w:val="26"/>
        </w:rPr>
        <w:t>）</w:t>
      </w:r>
      <w:r w:rsidRPr="007B5D03">
        <w:rPr>
          <w:rFonts w:hAnsi="標楷體"/>
          <w:sz w:val="26"/>
          <w:szCs w:val="26"/>
        </w:rPr>
        <w:t>函報本公司。發行人如係採委外避險者，其受委託之風險管理機構，或發行人為外國機構者，其在中華民國境內之</w:t>
      </w:r>
      <w:r w:rsidRPr="007B5D03">
        <w:rPr>
          <w:rFonts w:hAnsi="標楷體"/>
          <w:spacing w:val="4"/>
          <w:sz w:val="26"/>
          <w:szCs w:val="26"/>
        </w:rPr>
        <w:t>分支機構或直接或間接持股百分之百之子公司在中華民國境內</w:t>
      </w:r>
      <w:r w:rsidRPr="007B5D03">
        <w:rPr>
          <w:rFonts w:hAnsi="標楷體"/>
          <w:sz w:val="26"/>
          <w:szCs w:val="26"/>
        </w:rPr>
        <w:t>設立之分支機構所屬之自營部門，準用第一、二項之規定（第二項）。認購（售）權證存續期間內，發行人自營部門與避險專戶部位之同一標的證券，除另有規定之情形外，不得辦理相互轉撥（第三項）。</w:t>
      </w:r>
      <w:r w:rsidRPr="007B5D03">
        <w:rPr>
          <w:rFonts w:hAnsi="標楷體" w:hint="eastAsia"/>
          <w:sz w:val="26"/>
          <w:szCs w:val="26"/>
        </w:rPr>
        <w:t>」</w:t>
      </w:r>
    </w:p>
    <w:p w:rsidR="00514426" w:rsidRPr="007B5D03" w:rsidRDefault="00514426" w:rsidP="009D5B7A">
      <w:pPr>
        <w:spacing w:line="437" w:lineRule="exact"/>
        <w:ind w:left="1395" w:hanging="1077"/>
        <w:rPr>
          <w:sz w:val="26"/>
          <w:szCs w:val="26"/>
        </w:rPr>
      </w:pPr>
      <w:r w:rsidRPr="007B5D03">
        <w:rPr>
          <w:rFonts w:hAnsi="標楷體"/>
          <w:sz w:val="26"/>
          <w:szCs w:val="26"/>
        </w:rPr>
        <w:t>註十一：</w:t>
      </w:r>
      <w:r w:rsidRPr="007B5D03">
        <w:rPr>
          <w:rFonts w:hAnsi="標楷體"/>
          <w:spacing w:val="6"/>
          <w:sz w:val="26"/>
          <w:szCs w:val="26"/>
        </w:rPr>
        <w:t>臺灣證券交易所股份有限公司認購（售）權證上市審查準則</w:t>
      </w:r>
      <w:r w:rsidRPr="007B5D03">
        <w:rPr>
          <w:rFonts w:hAnsi="標楷體"/>
          <w:sz w:val="26"/>
          <w:szCs w:val="26"/>
        </w:rPr>
        <w:t>（</w:t>
      </w:r>
      <w:r w:rsidRPr="007B5D03">
        <w:rPr>
          <w:sz w:val="26"/>
          <w:szCs w:val="26"/>
        </w:rPr>
        <w:t>95.1.20</w:t>
      </w:r>
      <w:r w:rsidRPr="007B5D03">
        <w:rPr>
          <w:rFonts w:hAnsi="標楷體"/>
          <w:sz w:val="26"/>
          <w:szCs w:val="26"/>
        </w:rPr>
        <w:t>）第</w:t>
      </w:r>
      <w:r w:rsidRPr="007B5D03">
        <w:rPr>
          <w:sz w:val="26"/>
          <w:szCs w:val="26"/>
        </w:rPr>
        <w:t>17</w:t>
      </w:r>
      <w:r w:rsidRPr="007B5D03">
        <w:rPr>
          <w:rFonts w:hAnsi="標楷體"/>
          <w:sz w:val="26"/>
          <w:szCs w:val="26"/>
        </w:rPr>
        <w:t>條：「發行人自營部門之自行買賣及就所發行認購（售）權證之避險買賣，不得有影響市場價格公平性及損及投資人權益之情事，並應配合訂定及執行有效之內部控制制度（第一項）。發行人應於每月五日前，將前月份其自營部門自行買進賣出所發行權證之標的證券相關資料</w:t>
      </w:r>
      <w:r w:rsidRPr="007B5D03">
        <w:rPr>
          <w:rFonts w:hint="eastAsia"/>
          <w:sz w:val="26"/>
          <w:szCs w:val="26"/>
        </w:rPr>
        <w:t>（</w:t>
      </w:r>
      <w:r w:rsidRPr="007B5D03">
        <w:rPr>
          <w:rFonts w:hAnsi="標楷體"/>
          <w:sz w:val="26"/>
          <w:szCs w:val="26"/>
        </w:rPr>
        <w:t>含交易日期、標的證券名稱及數量等</w:t>
      </w:r>
      <w:r w:rsidRPr="007B5D03">
        <w:rPr>
          <w:rFonts w:hint="eastAsia"/>
          <w:sz w:val="26"/>
          <w:szCs w:val="26"/>
        </w:rPr>
        <w:t>）</w:t>
      </w:r>
      <w:r w:rsidRPr="007B5D03">
        <w:rPr>
          <w:rFonts w:hAnsi="標楷體"/>
          <w:sz w:val="26"/>
          <w:szCs w:val="26"/>
        </w:rPr>
        <w:t>函報本公司（第二項）。發行人如係採委外避險者，其受委託之風險管理機構，或發行人為外國機構者，其在中華民國境內之分支機構或直接或間接持股百分之</w:t>
      </w:r>
      <w:r w:rsidRPr="007B5D03">
        <w:rPr>
          <w:rFonts w:hAnsi="標楷體"/>
          <w:spacing w:val="8"/>
          <w:sz w:val="26"/>
          <w:szCs w:val="26"/>
        </w:rPr>
        <w:t>百之子公司在中華民國境內設立之分支機構所屬之自營部</w:t>
      </w:r>
      <w:r w:rsidRPr="007B5D03">
        <w:rPr>
          <w:rFonts w:hAnsi="標楷體"/>
          <w:sz w:val="26"/>
          <w:szCs w:val="26"/>
        </w:rPr>
        <w:t>門，準用前二項之規定（第三項）。認購（售）權證存續期間內，發行人自營部門與避險專戶部位之同一標的證券，除另有規定之情形外，不得辦理相互轉撥（第四項）。前四項所稱自</w:t>
      </w:r>
      <w:r w:rsidRPr="007B5D03">
        <w:rPr>
          <w:rFonts w:hAnsi="標楷體"/>
          <w:spacing w:val="-4"/>
          <w:sz w:val="26"/>
          <w:szCs w:val="26"/>
        </w:rPr>
        <w:t>營部門，包含相當於自營部門之單位或買賣帳戶（第五項）。」</w:t>
      </w:r>
    </w:p>
    <w:p w:rsidR="00514426" w:rsidRPr="007B5D03" w:rsidRDefault="00514426" w:rsidP="009D5B7A">
      <w:pPr>
        <w:spacing w:line="437" w:lineRule="exact"/>
        <w:ind w:left="1395" w:hanging="1077"/>
        <w:rPr>
          <w:sz w:val="26"/>
          <w:szCs w:val="26"/>
        </w:rPr>
      </w:pPr>
      <w:r w:rsidRPr="007B5D03">
        <w:rPr>
          <w:rFonts w:hAnsi="標楷體"/>
          <w:sz w:val="26"/>
          <w:szCs w:val="26"/>
        </w:rPr>
        <w:lastRenderedPageBreak/>
        <w:t>註十二：</w:t>
      </w:r>
      <w:smartTag w:uri="urn:schemas-microsoft-com:office:smarttags" w:element="chsdate">
        <w:smartTagPr>
          <w:attr w:name="IsROCDate" w:val="False"/>
          <w:attr w:name="IsLunarDate" w:val="False"/>
          <w:attr w:name="Day" w:val="31"/>
          <w:attr w:name="Month" w:val="10"/>
          <w:attr w:name="Year" w:val="1997"/>
        </w:smartTagPr>
        <w:r w:rsidRPr="007B5D03">
          <w:rPr>
            <w:sz w:val="26"/>
            <w:szCs w:val="26"/>
          </w:rPr>
          <w:t>97</w:t>
        </w:r>
        <w:r w:rsidRPr="007B5D03">
          <w:rPr>
            <w:rFonts w:hAnsi="標楷體"/>
            <w:sz w:val="26"/>
            <w:szCs w:val="26"/>
          </w:rPr>
          <w:t>年</w:t>
        </w:r>
        <w:r w:rsidRPr="007B5D03">
          <w:rPr>
            <w:sz w:val="26"/>
            <w:szCs w:val="26"/>
          </w:rPr>
          <w:t>10</w:t>
        </w:r>
        <w:r w:rsidRPr="007B5D03">
          <w:rPr>
            <w:rFonts w:hAnsi="標楷體"/>
            <w:sz w:val="26"/>
            <w:szCs w:val="26"/>
          </w:rPr>
          <w:t>月</w:t>
        </w:r>
        <w:r w:rsidRPr="007B5D03">
          <w:rPr>
            <w:sz w:val="26"/>
            <w:szCs w:val="26"/>
          </w:rPr>
          <w:t>31</w:t>
        </w:r>
        <w:r w:rsidRPr="007B5D03">
          <w:rPr>
            <w:rFonts w:hAnsi="標楷體"/>
            <w:sz w:val="26"/>
            <w:szCs w:val="26"/>
          </w:rPr>
          <w:t>日</w:t>
        </w:r>
      </w:smartTag>
      <w:r w:rsidRPr="007B5D03">
        <w:rPr>
          <w:rFonts w:hAnsi="標楷體"/>
          <w:sz w:val="26"/>
          <w:szCs w:val="26"/>
        </w:rPr>
        <w:t>刪除之證交所認購（售）權證上市審查準則第</w:t>
      </w:r>
      <w:r w:rsidRPr="007B5D03">
        <w:rPr>
          <w:sz w:val="26"/>
          <w:szCs w:val="26"/>
        </w:rPr>
        <w:t>18</w:t>
      </w:r>
      <w:r w:rsidRPr="007B5D03">
        <w:rPr>
          <w:rFonts w:hAnsi="標楷體"/>
          <w:sz w:val="26"/>
          <w:szCs w:val="26"/>
        </w:rPr>
        <w:t>條原規定：「（</w:t>
      </w:r>
      <w:r w:rsidRPr="007B5D03">
        <w:rPr>
          <w:sz w:val="26"/>
          <w:szCs w:val="26"/>
        </w:rPr>
        <w:t>1</w:t>
      </w:r>
      <w:r w:rsidRPr="007B5D03">
        <w:rPr>
          <w:rFonts w:hAnsi="標楷體"/>
          <w:sz w:val="26"/>
          <w:szCs w:val="26"/>
        </w:rPr>
        <w:t>）發行人應於權證上市存續期間逐日將預計</w:t>
      </w:r>
      <w:r w:rsidRPr="007B5D03">
        <w:rPr>
          <w:rFonts w:hAnsi="標楷體"/>
          <w:spacing w:val="4"/>
          <w:sz w:val="26"/>
          <w:szCs w:val="26"/>
        </w:rPr>
        <w:t>避險部位與實際避險部位等資訊輸入本公司指定網際網路資</w:t>
      </w:r>
      <w:r w:rsidRPr="007B5D03">
        <w:rPr>
          <w:rFonts w:hAnsi="標楷體"/>
          <w:sz w:val="26"/>
          <w:szCs w:val="26"/>
        </w:rPr>
        <w:t>訊申報系統，發行人採委外避險者，仍應依規定申報風險管理機構之避險資訊。（</w:t>
      </w:r>
      <w:r w:rsidRPr="007B5D03">
        <w:rPr>
          <w:sz w:val="26"/>
          <w:szCs w:val="26"/>
        </w:rPr>
        <w:t>2</w:t>
      </w:r>
      <w:r w:rsidRPr="007B5D03">
        <w:rPr>
          <w:rFonts w:hAnsi="標楷體"/>
          <w:sz w:val="26"/>
          <w:szCs w:val="26"/>
        </w:rPr>
        <w:t>）發行人申報之預計避險部位與實際避險部位連續三個營業日，或最近六個營業日內有三個營業日差異逾正負百分之二十時，本公司應即要求發行人說明原因並得進行實地瞭解，如發現其說明顯欠合理時，得予計點乙次，計點累計達三次者，限制其未來一個月內不得申請發行權證。若差異逾正負百分之五十者，本公司得強制發行人執行避險沖銷策略。（</w:t>
      </w:r>
      <w:r w:rsidRPr="007B5D03">
        <w:rPr>
          <w:sz w:val="26"/>
          <w:szCs w:val="26"/>
        </w:rPr>
        <w:t>3</w:t>
      </w:r>
      <w:r w:rsidRPr="007B5D03">
        <w:rPr>
          <w:rFonts w:hAnsi="標楷體"/>
          <w:sz w:val="26"/>
          <w:szCs w:val="26"/>
        </w:rPr>
        <w:t>）發行人為外國機構者，依第一項申報之避險部位，如實際避險部位小於預計避險部位時，應於避險專戶中補足上開差異部位表彰標的證券市值之金額。（</w:t>
      </w:r>
      <w:r w:rsidRPr="007B5D03">
        <w:rPr>
          <w:sz w:val="26"/>
          <w:szCs w:val="26"/>
        </w:rPr>
        <w:t>4</w:t>
      </w:r>
      <w:r w:rsidRPr="007B5D03">
        <w:rPr>
          <w:rFonts w:hAnsi="標楷體"/>
          <w:sz w:val="26"/>
          <w:szCs w:val="26"/>
        </w:rPr>
        <w:t>）發行人發行以國內證券為標的之海外認購（售）權證之避險操作，準用本條各項規定。」</w:t>
      </w:r>
      <w:smartTag w:uri="urn:schemas-microsoft-com:office:smarttags" w:element="chsdate">
        <w:smartTagPr>
          <w:attr w:name="IsROCDate" w:val="False"/>
          <w:attr w:name="IsLunarDate" w:val="False"/>
          <w:attr w:name="Day" w:val="31"/>
          <w:attr w:name="Month" w:val="10"/>
          <w:attr w:name="Year" w:val="1997"/>
        </w:smartTagPr>
        <w:r w:rsidRPr="007B5D03">
          <w:rPr>
            <w:sz w:val="26"/>
            <w:szCs w:val="26"/>
          </w:rPr>
          <w:t>97</w:t>
        </w:r>
        <w:r w:rsidRPr="007B5D03">
          <w:rPr>
            <w:rFonts w:hAnsi="標楷體"/>
            <w:sz w:val="26"/>
            <w:szCs w:val="26"/>
          </w:rPr>
          <w:t>年</w:t>
        </w:r>
        <w:r w:rsidRPr="007B5D03">
          <w:rPr>
            <w:sz w:val="26"/>
            <w:szCs w:val="26"/>
          </w:rPr>
          <w:t>10</w:t>
        </w:r>
        <w:r w:rsidRPr="007B5D03">
          <w:rPr>
            <w:rFonts w:hAnsi="標楷體"/>
            <w:sz w:val="26"/>
            <w:szCs w:val="26"/>
          </w:rPr>
          <w:t>月</w:t>
        </w:r>
        <w:r w:rsidRPr="007B5D03">
          <w:rPr>
            <w:sz w:val="26"/>
            <w:szCs w:val="26"/>
          </w:rPr>
          <w:t>31</w:t>
        </w:r>
        <w:r w:rsidRPr="007B5D03">
          <w:rPr>
            <w:rFonts w:hAnsi="標楷體"/>
            <w:sz w:val="26"/>
            <w:szCs w:val="26"/>
          </w:rPr>
          <w:t>日</w:t>
        </w:r>
      </w:smartTag>
      <w:r w:rsidRPr="007B5D03">
        <w:rPr>
          <w:rFonts w:hAnsi="標楷體"/>
          <w:sz w:val="26"/>
          <w:szCs w:val="26"/>
        </w:rPr>
        <w:t>刪除之櫃買中心證券商營業處所買賣認</w:t>
      </w:r>
      <w:r w:rsidRPr="007B5D03">
        <w:rPr>
          <w:rFonts w:hAnsi="標楷體"/>
          <w:spacing w:val="4"/>
          <w:sz w:val="26"/>
          <w:szCs w:val="26"/>
        </w:rPr>
        <w:t>購（售）權證審查準則第</w:t>
      </w:r>
      <w:r w:rsidRPr="007B5D03">
        <w:rPr>
          <w:spacing w:val="4"/>
          <w:sz w:val="26"/>
          <w:szCs w:val="26"/>
        </w:rPr>
        <w:t>24</w:t>
      </w:r>
      <w:r w:rsidRPr="007B5D03">
        <w:rPr>
          <w:rFonts w:hAnsi="標楷體"/>
          <w:spacing w:val="4"/>
          <w:sz w:val="26"/>
          <w:szCs w:val="26"/>
        </w:rPr>
        <w:t>條，原本亦有與當時證交所認購</w:t>
      </w:r>
      <w:r w:rsidRPr="007B5D03">
        <w:rPr>
          <w:rFonts w:hAnsi="標楷體"/>
          <w:spacing w:val="-6"/>
          <w:sz w:val="26"/>
          <w:szCs w:val="26"/>
        </w:rPr>
        <w:t>（售）權證上市審查準則相同之逐日申報之規定（請詳上註）。</w:t>
      </w:r>
    </w:p>
    <w:p w:rsidR="00514426" w:rsidRPr="007B5D03" w:rsidRDefault="00514426" w:rsidP="009D5B7A">
      <w:pPr>
        <w:spacing w:line="437" w:lineRule="exact"/>
        <w:ind w:left="1395" w:hanging="1077"/>
        <w:rPr>
          <w:sz w:val="26"/>
          <w:szCs w:val="26"/>
        </w:rPr>
      </w:pPr>
      <w:r w:rsidRPr="007B5D03">
        <w:rPr>
          <w:rFonts w:hAnsi="標楷體"/>
          <w:sz w:val="26"/>
          <w:szCs w:val="26"/>
        </w:rPr>
        <w:t>註十三：</w:t>
      </w:r>
      <w:r w:rsidRPr="007B5D03">
        <w:rPr>
          <w:rFonts w:hAnsi="標楷體"/>
          <w:spacing w:val="4"/>
          <w:sz w:val="26"/>
          <w:szCs w:val="26"/>
        </w:rPr>
        <w:t>證期會</w:t>
      </w:r>
      <w:r w:rsidRPr="007B5D03">
        <w:rPr>
          <w:spacing w:val="4"/>
          <w:sz w:val="26"/>
          <w:szCs w:val="26"/>
        </w:rPr>
        <w:t>86.6.12</w:t>
      </w:r>
      <w:r w:rsidRPr="007B5D03">
        <w:rPr>
          <w:rFonts w:hAnsi="標楷體"/>
          <w:spacing w:val="4"/>
          <w:sz w:val="26"/>
          <w:szCs w:val="26"/>
        </w:rPr>
        <w:t>台財證（二）字第</w:t>
      </w:r>
      <w:r w:rsidRPr="007B5D03">
        <w:rPr>
          <w:spacing w:val="4"/>
          <w:sz w:val="26"/>
          <w:szCs w:val="26"/>
        </w:rPr>
        <w:t>03294</w:t>
      </w:r>
      <w:r w:rsidRPr="007B5D03">
        <w:rPr>
          <w:rFonts w:hAnsi="標楷體"/>
          <w:spacing w:val="4"/>
          <w:sz w:val="26"/>
          <w:szCs w:val="26"/>
        </w:rPr>
        <w:t>號函說明二認為，證</w:t>
      </w:r>
      <w:r w:rsidRPr="007B5D03">
        <w:rPr>
          <w:rFonts w:hAnsi="標楷體"/>
          <w:sz w:val="26"/>
          <w:szCs w:val="26"/>
        </w:rPr>
        <w:t>券商發行認購（售）權證並自行從事風險管理者，得依風險沖銷策略之需求持有所發行認購（售）權證之標的股票，惟其持</w:t>
      </w:r>
      <w:r w:rsidRPr="007B5D03">
        <w:rPr>
          <w:rFonts w:hAnsi="標楷體"/>
          <w:spacing w:val="-4"/>
          <w:sz w:val="26"/>
          <w:szCs w:val="26"/>
        </w:rPr>
        <w:t>有數額以風險沖銷策略所需者為限，至多並不得超過認購（售）</w:t>
      </w:r>
      <w:r w:rsidRPr="007B5D03">
        <w:rPr>
          <w:rFonts w:hAnsi="標楷體"/>
          <w:sz w:val="26"/>
          <w:szCs w:val="26"/>
        </w:rPr>
        <w:t>權證發行單位所代表之標的股票股數；發行認購（售）權證之證券商，於該認購（售）權證存續期間內，除基於風險沖銷之需求而買賣之標的股票外，其自營部門不得另外自行買進賣出該標的股票；發行前自營部門已持有之標的股票，亦應轉入風險沖銷策略之持有數額內一併計算。</w:t>
      </w:r>
    </w:p>
    <w:p w:rsidR="00514426" w:rsidRPr="007B5D03" w:rsidRDefault="00514426" w:rsidP="009D5B7A">
      <w:pPr>
        <w:spacing w:line="437" w:lineRule="exact"/>
        <w:ind w:left="1395" w:hanging="1077"/>
        <w:rPr>
          <w:sz w:val="26"/>
          <w:szCs w:val="26"/>
        </w:rPr>
      </w:pPr>
      <w:r w:rsidRPr="007B5D03">
        <w:rPr>
          <w:rFonts w:hAnsi="標楷體"/>
          <w:sz w:val="26"/>
          <w:szCs w:val="26"/>
        </w:rPr>
        <w:lastRenderedPageBreak/>
        <w:t>註十四：</w:t>
      </w:r>
      <w:r w:rsidRPr="007B5D03">
        <w:rPr>
          <w:rFonts w:hAnsi="標楷體"/>
          <w:spacing w:val="4"/>
          <w:sz w:val="26"/>
          <w:szCs w:val="26"/>
        </w:rPr>
        <w:t>該統計資料乃係針對金鼎證券及亞東證券以外之十八家證券</w:t>
      </w:r>
      <w:r w:rsidRPr="007B5D03">
        <w:rPr>
          <w:rFonts w:hAnsi="標楷體"/>
          <w:sz w:val="26"/>
          <w:szCs w:val="26"/>
        </w:rPr>
        <w:t>商，自</w:t>
      </w:r>
      <w:r w:rsidRPr="007B5D03">
        <w:rPr>
          <w:sz w:val="26"/>
          <w:szCs w:val="26"/>
        </w:rPr>
        <w:t>87</w:t>
      </w:r>
      <w:r w:rsidRPr="007B5D03">
        <w:rPr>
          <w:rFonts w:hAnsi="標楷體"/>
          <w:sz w:val="26"/>
          <w:szCs w:val="26"/>
        </w:rPr>
        <w:t>年至</w:t>
      </w:r>
      <w:r w:rsidRPr="007B5D03">
        <w:rPr>
          <w:sz w:val="26"/>
          <w:szCs w:val="26"/>
        </w:rPr>
        <w:t>93</w:t>
      </w:r>
      <w:r w:rsidRPr="007B5D03">
        <w:rPr>
          <w:rFonts w:hAnsi="標楷體"/>
          <w:sz w:val="26"/>
          <w:szCs w:val="26"/>
        </w:rPr>
        <w:t>年</w:t>
      </w:r>
      <w:r w:rsidRPr="007B5D03">
        <w:rPr>
          <w:sz w:val="26"/>
          <w:szCs w:val="26"/>
        </w:rPr>
        <w:t>7</w:t>
      </w:r>
      <w:r w:rsidRPr="007B5D03">
        <w:rPr>
          <w:rFonts w:hAnsi="標楷體"/>
          <w:sz w:val="26"/>
          <w:szCs w:val="26"/>
        </w:rPr>
        <w:t>月底之前到期之認購（售）權證作相關分析。蓋金鼎證券所提供之資料不足以進行成本估算，而亞東證券所發行之權證皆尚未到期，無確切之成本數據。請參照李存修，證券商發行認購（售）權證之定價策略及各項相關成本分析研究報告，</w:t>
      </w:r>
      <w:r w:rsidRPr="007B5D03">
        <w:rPr>
          <w:sz w:val="26"/>
          <w:szCs w:val="26"/>
        </w:rPr>
        <w:t>93</w:t>
      </w:r>
      <w:r w:rsidRPr="007B5D03">
        <w:rPr>
          <w:rFonts w:hAnsi="標楷體"/>
          <w:sz w:val="26"/>
          <w:szCs w:val="26"/>
        </w:rPr>
        <w:t>年</w:t>
      </w:r>
      <w:r w:rsidRPr="007B5D03">
        <w:rPr>
          <w:sz w:val="26"/>
          <w:szCs w:val="26"/>
        </w:rPr>
        <w:t>8</w:t>
      </w:r>
      <w:r w:rsidRPr="007B5D03">
        <w:rPr>
          <w:rFonts w:hAnsi="標楷體"/>
          <w:sz w:val="26"/>
          <w:szCs w:val="26"/>
        </w:rPr>
        <w:t>月。</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p>
    <w:p w:rsidR="00514426" w:rsidRPr="007B5D03" w:rsidRDefault="00514426" w:rsidP="00FB2D5A">
      <w:pPr>
        <w:spacing w:line="437" w:lineRule="exact"/>
        <w:rPr>
          <w:sz w:val="30"/>
          <w:szCs w:val="30"/>
        </w:rPr>
      </w:pPr>
      <w:r w:rsidRPr="007B5D03">
        <w:rPr>
          <w:rFonts w:hAnsi="標楷體"/>
          <w:sz w:val="30"/>
          <w:szCs w:val="30"/>
        </w:rPr>
        <w:t>抄兆豐證券股份有限公司</w:t>
      </w:r>
      <w:r w:rsidRPr="007B5D03">
        <w:rPr>
          <w:rFonts w:hAnsi="標楷體" w:hint="eastAsia"/>
          <w:sz w:val="30"/>
          <w:szCs w:val="30"/>
        </w:rPr>
        <w:t>代表人簡鴻文</w:t>
      </w:r>
      <w:r w:rsidRPr="007B5D03">
        <w:rPr>
          <w:rFonts w:hAnsi="標楷體"/>
          <w:sz w:val="30"/>
          <w:szCs w:val="30"/>
        </w:rPr>
        <w:t>釋憲聲請書</w:t>
      </w:r>
    </w:p>
    <w:p w:rsidR="00514426" w:rsidRPr="007B5D03" w:rsidRDefault="00514426" w:rsidP="00FB2D5A">
      <w:pPr>
        <w:spacing w:line="437" w:lineRule="exact"/>
        <w:ind w:firstLineChars="100" w:firstLine="300"/>
        <w:rPr>
          <w:sz w:val="30"/>
          <w:szCs w:val="30"/>
        </w:rPr>
      </w:pPr>
      <w:r w:rsidRPr="007B5D03">
        <w:rPr>
          <w:rFonts w:hAnsi="標楷體"/>
          <w:sz w:val="30"/>
          <w:szCs w:val="30"/>
        </w:rPr>
        <w:t>緣最高行政法院</w:t>
      </w:r>
      <w:r w:rsidRPr="007B5D03">
        <w:rPr>
          <w:sz w:val="30"/>
          <w:szCs w:val="30"/>
        </w:rPr>
        <w:t>97</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00183</w:t>
      </w:r>
      <w:r w:rsidRPr="007B5D03">
        <w:rPr>
          <w:rFonts w:hAnsi="標楷體"/>
          <w:sz w:val="30"/>
          <w:szCs w:val="30"/>
        </w:rPr>
        <w:t>號判決（附件</w:t>
      </w:r>
      <w:r w:rsidRPr="007B5D03">
        <w:rPr>
          <w:sz w:val="30"/>
          <w:szCs w:val="30"/>
        </w:rPr>
        <w:t>1</w:t>
      </w:r>
      <w:r w:rsidRPr="007B5D03">
        <w:rPr>
          <w:rFonts w:hAnsi="標楷體"/>
          <w:sz w:val="30"/>
          <w:szCs w:val="30"/>
        </w:rPr>
        <w:t>）所適用之財政部</w:t>
      </w:r>
      <w:smartTag w:uri="urn:schemas-microsoft-com:office:smarttags" w:element="chsdate">
        <w:smartTagPr>
          <w:attr w:name="IsROCDate" w:val="False"/>
          <w:attr w:name="IsLunarDate" w:val="False"/>
          <w:attr w:name="Day" w:val="11"/>
          <w:attr w:name="Month" w:val="12"/>
          <w:attr w:name="Year" w:val="1986"/>
        </w:smartTagP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w:t>
        </w:r>
        <w:r w:rsidRPr="007B5D03">
          <w:rPr>
            <w:rFonts w:hAnsi="標楷體" w:hint="eastAsia"/>
            <w:sz w:val="30"/>
            <w:szCs w:val="30"/>
          </w:rPr>
          <w:t>1</w:t>
        </w:r>
        <w:r w:rsidRPr="007B5D03">
          <w:rPr>
            <w:sz w:val="30"/>
            <w:szCs w:val="30"/>
          </w:rPr>
          <w:t>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號函（附件</w:t>
      </w:r>
      <w:r w:rsidRPr="007B5D03">
        <w:rPr>
          <w:sz w:val="30"/>
          <w:szCs w:val="30"/>
        </w:rPr>
        <w:t>2</w:t>
      </w:r>
      <w:r w:rsidRPr="007B5D03">
        <w:rPr>
          <w:rFonts w:hAnsi="標楷體"/>
          <w:sz w:val="30"/>
          <w:szCs w:val="30"/>
        </w:rPr>
        <w:t>，下</w:t>
      </w:r>
      <w:r w:rsidRPr="007B5D03">
        <w:rPr>
          <w:rFonts w:hAnsi="標楷體"/>
          <w:spacing w:val="-4"/>
          <w:sz w:val="30"/>
          <w:szCs w:val="30"/>
        </w:rPr>
        <w:t>稱「財政部</w:t>
      </w:r>
      <w:r w:rsidRPr="007B5D03">
        <w:rPr>
          <w:spacing w:val="-4"/>
          <w:sz w:val="30"/>
          <w:szCs w:val="30"/>
        </w:rPr>
        <w:t>86</w:t>
      </w:r>
      <w:r w:rsidRPr="007B5D03">
        <w:rPr>
          <w:rFonts w:hAnsi="標楷體"/>
          <w:spacing w:val="-4"/>
          <w:sz w:val="30"/>
          <w:szCs w:val="30"/>
        </w:rPr>
        <w:t>年函釋」），有牴觸憲法第</w:t>
      </w:r>
      <w:r w:rsidRPr="007B5D03">
        <w:rPr>
          <w:spacing w:val="-4"/>
          <w:sz w:val="30"/>
          <w:szCs w:val="30"/>
        </w:rPr>
        <w:t>7</w:t>
      </w:r>
      <w:r w:rsidRPr="007B5D03">
        <w:rPr>
          <w:rFonts w:hAnsi="標楷體"/>
          <w:spacing w:val="-4"/>
          <w:sz w:val="30"/>
          <w:szCs w:val="30"/>
        </w:rPr>
        <w:t>條平等原則、第</w:t>
      </w:r>
      <w:r w:rsidRPr="007B5D03">
        <w:rPr>
          <w:spacing w:val="-4"/>
          <w:sz w:val="30"/>
          <w:szCs w:val="30"/>
        </w:rPr>
        <w:t>15</w:t>
      </w:r>
      <w:r w:rsidRPr="007B5D03">
        <w:rPr>
          <w:rFonts w:hAnsi="標楷體"/>
          <w:spacing w:val="-4"/>
          <w:sz w:val="30"/>
          <w:szCs w:val="30"/>
        </w:rPr>
        <w:t>條</w:t>
      </w:r>
      <w:r w:rsidRPr="007B5D03">
        <w:rPr>
          <w:rFonts w:hAnsi="標楷體"/>
          <w:sz w:val="30"/>
          <w:szCs w:val="30"/>
        </w:rPr>
        <w:t>財產權保障、第</w:t>
      </w:r>
      <w:r w:rsidRPr="007B5D03">
        <w:rPr>
          <w:sz w:val="30"/>
          <w:szCs w:val="30"/>
        </w:rPr>
        <w:t>19</w:t>
      </w:r>
      <w:r w:rsidRPr="007B5D03">
        <w:rPr>
          <w:rFonts w:hAnsi="標楷體"/>
          <w:sz w:val="30"/>
          <w:szCs w:val="30"/>
        </w:rPr>
        <w:t>條租稅法律主義、量能課稅原則、租稅公平原則、第</w:t>
      </w:r>
      <w:r w:rsidRPr="007B5D03">
        <w:rPr>
          <w:sz w:val="30"/>
          <w:szCs w:val="30"/>
        </w:rPr>
        <w:t>23</w:t>
      </w:r>
      <w:r w:rsidRPr="007B5D03">
        <w:rPr>
          <w:rFonts w:hAnsi="標楷體"/>
          <w:sz w:val="30"/>
          <w:szCs w:val="30"/>
        </w:rPr>
        <w:t>條比例原則與第</w:t>
      </w:r>
      <w:r w:rsidRPr="007B5D03">
        <w:rPr>
          <w:sz w:val="30"/>
          <w:szCs w:val="30"/>
        </w:rPr>
        <w:t>172</w:t>
      </w:r>
      <w:r w:rsidRPr="007B5D03">
        <w:rPr>
          <w:rFonts w:hAnsi="標楷體"/>
          <w:sz w:val="30"/>
          <w:szCs w:val="30"/>
        </w:rPr>
        <w:t>條命令不得違法違憲等規定，以及</w:t>
      </w:r>
      <w:r w:rsidRPr="007B5D03">
        <w:rPr>
          <w:sz w:val="30"/>
          <w:szCs w:val="30"/>
        </w:rPr>
        <w:t xml:space="preserve">　</w:t>
      </w:r>
      <w:r w:rsidRPr="007B5D03">
        <w:rPr>
          <w:rFonts w:hAnsi="標楷體"/>
          <w:sz w:val="30"/>
          <w:szCs w:val="30"/>
        </w:rPr>
        <w:t>鈞院歷年來之釋字第</w:t>
      </w:r>
      <w:r w:rsidRPr="007B5D03">
        <w:rPr>
          <w:sz w:val="30"/>
          <w:szCs w:val="30"/>
        </w:rPr>
        <w:t>385</w:t>
      </w:r>
      <w:r w:rsidRPr="007B5D03">
        <w:rPr>
          <w:rFonts w:hAnsi="標楷體"/>
          <w:sz w:val="30"/>
          <w:szCs w:val="30"/>
        </w:rPr>
        <w:t>號、第</w:t>
      </w:r>
      <w:r w:rsidRPr="007B5D03">
        <w:rPr>
          <w:sz w:val="30"/>
          <w:szCs w:val="30"/>
        </w:rPr>
        <w:t>400</w:t>
      </w:r>
      <w:r w:rsidRPr="007B5D03">
        <w:rPr>
          <w:rFonts w:hAnsi="標楷體"/>
          <w:sz w:val="30"/>
          <w:szCs w:val="30"/>
        </w:rPr>
        <w:t>號、第</w:t>
      </w:r>
      <w:r w:rsidRPr="007B5D03">
        <w:rPr>
          <w:sz w:val="30"/>
          <w:szCs w:val="30"/>
        </w:rPr>
        <w:t>420</w:t>
      </w:r>
      <w:r w:rsidRPr="007B5D03">
        <w:rPr>
          <w:rFonts w:hAnsi="標楷體"/>
          <w:sz w:val="30"/>
          <w:szCs w:val="30"/>
        </w:rPr>
        <w:t>號、第</w:t>
      </w:r>
      <w:r w:rsidRPr="007B5D03">
        <w:rPr>
          <w:sz w:val="30"/>
          <w:szCs w:val="30"/>
        </w:rPr>
        <w:t>493</w:t>
      </w:r>
      <w:r w:rsidRPr="007B5D03">
        <w:rPr>
          <w:rFonts w:hAnsi="標楷體"/>
          <w:sz w:val="30"/>
          <w:szCs w:val="30"/>
        </w:rPr>
        <w:t>號、第</w:t>
      </w:r>
      <w:r w:rsidRPr="007B5D03">
        <w:rPr>
          <w:sz w:val="30"/>
          <w:szCs w:val="30"/>
        </w:rPr>
        <w:t>597</w:t>
      </w:r>
      <w:r w:rsidRPr="007B5D03">
        <w:rPr>
          <w:rFonts w:hAnsi="標楷體"/>
          <w:sz w:val="30"/>
          <w:szCs w:val="30"/>
        </w:rPr>
        <w:t>號、第</w:t>
      </w:r>
      <w:r w:rsidRPr="007B5D03">
        <w:rPr>
          <w:sz w:val="30"/>
          <w:szCs w:val="30"/>
        </w:rPr>
        <w:t>607</w:t>
      </w:r>
      <w:r w:rsidRPr="007B5D03">
        <w:rPr>
          <w:rFonts w:hAnsi="標楷體"/>
          <w:sz w:val="30"/>
          <w:szCs w:val="30"/>
        </w:rPr>
        <w:t>號、第</w:t>
      </w:r>
      <w:r w:rsidRPr="007B5D03">
        <w:rPr>
          <w:sz w:val="30"/>
          <w:szCs w:val="30"/>
        </w:rPr>
        <w:t>622</w:t>
      </w:r>
      <w:r w:rsidRPr="007B5D03">
        <w:rPr>
          <w:rFonts w:hAnsi="標楷體"/>
          <w:sz w:val="30"/>
          <w:szCs w:val="30"/>
        </w:rPr>
        <w:t>號、第</w:t>
      </w:r>
      <w:r w:rsidRPr="007B5D03">
        <w:rPr>
          <w:sz w:val="30"/>
          <w:szCs w:val="30"/>
        </w:rPr>
        <w:t>625</w:t>
      </w:r>
      <w:r w:rsidRPr="007B5D03">
        <w:rPr>
          <w:rFonts w:hAnsi="標楷體"/>
          <w:sz w:val="30"/>
          <w:szCs w:val="30"/>
        </w:rPr>
        <w:t>號及第</w:t>
      </w:r>
      <w:r w:rsidRPr="007B5D03">
        <w:rPr>
          <w:sz w:val="30"/>
          <w:szCs w:val="30"/>
        </w:rPr>
        <w:t>635</w:t>
      </w:r>
      <w:r w:rsidRPr="007B5D03">
        <w:rPr>
          <w:rFonts w:hAnsi="標楷體"/>
          <w:sz w:val="30"/>
          <w:szCs w:val="30"/>
        </w:rPr>
        <w:t>號等多號解釋先例，而有牴觸憲法之疑義，爰聲請</w:t>
      </w:r>
      <w:r w:rsidRPr="007B5D03">
        <w:rPr>
          <w:sz w:val="30"/>
          <w:szCs w:val="30"/>
        </w:rPr>
        <w:t xml:space="preserve">　</w:t>
      </w:r>
      <w:r w:rsidRPr="007B5D03">
        <w:rPr>
          <w:rFonts w:hAnsi="標楷體"/>
          <w:sz w:val="30"/>
          <w:szCs w:val="30"/>
        </w:rPr>
        <w:t>鈞院大法官會議解釋，以保障人民基本權。</w:t>
      </w:r>
      <w:r w:rsidRPr="007B5D03">
        <w:rPr>
          <w:rFonts w:hAnsi="標楷體" w:hint="eastAsia"/>
          <w:sz w:val="30"/>
          <w:szCs w:val="30"/>
        </w:rPr>
        <w:t>另聲請人為求審議程序及結果之周延審慎，</w:t>
      </w:r>
      <w:r w:rsidRPr="007B5D03">
        <w:rPr>
          <w:rFonts w:hAnsi="標楷體" w:hint="eastAsia"/>
          <w:spacing w:val="4"/>
          <w:sz w:val="30"/>
          <w:szCs w:val="30"/>
        </w:rPr>
        <w:t>爰依司法院大法官審理案件法第</w:t>
      </w:r>
      <w:r w:rsidRPr="007B5D03">
        <w:rPr>
          <w:rFonts w:hAnsi="標楷體" w:hint="eastAsia"/>
          <w:spacing w:val="4"/>
          <w:sz w:val="30"/>
          <w:szCs w:val="30"/>
        </w:rPr>
        <w:t>13</w:t>
      </w:r>
      <w:r w:rsidRPr="007B5D03">
        <w:rPr>
          <w:rFonts w:hAnsi="標楷體" w:hint="eastAsia"/>
          <w:spacing w:val="4"/>
          <w:sz w:val="30"/>
          <w:szCs w:val="30"/>
        </w:rPr>
        <w:t>條規定聲請　鈞院惠准行言</w:t>
      </w:r>
      <w:r w:rsidRPr="007B5D03">
        <w:rPr>
          <w:rFonts w:hAnsi="標楷體" w:hint="eastAsia"/>
          <w:sz w:val="30"/>
          <w:szCs w:val="30"/>
        </w:rPr>
        <w:t>詞辯論程序，同意到場說明，保障人民權益，至感德便。</w:t>
      </w:r>
    </w:p>
    <w:p w:rsidR="00514426" w:rsidRPr="007B5D03" w:rsidRDefault="00514426" w:rsidP="00FB2D5A">
      <w:pPr>
        <w:spacing w:line="437" w:lineRule="exact"/>
        <w:ind w:left="641" w:hanging="641"/>
        <w:rPr>
          <w:sz w:val="30"/>
          <w:szCs w:val="30"/>
        </w:rPr>
      </w:pPr>
      <w:r w:rsidRPr="007B5D03">
        <w:rPr>
          <w:rFonts w:hAnsi="標楷體"/>
          <w:sz w:val="30"/>
          <w:szCs w:val="30"/>
        </w:rPr>
        <w:t>壹、聲請解釋憲法之目的</w:t>
      </w:r>
    </w:p>
    <w:p w:rsidR="00514426" w:rsidRPr="007B5D03" w:rsidRDefault="00514426" w:rsidP="00531EBE">
      <w:pPr>
        <w:snapToGrid w:val="0"/>
        <w:spacing w:line="437" w:lineRule="exact"/>
        <w:ind w:left="624" w:firstLineChars="100" w:firstLine="308"/>
        <w:rPr>
          <w:spacing w:val="-6"/>
          <w:sz w:val="30"/>
          <w:szCs w:val="30"/>
        </w:rPr>
      </w:pPr>
      <w:r w:rsidRPr="007B5D03">
        <w:rPr>
          <w:rFonts w:hAnsi="標楷體"/>
          <w:spacing w:val="4"/>
          <w:sz w:val="30"/>
          <w:szCs w:val="30"/>
        </w:rPr>
        <w:t>聲請人依</w:t>
      </w:r>
      <w:r w:rsidRPr="007B5D03">
        <w:rPr>
          <w:rFonts w:hAnsi="標楷體" w:hint="eastAsia"/>
          <w:spacing w:val="4"/>
          <w:sz w:val="30"/>
          <w:szCs w:val="30"/>
        </w:rPr>
        <w:t>司法院</w:t>
      </w:r>
      <w:r w:rsidRPr="007B5D03">
        <w:rPr>
          <w:rFonts w:hAnsi="標楷體"/>
          <w:spacing w:val="4"/>
          <w:sz w:val="30"/>
          <w:szCs w:val="30"/>
        </w:rPr>
        <w:t>大法官審理案件法第</w:t>
      </w:r>
      <w:r w:rsidRPr="007B5D03">
        <w:rPr>
          <w:spacing w:val="4"/>
          <w:sz w:val="30"/>
          <w:szCs w:val="30"/>
        </w:rPr>
        <w:t>5</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項第</w:t>
      </w:r>
      <w:r w:rsidRPr="007B5D03">
        <w:rPr>
          <w:spacing w:val="4"/>
          <w:sz w:val="30"/>
          <w:szCs w:val="30"/>
        </w:rPr>
        <w:t>2</w:t>
      </w:r>
      <w:r w:rsidRPr="007B5D03">
        <w:rPr>
          <w:rFonts w:hAnsi="標楷體"/>
          <w:spacing w:val="4"/>
          <w:sz w:val="30"/>
          <w:szCs w:val="30"/>
        </w:rPr>
        <w:t>款規</w:t>
      </w:r>
      <w:r w:rsidRPr="007B5D03">
        <w:rPr>
          <w:rFonts w:hAnsi="標楷體"/>
          <w:spacing w:val="-6"/>
          <w:sz w:val="30"/>
          <w:szCs w:val="30"/>
        </w:rPr>
        <w:t>定，聲請</w:t>
      </w:r>
      <w:r w:rsidRPr="007B5D03">
        <w:rPr>
          <w:spacing w:val="-6"/>
          <w:sz w:val="30"/>
          <w:szCs w:val="30"/>
        </w:rPr>
        <w:t xml:space="preserve">　</w:t>
      </w:r>
      <w:r w:rsidRPr="007B5D03">
        <w:rPr>
          <w:rFonts w:hAnsi="標楷體"/>
          <w:spacing w:val="-6"/>
          <w:sz w:val="30"/>
          <w:szCs w:val="30"/>
        </w:rPr>
        <w:t>鈞院解釋，並為如下之宣告：</w:t>
      </w:r>
    </w:p>
    <w:p w:rsidR="00514426" w:rsidRPr="007B5D03" w:rsidRDefault="00514426" w:rsidP="00531EBE">
      <w:pPr>
        <w:snapToGrid w:val="0"/>
        <w:spacing w:line="437" w:lineRule="exact"/>
        <w:ind w:left="624" w:firstLineChars="100" w:firstLine="308"/>
        <w:rPr>
          <w:sz w:val="30"/>
          <w:szCs w:val="30"/>
        </w:rPr>
      </w:pPr>
      <w:r w:rsidRPr="007B5D03">
        <w:rPr>
          <w:rFonts w:hAnsi="標楷體"/>
          <w:spacing w:val="4"/>
          <w:sz w:val="30"/>
          <w:szCs w:val="30"/>
        </w:rPr>
        <w:t>「憲法第</w:t>
      </w:r>
      <w:r w:rsidRPr="007B5D03">
        <w:rPr>
          <w:spacing w:val="4"/>
          <w:sz w:val="30"/>
          <w:szCs w:val="30"/>
        </w:rPr>
        <w:t>19</w:t>
      </w:r>
      <w:r w:rsidRPr="007B5D03">
        <w:rPr>
          <w:rFonts w:hAnsi="標楷體"/>
          <w:spacing w:val="4"/>
          <w:sz w:val="30"/>
          <w:szCs w:val="30"/>
        </w:rPr>
        <w:t>條規定，人民有依法律納稅之義務。所謂依</w:t>
      </w:r>
      <w:r w:rsidRPr="007B5D03">
        <w:rPr>
          <w:rFonts w:hAnsi="標楷體"/>
          <w:sz w:val="30"/>
          <w:szCs w:val="30"/>
        </w:rPr>
        <w:t>法律納稅，係指租稅主體、租稅客體、稅基、稅率等租稅構成要件，均應依法律明定之。各該法律之內容且應符合量能課稅、實質課稅原則及租稅公平原則。財政部</w:t>
      </w:r>
      <w:smartTag w:uri="urn:schemas-microsoft-com:office:smarttags" w:element="chsdate">
        <w:smartTagPr>
          <w:attr w:name="IsROCDate" w:val="False"/>
          <w:attr w:name="IsLunarDate" w:val="False"/>
          <w:attr w:name="Day" w:val="11"/>
          <w:attr w:name="Month" w:val="12"/>
          <w:attr w:name="Year" w:val="1986"/>
        </w:smartTagP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w:t>
        </w:r>
        <w:r w:rsidRPr="007B5D03">
          <w:rPr>
            <w:rFonts w:hAnsi="標楷體" w:hint="eastAsia"/>
            <w:sz w:val="30"/>
            <w:szCs w:val="30"/>
          </w:rPr>
          <w:t>1</w:t>
        </w:r>
        <w:r w:rsidRPr="007B5D03">
          <w:rPr>
            <w:sz w:val="30"/>
            <w:szCs w:val="30"/>
          </w:rPr>
          <w:t>1</w:t>
        </w:r>
        <w:r w:rsidRPr="007B5D03">
          <w:rPr>
            <w:rFonts w:hAnsi="標楷體"/>
            <w:sz w:val="30"/>
            <w:szCs w:val="30"/>
          </w:rPr>
          <w:t>日</w:t>
        </w:r>
      </w:smartTag>
      <w:r w:rsidRPr="007B5D03">
        <w:rPr>
          <w:rFonts w:hAnsi="標楷體"/>
          <w:sz w:val="30"/>
          <w:szCs w:val="30"/>
        </w:rPr>
        <w:t>台</w:t>
      </w:r>
      <w:r w:rsidRPr="007B5D03">
        <w:rPr>
          <w:rFonts w:hAnsi="標楷體"/>
          <w:sz w:val="30"/>
          <w:szCs w:val="30"/>
        </w:rPr>
        <w:lastRenderedPageBreak/>
        <w:t>財稅第</w:t>
      </w:r>
      <w:r w:rsidRPr="007B5D03">
        <w:rPr>
          <w:sz w:val="30"/>
          <w:szCs w:val="30"/>
        </w:rPr>
        <w:t>861922464</w:t>
      </w:r>
      <w:r w:rsidRPr="007B5D03">
        <w:rPr>
          <w:rFonts w:hAnsi="標楷體"/>
          <w:sz w:val="30"/>
          <w:szCs w:val="30"/>
        </w:rPr>
        <w:t>號函：</w:t>
      </w:r>
      <w:r w:rsidRPr="007B5D03">
        <w:rPr>
          <w:rFonts w:hAnsi="標楷體" w:hint="eastAsia"/>
          <w:sz w:val="30"/>
          <w:szCs w:val="30"/>
        </w:rPr>
        <w:t>『</w:t>
      </w:r>
      <w:r w:rsidRPr="007B5D03">
        <w:rPr>
          <w:rFonts w:hAnsi="標楷體"/>
          <w:sz w:val="30"/>
          <w:szCs w:val="30"/>
        </w:rPr>
        <w:t>認購（售）權證發行人於發行時所取得之發行價款，係屬權利金收入，依現行所得稅法</w:t>
      </w:r>
      <w:r w:rsidRPr="007B5D03">
        <w:rPr>
          <w:rFonts w:hAnsi="標楷體"/>
          <w:spacing w:val="4"/>
          <w:sz w:val="30"/>
          <w:szCs w:val="30"/>
        </w:rPr>
        <w:t>第二十二條有關公司組織之會計基礎應採權責發生制之規</w:t>
      </w:r>
      <w:r w:rsidRPr="007B5D03">
        <w:rPr>
          <w:rFonts w:hAnsi="標楷體"/>
          <w:sz w:val="30"/>
          <w:szCs w:val="30"/>
        </w:rPr>
        <w:t>定，應於發行期間內分期計算損益或於履約時認列損益。認購（售）權證發行人於發行後，因投資人行使權利而售出或購入標的股票產生之證券交易所得或損失，應於履約時認列損益，並依所得稅法第四條之一規定辦理</w:t>
      </w:r>
      <w:r w:rsidRPr="007B5D03">
        <w:rPr>
          <w:rFonts w:hAnsi="標楷體" w:hint="eastAsia"/>
          <w:sz w:val="30"/>
          <w:szCs w:val="30"/>
        </w:rPr>
        <w:t>』</w:t>
      </w:r>
      <w:r w:rsidRPr="007B5D03">
        <w:rPr>
          <w:rFonts w:hAnsi="標楷體"/>
          <w:sz w:val="30"/>
          <w:szCs w:val="30"/>
        </w:rPr>
        <w:t>，認定證券商發行權證收取之發行價款為應稅之權利金所得在先，卻認因發行權證須避險操作標的股票以便投資人行使權利，證券商就該等售出或購入標的股票產生之交易所得或損失，雖應於履約時認列損益，但該損益卻須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規定辦理，並依所得稅法第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規定不得自當年度應稅所得額中扣除，形同否准發行該等權證避險交易所生之損失不得自該權證之應稅權利金收入中減除，前揭行政釋示已違反所得</w:t>
      </w:r>
      <w:r w:rsidRPr="007B5D03">
        <w:rPr>
          <w:rFonts w:hAnsi="標楷體"/>
          <w:spacing w:val="4"/>
          <w:sz w:val="30"/>
          <w:szCs w:val="30"/>
        </w:rPr>
        <w:t>稅法第</w:t>
      </w:r>
      <w:r w:rsidRPr="007B5D03">
        <w:rPr>
          <w:spacing w:val="4"/>
          <w:sz w:val="30"/>
          <w:szCs w:val="30"/>
        </w:rPr>
        <w:t>24</w:t>
      </w:r>
      <w:r w:rsidRPr="007B5D03">
        <w:rPr>
          <w:rFonts w:hAnsi="標楷體"/>
          <w:spacing w:val="4"/>
          <w:sz w:val="30"/>
          <w:szCs w:val="30"/>
        </w:rPr>
        <w:t>條淨額所得課稅原則及收入與成本費用配合原則</w:t>
      </w:r>
      <w:r w:rsidRPr="007B5D03">
        <w:rPr>
          <w:rFonts w:hAnsi="標楷體"/>
          <w:sz w:val="30"/>
          <w:szCs w:val="30"/>
        </w:rPr>
        <w:t>及依本院釋字第</w:t>
      </w:r>
      <w:r w:rsidRPr="007B5D03">
        <w:rPr>
          <w:sz w:val="30"/>
          <w:szCs w:val="30"/>
        </w:rPr>
        <w:t>493</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免稅成本費用，應於免稅收入項下減除</w:t>
      </w:r>
      <w:r w:rsidRPr="007B5D03">
        <w:rPr>
          <w:rFonts w:hAnsi="標楷體" w:hint="eastAsia"/>
          <w:sz w:val="30"/>
          <w:szCs w:val="30"/>
        </w:rPr>
        <w:t>』</w:t>
      </w:r>
      <w:r w:rsidRPr="007B5D03">
        <w:rPr>
          <w:rFonts w:hAnsi="標楷體"/>
          <w:sz w:val="30"/>
          <w:szCs w:val="30"/>
        </w:rPr>
        <w:t>之反面解釋所導出</w:t>
      </w:r>
      <w:r w:rsidRPr="007B5D03">
        <w:rPr>
          <w:rFonts w:hAnsi="標楷體" w:hint="eastAsia"/>
          <w:sz w:val="30"/>
          <w:szCs w:val="30"/>
        </w:rPr>
        <w:t>『</w:t>
      </w:r>
      <w:r w:rsidRPr="007B5D03">
        <w:rPr>
          <w:rFonts w:hAnsi="標楷體"/>
          <w:sz w:val="30"/>
          <w:szCs w:val="30"/>
        </w:rPr>
        <w:t>應稅成本費用，應於應稅收入項下減除</w:t>
      </w:r>
      <w:r w:rsidRPr="007B5D03">
        <w:rPr>
          <w:rFonts w:hAnsi="標楷體" w:hint="eastAsia"/>
          <w:sz w:val="30"/>
          <w:szCs w:val="30"/>
        </w:rPr>
        <w:t>』</w:t>
      </w:r>
      <w:r w:rsidRPr="007B5D03">
        <w:rPr>
          <w:rFonts w:hAnsi="標楷體"/>
          <w:sz w:val="30"/>
          <w:szCs w:val="30"/>
        </w:rPr>
        <w:t>之旨。設所得稅法第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並不包括對應稅收入對應之成本費用不准減除之意旨，故前揭行政釋示與首</w:t>
      </w:r>
      <w:r w:rsidRPr="007B5D03">
        <w:rPr>
          <w:rFonts w:hAnsi="標楷體"/>
          <w:spacing w:val="4"/>
          <w:sz w:val="30"/>
          <w:szCs w:val="30"/>
        </w:rPr>
        <w:t>揭憲法第</w:t>
      </w:r>
      <w:r w:rsidRPr="007B5D03">
        <w:rPr>
          <w:spacing w:val="4"/>
          <w:sz w:val="30"/>
          <w:szCs w:val="30"/>
        </w:rPr>
        <w:t>19</w:t>
      </w:r>
      <w:r w:rsidRPr="007B5D03">
        <w:rPr>
          <w:rFonts w:hAnsi="標楷體"/>
          <w:spacing w:val="4"/>
          <w:sz w:val="30"/>
          <w:szCs w:val="30"/>
        </w:rPr>
        <w:t>條租稅法律主義及量能課稅原則、實質課稅原</w:t>
      </w:r>
      <w:r w:rsidRPr="007B5D03">
        <w:rPr>
          <w:rFonts w:hAnsi="標楷體"/>
          <w:sz w:val="30"/>
          <w:szCs w:val="30"/>
        </w:rPr>
        <w:t>則之租稅公平原則意旨不符。況前揭釋示對權證交易發行者產生之稅負結果，已逾其因該交易所生之所得，違反憲法第</w:t>
      </w:r>
      <w:r w:rsidRPr="007B5D03">
        <w:rPr>
          <w:sz w:val="30"/>
          <w:szCs w:val="30"/>
        </w:rPr>
        <w:t>15</w:t>
      </w:r>
      <w:r w:rsidRPr="007B5D03">
        <w:rPr>
          <w:rFonts w:hAnsi="標楷體"/>
          <w:sz w:val="30"/>
          <w:szCs w:val="30"/>
        </w:rPr>
        <w:t>條對人民財產權、工作權之保障，及憲法第</w:t>
      </w:r>
      <w:r w:rsidRPr="007B5D03">
        <w:rPr>
          <w:sz w:val="30"/>
          <w:szCs w:val="30"/>
        </w:rPr>
        <w:t>23</w:t>
      </w:r>
      <w:r w:rsidRPr="007B5D03">
        <w:rPr>
          <w:rFonts w:hAnsi="標楷體"/>
          <w:sz w:val="30"/>
          <w:szCs w:val="30"/>
        </w:rPr>
        <w:t>條比例原則。且前揭釋示對權證避險措施之定性，與</w:t>
      </w:r>
      <w:r w:rsidRPr="007B5D03">
        <w:rPr>
          <w:rFonts w:hAnsi="標楷體" w:hint="eastAsia"/>
          <w:sz w:val="30"/>
          <w:szCs w:val="30"/>
        </w:rPr>
        <w:t>本院</w:t>
      </w:r>
      <w:r w:rsidRPr="007B5D03">
        <w:rPr>
          <w:rFonts w:hAnsi="標楷體"/>
          <w:sz w:val="30"/>
          <w:szCs w:val="30"/>
        </w:rPr>
        <w:t>釋字第</w:t>
      </w:r>
      <w:r w:rsidRPr="007B5D03">
        <w:rPr>
          <w:sz w:val="30"/>
          <w:szCs w:val="30"/>
        </w:rPr>
        <w:t>420</w:t>
      </w:r>
      <w:r w:rsidRPr="007B5D03">
        <w:rPr>
          <w:rFonts w:hAnsi="標楷體"/>
          <w:sz w:val="30"/>
          <w:szCs w:val="30"/>
        </w:rPr>
        <w:t>號、第</w:t>
      </w:r>
      <w:r w:rsidRPr="007B5D03">
        <w:rPr>
          <w:sz w:val="30"/>
          <w:szCs w:val="30"/>
        </w:rPr>
        <w:t>625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所揭櫫之實質課稅原則亦有相悖，亦有違</w:t>
      </w:r>
      <w:r w:rsidRPr="007B5D03">
        <w:rPr>
          <w:rFonts w:hAnsi="標楷體"/>
          <w:spacing w:val="-4"/>
          <w:sz w:val="30"/>
          <w:szCs w:val="30"/>
        </w:rPr>
        <w:t>憲法第</w:t>
      </w:r>
      <w:r w:rsidRPr="007B5D03">
        <w:rPr>
          <w:spacing w:val="-4"/>
          <w:sz w:val="30"/>
          <w:szCs w:val="30"/>
        </w:rPr>
        <w:t>7</w:t>
      </w:r>
      <w:r w:rsidRPr="007B5D03">
        <w:rPr>
          <w:rFonts w:hAnsi="標楷體"/>
          <w:spacing w:val="-4"/>
          <w:sz w:val="30"/>
          <w:szCs w:val="30"/>
        </w:rPr>
        <w:t>條平等原則，自本解釋公布之日起，應不予援用。」</w:t>
      </w:r>
    </w:p>
    <w:p w:rsidR="00514426" w:rsidRPr="007B5D03" w:rsidRDefault="00514426" w:rsidP="00531EBE">
      <w:pPr>
        <w:snapToGrid w:val="0"/>
        <w:spacing w:line="437" w:lineRule="exact"/>
        <w:ind w:left="624" w:firstLineChars="100" w:firstLine="300"/>
        <w:rPr>
          <w:sz w:val="30"/>
          <w:szCs w:val="30"/>
        </w:rPr>
      </w:pPr>
      <w:r w:rsidRPr="007B5D03">
        <w:rPr>
          <w:rFonts w:hAnsi="標楷體"/>
          <w:sz w:val="30"/>
          <w:szCs w:val="30"/>
        </w:rPr>
        <w:lastRenderedPageBreak/>
        <w:t>按現代實質意義之法治國家，以追求人性尊嚴為中心，亦即德國基本法第</w:t>
      </w:r>
      <w:r w:rsidRPr="007B5D03">
        <w:rPr>
          <w:sz w:val="30"/>
          <w:szCs w:val="30"/>
        </w:rPr>
        <w:t>1</w:t>
      </w:r>
      <w:r w:rsidRPr="007B5D03">
        <w:rPr>
          <w:rFonts w:hAnsi="標楷體"/>
          <w:sz w:val="30"/>
          <w:szCs w:val="30"/>
        </w:rPr>
        <w:t>條第</w:t>
      </w:r>
      <w:r w:rsidRPr="007B5D03">
        <w:rPr>
          <w:sz w:val="30"/>
          <w:szCs w:val="30"/>
        </w:rPr>
        <w:t>1</w:t>
      </w:r>
      <w:r w:rsidRPr="007B5D03">
        <w:rPr>
          <w:rFonts w:hAnsi="標楷體"/>
          <w:sz w:val="30"/>
          <w:szCs w:val="30"/>
        </w:rPr>
        <w:t>項所言之「人之尊嚴不可侵犯，尊重及保護此項尊嚴為所有國家機關之義務。」本於上開實質正義之信念，國家透過公平正當之稅捐負擔，實現其作為給付國家所擔當之任務。亦基於正義國家之概念，稅法規定必須與憲法之價值體系相協調一致，立法者於所得稅法上之裁量空間必須予以限制，亦即應受憲法價值觀之拘束，厥為重要者乃憲法上基本權之拘束，故人民基本權遭受國家租稅立法權侵害時，必須由　鈞院大法官會議以租稅正義與憲法基</w:t>
      </w:r>
      <w:r w:rsidRPr="007B5D03">
        <w:rPr>
          <w:rFonts w:hAnsi="標楷體"/>
          <w:spacing w:val="4"/>
          <w:sz w:val="30"/>
          <w:szCs w:val="30"/>
        </w:rPr>
        <w:t>本權為審查之標準，保障人民之權利（附件</w:t>
      </w:r>
      <w:r w:rsidRPr="007B5D03">
        <w:rPr>
          <w:spacing w:val="4"/>
          <w:sz w:val="30"/>
          <w:szCs w:val="30"/>
        </w:rPr>
        <w:t>3</w:t>
      </w:r>
      <w:r w:rsidRPr="007B5D03">
        <w:rPr>
          <w:rFonts w:hAnsi="標楷體"/>
          <w:spacing w:val="4"/>
          <w:sz w:val="30"/>
          <w:szCs w:val="30"/>
        </w:rPr>
        <w:t>，葛克昌，所</w:t>
      </w:r>
      <w:r w:rsidRPr="007B5D03">
        <w:rPr>
          <w:rFonts w:hAnsi="標楷體"/>
          <w:sz w:val="30"/>
          <w:szCs w:val="30"/>
        </w:rPr>
        <w:t>得稅與憲法，第</w:t>
      </w:r>
      <w:r w:rsidRPr="007B5D03">
        <w:rPr>
          <w:sz w:val="30"/>
          <w:szCs w:val="30"/>
        </w:rPr>
        <w:t>3</w:t>
      </w:r>
      <w:r w:rsidRPr="007B5D03">
        <w:rPr>
          <w:rFonts w:hAnsi="標楷體"/>
          <w:sz w:val="30"/>
          <w:szCs w:val="30"/>
        </w:rPr>
        <w:t>、</w:t>
      </w:r>
      <w:r w:rsidRPr="007B5D03">
        <w:rPr>
          <w:sz w:val="30"/>
          <w:szCs w:val="30"/>
        </w:rPr>
        <w:t>4</w:t>
      </w:r>
      <w:r w:rsidRPr="007B5D03">
        <w:rPr>
          <w:rFonts w:hAnsi="標楷體"/>
          <w:sz w:val="30"/>
          <w:szCs w:val="30"/>
        </w:rPr>
        <w:t>頁）。聲請人前因最高行政法院確定判決援用財政部</w:t>
      </w:r>
      <w:r w:rsidRPr="007B5D03">
        <w:rPr>
          <w:sz w:val="30"/>
          <w:szCs w:val="30"/>
        </w:rPr>
        <w:t>86</w:t>
      </w:r>
      <w:r w:rsidRPr="007B5D03">
        <w:rPr>
          <w:rFonts w:hAnsi="標楷體"/>
          <w:sz w:val="30"/>
          <w:szCs w:val="30"/>
        </w:rPr>
        <w:t>年函釋，爰依司法院大法官審理案件法第</w:t>
      </w:r>
      <w:r w:rsidRPr="007B5D03">
        <w:rPr>
          <w:sz w:val="30"/>
          <w:szCs w:val="30"/>
        </w:rPr>
        <w:t>5</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項第</w:t>
      </w:r>
      <w:r w:rsidRPr="007B5D03">
        <w:rPr>
          <w:spacing w:val="4"/>
          <w:sz w:val="30"/>
          <w:szCs w:val="30"/>
        </w:rPr>
        <w:t>2</w:t>
      </w:r>
      <w:r w:rsidRPr="007B5D03">
        <w:rPr>
          <w:rFonts w:hAnsi="標楷體"/>
          <w:spacing w:val="4"/>
          <w:sz w:val="30"/>
          <w:szCs w:val="30"/>
        </w:rPr>
        <w:t>款之規定，請求</w:t>
      </w:r>
      <w:r w:rsidRPr="007B5D03">
        <w:rPr>
          <w:rFonts w:hint="eastAsia"/>
          <w:spacing w:val="4"/>
          <w:sz w:val="30"/>
          <w:szCs w:val="30"/>
        </w:rPr>
        <w:t xml:space="preserve">　</w:t>
      </w:r>
      <w:r w:rsidRPr="007B5D03">
        <w:rPr>
          <w:rFonts w:hAnsi="標楷體"/>
          <w:spacing w:val="4"/>
          <w:sz w:val="30"/>
          <w:szCs w:val="30"/>
        </w:rPr>
        <w:t>鈞院宣告財政部</w:t>
      </w:r>
      <w:r w:rsidRPr="007B5D03">
        <w:rPr>
          <w:spacing w:val="4"/>
          <w:sz w:val="30"/>
          <w:szCs w:val="30"/>
        </w:rPr>
        <w:t>86</w:t>
      </w:r>
      <w:r w:rsidRPr="007B5D03">
        <w:rPr>
          <w:rFonts w:hAnsi="標楷體"/>
          <w:spacing w:val="4"/>
          <w:sz w:val="30"/>
          <w:szCs w:val="30"/>
        </w:rPr>
        <w:t>年函釋</w:t>
      </w:r>
      <w:r w:rsidRPr="007B5D03">
        <w:rPr>
          <w:rFonts w:hAnsi="標楷體"/>
          <w:sz w:val="30"/>
          <w:szCs w:val="30"/>
        </w:rPr>
        <w:t>應不予適用，如蒙　鈞院作成違憲解釋時，聲請人並得就據以聲請解釋之案件依釋字第</w:t>
      </w:r>
      <w:r w:rsidRPr="007B5D03">
        <w:rPr>
          <w:sz w:val="30"/>
          <w:szCs w:val="30"/>
        </w:rPr>
        <w:t>177</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z w:val="30"/>
          <w:szCs w:val="30"/>
        </w:rPr>
        <w:t>185</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z w:val="30"/>
          <w:szCs w:val="30"/>
        </w:rPr>
        <w:t>193</w:t>
      </w:r>
      <w:r w:rsidRPr="007B5D03">
        <w:rPr>
          <w:rFonts w:hAnsi="標楷體"/>
          <w:sz w:val="30"/>
          <w:szCs w:val="30"/>
        </w:rPr>
        <w:t>號解釋及行政訴訟法第</w:t>
      </w:r>
      <w:r w:rsidRPr="007B5D03">
        <w:rPr>
          <w:sz w:val="30"/>
          <w:szCs w:val="30"/>
        </w:rPr>
        <w:t>273</w:t>
      </w:r>
      <w:r w:rsidRPr="007B5D03">
        <w:rPr>
          <w:rFonts w:hAnsi="標楷體"/>
          <w:sz w:val="30"/>
          <w:szCs w:val="30"/>
        </w:rPr>
        <w:t>條第</w:t>
      </w:r>
      <w:r w:rsidRPr="007B5D03">
        <w:rPr>
          <w:sz w:val="30"/>
          <w:szCs w:val="30"/>
        </w:rPr>
        <w:t>2</w:t>
      </w:r>
      <w:r w:rsidRPr="007B5D03">
        <w:rPr>
          <w:rFonts w:hAnsi="標楷體"/>
          <w:sz w:val="30"/>
          <w:szCs w:val="30"/>
        </w:rPr>
        <w:t>項之規定，聲請再審。</w:t>
      </w:r>
    </w:p>
    <w:p w:rsidR="00514426" w:rsidRPr="007B5D03" w:rsidRDefault="00514426" w:rsidP="00FB2D5A">
      <w:pPr>
        <w:spacing w:line="437" w:lineRule="exact"/>
        <w:ind w:left="641" w:hanging="641"/>
        <w:rPr>
          <w:sz w:val="30"/>
          <w:szCs w:val="30"/>
        </w:rPr>
      </w:pPr>
      <w:r w:rsidRPr="007B5D03">
        <w:rPr>
          <w:rFonts w:hAnsi="標楷體"/>
          <w:sz w:val="30"/>
          <w:szCs w:val="30"/>
        </w:rPr>
        <w:t>貳、疑義之性質與經過，及涉及之憲法條文</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一、本案之背景事實</w:t>
      </w:r>
    </w:p>
    <w:p w:rsidR="00514426" w:rsidRPr="007B5D03" w:rsidRDefault="00514426" w:rsidP="00075D64">
      <w:pPr>
        <w:snapToGrid w:val="0"/>
        <w:spacing w:line="437" w:lineRule="exact"/>
        <w:ind w:left="907" w:firstLineChars="100" w:firstLine="300"/>
        <w:rPr>
          <w:sz w:val="30"/>
          <w:szCs w:val="30"/>
        </w:rPr>
      </w:pPr>
      <w:smartTag w:uri="urn:schemas-microsoft-com:office:smarttags" w:element="chsdate">
        <w:smartTagPr>
          <w:attr w:name="IsROCDate" w:val="True"/>
          <w:attr w:name="IsLunarDate" w:val="False"/>
          <w:attr w:name="Day" w:val="31"/>
          <w:attr w:name="Month" w:val="5"/>
          <w:attr w:name="Year" w:val="1997"/>
        </w:smartTagPr>
        <w:r w:rsidRPr="007B5D03">
          <w:rPr>
            <w:rFonts w:hAnsi="標楷體"/>
            <w:sz w:val="30"/>
            <w:szCs w:val="30"/>
          </w:rPr>
          <w:t>民國</w:t>
        </w: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財政部證券暨期貨管理委員會</w:t>
      </w:r>
      <w:r w:rsidRPr="007B5D03">
        <w:rPr>
          <w:rFonts w:hint="eastAsia"/>
          <w:sz w:val="30"/>
          <w:szCs w:val="30"/>
        </w:rPr>
        <w:t>（</w:t>
      </w:r>
      <w:r w:rsidRPr="007B5D03">
        <w:rPr>
          <w:rFonts w:hAnsi="標楷體"/>
          <w:sz w:val="30"/>
          <w:szCs w:val="30"/>
        </w:rPr>
        <w:t>現行政院金融監督管理委員會證券期貨局</w:t>
      </w:r>
      <w:r w:rsidRPr="007B5D03">
        <w:rPr>
          <w:rFonts w:hint="eastAsia"/>
          <w:sz w:val="30"/>
          <w:szCs w:val="30"/>
        </w:rPr>
        <w:t>）</w:t>
      </w:r>
      <w:r w:rsidRPr="007B5D03">
        <w:rPr>
          <w:rFonts w:hAnsi="標楷體"/>
          <w:sz w:val="30"/>
          <w:szCs w:val="30"/>
        </w:rPr>
        <w:t>核准國內券商發行新金融商品</w:t>
      </w:r>
      <w:r w:rsidRPr="007B5D03">
        <w:rPr>
          <w:sz w:val="30"/>
          <w:szCs w:val="30"/>
        </w:rPr>
        <w:t>-</w:t>
      </w:r>
      <w:r w:rsidRPr="007B5D03">
        <w:rPr>
          <w:rFonts w:hAnsi="標楷體"/>
          <w:sz w:val="30"/>
          <w:szCs w:val="30"/>
        </w:rPr>
        <w:t>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權證，財政部為因應此一金融商品出現，即分別於同年</w:t>
      </w:r>
      <w:smartTag w:uri="urn:schemas-microsoft-com:office:smarttags" w:element="chsdate">
        <w:smartTagPr>
          <w:attr w:name="IsROCDate" w:val="False"/>
          <w:attr w:name="IsLunarDate" w:val="False"/>
          <w:attr w:name="Day" w:val="31"/>
          <w:attr w:name="Month" w:val="7"/>
          <w:attr w:name="Year" w:val="2007"/>
        </w:smartTagP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發布台財稅第</w:t>
      </w:r>
      <w:r w:rsidRPr="007B5D03">
        <w:rPr>
          <w:sz w:val="30"/>
          <w:szCs w:val="30"/>
        </w:rPr>
        <w:t>861909311</w:t>
      </w:r>
      <w:r w:rsidRPr="007B5D03">
        <w:rPr>
          <w:rFonts w:hAnsi="標楷體"/>
          <w:sz w:val="30"/>
          <w:szCs w:val="30"/>
        </w:rPr>
        <w:t>號</w:t>
      </w:r>
      <w:r w:rsidRPr="007B5D03">
        <w:rPr>
          <w:rFonts w:hAnsi="標楷體" w:hint="eastAsia"/>
          <w:sz w:val="30"/>
          <w:szCs w:val="30"/>
        </w:rPr>
        <w:t>函</w:t>
      </w:r>
      <w:r w:rsidRPr="007B5D03">
        <w:rPr>
          <w:rFonts w:hAnsi="標楷體"/>
          <w:sz w:val="30"/>
          <w:szCs w:val="30"/>
        </w:rPr>
        <w:t>「就認購權證及其標的股票之交易所得停徵所得稅」</w:t>
      </w:r>
      <w:r w:rsidRPr="007B5D03">
        <w:rPr>
          <w:rFonts w:hAnsi="標楷體"/>
          <w:spacing w:val="4"/>
          <w:sz w:val="30"/>
          <w:szCs w:val="30"/>
        </w:rPr>
        <w:t>（附件</w:t>
      </w:r>
      <w:r w:rsidRPr="007B5D03">
        <w:rPr>
          <w:spacing w:val="4"/>
          <w:sz w:val="30"/>
          <w:szCs w:val="30"/>
        </w:rPr>
        <w:t>4</w:t>
      </w:r>
      <w:r w:rsidRPr="007B5D03">
        <w:rPr>
          <w:rFonts w:hAnsi="標楷體"/>
          <w:spacing w:val="4"/>
          <w:sz w:val="30"/>
          <w:szCs w:val="30"/>
        </w:rPr>
        <w:t>）及</w:t>
      </w:r>
      <w:smartTag w:uri="urn:schemas-microsoft-com:office:smarttags" w:element="chsdate">
        <w:smartTagPr>
          <w:attr w:name="IsROCDate" w:val="False"/>
          <w:attr w:name="IsLunarDate" w:val="False"/>
          <w:attr w:name="Day" w:val="11"/>
          <w:attr w:name="Month" w:val="12"/>
          <w:attr w:name="Year" w:val="2012"/>
        </w:smartTagPr>
        <w:r w:rsidRPr="007B5D03">
          <w:rPr>
            <w:spacing w:val="4"/>
            <w:sz w:val="30"/>
            <w:szCs w:val="30"/>
          </w:rPr>
          <w:t>12</w:t>
        </w:r>
        <w:r w:rsidRPr="007B5D03">
          <w:rPr>
            <w:rFonts w:hAnsi="標楷體"/>
            <w:spacing w:val="4"/>
            <w:sz w:val="30"/>
            <w:szCs w:val="30"/>
          </w:rPr>
          <w:t>月</w:t>
        </w:r>
        <w:r w:rsidRPr="007B5D03">
          <w:rPr>
            <w:spacing w:val="4"/>
            <w:sz w:val="30"/>
            <w:szCs w:val="30"/>
          </w:rPr>
          <w:t>11</w:t>
        </w:r>
        <w:r w:rsidRPr="007B5D03">
          <w:rPr>
            <w:rFonts w:hAnsi="標楷體"/>
            <w:spacing w:val="4"/>
            <w:sz w:val="30"/>
            <w:szCs w:val="30"/>
          </w:rPr>
          <w:t>日</w:t>
        </w:r>
      </w:smartTag>
      <w:r w:rsidRPr="007B5D03">
        <w:rPr>
          <w:rFonts w:hAnsi="標楷體"/>
          <w:spacing w:val="4"/>
          <w:sz w:val="30"/>
          <w:szCs w:val="30"/>
        </w:rPr>
        <w:t>台財稅第</w:t>
      </w:r>
      <w:r w:rsidRPr="007B5D03">
        <w:rPr>
          <w:spacing w:val="4"/>
          <w:sz w:val="30"/>
          <w:szCs w:val="30"/>
        </w:rPr>
        <w:t>861922464</w:t>
      </w:r>
      <w:r w:rsidRPr="007B5D03">
        <w:rPr>
          <w:rFonts w:hAnsi="標楷體"/>
          <w:spacing w:val="4"/>
          <w:sz w:val="30"/>
          <w:szCs w:val="30"/>
        </w:rPr>
        <w:t>號函「認購</w:t>
      </w:r>
      <w:r w:rsidRPr="007B5D03">
        <w:rPr>
          <w:rFonts w:hAnsi="標楷體"/>
          <w:sz w:val="30"/>
          <w:szCs w:val="30"/>
        </w:rPr>
        <w:t>權證發行人取得發行價款何時認列損益釋疑」兩號解釋函令。惟稽徵實務適用該兩函釋，核定發行權證之券商所得稅結</w:t>
      </w:r>
      <w:r w:rsidRPr="007B5D03">
        <w:rPr>
          <w:rFonts w:hAnsi="標楷體"/>
          <w:sz w:val="30"/>
          <w:szCs w:val="30"/>
        </w:rPr>
        <w:lastRenderedPageBreak/>
        <w:t>果，其因發行權證交易須負擔之實質稅負竟逾其實質所得，是以權證課稅爭議聲浪不斷。</w:t>
      </w:r>
    </w:p>
    <w:p w:rsidR="00514426" w:rsidRPr="007B5D03" w:rsidRDefault="00514426" w:rsidP="00075D64">
      <w:pPr>
        <w:snapToGrid w:val="0"/>
        <w:spacing w:line="437" w:lineRule="exact"/>
        <w:ind w:left="907" w:firstLineChars="100" w:firstLine="300"/>
        <w:rPr>
          <w:sz w:val="30"/>
          <w:szCs w:val="30"/>
        </w:rPr>
      </w:pPr>
      <w:r w:rsidRPr="007B5D03">
        <w:rPr>
          <w:rFonts w:hAnsi="標楷體"/>
          <w:sz w:val="30"/>
          <w:szCs w:val="30"/>
        </w:rPr>
        <w:t>本件系爭之「權證」，係金融市場中之衍生性金融商品的一種。其操作方式乃以少許金額購買某一檔特定標的股票，可以約定之特定價格買入</w:t>
      </w:r>
      <w:r w:rsidRPr="007B5D03">
        <w:rPr>
          <w:rFonts w:hint="eastAsia"/>
          <w:sz w:val="30"/>
          <w:szCs w:val="30"/>
        </w:rPr>
        <w:t>（</w:t>
      </w:r>
      <w:r w:rsidRPr="007B5D03">
        <w:rPr>
          <w:rFonts w:hAnsi="標楷體"/>
          <w:sz w:val="30"/>
          <w:szCs w:val="30"/>
        </w:rPr>
        <w:t>認購權證</w:t>
      </w:r>
      <w:r w:rsidRPr="007B5D03">
        <w:rPr>
          <w:rFonts w:hint="eastAsia"/>
          <w:sz w:val="30"/>
          <w:szCs w:val="30"/>
        </w:rPr>
        <w:t>）</w:t>
      </w:r>
      <w:r w:rsidRPr="007B5D03">
        <w:rPr>
          <w:rFonts w:hAnsi="標楷體"/>
          <w:sz w:val="30"/>
          <w:szCs w:val="30"/>
        </w:rPr>
        <w:t>或賣出</w:t>
      </w:r>
      <w:r w:rsidRPr="007B5D03">
        <w:rPr>
          <w:rFonts w:hint="eastAsia"/>
          <w:sz w:val="30"/>
          <w:szCs w:val="30"/>
        </w:rPr>
        <w:t>（</w:t>
      </w:r>
      <w:r w:rsidRPr="007B5D03">
        <w:rPr>
          <w:rFonts w:hAnsi="標楷體"/>
          <w:sz w:val="30"/>
          <w:szCs w:val="30"/>
        </w:rPr>
        <w:t>認售權證</w:t>
      </w:r>
      <w:r w:rsidRPr="007B5D03">
        <w:rPr>
          <w:rFonts w:hint="eastAsia"/>
          <w:sz w:val="30"/>
          <w:szCs w:val="30"/>
        </w:rPr>
        <w:t>）</w:t>
      </w:r>
      <w:r w:rsidRPr="007B5D03">
        <w:rPr>
          <w:rFonts w:hAnsi="標楷體"/>
          <w:sz w:val="30"/>
          <w:szCs w:val="30"/>
        </w:rPr>
        <w:t>該標的股票之權利證書，係用槓桿方式以小博大的金融商品。故權證本身</w:t>
      </w:r>
      <w:r w:rsidRPr="007B5D03">
        <w:rPr>
          <w:rFonts w:hint="eastAsia"/>
          <w:sz w:val="30"/>
          <w:szCs w:val="30"/>
        </w:rPr>
        <w:t>（</w:t>
      </w:r>
      <w:r w:rsidRPr="007B5D03">
        <w:rPr>
          <w:rFonts w:hAnsi="標楷體"/>
          <w:sz w:val="30"/>
          <w:szCs w:val="30"/>
        </w:rPr>
        <w:t>以認購權證為例</w:t>
      </w:r>
      <w:r w:rsidRPr="007B5D03">
        <w:rPr>
          <w:rFonts w:hint="eastAsia"/>
          <w:sz w:val="30"/>
          <w:szCs w:val="30"/>
        </w:rPr>
        <w:t>）</w:t>
      </w:r>
      <w:r w:rsidRPr="007B5D03">
        <w:rPr>
          <w:rFonts w:hAnsi="標楷體"/>
          <w:sz w:val="30"/>
          <w:szCs w:val="30"/>
        </w:rPr>
        <w:t>價格會隨其標的股票價格漲跌呈正向或反向變動。</w:t>
      </w:r>
    </w:p>
    <w:p w:rsidR="00514426" w:rsidRPr="007B5D03" w:rsidRDefault="00514426" w:rsidP="00075D64">
      <w:pPr>
        <w:snapToGrid w:val="0"/>
        <w:spacing w:line="437" w:lineRule="exact"/>
        <w:ind w:left="907" w:firstLineChars="100" w:firstLine="300"/>
        <w:rPr>
          <w:sz w:val="30"/>
          <w:szCs w:val="30"/>
        </w:rPr>
      </w:pPr>
      <w:r w:rsidRPr="007B5D03">
        <w:rPr>
          <w:rFonts w:hAnsi="標楷體"/>
          <w:sz w:val="30"/>
          <w:szCs w:val="30"/>
        </w:rPr>
        <w:t>權證發行者</w:t>
      </w:r>
      <w:r w:rsidRPr="007B5D03">
        <w:rPr>
          <w:rFonts w:hint="eastAsia"/>
          <w:sz w:val="30"/>
          <w:szCs w:val="30"/>
        </w:rPr>
        <w:t>（</w:t>
      </w:r>
      <w:r w:rsidRPr="007B5D03">
        <w:rPr>
          <w:rFonts w:hAnsi="標楷體"/>
          <w:sz w:val="30"/>
          <w:szCs w:val="30"/>
        </w:rPr>
        <w:t>即券商</w:t>
      </w:r>
      <w:r w:rsidRPr="007B5D03">
        <w:rPr>
          <w:rFonts w:hint="eastAsia"/>
          <w:sz w:val="30"/>
          <w:szCs w:val="30"/>
        </w:rPr>
        <w:t>）</w:t>
      </w:r>
      <w:r w:rsidRPr="007B5D03">
        <w:rPr>
          <w:rFonts w:hAnsi="標楷體"/>
          <w:sz w:val="30"/>
          <w:szCs w:val="30"/>
        </w:rPr>
        <w:t>，雖因認購者購入權證而可向其收取權利金，但相對該發行者亦負擔一契約上之義務，即購入權證者在契約約定之一定期間內，一旦行使其依約定價格向發行權證者購入</w:t>
      </w:r>
      <w:r w:rsidRPr="007B5D03">
        <w:rPr>
          <w:rFonts w:hint="eastAsia"/>
          <w:sz w:val="30"/>
          <w:szCs w:val="30"/>
        </w:rPr>
        <w:t>（</w:t>
      </w:r>
      <w:r w:rsidRPr="007B5D03">
        <w:rPr>
          <w:rFonts w:hAnsi="標楷體"/>
          <w:sz w:val="30"/>
          <w:szCs w:val="30"/>
        </w:rPr>
        <w:t>售出</w:t>
      </w:r>
      <w:r w:rsidRPr="007B5D03">
        <w:rPr>
          <w:rFonts w:hint="eastAsia"/>
          <w:sz w:val="30"/>
          <w:szCs w:val="30"/>
        </w:rPr>
        <w:t>）</w:t>
      </w:r>
      <w:r w:rsidRPr="007B5D03">
        <w:rPr>
          <w:rFonts w:hAnsi="標楷體"/>
          <w:sz w:val="30"/>
          <w:szCs w:val="30"/>
        </w:rPr>
        <w:t>標的股票時，發行者即有義務依該約定價格出售</w:t>
      </w:r>
      <w:r w:rsidRPr="007B5D03">
        <w:rPr>
          <w:rFonts w:hint="eastAsia"/>
          <w:sz w:val="30"/>
          <w:szCs w:val="30"/>
        </w:rPr>
        <w:t>（</w:t>
      </w:r>
      <w:r w:rsidRPr="007B5D03">
        <w:rPr>
          <w:rFonts w:hAnsi="標楷體"/>
          <w:sz w:val="30"/>
          <w:szCs w:val="30"/>
        </w:rPr>
        <w:t>買入</w:t>
      </w:r>
      <w:r w:rsidRPr="007B5D03">
        <w:rPr>
          <w:rFonts w:hint="eastAsia"/>
          <w:sz w:val="30"/>
          <w:szCs w:val="30"/>
        </w:rPr>
        <w:t>）</w:t>
      </w:r>
      <w:r w:rsidRPr="007B5D03">
        <w:rPr>
          <w:sz w:val="30"/>
          <w:szCs w:val="30"/>
        </w:rPr>
        <w:t>;</w:t>
      </w:r>
      <w:r w:rsidRPr="007B5D03">
        <w:rPr>
          <w:rFonts w:hAnsi="標楷體"/>
          <w:sz w:val="30"/>
          <w:szCs w:val="30"/>
        </w:rPr>
        <w:t>抑或該購入權證者在契約約定期間內放棄行使，致逾期而失效。此時該權證交易之權利義務關係方為終結，進而權證發行者方能正確計算該次發行權證之真正損益。權證發行者依權證發行契約，既有依契約約定價格出售</w:t>
      </w:r>
      <w:r w:rsidRPr="007B5D03">
        <w:rPr>
          <w:rFonts w:hint="eastAsia"/>
          <w:sz w:val="30"/>
          <w:szCs w:val="30"/>
        </w:rPr>
        <w:t>（</w:t>
      </w:r>
      <w:r w:rsidRPr="007B5D03">
        <w:rPr>
          <w:rFonts w:hAnsi="標楷體"/>
          <w:sz w:val="30"/>
          <w:szCs w:val="30"/>
        </w:rPr>
        <w:t>買入</w:t>
      </w:r>
      <w:r w:rsidRPr="007B5D03">
        <w:rPr>
          <w:rFonts w:hint="eastAsia"/>
          <w:sz w:val="30"/>
          <w:szCs w:val="30"/>
        </w:rPr>
        <w:t>）</w:t>
      </w:r>
      <w:r w:rsidRPr="007B5D03">
        <w:rPr>
          <w:rFonts w:hAnsi="標楷體"/>
          <w:sz w:val="30"/>
          <w:szCs w:val="30"/>
        </w:rPr>
        <w:t>標的股票之義務，因無法預測標的股票未來可能之漲跌幅度，為確保將來有履約能力，必須事先精算相對應持有一定數量之標的股票，備供權證持有人要求履約時得以履行股票交付之義務，而非待權證持有人要求時再從證券市場買入，蓋此時標的股票價格已過高，權證發行者可能無力負擔此一價差。故而，權證發行者乃採取其在可能承擔價差之範圍內，事先依標的</w:t>
      </w:r>
      <w:r w:rsidRPr="007B5D03">
        <w:rPr>
          <w:rFonts w:hAnsi="標楷體"/>
          <w:spacing w:val="-8"/>
          <w:sz w:val="30"/>
          <w:szCs w:val="30"/>
        </w:rPr>
        <w:t>股票價格之漲跌，依據國際通用之避險交易公式</w:t>
      </w:r>
      <w:r w:rsidRPr="007B5D03">
        <w:rPr>
          <w:spacing w:val="-8"/>
          <w:sz w:val="30"/>
          <w:szCs w:val="30"/>
        </w:rPr>
        <w:t xml:space="preserve">(Black and </w:t>
      </w:r>
      <w:r w:rsidRPr="007B5D03">
        <w:rPr>
          <w:sz w:val="30"/>
          <w:szCs w:val="30"/>
        </w:rPr>
        <w:t>Scholes Model )</w:t>
      </w:r>
      <w:r w:rsidRPr="007B5D03">
        <w:rPr>
          <w:rFonts w:hAnsi="標楷體"/>
          <w:sz w:val="30"/>
          <w:szCs w:val="30"/>
        </w:rPr>
        <w:t>及避險交易實務</w:t>
      </w:r>
      <w:r w:rsidRPr="007B5D03">
        <w:rPr>
          <w:sz w:val="30"/>
          <w:szCs w:val="30"/>
        </w:rPr>
        <w:t>(delta hedge)</w:t>
      </w:r>
      <w:r w:rsidRPr="007B5D03">
        <w:rPr>
          <w:rFonts w:hAnsi="標楷體"/>
          <w:sz w:val="30"/>
          <w:szCs w:val="30"/>
        </w:rPr>
        <w:t>，計算標的股票高於或低於履約價格之可能性，同步買進或賣出一定之標的股票。避險操作原則</w:t>
      </w:r>
      <w:r w:rsidRPr="007B5D03">
        <w:rPr>
          <w:rFonts w:hint="eastAsia"/>
          <w:sz w:val="30"/>
          <w:szCs w:val="30"/>
        </w:rPr>
        <w:t>（</w:t>
      </w:r>
      <w:r w:rsidRPr="007B5D03">
        <w:rPr>
          <w:rFonts w:hAnsi="標楷體"/>
          <w:sz w:val="30"/>
          <w:szCs w:val="30"/>
        </w:rPr>
        <w:lastRenderedPageBreak/>
        <w:t>以認購權證為例</w:t>
      </w:r>
      <w:r w:rsidRPr="007B5D03">
        <w:rPr>
          <w:rFonts w:hint="eastAsia"/>
          <w:sz w:val="30"/>
          <w:szCs w:val="30"/>
        </w:rPr>
        <w:t>）</w:t>
      </w:r>
      <w:r w:rsidRPr="007B5D03">
        <w:rPr>
          <w:rFonts w:hAnsi="標楷體"/>
          <w:sz w:val="30"/>
          <w:szCs w:val="30"/>
        </w:rPr>
        <w:t>是：若標的股票股價下跌，則權證持有人履約可能性降低</w:t>
      </w:r>
      <w:r w:rsidRPr="007B5D03">
        <w:rPr>
          <w:rFonts w:hint="eastAsia"/>
          <w:sz w:val="30"/>
          <w:szCs w:val="30"/>
        </w:rPr>
        <w:t>（</w:t>
      </w:r>
      <w:r w:rsidRPr="007B5D03">
        <w:rPr>
          <w:rFonts w:hAnsi="標楷體"/>
          <w:sz w:val="30"/>
          <w:szCs w:val="30"/>
        </w:rPr>
        <w:t>即購入標</w:t>
      </w:r>
      <w:r w:rsidRPr="007B5D03">
        <w:rPr>
          <w:rFonts w:hAnsi="標楷體"/>
          <w:spacing w:val="-4"/>
          <w:sz w:val="30"/>
          <w:szCs w:val="30"/>
        </w:rPr>
        <w:t>的股票之動機下降，因價差小獲利期待亦小</w:t>
      </w:r>
      <w:r w:rsidRPr="007B5D03">
        <w:rPr>
          <w:rFonts w:hint="eastAsia"/>
          <w:spacing w:val="-4"/>
          <w:sz w:val="30"/>
          <w:szCs w:val="30"/>
        </w:rPr>
        <w:t>）</w:t>
      </w:r>
      <w:r w:rsidRPr="007B5D03">
        <w:rPr>
          <w:rFonts w:hAnsi="標楷體"/>
          <w:spacing w:val="-4"/>
          <w:sz w:val="30"/>
          <w:szCs w:val="30"/>
        </w:rPr>
        <w:t>，權證發行者必須持有之標的股票應減少，因此應出售標的股票；反之，</w:t>
      </w:r>
      <w:r w:rsidRPr="007B5D03">
        <w:rPr>
          <w:rFonts w:hAnsi="標楷體"/>
          <w:sz w:val="30"/>
          <w:szCs w:val="30"/>
        </w:rPr>
        <w:t>若標的股票股價上漲，則權證持有人履約可能性升高</w:t>
      </w:r>
      <w:r w:rsidRPr="007B5D03">
        <w:rPr>
          <w:rFonts w:hint="eastAsia"/>
          <w:sz w:val="30"/>
          <w:szCs w:val="30"/>
        </w:rPr>
        <w:t>（</w:t>
      </w:r>
      <w:r w:rsidRPr="007B5D03">
        <w:rPr>
          <w:rFonts w:hAnsi="標楷體"/>
          <w:sz w:val="30"/>
          <w:szCs w:val="30"/>
        </w:rPr>
        <w:t>即</w:t>
      </w:r>
      <w:r w:rsidRPr="007B5D03">
        <w:rPr>
          <w:rFonts w:hAnsi="標楷體"/>
          <w:spacing w:val="-4"/>
          <w:sz w:val="30"/>
          <w:szCs w:val="30"/>
        </w:rPr>
        <w:t>購入標的股票之動機高，因價差大獲利期待亦大</w:t>
      </w:r>
      <w:r w:rsidRPr="007B5D03">
        <w:rPr>
          <w:rFonts w:hint="eastAsia"/>
          <w:spacing w:val="-4"/>
          <w:sz w:val="30"/>
          <w:szCs w:val="30"/>
        </w:rPr>
        <w:t>）</w:t>
      </w:r>
      <w:r w:rsidRPr="007B5D03">
        <w:rPr>
          <w:rFonts w:hAnsi="標楷體"/>
          <w:spacing w:val="-4"/>
          <w:sz w:val="30"/>
          <w:szCs w:val="30"/>
        </w:rPr>
        <w:t>，權證發</w:t>
      </w:r>
      <w:r w:rsidRPr="007B5D03">
        <w:rPr>
          <w:rFonts w:hAnsi="標楷體"/>
          <w:sz w:val="30"/>
          <w:szCs w:val="30"/>
        </w:rPr>
        <w:t>行者必須持有之標的股票應增加，因此應購入標的股票，以準備投資人行使認購權時，可以履約使用。因此，標的股票如有漲價，其漲價利益實質係歸屬於投資人享有，而非聲請人證券商享有。其結果，權證發行者為了避險，將</w:t>
      </w:r>
      <w:r w:rsidRPr="007B5D03">
        <w:rPr>
          <w:rFonts w:hAnsi="標楷體"/>
          <w:spacing w:val="-4"/>
          <w:sz w:val="30"/>
          <w:szCs w:val="30"/>
        </w:rPr>
        <w:t>永遠在「追漲殺跌」，在高價時更買進，在低價時更賣出，</w:t>
      </w:r>
      <w:r w:rsidRPr="007B5D03">
        <w:rPr>
          <w:rFonts w:hAnsi="標楷體"/>
          <w:spacing w:val="4"/>
          <w:sz w:val="30"/>
          <w:szCs w:val="30"/>
        </w:rPr>
        <w:t>其依國際通用之避險交易公式</w:t>
      </w:r>
      <w:r w:rsidRPr="007B5D03">
        <w:rPr>
          <w:spacing w:val="4"/>
          <w:sz w:val="30"/>
          <w:szCs w:val="30"/>
        </w:rPr>
        <w:t>(Black and Scholes Model )</w:t>
      </w:r>
      <w:r w:rsidRPr="007B5D03">
        <w:rPr>
          <w:rFonts w:hAnsi="標楷體"/>
          <w:sz w:val="30"/>
          <w:szCs w:val="30"/>
        </w:rPr>
        <w:t>及避險交易實務</w:t>
      </w:r>
      <w:r w:rsidRPr="007B5D03">
        <w:rPr>
          <w:sz w:val="30"/>
          <w:szCs w:val="30"/>
        </w:rPr>
        <w:t>(delta hedge)</w:t>
      </w:r>
      <w:r w:rsidRPr="007B5D03">
        <w:rPr>
          <w:rFonts w:hAnsi="標楷體"/>
          <w:sz w:val="30"/>
          <w:szCs w:val="30"/>
        </w:rPr>
        <w:t>從事避險行為</w:t>
      </w:r>
      <w:r w:rsidRPr="007B5D03">
        <w:rPr>
          <w:rFonts w:hAnsi="標楷體" w:hint="eastAsia"/>
          <w:sz w:val="30"/>
          <w:szCs w:val="30"/>
        </w:rPr>
        <w:t>，</w:t>
      </w:r>
      <w:r w:rsidRPr="007B5D03">
        <w:rPr>
          <w:rFonts w:hAnsi="標楷體"/>
          <w:sz w:val="30"/>
          <w:szCs w:val="30"/>
        </w:rPr>
        <w:t>其最終結果實</w:t>
      </w:r>
      <w:r w:rsidRPr="007B5D03">
        <w:rPr>
          <w:rFonts w:hAnsi="標楷體"/>
          <w:spacing w:val="-4"/>
          <w:sz w:val="30"/>
          <w:szCs w:val="30"/>
        </w:rPr>
        <w:t>難有任何利得。而是以「減少損失」為目的，但此實為「斷</w:t>
      </w:r>
      <w:r w:rsidRPr="007B5D03">
        <w:rPr>
          <w:rFonts w:hAnsi="標楷體"/>
          <w:sz w:val="30"/>
          <w:szCs w:val="30"/>
        </w:rPr>
        <w:t>臂求生」策略，證券公司必須藉由避險損失控制，始不致於因向權證購買者收取權利金而承擔無限制風險。</w:t>
      </w:r>
    </w:p>
    <w:p w:rsidR="00514426" w:rsidRPr="007B5D03" w:rsidRDefault="00514426" w:rsidP="00075D64">
      <w:pPr>
        <w:snapToGrid w:val="0"/>
        <w:spacing w:line="437" w:lineRule="exact"/>
        <w:ind w:left="907" w:firstLineChars="100" w:firstLine="300"/>
        <w:rPr>
          <w:sz w:val="30"/>
          <w:szCs w:val="30"/>
        </w:rPr>
      </w:pPr>
      <w:r w:rsidRPr="007B5D03">
        <w:rPr>
          <w:rFonts w:hAnsi="標楷體"/>
          <w:sz w:val="30"/>
          <w:szCs w:val="30"/>
        </w:rPr>
        <w:t>申言之，權證本身價格會與其標的股票之價格，具有直</w:t>
      </w:r>
      <w:r w:rsidRPr="007B5D03">
        <w:rPr>
          <w:rFonts w:hAnsi="標楷體"/>
          <w:spacing w:val="-4"/>
          <w:sz w:val="30"/>
          <w:szCs w:val="30"/>
        </w:rPr>
        <w:t>接連動之關係，認購權證與一般股票不同的是，它具有「時間價值」，並非由單一時點決定其價值，因此發行人和投資</w:t>
      </w:r>
      <w:r w:rsidRPr="007B5D03">
        <w:rPr>
          <w:rFonts w:hAnsi="標楷體"/>
          <w:sz w:val="30"/>
          <w:szCs w:val="30"/>
        </w:rPr>
        <w:t>人最後誰賺誰虧，都必須至履約時才能確定，故其與一般股票不同之處即在於其交易實態係以一段期間來決定其取</w:t>
      </w:r>
      <w:r w:rsidRPr="007B5D03">
        <w:rPr>
          <w:rFonts w:hAnsi="標楷體"/>
          <w:spacing w:val="-4"/>
          <w:sz w:val="30"/>
          <w:szCs w:val="30"/>
        </w:rPr>
        <w:t>得成本，並非如一般股票在購入當時成本已經決定。是故，</w:t>
      </w:r>
      <w:r w:rsidRPr="007B5D03">
        <w:rPr>
          <w:spacing w:val="4"/>
          <w:sz w:val="30"/>
          <w:szCs w:val="30"/>
        </w:rPr>
        <w:t>1997</w:t>
      </w:r>
      <w:r w:rsidRPr="007B5D03">
        <w:rPr>
          <w:rFonts w:hAnsi="標楷體"/>
          <w:spacing w:val="4"/>
          <w:sz w:val="30"/>
          <w:szCs w:val="30"/>
        </w:rPr>
        <w:t>年經濟學諾貝爾獎得主</w:t>
      </w:r>
      <w:r w:rsidRPr="007B5D03">
        <w:rPr>
          <w:spacing w:val="4"/>
          <w:sz w:val="30"/>
          <w:szCs w:val="30"/>
        </w:rPr>
        <w:t>Black-Scholes</w:t>
      </w:r>
      <w:r w:rsidRPr="007B5D03">
        <w:rPr>
          <w:rFonts w:hAnsi="標楷體"/>
          <w:spacing w:val="4"/>
          <w:sz w:val="30"/>
          <w:szCs w:val="30"/>
        </w:rPr>
        <w:t>對權證之評價</w:t>
      </w:r>
      <w:r w:rsidRPr="007B5D03">
        <w:rPr>
          <w:rFonts w:hAnsi="標楷體"/>
          <w:spacing w:val="-4"/>
          <w:sz w:val="30"/>
          <w:szCs w:val="30"/>
        </w:rPr>
        <w:t>認為係「時間價值」加上「內含價值」，所謂「內含價值」</w:t>
      </w:r>
      <w:r w:rsidRPr="007B5D03">
        <w:rPr>
          <w:rFonts w:hAnsi="標楷體"/>
          <w:sz w:val="30"/>
          <w:szCs w:val="30"/>
        </w:rPr>
        <w:t>即為標的股票價格與履約價格間之差價，至於時間價值係依照股價超越履約價格的可能性加以評價，蓋只要到期日</w:t>
      </w:r>
      <w:r w:rsidRPr="007B5D03">
        <w:rPr>
          <w:rFonts w:hAnsi="標楷體"/>
          <w:spacing w:val="-4"/>
          <w:sz w:val="30"/>
          <w:szCs w:val="30"/>
        </w:rPr>
        <w:t>尚未</w:t>
      </w:r>
      <w:r w:rsidRPr="007B5D03">
        <w:rPr>
          <w:rFonts w:hAnsi="標楷體"/>
          <w:spacing w:val="-4"/>
          <w:sz w:val="30"/>
          <w:szCs w:val="30"/>
        </w:rPr>
        <w:lastRenderedPageBreak/>
        <w:t>到臨，股價仍有可能超越履約價格，而且到期日愈長，</w:t>
      </w:r>
      <w:r w:rsidRPr="007B5D03">
        <w:rPr>
          <w:rFonts w:hAnsi="標楷體"/>
          <w:sz w:val="30"/>
          <w:szCs w:val="30"/>
        </w:rPr>
        <w:t>或是股票波動程度愈大，則時間價值可能愈高。從而，權證交易相當重視發行日至到期日之期間可能發生之標的股票價值變動，券商為避免時間價值產生之不利益，乃須進行避險操作，以控制前述風險。</w:t>
      </w:r>
    </w:p>
    <w:p w:rsidR="00514426" w:rsidRPr="007B5D03" w:rsidRDefault="00514426" w:rsidP="00075D64">
      <w:pPr>
        <w:snapToGrid w:val="0"/>
        <w:spacing w:line="437" w:lineRule="exact"/>
        <w:ind w:left="907" w:firstLineChars="100" w:firstLine="300"/>
        <w:rPr>
          <w:rFonts w:hint="eastAsia"/>
          <w:sz w:val="30"/>
          <w:szCs w:val="30"/>
        </w:rPr>
      </w:pPr>
      <w:r w:rsidRPr="007B5D03">
        <w:rPr>
          <w:rFonts w:hAnsi="標楷體"/>
          <w:sz w:val="30"/>
          <w:szCs w:val="30"/>
        </w:rPr>
        <w:t>證券交易主管機關自然深知權證交易之特性，為了維持證券市場穩定，避免權證發行券商無法履約，遂以行政命令，強制要求發行權證之券商必須有避險配套措施方能發行，並透過行政權，嚴密監督發行權證券商是否切實執行避險措施，輕為記點，重則停止券商發行權證。此有發行人申請發行認購</w:t>
      </w:r>
      <w:r w:rsidRPr="007B5D03">
        <w:rPr>
          <w:sz w:val="30"/>
          <w:szCs w:val="30"/>
        </w:rPr>
        <w:t>（售）</w:t>
      </w:r>
      <w:r w:rsidRPr="007B5D03">
        <w:rPr>
          <w:rFonts w:hAnsi="標楷體"/>
          <w:sz w:val="30"/>
          <w:szCs w:val="30"/>
        </w:rPr>
        <w:t>權證處理要點及臺灣證券交易所股</w:t>
      </w:r>
      <w:r w:rsidRPr="007B5D03">
        <w:rPr>
          <w:rFonts w:hAnsi="標楷體"/>
          <w:spacing w:val="-4"/>
          <w:sz w:val="30"/>
          <w:szCs w:val="30"/>
        </w:rPr>
        <w:t>份有限公司認購</w:t>
      </w:r>
      <w:r w:rsidRPr="007B5D03">
        <w:rPr>
          <w:spacing w:val="-4"/>
          <w:sz w:val="30"/>
          <w:szCs w:val="30"/>
        </w:rPr>
        <w:t>（售）</w:t>
      </w:r>
      <w:r w:rsidRPr="007B5D03">
        <w:rPr>
          <w:rFonts w:hAnsi="標楷體"/>
          <w:spacing w:val="-4"/>
          <w:sz w:val="30"/>
          <w:szCs w:val="30"/>
        </w:rPr>
        <w:t>權證上市審查準則有關規定可稽（</w:t>
      </w:r>
      <w:r w:rsidRPr="007B5D03">
        <w:rPr>
          <w:rFonts w:hAnsi="標楷體"/>
          <w:spacing w:val="-4"/>
          <w:sz w:val="30"/>
          <w:szCs w:val="30"/>
          <w:shd w:val="clear" w:color="auto" w:fill="FFFFFF"/>
        </w:rPr>
        <w:t>附</w:t>
      </w:r>
      <w:r w:rsidRPr="007B5D03">
        <w:rPr>
          <w:rFonts w:hAnsi="標楷體"/>
          <w:sz w:val="30"/>
          <w:szCs w:val="30"/>
          <w:shd w:val="clear" w:color="auto" w:fill="FFFFFF"/>
        </w:rPr>
        <w:t>件</w:t>
      </w:r>
      <w:r w:rsidRPr="007B5D03">
        <w:rPr>
          <w:sz w:val="30"/>
          <w:szCs w:val="30"/>
          <w:shd w:val="clear" w:color="auto" w:fill="FFFFFF"/>
        </w:rPr>
        <w:t>5</w:t>
      </w:r>
      <w:r w:rsidRPr="007B5D03">
        <w:rPr>
          <w:rFonts w:hAnsi="標楷體"/>
          <w:sz w:val="30"/>
          <w:szCs w:val="30"/>
          <w:shd w:val="clear" w:color="auto" w:fill="FFFFFF"/>
        </w:rPr>
        <w:t>及</w:t>
      </w:r>
      <w:r w:rsidRPr="007B5D03">
        <w:rPr>
          <w:sz w:val="30"/>
          <w:szCs w:val="30"/>
          <w:shd w:val="clear" w:color="auto" w:fill="FFFFFF"/>
        </w:rPr>
        <w:t>6</w:t>
      </w:r>
      <w:r w:rsidRPr="007B5D03">
        <w:rPr>
          <w:rFonts w:hAnsi="標楷體"/>
          <w:sz w:val="30"/>
          <w:szCs w:val="30"/>
        </w:rPr>
        <w:t>）</w:t>
      </w:r>
      <w:r w:rsidRPr="007B5D03">
        <w:rPr>
          <w:rFonts w:hAnsi="標楷體" w:hint="eastAsia"/>
          <w:sz w:val="30"/>
          <w:szCs w:val="30"/>
        </w:rPr>
        <w:t>。</w:t>
      </w:r>
    </w:p>
    <w:p w:rsidR="00514426" w:rsidRPr="007B5D03" w:rsidRDefault="00514426" w:rsidP="00075D64">
      <w:pPr>
        <w:snapToGrid w:val="0"/>
        <w:spacing w:line="437" w:lineRule="exact"/>
        <w:ind w:left="907" w:firstLineChars="100" w:firstLine="300"/>
        <w:rPr>
          <w:sz w:val="30"/>
          <w:szCs w:val="30"/>
        </w:rPr>
      </w:pPr>
      <w:r w:rsidRPr="007B5D03">
        <w:rPr>
          <w:rFonts w:hAnsi="標楷體"/>
          <w:sz w:val="30"/>
          <w:szCs w:val="30"/>
        </w:rPr>
        <w:t>是以，由經濟實質面觀察，權證發行所收取之權利金收入，其最主要之成本，或說影響本檔次權證交易獲利與否最重要的關鍵實繫於其避險損失是否控制得宜，蓋權證價值主要取決於時間價值，權利金之設定亦是本於對權證時間價值及內涵價值之評估而精算出來，實必須以一個整體權證發行期間來觀察權證交易之獲利狀況；另由法規範面觀察，權證發行必須有避險交易之配套措施，否則主管機關根本不准其發行。從而，不管由發行權證之經濟活動實質面向觀察，或由法規範強制面向觀察，權證發行所收取</w:t>
      </w:r>
      <w:r w:rsidRPr="007B5D03">
        <w:rPr>
          <w:rFonts w:hAnsi="標楷體"/>
          <w:spacing w:val="-4"/>
          <w:sz w:val="30"/>
          <w:szCs w:val="30"/>
        </w:rPr>
        <w:t>之權利金收入，與其相關必要之避險損失，實係互為條件，</w:t>
      </w:r>
      <w:r w:rsidRPr="007B5D03">
        <w:rPr>
          <w:rFonts w:hAnsi="標楷體"/>
          <w:sz w:val="30"/>
          <w:szCs w:val="30"/>
        </w:rPr>
        <w:t>具有直接因果關係。故於經濟實質上完全無法想像避險損失竟無法自權利金收入項下抵扣之可能。</w:t>
      </w:r>
    </w:p>
    <w:p w:rsidR="00514426" w:rsidRPr="007B5D03" w:rsidRDefault="00514426" w:rsidP="000B7E1A">
      <w:pPr>
        <w:snapToGrid w:val="0"/>
        <w:spacing w:line="437" w:lineRule="exact"/>
        <w:ind w:left="907" w:firstLineChars="100" w:firstLine="308"/>
        <w:rPr>
          <w:sz w:val="30"/>
          <w:szCs w:val="30"/>
        </w:rPr>
      </w:pPr>
      <w:r w:rsidRPr="007B5D03">
        <w:rPr>
          <w:rFonts w:hAnsi="標楷體"/>
          <w:spacing w:val="4"/>
          <w:sz w:val="30"/>
          <w:szCs w:val="30"/>
        </w:rPr>
        <w:t>權證課稅爭議自民國</w:t>
      </w:r>
      <w:r w:rsidRPr="007B5D03">
        <w:rPr>
          <w:spacing w:val="4"/>
          <w:sz w:val="30"/>
          <w:szCs w:val="30"/>
        </w:rPr>
        <w:t>86</w:t>
      </w:r>
      <w:r w:rsidRPr="007B5D03">
        <w:rPr>
          <w:rFonts w:hAnsi="標楷體"/>
          <w:spacing w:val="4"/>
          <w:sz w:val="30"/>
          <w:szCs w:val="30"/>
        </w:rPr>
        <w:t>年權證此一新金融商品在我國</w:t>
      </w:r>
      <w:r w:rsidRPr="007B5D03">
        <w:rPr>
          <w:rFonts w:hAnsi="標楷體"/>
          <w:sz w:val="30"/>
          <w:szCs w:val="30"/>
        </w:rPr>
        <w:lastRenderedPageBreak/>
        <w:t>上市買賣後，因實質造成租稅不公，財稅實務界、業者及學界爭論不休，相關文獻亦汗牛充棟，財稅主管機關雖知財政部</w:t>
      </w:r>
      <w:r w:rsidRPr="007B5D03">
        <w:rPr>
          <w:sz w:val="30"/>
          <w:szCs w:val="30"/>
        </w:rPr>
        <w:t>86</w:t>
      </w:r>
      <w:r w:rsidRPr="007B5D03">
        <w:rPr>
          <w:rFonts w:hAnsi="標楷體"/>
          <w:sz w:val="30"/>
          <w:szCs w:val="30"/>
        </w:rPr>
        <w:t>年函釋可能有錯誤課稅之情事，惟其未能勇於任</w:t>
      </w:r>
      <w:r w:rsidRPr="007B5D03">
        <w:rPr>
          <w:rFonts w:hAnsi="標楷體"/>
          <w:spacing w:val="4"/>
          <w:sz w:val="30"/>
          <w:szCs w:val="30"/>
        </w:rPr>
        <w:t>事，僅同意以修法且不溯及既往之方式解決權證案件爭</w:t>
      </w:r>
      <w:r w:rsidRPr="007B5D03">
        <w:rPr>
          <w:rFonts w:hAnsi="標楷體"/>
          <w:sz w:val="30"/>
          <w:szCs w:val="30"/>
        </w:rPr>
        <w:t>議，修法之前之爭議案件則推諉予司法機關，原本權證案件於臺北高等行政法院獲得為數甚多之實體上有利納稅義務人之判決，豈料經稽徵機關上訴至最高行政法院後，目</w:t>
      </w:r>
      <w:r w:rsidRPr="007B5D03">
        <w:rPr>
          <w:rFonts w:hAnsi="標楷體"/>
          <w:spacing w:val="8"/>
          <w:sz w:val="30"/>
          <w:szCs w:val="30"/>
        </w:rPr>
        <w:t>前已獲確定判決之案件均逆轉為納稅義務人敗訴（附件</w:t>
      </w:r>
      <w:r w:rsidRPr="007B5D03">
        <w:rPr>
          <w:sz w:val="30"/>
          <w:szCs w:val="30"/>
        </w:rPr>
        <w:t>7</w:t>
      </w:r>
      <w:r w:rsidRPr="007B5D03">
        <w:rPr>
          <w:rFonts w:hAnsi="標楷體"/>
          <w:sz w:val="30"/>
          <w:szCs w:val="30"/>
        </w:rPr>
        <w:t>、截至聲請日行政法院權證交易相關判決一覽），此種會產生上下審級法院判決歧異之有重大爭議案件，實有賴</w:t>
      </w:r>
      <w:r w:rsidRPr="007B5D03">
        <w:rPr>
          <w:sz w:val="30"/>
          <w:szCs w:val="30"/>
        </w:rPr>
        <w:t xml:space="preserve">　</w:t>
      </w:r>
      <w:r w:rsidRPr="007B5D03">
        <w:rPr>
          <w:rFonts w:hAnsi="標楷體"/>
          <w:sz w:val="30"/>
          <w:szCs w:val="30"/>
        </w:rPr>
        <w:t>鈞院以憲法解釋之角度，對於確定判決所援用之財政部</w:t>
      </w:r>
      <w:r w:rsidRPr="007B5D03">
        <w:rPr>
          <w:sz w:val="30"/>
          <w:szCs w:val="30"/>
        </w:rPr>
        <w:t>86</w:t>
      </w:r>
      <w:r w:rsidRPr="007B5D03">
        <w:rPr>
          <w:rFonts w:hAnsi="標楷體"/>
          <w:sz w:val="30"/>
          <w:szCs w:val="30"/>
        </w:rPr>
        <w:t>年函釋進行解釋。本案聲請人</w:t>
      </w:r>
      <w:r w:rsidRPr="007B5D03">
        <w:rPr>
          <w:sz w:val="30"/>
          <w:szCs w:val="30"/>
        </w:rPr>
        <w:t>90</w:t>
      </w:r>
      <w:r w:rsidRPr="007B5D03">
        <w:rPr>
          <w:rFonts w:hAnsi="標楷體"/>
          <w:sz w:val="30"/>
          <w:szCs w:val="30"/>
        </w:rPr>
        <w:t>年營利事業所得稅核定事件，經最高行政法院</w:t>
      </w:r>
      <w:r w:rsidRPr="007B5D03">
        <w:rPr>
          <w:sz w:val="30"/>
          <w:szCs w:val="30"/>
        </w:rPr>
        <w:t>97</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183</w:t>
      </w:r>
      <w:r w:rsidRPr="007B5D03">
        <w:rPr>
          <w:rFonts w:hAnsi="標楷體"/>
          <w:sz w:val="30"/>
          <w:szCs w:val="30"/>
        </w:rPr>
        <w:t>號判決逕依財政部</w:t>
      </w:r>
      <w:r w:rsidRPr="007B5D03">
        <w:rPr>
          <w:sz w:val="30"/>
          <w:szCs w:val="30"/>
        </w:rPr>
        <w:t>86</w:t>
      </w:r>
      <w:r w:rsidRPr="007B5D03">
        <w:rPr>
          <w:rFonts w:hAnsi="標楷體"/>
          <w:sz w:val="30"/>
          <w:szCs w:val="30"/>
        </w:rPr>
        <w:t>年函釋，廢棄聲請人於臺北高等行政法院</w:t>
      </w:r>
      <w:r w:rsidRPr="007B5D03">
        <w:rPr>
          <w:sz w:val="30"/>
          <w:szCs w:val="30"/>
        </w:rPr>
        <w:t>94</w:t>
      </w:r>
      <w:r w:rsidRPr="007B5D03">
        <w:rPr>
          <w:rFonts w:hAnsi="標楷體"/>
          <w:sz w:val="30"/>
          <w:szCs w:val="30"/>
        </w:rPr>
        <w:t>年</w:t>
      </w:r>
      <w:r w:rsidRPr="007B5D03">
        <w:rPr>
          <w:rFonts w:hAnsi="標楷體" w:hint="eastAsia"/>
          <w:sz w:val="30"/>
          <w:szCs w:val="30"/>
        </w:rPr>
        <w:t>度</w:t>
      </w:r>
      <w:r w:rsidRPr="007B5D03">
        <w:rPr>
          <w:rFonts w:hAnsi="標楷體"/>
          <w:sz w:val="30"/>
          <w:szCs w:val="30"/>
        </w:rPr>
        <w:t>訴字第</w:t>
      </w:r>
      <w:r w:rsidRPr="007B5D03">
        <w:rPr>
          <w:sz w:val="30"/>
          <w:szCs w:val="30"/>
        </w:rPr>
        <w:t>1669</w:t>
      </w:r>
      <w:r w:rsidRPr="007B5D03">
        <w:rPr>
          <w:rFonts w:hAnsi="標楷體"/>
          <w:sz w:val="30"/>
          <w:szCs w:val="30"/>
        </w:rPr>
        <w:t>號之勝訴判決，並駁回聲請人在第一審之訴，聲請人遂針對該確定判決所適用之財政部</w:t>
      </w:r>
      <w:r w:rsidRPr="007B5D03">
        <w:rPr>
          <w:sz w:val="30"/>
          <w:szCs w:val="30"/>
        </w:rPr>
        <w:t>86</w:t>
      </w:r>
      <w:r w:rsidRPr="007B5D03">
        <w:rPr>
          <w:rFonts w:hAnsi="標楷體"/>
          <w:sz w:val="30"/>
          <w:szCs w:val="30"/>
        </w:rPr>
        <w:t>年函釋，依法聲請本件解釋。</w:t>
      </w:r>
    </w:p>
    <w:p w:rsidR="00514426" w:rsidRPr="007B5D03" w:rsidRDefault="00514426" w:rsidP="00FB2D5A">
      <w:pPr>
        <w:snapToGrid w:val="0"/>
        <w:spacing w:line="437" w:lineRule="exact"/>
        <w:ind w:leftChars="100" w:left="960" w:hanging="680"/>
        <w:rPr>
          <w:spacing w:val="4"/>
          <w:sz w:val="30"/>
          <w:szCs w:val="30"/>
        </w:rPr>
      </w:pPr>
      <w:r w:rsidRPr="007B5D03">
        <w:rPr>
          <w:rFonts w:hAnsi="標楷體"/>
          <w:spacing w:val="4"/>
          <w:sz w:val="30"/>
          <w:szCs w:val="30"/>
        </w:rPr>
        <w:t>二、最高行政法院判決見解</w:t>
      </w:r>
    </w:p>
    <w:p w:rsidR="00514426" w:rsidRPr="007B5D03" w:rsidRDefault="00514426" w:rsidP="00570681">
      <w:pPr>
        <w:snapToGrid w:val="0"/>
        <w:spacing w:line="437" w:lineRule="exact"/>
        <w:ind w:left="1587" w:hanging="907"/>
        <w:rPr>
          <w:sz w:val="30"/>
          <w:szCs w:val="30"/>
        </w:rPr>
      </w:pPr>
      <w:r w:rsidRPr="007B5D03">
        <w:rPr>
          <w:rFonts w:hAnsi="標楷體"/>
          <w:sz w:val="30"/>
          <w:szCs w:val="30"/>
        </w:rPr>
        <w:t>（一）本件最高行政法院確定判決以下述數點理由廢棄原對聲請人有利之判決並駁回聲請人在第一審之訴：</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1.</w:t>
      </w:r>
      <w:r w:rsidRPr="007B5D03">
        <w:rPr>
          <w:rFonts w:hAnsi="標楷體"/>
          <w:sz w:val="30"/>
          <w:szCs w:val="30"/>
        </w:rPr>
        <w:t>財政部</w:t>
      </w:r>
      <w:r w:rsidRPr="007B5D03">
        <w:rPr>
          <w:sz w:val="30"/>
          <w:szCs w:val="30"/>
        </w:rPr>
        <w:t>86</w:t>
      </w:r>
      <w:r w:rsidRPr="007B5D03">
        <w:rPr>
          <w:rFonts w:hAnsi="標楷體"/>
          <w:sz w:val="30"/>
          <w:szCs w:val="30"/>
        </w:rPr>
        <w:t>年函釋對避險而買賣標的股票所生之損失，依行為時所得稅法第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規定，停止課徵證券交易所得稅，則依損益配合原則，證券交易損失自亦不得從所得額中減除。且行為時所得稅法第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證券交易免稅所得並無排除收入成本配合原則之適用，業經司法院釋字第</w:t>
      </w:r>
      <w:r w:rsidRPr="007B5D03">
        <w:rPr>
          <w:sz w:val="30"/>
          <w:szCs w:val="30"/>
        </w:rPr>
        <w:t>493</w:t>
      </w:r>
      <w:r w:rsidRPr="007B5D03">
        <w:rPr>
          <w:rFonts w:hAnsi="標楷體"/>
          <w:sz w:val="30"/>
          <w:szCs w:val="30"/>
        </w:rPr>
        <w:t>號解釋在案，</w:t>
      </w:r>
      <w:r w:rsidRPr="007B5D03">
        <w:rPr>
          <w:rFonts w:hAnsi="標楷體"/>
          <w:spacing w:val="4"/>
          <w:sz w:val="30"/>
          <w:szCs w:val="30"/>
        </w:rPr>
        <w:lastRenderedPageBreak/>
        <w:t>財政部</w:t>
      </w:r>
      <w:r w:rsidRPr="007B5D03">
        <w:rPr>
          <w:spacing w:val="4"/>
          <w:sz w:val="30"/>
          <w:szCs w:val="30"/>
        </w:rPr>
        <w:t>86</w:t>
      </w:r>
      <w:r w:rsidRPr="007B5D03">
        <w:rPr>
          <w:rFonts w:hAnsi="標楷體"/>
          <w:spacing w:val="4"/>
          <w:sz w:val="30"/>
          <w:szCs w:val="30"/>
        </w:rPr>
        <w:t>年函釋符合所得稅法第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規定意</w:t>
      </w:r>
      <w:r w:rsidRPr="007B5D03">
        <w:rPr>
          <w:rFonts w:hAnsi="標楷體"/>
          <w:sz w:val="30"/>
          <w:szCs w:val="30"/>
        </w:rPr>
        <w:t>旨，自應予以適用。</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2.</w:t>
      </w:r>
      <w:r w:rsidRPr="007B5D03">
        <w:rPr>
          <w:rFonts w:hAnsi="標楷體"/>
          <w:sz w:val="30"/>
          <w:szCs w:val="30"/>
        </w:rPr>
        <w:t>券商對標的股票漲即買、跌即賣之「追漲殺跌」避險交易行為，為其履約之準備，而其避險交易可能產生損失，亦可能產生利益，難認為發行權證之成本或費用。</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3.</w:t>
      </w:r>
      <w:r w:rsidRPr="007B5D03">
        <w:rPr>
          <w:rFonts w:hAnsi="標楷體"/>
          <w:sz w:val="30"/>
          <w:szCs w:val="30"/>
        </w:rPr>
        <w:t>況個別之收入有其對應之成本費用，所產生個別之損益，不能成為他項收入之成本費用，此觀行為時所得稅法施行細則第</w:t>
      </w:r>
      <w:r w:rsidRPr="007B5D03">
        <w:rPr>
          <w:sz w:val="30"/>
          <w:szCs w:val="30"/>
        </w:rPr>
        <w:t>31</w:t>
      </w:r>
      <w:r w:rsidRPr="007B5D03">
        <w:rPr>
          <w:rFonts w:hAnsi="標楷體"/>
          <w:sz w:val="30"/>
          <w:szCs w:val="30"/>
        </w:rPr>
        <w:t>條規定自明，故行為時所得稅法第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之規定，係因證券交易之收入不課稅，所對應之成本費用亦不准自應稅項下認定，導致損失亦不得自所得額中減除。如准減除則會侵蝕應稅之認購權證權利金所得。</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4.</w:t>
      </w:r>
      <w:r w:rsidRPr="007B5D03">
        <w:rPr>
          <w:rFonts w:hAnsi="標楷體"/>
          <w:sz w:val="30"/>
          <w:szCs w:val="30"/>
        </w:rPr>
        <w:t>券商發行權證前已知悉避險交易可能發生損失，經充分衡量其發行該認購權證之利潤後，再行決定該權利金之金額，以作為發行最符合其經濟效益之商品，自不得僅因其依照於發行認購權證時約定應買進或賣出股票時之證券交易，即謂該種證券交易，</w:t>
      </w:r>
      <w:r w:rsidRPr="007B5D03">
        <w:rPr>
          <w:rFonts w:hAnsi="標楷體"/>
          <w:spacing w:val="10"/>
          <w:sz w:val="30"/>
          <w:szCs w:val="30"/>
        </w:rPr>
        <w:t>係出於強制而與一般消費者為證券交易有所不</w:t>
      </w:r>
      <w:r w:rsidRPr="007B5D03">
        <w:rPr>
          <w:rFonts w:hAnsi="標楷體"/>
          <w:sz w:val="30"/>
          <w:szCs w:val="30"/>
        </w:rPr>
        <w:t>同，因而於稅收上異其計算，否則自有違反租稅法律主義及租稅公平原則。</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5.</w:t>
      </w:r>
      <w:r w:rsidRPr="007B5D03">
        <w:rPr>
          <w:rFonts w:hAnsi="標楷體"/>
          <w:sz w:val="30"/>
          <w:szCs w:val="30"/>
        </w:rPr>
        <w:t>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所稱之證券交易，倘符合證券交易之形式外觀即屬之，並不問買賣雙方對該證券交易其動機及內在主觀意思為何，否則亦有違證券交易之安定性及國家稅收之一致性。</w:t>
      </w:r>
    </w:p>
    <w:p w:rsidR="00514426" w:rsidRPr="007B5D03" w:rsidRDefault="00514426" w:rsidP="00570681">
      <w:pPr>
        <w:snapToGrid w:val="0"/>
        <w:spacing w:line="437" w:lineRule="exact"/>
        <w:ind w:left="1872" w:hanging="284"/>
        <w:rPr>
          <w:sz w:val="30"/>
          <w:szCs w:val="30"/>
        </w:rPr>
      </w:pPr>
      <w:r w:rsidRPr="007B5D03">
        <w:rPr>
          <w:rFonts w:ascii="標楷體" w:hAnsi="標楷體"/>
          <w:sz w:val="30"/>
          <w:szCs w:val="30"/>
        </w:rPr>
        <w:t>6.</w:t>
      </w:r>
      <w:r w:rsidRPr="007B5D03">
        <w:rPr>
          <w:rFonts w:hAnsi="標楷體"/>
          <w:spacing w:val="4"/>
          <w:sz w:val="30"/>
          <w:szCs w:val="30"/>
        </w:rPr>
        <w:t>縱然發行權證權利金收入扣除避險措施所受之損</w:t>
      </w:r>
      <w:r w:rsidRPr="007B5D03">
        <w:rPr>
          <w:rFonts w:hAnsi="標楷體"/>
          <w:sz w:val="30"/>
          <w:szCs w:val="30"/>
        </w:rPr>
        <w:lastRenderedPageBreak/>
        <w:t>失後，實際淨所得低於課稅所得，亦屬所得稅法第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於此種情形應否作例外規定或修法之問</w:t>
      </w:r>
      <w:r w:rsidRPr="007B5D03">
        <w:rPr>
          <w:rFonts w:hAnsi="標楷體"/>
          <w:sz w:val="30"/>
          <w:szCs w:val="30"/>
        </w:rPr>
        <w:t>題。例如受捐贈收入、補償費收入、利息收入及認</w:t>
      </w:r>
      <w:r w:rsidRPr="007B5D03">
        <w:rPr>
          <w:rFonts w:hAnsi="標楷體"/>
          <w:spacing w:val="4"/>
          <w:sz w:val="30"/>
          <w:szCs w:val="30"/>
        </w:rPr>
        <w:t>購權證之權利金收入等，其收入性質本無成本費</w:t>
      </w:r>
      <w:r w:rsidRPr="007B5D03">
        <w:rPr>
          <w:rFonts w:hAnsi="標楷體"/>
          <w:sz w:val="30"/>
          <w:szCs w:val="30"/>
        </w:rPr>
        <w:t>用，或費用金額相對微小，形成收入與所得金額相近或對毛收入課稅之結果，此係依所得稅法第</w:t>
      </w:r>
      <w:r w:rsidRPr="007B5D03">
        <w:rPr>
          <w:sz w:val="30"/>
          <w:szCs w:val="30"/>
        </w:rPr>
        <w:t>24</w:t>
      </w:r>
      <w:r w:rsidRPr="007B5D03">
        <w:rPr>
          <w:rFonts w:hAnsi="標楷體"/>
          <w:sz w:val="30"/>
          <w:szCs w:val="30"/>
        </w:rPr>
        <w:t>條實質課稅原則計算所得之結果，難謂違反實質課稅之公平原則。</w:t>
      </w:r>
    </w:p>
    <w:p w:rsidR="00514426" w:rsidRPr="007B5D03" w:rsidRDefault="00514426" w:rsidP="00D40BFA">
      <w:pPr>
        <w:snapToGrid w:val="0"/>
        <w:spacing w:line="437" w:lineRule="exact"/>
        <w:ind w:left="1872" w:hanging="284"/>
        <w:rPr>
          <w:sz w:val="30"/>
          <w:szCs w:val="30"/>
        </w:rPr>
      </w:pPr>
      <w:r w:rsidRPr="007B5D03">
        <w:rPr>
          <w:rFonts w:ascii="標楷體" w:hAnsi="標楷體"/>
          <w:sz w:val="30"/>
          <w:szCs w:val="30"/>
        </w:rPr>
        <w:t>7.</w:t>
      </w:r>
      <w:r w:rsidRPr="007B5D03">
        <w:rPr>
          <w:rFonts w:hAnsi="標楷體"/>
          <w:spacing w:val="4"/>
          <w:sz w:val="30"/>
          <w:szCs w:val="30"/>
        </w:rPr>
        <w:t>縱系爭避險損失會計上可認為本件權證權利金收</w:t>
      </w:r>
      <w:r w:rsidRPr="007B5D03">
        <w:rPr>
          <w:rFonts w:hAnsi="標楷體"/>
          <w:sz w:val="30"/>
          <w:szCs w:val="30"/>
        </w:rPr>
        <w:t>入之成本，亦因行為時所得稅法第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有明文規定，而不得自所得額中減除，尚難以稅法承認於收入內扣除成本費用，即當然於本件可將避險措施所造成證券交易之損失作為成本費用予以扣除，本件原處分係依法律明文規定而為，並非割裂適用不同之法律。</w:t>
      </w:r>
    </w:p>
    <w:p w:rsidR="00514426" w:rsidRPr="007B5D03" w:rsidRDefault="00514426" w:rsidP="00D40BFA">
      <w:pPr>
        <w:snapToGrid w:val="0"/>
        <w:spacing w:line="437" w:lineRule="exact"/>
        <w:ind w:left="1872" w:hanging="284"/>
        <w:rPr>
          <w:sz w:val="30"/>
          <w:szCs w:val="30"/>
        </w:rPr>
      </w:pPr>
      <w:r w:rsidRPr="007B5D03">
        <w:rPr>
          <w:rFonts w:ascii="標楷體" w:hAnsi="標楷體"/>
          <w:sz w:val="30"/>
          <w:szCs w:val="30"/>
        </w:rPr>
        <w:t>8.</w:t>
      </w:r>
      <w:r w:rsidRPr="007B5D03">
        <w:rPr>
          <w:rFonts w:hAnsi="標楷體"/>
          <w:spacing w:val="6"/>
          <w:sz w:val="30"/>
          <w:szCs w:val="30"/>
        </w:rPr>
        <w:t>會計學上之「收入成本配合原則」於稅法之適用</w:t>
      </w:r>
      <w:r w:rsidRPr="007B5D03">
        <w:rPr>
          <w:rFonts w:hAnsi="標楷體"/>
          <w:sz w:val="30"/>
          <w:szCs w:val="30"/>
        </w:rPr>
        <w:t>上，尚須考量租稅政策與目的，於辦理所得稅結算申報或核課所得稅時，其依商業會計法記載之會計事項，如與所得稅法等有關租稅法規規定未符者，</w:t>
      </w:r>
      <w:r w:rsidRPr="007B5D03">
        <w:rPr>
          <w:rFonts w:hAnsi="標楷體"/>
          <w:spacing w:val="4"/>
          <w:sz w:val="30"/>
          <w:szCs w:val="30"/>
        </w:rPr>
        <w:t>均應於申報書內自行調整之。是觀之所得稅法第</w:t>
      </w:r>
      <w:r w:rsidRPr="007B5D03">
        <w:rPr>
          <w:sz w:val="30"/>
          <w:szCs w:val="30"/>
        </w:rPr>
        <w:t>36</w:t>
      </w:r>
      <w:r w:rsidRPr="007B5D03">
        <w:rPr>
          <w:rFonts w:hAnsi="標楷體"/>
          <w:sz w:val="30"/>
          <w:szCs w:val="30"/>
        </w:rPr>
        <w:t>條（捐贈）、第</w:t>
      </w:r>
      <w:r w:rsidRPr="007B5D03">
        <w:rPr>
          <w:sz w:val="30"/>
          <w:szCs w:val="30"/>
        </w:rPr>
        <w:t>37</w:t>
      </w:r>
      <w:r w:rsidRPr="007B5D03">
        <w:rPr>
          <w:rFonts w:hAnsi="標楷體"/>
          <w:sz w:val="30"/>
          <w:szCs w:val="30"/>
        </w:rPr>
        <w:t>條（交際費）、第</w:t>
      </w:r>
      <w:r w:rsidRPr="007B5D03">
        <w:rPr>
          <w:sz w:val="30"/>
          <w:szCs w:val="30"/>
        </w:rPr>
        <w:t>43</w:t>
      </w:r>
      <w:r w:rsidRPr="007B5D03">
        <w:rPr>
          <w:rFonts w:hAnsi="標楷體"/>
          <w:sz w:val="30"/>
          <w:szCs w:val="30"/>
        </w:rPr>
        <w:t>條之</w:t>
      </w:r>
      <w:r w:rsidRPr="007B5D03">
        <w:rPr>
          <w:sz w:val="30"/>
          <w:szCs w:val="30"/>
        </w:rPr>
        <w:t>1</w:t>
      </w:r>
      <w:r w:rsidRPr="007B5D03">
        <w:rPr>
          <w:rFonts w:hAnsi="標楷體"/>
          <w:spacing w:val="-4"/>
          <w:sz w:val="30"/>
          <w:szCs w:val="30"/>
        </w:rPr>
        <w:t>（不合營業常規之調整）、第</w:t>
      </w:r>
      <w:r w:rsidRPr="007B5D03">
        <w:rPr>
          <w:spacing w:val="-4"/>
          <w:sz w:val="30"/>
          <w:szCs w:val="30"/>
        </w:rPr>
        <w:t>49</w:t>
      </w:r>
      <w:r w:rsidRPr="007B5D03">
        <w:rPr>
          <w:rFonts w:hAnsi="標楷體"/>
          <w:spacing w:val="-4"/>
          <w:sz w:val="30"/>
          <w:szCs w:val="30"/>
        </w:rPr>
        <w:t>條（壞帳）、第</w:t>
      </w:r>
      <w:r w:rsidRPr="007B5D03">
        <w:rPr>
          <w:spacing w:val="-4"/>
          <w:sz w:val="30"/>
          <w:szCs w:val="30"/>
        </w:rPr>
        <w:t>51</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（折舊）等之規定，二者範圍自非完全相同。</w:t>
      </w:r>
    </w:p>
    <w:p w:rsidR="00514426" w:rsidRPr="007B5D03" w:rsidRDefault="00514426" w:rsidP="00D40BFA">
      <w:pPr>
        <w:snapToGrid w:val="0"/>
        <w:spacing w:line="437" w:lineRule="exact"/>
        <w:ind w:left="1872" w:hanging="284"/>
        <w:rPr>
          <w:sz w:val="30"/>
          <w:szCs w:val="30"/>
        </w:rPr>
      </w:pPr>
      <w:r w:rsidRPr="007B5D03">
        <w:rPr>
          <w:rFonts w:ascii="標楷體" w:hAnsi="標楷體"/>
          <w:sz w:val="30"/>
          <w:szCs w:val="30"/>
        </w:rPr>
        <w:t>9.</w:t>
      </w:r>
      <w:r w:rsidRPr="007B5D03">
        <w:rPr>
          <w:rFonts w:hAnsi="標楷體"/>
          <w:sz w:val="30"/>
          <w:szCs w:val="30"/>
        </w:rPr>
        <w:t>按收入成本配合原則並非不允許例外之定律，立法者基於整體租稅正義、課稅公平的考量，對於何項收入為應稅收入，何項支出或損失得列報為成本、</w:t>
      </w:r>
      <w:r w:rsidRPr="007B5D03">
        <w:rPr>
          <w:rFonts w:hAnsi="標楷體"/>
          <w:sz w:val="30"/>
          <w:szCs w:val="30"/>
        </w:rPr>
        <w:lastRenderedPageBreak/>
        <w:t>費用</w:t>
      </w:r>
      <w:r w:rsidRPr="007B5D03">
        <w:rPr>
          <w:rFonts w:hAnsi="標楷體" w:hint="eastAsia"/>
          <w:sz w:val="30"/>
          <w:szCs w:val="30"/>
        </w:rPr>
        <w:t>，</w:t>
      </w:r>
      <w:r w:rsidRPr="007B5D03">
        <w:rPr>
          <w:rFonts w:hAnsi="標楷體"/>
          <w:sz w:val="30"/>
          <w:szCs w:val="30"/>
        </w:rPr>
        <w:t>或於何限度內得列報為成本、費用，應有形</w:t>
      </w:r>
      <w:r w:rsidRPr="007B5D03">
        <w:rPr>
          <w:rFonts w:hAnsi="標楷體"/>
          <w:spacing w:val="4"/>
          <w:sz w:val="30"/>
          <w:szCs w:val="30"/>
        </w:rPr>
        <w:t>成的自由。原因事實僅是列報成本費用之前提門</w:t>
      </w:r>
      <w:r w:rsidRPr="007B5D03">
        <w:rPr>
          <w:rFonts w:hAnsi="標楷體"/>
          <w:sz w:val="30"/>
          <w:szCs w:val="30"/>
        </w:rPr>
        <w:t>檻，尚須依據法律對於具備原因事實關係之成本費用再為准駁。如法律已有明文排除之規範者，法律之規定更應優先於原因事實關係而被遵守，租稅法定原則始可確立而貫徹。</w:t>
      </w:r>
    </w:p>
    <w:p w:rsidR="00514426" w:rsidRPr="007B5D03" w:rsidRDefault="00514426" w:rsidP="00D40BFA">
      <w:pPr>
        <w:snapToGrid w:val="0"/>
        <w:spacing w:line="437" w:lineRule="exact"/>
        <w:ind w:left="1928" w:hanging="510"/>
        <w:rPr>
          <w:sz w:val="30"/>
          <w:szCs w:val="30"/>
        </w:rPr>
      </w:pPr>
      <w:r w:rsidRPr="007B5D03">
        <w:rPr>
          <w:rFonts w:ascii="標楷體" w:hAnsi="標楷體"/>
          <w:sz w:val="30"/>
          <w:szCs w:val="30"/>
        </w:rPr>
        <w:t>10.</w:t>
      </w: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已明文規定證券交易所得停止課徵所得稅，證券交易損失亦不得自所得類中扣</w:t>
      </w:r>
      <w:r w:rsidRPr="007B5D03">
        <w:rPr>
          <w:rFonts w:hAnsi="標楷體"/>
          <w:spacing w:val="-4"/>
          <w:sz w:val="30"/>
          <w:szCs w:val="30"/>
        </w:rPr>
        <w:t>除，如獨對權證發行者之特別待遇，亦有違反平等</w:t>
      </w:r>
      <w:r w:rsidRPr="007B5D03">
        <w:rPr>
          <w:rFonts w:hAnsi="標楷體"/>
          <w:sz w:val="30"/>
          <w:szCs w:val="30"/>
        </w:rPr>
        <w:t>原則。</w:t>
      </w:r>
    </w:p>
    <w:p w:rsidR="00514426" w:rsidRPr="007B5D03" w:rsidRDefault="00514426" w:rsidP="00D40BFA">
      <w:pPr>
        <w:snapToGrid w:val="0"/>
        <w:spacing w:line="437" w:lineRule="exact"/>
        <w:ind w:left="1928" w:hanging="510"/>
        <w:rPr>
          <w:sz w:val="30"/>
          <w:szCs w:val="30"/>
        </w:rPr>
      </w:pPr>
      <w:r w:rsidRPr="007B5D03">
        <w:rPr>
          <w:rFonts w:ascii="標楷體" w:hAnsi="標楷體"/>
          <w:sz w:val="30"/>
          <w:szCs w:val="30"/>
        </w:rPr>
        <w:t>11.發</w:t>
      </w:r>
      <w:r w:rsidRPr="007B5D03">
        <w:rPr>
          <w:rFonts w:hAnsi="標楷體"/>
          <w:sz w:val="30"/>
          <w:szCs w:val="30"/>
        </w:rPr>
        <w:t>行認購權證不得減除避險證券交易損失，乃依所得稅法第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規定之結果，並無違反量能課稅原則。</w:t>
      </w:r>
    </w:p>
    <w:p w:rsidR="00514426" w:rsidRPr="007B5D03" w:rsidRDefault="00514426" w:rsidP="00D40BFA">
      <w:pPr>
        <w:snapToGrid w:val="0"/>
        <w:spacing w:line="437" w:lineRule="exact"/>
        <w:ind w:left="1928" w:hanging="510"/>
        <w:rPr>
          <w:sz w:val="30"/>
          <w:szCs w:val="30"/>
        </w:rPr>
      </w:pPr>
      <w:r w:rsidRPr="007B5D03">
        <w:rPr>
          <w:rFonts w:ascii="標楷體" w:hAnsi="標楷體"/>
          <w:sz w:val="30"/>
          <w:szCs w:val="30"/>
        </w:rPr>
        <w:t>12.</w:t>
      </w:r>
      <w:r w:rsidRPr="007B5D03">
        <w:rPr>
          <w:rFonts w:ascii="標楷體" w:hAnsi="標楷體"/>
          <w:spacing w:val="4"/>
          <w:sz w:val="30"/>
          <w:szCs w:val="30"/>
        </w:rPr>
        <w:t>行為</w:t>
      </w:r>
      <w:r w:rsidRPr="007B5D03">
        <w:rPr>
          <w:rFonts w:hAnsi="標楷體"/>
          <w:spacing w:val="4"/>
          <w:sz w:val="30"/>
          <w:szCs w:val="30"/>
        </w:rPr>
        <w:t>時所得稅法第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之規定與同法第</w:t>
      </w:r>
      <w:r w:rsidRPr="007B5D03">
        <w:rPr>
          <w:spacing w:val="4"/>
          <w:sz w:val="30"/>
          <w:szCs w:val="30"/>
        </w:rPr>
        <w:t>24</w:t>
      </w:r>
      <w:r w:rsidRPr="007B5D03">
        <w:rPr>
          <w:rFonts w:hAnsi="標楷體"/>
          <w:spacing w:val="4"/>
          <w:sz w:val="30"/>
          <w:szCs w:val="30"/>
        </w:rPr>
        <w:t>條</w:t>
      </w:r>
      <w:r w:rsidRPr="007B5D03">
        <w:rPr>
          <w:rFonts w:hAnsi="標楷體"/>
          <w:sz w:val="30"/>
          <w:szCs w:val="30"/>
        </w:rPr>
        <w:t>第</w:t>
      </w:r>
      <w:r w:rsidRPr="007B5D03">
        <w:rPr>
          <w:sz w:val="30"/>
          <w:szCs w:val="30"/>
        </w:rPr>
        <w:t>1</w:t>
      </w:r>
      <w:r w:rsidRPr="007B5D03">
        <w:rPr>
          <w:rFonts w:hAnsi="標楷體"/>
          <w:sz w:val="30"/>
          <w:szCs w:val="30"/>
        </w:rPr>
        <w:t>項之規定相較，實屬特別規定，應優先適用。原審判決竟稱行為時所得稅法第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項規定</w:t>
      </w:r>
      <w:r w:rsidRPr="007B5D03">
        <w:rPr>
          <w:rFonts w:hAnsi="標楷體"/>
          <w:spacing w:val="-4"/>
          <w:sz w:val="30"/>
          <w:szCs w:val="30"/>
        </w:rPr>
        <w:t>為所得稅之核心價值，應優先於其他規定適用，認</w:t>
      </w:r>
      <w:r w:rsidRPr="007B5D03">
        <w:rPr>
          <w:rFonts w:hAnsi="標楷體"/>
          <w:sz w:val="30"/>
          <w:szCs w:val="30"/>
        </w:rPr>
        <w:t>同將避險股票交易損失列報為發行認購權證之成</w:t>
      </w:r>
      <w:r w:rsidRPr="007B5D03">
        <w:rPr>
          <w:rFonts w:hAnsi="標楷體"/>
          <w:spacing w:val="-4"/>
          <w:sz w:val="30"/>
          <w:szCs w:val="30"/>
        </w:rPr>
        <w:t>本，形成有所得無法課稅，但有損失可以列報之現</w:t>
      </w:r>
      <w:r w:rsidRPr="007B5D03">
        <w:rPr>
          <w:rFonts w:hAnsi="標楷體"/>
          <w:sz w:val="30"/>
          <w:szCs w:val="30"/>
        </w:rPr>
        <w:t>象，有割裂法律之適用及違反租稅公平情事。</w:t>
      </w:r>
    </w:p>
    <w:p w:rsidR="00514426" w:rsidRPr="007B5D03" w:rsidRDefault="00514426" w:rsidP="00D40BFA">
      <w:pPr>
        <w:snapToGrid w:val="0"/>
        <w:spacing w:line="437" w:lineRule="exact"/>
        <w:ind w:left="1587" w:hanging="907"/>
        <w:rPr>
          <w:sz w:val="30"/>
          <w:szCs w:val="30"/>
        </w:rPr>
      </w:pPr>
      <w:r w:rsidRPr="007B5D03">
        <w:rPr>
          <w:rFonts w:hAnsi="標楷體"/>
          <w:sz w:val="30"/>
          <w:szCs w:val="30"/>
        </w:rPr>
        <w:t>（二）綜觀本件最高行政法院確定判決之理由，可知本件釋憲標的（亦即財政部</w:t>
      </w:r>
      <w:r w:rsidRPr="007B5D03">
        <w:rPr>
          <w:sz w:val="30"/>
          <w:szCs w:val="30"/>
        </w:rPr>
        <w:t>86</w:t>
      </w:r>
      <w:r w:rsidRPr="007B5D03">
        <w:rPr>
          <w:rFonts w:hAnsi="標楷體"/>
          <w:sz w:val="30"/>
          <w:szCs w:val="30"/>
        </w:rPr>
        <w:t>年函釋）之解釋內容涉有下列數點問題：</w:t>
      </w:r>
    </w:p>
    <w:p w:rsidR="00514426" w:rsidRPr="007B5D03" w:rsidRDefault="00514426" w:rsidP="001A326E">
      <w:pPr>
        <w:snapToGrid w:val="0"/>
        <w:spacing w:line="437" w:lineRule="exact"/>
        <w:ind w:left="1872" w:hanging="284"/>
        <w:rPr>
          <w:sz w:val="30"/>
          <w:szCs w:val="30"/>
        </w:rPr>
      </w:pPr>
      <w:r w:rsidRPr="007B5D03">
        <w:rPr>
          <w:rFonts w:ascii="標楷體" w:hAnsi="標楷體"/>
          <w:sz w:val="30"/>
          <w:szCs w:val="30"/>
        </w:rPr>
        <w:t>1.財政</w:t>
      </w:r>
      <w:r w:rsidRPr="007B5D03">
        <w:rPr>
          <w:rFonts w:hAnsi="標楷體"/>
          <w:sz w:val="30"/>
          <w:szCs w:val="30"/>
        </w:rPr>
        <w:t>部</w:t>
      </w:r>
      <w:r w:rsidRPr="007B5D03">
        <w:rPr>
          <w:sz w:val="30"/>
          <w:szCs w:val="30"/>
        </w:rPr>
        <w:t>86</w:t>
      </w:r>
      <w:r w:rsidRPr="007B5D03">
        <w:rPr>
          <w:rFonts w:hAnsi="標楷體"/>
          <w:sz w:val="30"/>
          <w:szCs w:val="30"/>
        </w:rPr>
        <w:t>年函釋有無違反上位階之法律或法規命</w:t>
      </w:r>
      <w:r w:rsidRPr="007B5D03">
        <w:rPr>
          <w:rFonts w:hAnsi="標楷體"/>
          <w:spacing w:val="4"/>
          <w:sz w:val="30"/>
          <w:szCs w:val="30"/>
        </w:rPr>
        <w:t>令？亦即從租稅法律主義及法律保留原則角度觀察，財政部</w:t>
      </w:r>
      <w:r w:rsidRPr="007B5D03">
        <w:rPr>
          <w:spacing w:val="4"/>
          <w:sz w:val="30"/>
          <w:szCs w:val="30"/>
        </w:rPr>
        <w:t>86</w:t>
      </w:r>
      <w:r w:rsidRPr="007B5D03">
        <w:rPr>
          <w:rFonts w:hAnsi="標楷體"/>
          <w:spacing w:val="4"/>
          <w:sz w:val="30"/>
          <w:szCs w:val="30"/>
        </w:rPr>
        <w:t>年函釋係依所得稅法第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及</w:t>
      </w:r>
      <w:r w:rsidRPr="007B5D03">
        <w:rPr>
          <w:rFonts w:hAnsi="標楷體"/>
          <w:sz w:val="30"/>
          <w:szCs w:val="30"/>
        </w:rPr>
        <w:lastRenderedPageBreak/>
        <w:t>其施行細則第</w:t>
      </w:r>
      <w:r w:rsidRPr="007B5D03">
        <w:rPr>
          <w:sz w:val="30"/>
          <w:szCs w:val="30"/>
        </w:rPr>
        <w:t>31</w:t>
      </w:r>
      <w:r w:rsidRPr="007B5D03">
        <w:rPr>
          <w:rFonts w:hAnsi="標楷體"/>
          <w:sz w:val="30"/>
          <w:szCs w:val="30"/>
        </w:rPr>
        <w:t>條所為之合法解釋，抑或違反行</w:t>
      </w:r>
      <w:r w:rsidRPr="007B5D03">
        <w:rPr>
          <w:rFonts w:hAnsi="標楷體"/>
          <w:spacing w:val="4"/>
          <w:sz w:val="30"/>
          <w:szCs w:val="30"/>
        </w:rPr>
        <w:t>為時所得稅法第</w:t>
      </w:r>
      <w:r w:rsidRPr="007B5D03">
        <w:rPr>
          <w:spacing w:val="4"/>
          <w:sz w:val="30"/>
          <w:szCs w:val="30"/>
        </w:rPr>
        <w:t>24</w:t>
      </w:r>
      <w:r w:rsidRPr="007B5D03">
        <w:rPr>
          <w:rFonts w:hAnsi="標楷體"/>
          <w:spacing w:val="4"/>
          <w:sz w:val="30"/>
          <w:szCs w:val="30"/>
        </w:rPr>
        <w:t>條之違法解釋？又所得稅法第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之規定範圍是否有如最高行政法院所理解地那麼廣，並且構成行為時所得稅法第</w:t>
      </w:r>
      <w:r w:rsidRPr="007B5D03">
        <w:rPr>
          <w:sz w:val="30"/>
          <w:szCs w:val="30"/>
        </w:rPr>
        <w:t>24</w:t>
      </w:r>
      <w:r w:rsidRPr="007B5D03">
        <w:rPr>
          <w:rFonts w:hAnsi="標楷體"/>
          <w:sz w:val="30"/>
          <w:szCs w:val="30"/>
        </w:rPr>
        <w:t>條之特別規定；抑或應理解所得稅法第</w:t>
      </w:r>
      <w:r w:rsidRPr="007B5D03">
        <w:rPr>
          <w:sz w:val="30"/>
          <w:szCs w:val="30"/>
        </w:rPr>
        <w:t>24</w:t>
      </w:r>
      <w:r w:rsidRPr="007B5D03">
        <w:rPr>
          <w:rFonts w:hAnsi="標楷體"/>
          <w:sz w:val="30"/>
          <w:szCs w:val="30"/>
        </w:rPr>
        <w:t>條為所得稅法第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之特別規定；又或應採法律體系一致性之合理解釋？何種論點始與　鈞院釋字第</w:t>
      </w:r>
      <w:r w:rsidRPr="007B5D03">
        <w:rPr>
          <w:sz w:val="30"/>
          <w:szCs w:val="30"/>
        </w:rPr>
        <w:t>493</w:t>
      </w:r>
      <w:r w:rsidRPr="007B5D03">
        <w:rPr>
          <w:rFonts w:hAnsi="標楷體"/>
          <w:sz w:val="30"/>
          <w:szCs w:val="30"/>
        </w:rPr>
        <w:t>號解</w:t>
      </w:r>
      <w:r w:rsidRPr="007B5D03">
        <w:rPr>
          <w:rFonts w:hAnsi="標楷體"/>
          <w:spacing w:val="10"/>
          <w:sz w:val="30"/>
          <w:szCs w:val="30"/>
        </w:rPr>
        <w:t>釋意旨相符？此問題即是針對本件確定判決所</w:t>
      </w:r>
      <w:r w:rsidRPr="007B5D03">
        <w:rPr>
          <w:rFonts w:hAnsi="標楷體"/>
          <w:sz w:val="30"/>
          <w:szCs w:val="30"/>
        </w:rPr>
        <w:t>持之上開理由之</w:t>
      </w:r>
      <w:r w:rsidRPr="007B5D03">
        <w:rPr>
          <w:sz w:val="30"/>
          <w:szCs w:val="30"/>
        </w:rPr>
        <w:t>1.</w:t>
      </w:r>
      <w:r w:rsidRPr="007B5D03">
        <w:rPr>
          <w:rFonts w:hAnsi="標楷體"/>
          <w:sz w:val="30"/>
          <w:szCs w:val="30"/>
        </w:rPr>
        <w:t>、</w:t>
      </w:r>
      <w:r w:rsidRPr="007B5D03">
        <w:rPr>
          <w:sz w:val="30"/>
          <w:szCs w:val="30"/>
        </w:rPr>
        <w:t>3.</w:t>
      </w:r>
      <w:r w:rsidRPr="007B5D03">
        <w:rPr>
          <w:rFonts w:hAnsi="標楷體"/>
          <w:sz w:val="30"/>
          <w:szCs w:val="30"/>
        </w:rPr>
        <w:t>、</w:t>
      </w:r>
      <w:r w:rsidRPr="007B5D03">
        <w:rPr>
          <w:sz w:val="30"/>
          <w:szCs w:val="30"/>
        </w:rPr>
        <w:t>4.</w:t>
      </w:r>
      <w:r w:rsidRPr="007B5D03">
        <w:rPr>
          <w:rFonts w:hAnsi="標楷體"/>
          <w:sz w:val="30"/>
          <w:szCs w:val="30"/>
        </w:rPr>
        <w:t>、</w:t>
      </w:r>
      <w:r w:rsidRPr="007B5D03">
        <w:rPr>
          <w:sz w:val="30"/>
          <w:szCs w:val="30"/>
        </w:rPr>
        <w:t>5.</w:t>
      </w:r>
      <w:r w:rsidRPr="007B5D03">
        <w:rPr>
          <w:rFonts w:hAnsi="標楷體"/>
          <w:sz w:val="30"/>
          <w:szCs w:val="30"/>
        </w:rPr>
        <w:t>及</w:t>
      </w:r>
      <w:r w:rsidRPr="007B5D03">
        <w:rPr>
          <w:sz w:val="30"/>
          <w:szCs w:val="30"/>
        </w:rPr>
        <w:t>12.</w:t>
      </w:r>
      <w:r w:rsidRPr="007B5D03">
        <w:rPr>
          <w:rFonts w:hAnsi="標楷體"/>
          <w:sz w:val="30"/>
          <w:szCs w:val="30"/>
        </w:rPr>
        <w:t>部分。</w:t>
      </w:r>
    </w:p>
    <w:p w:rsidR="00514426" w:rsidRPr="007B5D03" w:rsidRDefault="00514426" w:rsidP="001A326E">
      <w:pPr>
        <w:snapToGrid w:val="0"/>
        <w:spacing w:line="437" w:lineRule="exact"/>
        <w:ind w:left="1872" w:hanging="284"/>
        <w:rPr>
          <w:sz w:val="30"/>
          <w:szCs w:val="30"/>
        </w:rPr>
      </w:pPr>
      <w:r w:rsidRPr="007B5D03">
        <w:rPr>
          <w:rFonts w:ascii="標楷體" w:hAnsi="標楷體"/>
          <w:sz w:val="30"/>
          <w:szCs w:val="30"/>
        </w:rPr>
        <w:t>2.</w:t>
      </w:r>
      <w:r w:rsidRPr="007B5D03">
        <w:rPr>
          <w:rFonts w:ascii="標楷體" w:hAnsi="標楷體"/>
          <w:spacing w:val="4"/>
          <w:sz w:val="30"/>
          <w:szCs w:val="30"/>
        </w:rPr>
        <w:t>從實</w:t>
      </w:r>
      <w:r w:rsidRPr="007B5D03">
        <w:rPr>
          <w:rFonts w:hAnsi="標楷體"/>
          <w:spacing w:val="4"/>
          <w:sz w:val="30"/>
          <w:szCs w:val="30"/>
        </w:rPr>
        <w:t>質課稅原則之角度觀察避險交易是否屬於整體</w:t>
      </w:r>
      <w:r w:rsidRPr="007B5D03">
        <w:rPr>
          <w:spacing w:val="4"/>
          <w:sz w:val="30"/>
          <w:szCs w:val="30"/>
        </w:rPr>
        <w:t>權證</w:t>
      </w:r>
      <w:r w:rsidRPr="007B5D03">
        <w:rPr>
          <w:rFonts w:hAnsi="標楷體"/>
          <w:spacing w:val="4"/>
          <w:sz w:val="30"/>
          <w:szCs w:val="30"/>
        </w:rPr>
        <w:t>交易之一部分？亦即在法律上應以一個法</w:t>
      </w:r>
      <w:r w:rsidRPr="007B5D03">
        <w:rPr>
          <w:rFonts w:hAnsi="標楷體"/>
          <w:sz w:val="30"/>
          <w:szCs w:val="30"/>
        </w:rPr>
        <w:t>律事實（行為）看待或以數個法律行為看待？此問</w:t>
      </w:r>
      <w:r w:rsidRPr="007B5D03">
        <w:rPr>
          <w:rFonts w:hAnsi="標楷體"/>
          <w:spacing w:val="4"/>
          <w:sz w:val="30"/>
          <w:szCs w:val="30"/>
        </w:rPr>
        <w:t>題即是針對本件確定判決所持之上開理由之</w:t>
      </w:r>
      <w:r w:rsidRPr="007B5D03">
        <w:rPr>
          <w:spacing w:val="4"/>
          <w:sz w:val="30"/>
          <w:szCs w:val="30"/>
        </w:rPr>
        <w:t>2.</w:t>
      </w:r>
      <w:r w:rsidRPr="007B5D03">
        <w:rPr>
          <w:rFonts w:hAnsi="標楷體"/>
          <w:spacing w:val="4"/>
          <w:sz w:val="30"/>
          <w:szCs w:val="30"/>
        </w:rPr>
        <w:t>、</w:t>
      </w:r>
      <w:r w:rsidRPr="007B5D03">
        <w:rPr>
          <w:sz w:val="30"/>
          <w:szCs w:val="30"/>
        </w:rPr>
        <w:t>3.</w:t>
      </w:r>
      <w:r w:rsidRPr="007B5D03">
        <w:rPr>
          <w:rFonts w:hAnsi="標楷體"/>
          <w:sz w:val="30"/>
          <w:szCs w:val="30"/>
        </w:rPr>
        <w:t>、</w:t>
      </w:r>
      <w:r w:rsidRPr="007B5D03">
        <w:rPr>
          <w:sz w:val="30"/>
          <w:szCs w:val="30"/>
        </w:rPr>
        <w:t>7.</w:t>
      </w:r>
      <w:r w:rsidRPr="007B5D03">
        <w:rPr>
          <w:rFonts w:hAnsi="標楷體"/>
          <w:sz w:val="30"/>
          <w:szCs w:val="30"/>
        </w:rPr>
        <w:t>、</w:t>
      </w:r>
      <w:r w:rsidRPr="007B5D03">
        <w:rPr>
          <w:sz w:val="30"/>
          <w:szCs w:val="30"/>
        </w:rPr>
        <w:t>12.</w:t>
      </w:r>
      <w:r w:rsidRPr="007B5D03">
        <w:rPr>
          <w:rFonts w:hAnsi="標楷體"/>
          <w:sz w:val="30"/>
          <w:szCs w:val="30"/>
        </w:rPr>
        <w:t>部分。</w:t>
      </w:r>
    </w:p>
    <w:p w:rsidR="00514426" w:rsidRPr="007B5D03" w:rsidRDefault="00514426" w:rsidP="001A326E">
      <w:pPr>
        <w:snapToGrid w:val="0"/>
        <w:spacing w:line="437" w:lineRule="exact"/>
        <w:ind w:left="1872" w:hanging="284"/>
        <w:rPr>
          <w:sz w:val="30"/>
          <w:szCs w:val="30"/>
        </w:rPr>
      </w:pPr>
      <w:r w:rsidRPr="007B5D03">
        <w:rPr>
          <w:rFonts w:ascii="標楷體" w:hAnsi="標楷體"/>
          <w:sz w:val="30"/>
          <w:szCs w:val="30"/>
        </w:rPr>
        <w:t>3.從</w:t>
      </w:r>
      <w:r w:rsidRPr="007B5D03">
        <w:rPr>
          <w:rFonts w:hAnsi="標楷體"/>
          <w:sz w:val="30"/>
          <w:szCs w:val="30"/>
        </w:rPr>
        <w:t>量能課稅原則而論，成本費用之認列是否得有無限制之立法形成自由？財政部</w:t>
      </w:r>
      <w:r w:rsidRPr="007B5D03">
        <w:rPr>
          <w:sz w:val="30"/>
          <w:szCs w:val="30"/>
        </w:rPr>
        <w:t>86</w:t>
      </w:r>
      <w:r w:rsidRPr="007B5D03">
        <w:rPr>
          <w:rFonts w:hAnsi="標楷體"/>
          <w:sz w:val="30"/>
          <w:szCs w:val="30"/>
        </w:rPr>
        <w:t>年函釋是否為貫徹立法者在所得稅法第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形成之量能課稅原則之例外？此部分即是針對前開判決理由</w:t>
      </w:r>
      <w:r w:rsidRPr="007B5D03">
        <w:rPr>
          <w:sz w:val="30"/>
          <w:szCs w:val="30"/>
        </w:rPr>
        <w:t>6.</w:t>
      </w:r>
      <w:r w:rsidRPr="007B5D03">
        <w:rPr>
          <w:rFonts w:hAnsi="標楷體"/>
          <w:sz w:val="30"/>
          <w:szCs w:val="30"/>
        </w:rPr>
        <w:t>、</w:t>
      </w:r>
      <w:r w:rsidRPr="007B5D03">
        <w:rPr>
          <w:sz w:val="30"/>
          <w:szCs w:val="30"/>
        </w:rPr>
        <w:t>9.</w:t>
      </w:r>
      <w:r w:rsidRPr="007B5D03">
        <w:rPr>
          <w:rFonts w:hAnsi="標楷體"/>
          <w:sz w:val="30"/>
          <w:szCs w:val="30"/>
        </w:rPr>
        <w:t>及</w:t>
      </w:r>
      <w:r w:rsidRPr="007B5D03">
        <w:rPr>
          <w:sz w:val="30"/>
          <w:szCs w:val="30"/>
        </w:rPr>
        <w:t>11.</w:t>
      </w:r>
      <w:r w:rsidRPr="007B5D03">
        <w:rPr>
          <w:rFonts w:hAnsi="標楷體"/>
          <w:sz w:val="30"/>
          <w:szCs w:val="30"/>
        </w:rPr>
        <w:t>部分。</w:t>
      </w:r>
    </w:p>
    <w:p w:rsidR="00514426" w:rsidRPr="007B5D03" w:rsidRDefault="00514426" w:rsidP="001A326E">
      <w:pPr>
        <w:snapToGrid w:val="0"/>
        <w:spacing w:line="437" w:lineRule="exact"/>
        <w:ind w:left="1872" w:hanging="284"/>
        <w:rPr>
          <w:sz w:val="30"/>
          <w:szCs w:val="30"/>
        </w:rPr>
      </w:pPr>
      <w:r w:rsidRPr="007B5D03">
        <w:rPr>
          <w:rFonts w:ascii="標楷體" w:hAnsi="標楷體"/>
          <w:sz w:val="30"/>
          <w:szCs w:val="30"/>
        </w:rPr>
        <w:t>4.依</w:t>
      </w:r>
      <w:r w:rsidRPr="007B5D03">
        <w:rPr>
          <w:rFonts w:hAnsi="標楷體"/>
          <w:sz w:val="30"/>
          <w:szCs w:val="30"/>
        </w:rPr>
        <w:t>平等原則以言，立法者在制</w:t>
      </w:r>
      <w:r w:rsidRPr="007B5D03">
        <w:rPr>
          <w:rFonts w:hAnsi="標楷體" w:hint="eastAsia"/>
          <w:sz w:val="30"/>
          <w:szCs w:val="30"/>
        </w:rPr>
        <w:t>定</w:t>
      </w: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時有無預見權證交易所生之課稅爭議，是否屬於「法律漏洞」？如有法律漏洞是否應有相對應之法</w:t>
      </w:r>
      <w:r w:rsidRPr="007B5D03">
        <w:rPr>
          <w:rFonts w:hAnsi="標楷體"/>
          <w:spacing w:val="4"/>
          <w:sz w:val="30"/>
          <w:szCs w:val="30"/>
        </w:rPr>
        <w:t>律補充方法？是否可將立法者對所得稅法第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之意旨理解為進行財稅差異之依據？其界限</w:t>
      </w:r>
      <w:r w:rsidRPr="007B5D03">
        <w:rPr>
          <w:rFonts w:hAnsi="標楷體"/>
          <w:sz w:val="30"/>
          <w:szCs w:val="30"/>
        </w:rPr>
        <w:t>何在？此部分即是針對前開判決理由</w:t>
      </w:r>
      <w:r w:rsidRPr="007B5D03">
        <w:rPr>
          <w:sz w:val="30"/>
          <w:szCs w:val="30"/>
        </w:rPr>
        <w:t>7.</w:t>
      </w:r>
      <w:r w:rsidRPr="007B5D03">
        <w:rPr>
          <w:rFonts w:hAnsi="標楷體"/>
          <w:sz w:val="30"/>
          <w:szCs w:val="30"/>
        </w:rPr>
        <w:t>、</w:t>
      </w:r>
      <w:r w:rsidRPr="007B5D03">
        <w:rPr>
          <w:sz w:val="30"/>
          <w:szCs w:val="30"/>
        </w:rPr>
        <w:t>8.</w:t>
      </w:r>
      <w:r w:rsidRPr="007B5D03">
        <w:rPr>
          <w:rFonts w:hAnsi="標楷體"/>
          <w:sz w:val="30"/>
          <w:szCs w:val="30"/>
        </w:rPr>
        <w:t>、</w:t>
      </w:r>
      <w:r w:rsidRPr="007B5D03">
        <w:rPr>
          <w:sz w:val="30"/>
          <w:szCs w:val="30"/>
        </w:rPr>
        <w:t>9.</w:t>
      </w:r>
      <w:r w:rsidRPr="007B5D03">
        <w:rPr>
          <w:rFonts w:hAnsi="標楷體"/>
          <w:sz w:val="30"/>
          <w:szCs w:val="30"/>
        </w:rPr>
        <w:t>部分。</w:t>
      </w:r>
    </w:p>
    <w:p w:rsidR="00514426" w:rsidRPr="007B5D03" w:rsidRDefault="00514426" w:rsidP="00FB2D5A">
      <w:pPr>
        <w:snapToGrid w:val="0"/>
        <w:spacing w:line="437" w:lineRule="exact"/>
        <w:ind w:leftChars="100" w:left="960" w:hanging="680"/>
        <w:rPr>
          <w:spacing w:val="6"/>
          <w:sz w:val="30"/>
          <w:szCs w:val="30"/>
        </w:rPr>
      </w:pPr>
      <w:r w:rsidRPr="007B5D03">
        <w:rPr>
          <w:rFonts w:hAnsi="標楷體"/>
          <w:spacing w:val="6"/>
          <w:sz w:val="30"/>
          <w:szCs w:val="30"/>
        </w:rPr>
        <w:t>三、本案之疑義與涉及之憲法條文</w:t>
      </w:r>
    </w:p>
    <w:p w:rsidR="00514426" w:rsidRPr="007B5D03" w:rsidRDefault="00514426" w:rsidP="00FB2D5A">
      <w:pPr>
        <w:snapToGrid w:val="0"/>
        <w:spacing w:line="437" w:lineRule="exact"/>
        <w:ind w:left="1616" w:hanging="936"/>
        <w:rPr>
          <w:sz w:val="30"/>
          <w:szCs w:val="30"/>
        </w:rPr>
      </w:pPr>
      <w:r w:rsidRPr="007B5D03">
        <w:rPr>
          <w:rFonts w:hint="eastAsia"/>
          <w:sz w:val="30"/>
          <w:szCs w:val="30"/>
        </w:rPr>
        <w:lastRenderedPageBreak/>
        <w:t>（一）</w:t>
      </w:r>
      <w:r w:rsidRPr="007B5D03">
        <w:rPr>
          <w:rFonts w:hAnsi="標楷體"/>
          <w:sz w:val="30"/>
          <w:szCs w:val="30"/>
        </w:rPr>
        <w:t>程序部分</w:t>
      </w:r>
    </w:p>
    <w:p w:rsidR="00514426" w:rsidRPr="007B5D03" w:rsidRDefault="00514426" w:rsidP="001A326E">
      <w:pPr>
        <w:snapToGrid w:val="0"/>
        <w:spacing w:line="437" w:lineRule="exact"/>
        <w:ind w:left="1247" w:firstLine="340"/>
        <w:rPr>
          <w:sz w:val="30"/>
          <w:szCs w:val="30"/>
        </w:rPr>
      </w:pPr>
      <w:r w:rsidRPr="007B5D03">
        <w:rPr>
          <w:rFonts w:hAnsi="標楷體"/>
          <w:sz w:val="30"/>
          <w:szCs w:val="30"/>
        </w:rPr>
        <w:t>依司法院大法官審理案件法第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款之規定，人民於其憲法上所保障之權利，遭受不法侵害，經依法定程序提起訴訟，對於確定終局</w:t>
      </w:r>
      <w:r w:rsidRPr="007B5D03">
        <w:rPr>
          <w:rFonts w:hAnsi="標楷體" w:hint="eastAsia"/>
          <w:sz w:val="30"/>
          <w:szCs w:val="30"/>
        </w:rPr>
        <w:t>裁判</w:t>
      </w:r>
      <w:r w:rsidRPr="007B5D03">
        <w:rPr>
          <w:rFonts w:hAnsi="標楷體"/>
          <w:sz w:val="30"/>
          <w:szCs w:val="30"/>
        </w:rPr>
        <w:t>所適用之法律或命令，發生有牴觸憲法疑義者，得聲請解釋憲法。所謂「所適用法律或命令」包括經立法院三讀通過，總統公布之法律，或由法律授權行政機關訂定之法規命令，</w:t>
      </w:r>
      <w:r w:rsidRPr="007B5D03">
        <w:rPr>
          <w:rFonts w:hAnsi="標楷體"/>
          <w:spacing w:val="4"/>
          <w:sz w:val="30"/>
          <w:szCs w:val="30"/>
        </w:rPr>
        <w:t>及行政機關本於職權所發布之解釋性或裁量性行政規</w:t>
      </w:r>
      <w:r w:rsidRPr="007B5D03">
        <w:rPr>
          <w:rFonts w:hAnsi="標楷體"/>
          <w:sz w:val="30"/>
          <w:szCs w:val="30"/>
        </w:rPr>
        <w:t>則</w:t>
      </w:r>
      <w:r w:rsidRPr="007B5D03">
        <w:rPr>
          <w:rFonts w:hint="eastAsia"/>
          <w:sz w:val="30"/>
          <w:szCs w:val="30"/>
        </w:rPr>
        <w:t>（</w:t>
      </w:r>
      <w:r w:rsidRPr="007B5D03">
        <w:rPr>
          <w:rFonts w:hAnsi="標楷體"/>
          <w:sz w:val="30"/>
          <w:szCs w:val="30"/>
        </w:rPr>
        <w:t>釋字第</w:t>
      </w:r>
      <w:r w:rsidRPr="007B5D03">
        <w:rPr>
          <w:sz w:val="30"/>
          <w:szCs w:val="30"/>
        </w:rPr>
        <w:t>374</w:t>
      </w:r>
      <w:r w:rsidRPr="007B5D03">
        <w:rPr>
          <w:rFonts w:hAnsi="標楷體"/>
          <w:sz w:val="30"/>
          <w:szCs w:val="30"/>
        </w:rPr>
        <w:t>號解釋理由書參照</w:t>
      </w:r>
      <w:r w:rsidRPr="007B5D03">
        <w:rPr>
          <w:rFonts w:hint="eastAsia"/>
          <w:sz w:val="30"/>
          <w:szCs w:val="30"/>
        </w:rPr>
        <w:t>）</w:t>
      </w:r>
      <w:r w:rsidRPr="007B5D03">
        <w:rPr>
          <w:rFonts w:hAnsi="標楷體"/>
          <w:sz w:val="30"/>
          <w:szCs w:val="30"/>
        </w:rPr>
        <w:t>。經查聲請人因最</w:t>
      </w:r>
      <w:r w:rsidRPr="007B5D03">
        <w:rPr>
          <w:rFonts w:hAnsi="標楷體"/>
          <w:spacing w:val="4"/>
          <w:sz w:val="30"/>
          <w:szCs w:val="30"/>
        </w:rPr>
        <w:t>高行政法院</w:t>
      </w:r>
      <w:r w:rsidRPr="007B5D03">
        <w:rPr>
          <w:spacing w:val="4"/>
          <w:sz w:val="30"/>
          <w:szCs w:val="30"/>
        </w:rPr>
        <w:t>97</w:t>
      </w:r>
      <w:r w:rsidRPr="007B5D03">
        <w:rPr>
          <w:rFonts w:hAnsi="標楷體"/>
          <w:spacing w:val="4"/>
          <w:sz w:val="30"/>
          <w:szCs w:val="30"/>
        </w:rPr>
        <w:t>年</w:t>
      </w:r>
      <w:r w:rsidRPr="007B5D03">
        <w:rPr>
          <w:rFonts w:hAnsi="標楷體" w:hint="eastAsia"/>
          <w:spacing w:val="4"/>
          <w:sz w:val="30"/>
          <w:szCs w:val="30"/>
        </w:rPr>
        <w:t>度</w:t>
      </w:r>
      <w:r w:rsidRPr="007B5D03">
        <w:rPr>
          <w:rFonts w:hAnsi="標楷體"/>
          <w:spacing w:val="4"/>
          <w:sz w:val="30"/>
          <w:szCs w:val="30"/>
        </w:rPr>
        <w:t>判字第</w:t>
      </w:r>
      <w:r w:rsidRPr="007B5D03">
        <w:rPr>
          <w:spacing w:val="4"/>
          <w:sz w:val="30"/>
          <w:szCs w:val="30"/>
        </w:rPr>
        <w:t>183</w:t>
      </w:r>
      <w:r w:rsidRPr="007B5D03">
        <w:rPr>
          <w:rFonts w:hAnsi="標楷體"/>
          <w:spacing w:val="4"/>
          <w:sz w:val="30"/>
          <w:szCs w:val="30"/>
        </w:rPr>
        <w:t>號確定終局判決，其適用財政部</w:t>
      </w:r>
      <w:r w:rsidRPr="007B5D03">
        <w:rPr>
          <w:spacing w:val="4"/>
          <w:sz w:val="30"/>
          <w:szCs w:val="30"/>
        </w:rPr>
        <w:t>86</w:t>
      </w:r>
      <w:r w:rsidRPr="007B5D03">
        <w:rPr>
          <w:rFonts w:hAnsi="標楷體"/>
          <w:spacing w:val="4"/>
          <w:sz w:val="30"/>
          <w:szCs w:val="30"/>
        </w:rPr>
        <w:t>年函釋規定「認購（售）權證發行人於發</w:t>
      </w:r>
      <w:r w:rsidRPr="007B5D03">
        <w:rPr>
          <w:rFonts w:hAnsi="標楷體"/>
          <w:sz w:val="30"/>
          <w:szCs w:val="30"/>
        </w:rPr>
        <w:t>行時所取得之發行價款，係屬權利金收入，依現行所得稅法第</w:t>
      </w:r>
      <w:r w:rsidRPr="007B5D03">
        <w:rPr>
          <w:sz w:val="30"/>
          <w:szCs w:val="30"/>
        </w:rPr>
        <w:t>22</w:t>
      </w:r>
      <w:r w:rsidRPr="007B5D03">
        <w:rPr>
          <w:rFonts w:hAnsi="標楷體"/>
          <w:sz w:val="30"/>
          <w:szCs w:val="30"/>
        </w:rPr>
        <w:t>條有關公司組織之會計基礎應採權責發生制之規定，應於發行期間內分期計算損益或於履約時認列損益。認購（售）權證發行人於發行後，因投資人行使</w:t>
      </w:r>
      <w:r w:rsidRPr="007B5D03">
        <w:rPr>
          <w:rFonts w:hAnsi="標楷體"/>
          <w:spacing w:val="4"/>
          <w:sz w:val="30"/>
          <w:szCs w:val="30"/>
        </w:rPr>
        <w:t>權利而售出或購入標的股票產生之證券交易所得或損</w:t>
      </w:r>
      <w:r w:rsidRPr="007B5D03">
        <w:rPr>
          <w:rFonts w:hAnsi="標楷體"/>
          <w:sz w:val="30"/>
          <w:szCs w:val="30"/>
        </w:rPr>
        <w:t>失，應於履約時認列損益，並依所得稅法第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規定辦理。」廢棄聲請人於臺北高等行政法院獲得勝訴之</w:t>
      </w:r>
      <w:r w:rsidRPr="007B5D03">
        <w:rPr>
          <w:rFonts w:hAnsi="標楷體"/>
          <w:spacing w:val="4"/>
          <w:sz w:val="30"/>
          <w:szCs w:val="30"/>
        </w:rPr>
        <w:t>判決，並維持原核定對於聲請人發行權證之權利金收</w:t>
      </w:r>
      <w:r w:rsidRPr="007B5D03">
        <w:rPr>
          <w:rFonts w:hAnsi="標楷體"/>
          <w:sz w:val="30"/>
          <w:szCs w:val="30"/>
        </w:rPr>
        <w:t>入，其相關必要之避險損失否准認列為權證權利金收入之減項，係忽視憲法第</w:t>
      </w:r>
      <w:r w:rsidRPr="007B5D03">
        <w:rPr>
          <w:sz w:val="30"/>
          <w:szCs w:val="30"/>
        </w:rPr>
        <w:t>7</w:t>
      </w:r>
      <w:r w:rsidRPr="007B5D03">
        <w:rPr>
          <w:rFonts w:hAnsi="標楷體"/>
          <w:sz w:val="30"/>
          <w:szCs w:val="30"/>
        </w:rPr>
        <w:t>條、第</w:t>
      </w:r>
      <w:r w:rsidRPr="007B5D03">
        <w:rPr>
          <w:sz w:val="30"/>
          <w:szCs w:val="30"/>
        </w:rPr>
        <w:t>15</w:t>
      </w:r>
      <w:r w:rsidRPr="007B5D03">
        <w:rPr>
          <w:rFonts w:hAnsi="標楷體"/>
          <w:sz w:val="30"/>
          <w:szCs w:val="30"/>
        </w:rPr>
        <w:t>條、第</w:t>
      </w:r>
      <w:r w:rsidRPr="007B5D03">
        <w:rPr>
          <w:sz w:val="30"/>
          <w:szCs w:val="30"/>
        </w:rPr>
        <w:t>19</w:t>
      </w:r>
      <w:r w:rsidRPr="007B5D03">
        <w:rPr>
          <w:rFonts w:hAnsi="標楷體"/>
          <w:sz w:val="30"/>
          <w:szCs w:val="30"/>
        </w:rPr>
        <w:t>條與第</w:t>
      </w:r>
      <w:r w:rsidRPr="007B5D03">
        <w:rPr>
          <w:sz w:val="30"/>
          <w:szCs w:val="30"/>
        </w:rPr>
        <w:t>23</w:t>
      </w:r>
      <w:r w:rsidRPr="007B5D03">
        <w:rPr>
          <w:rFonts w:hAnsi="標楷體"/>
          <w:sz w:val="30"/>
          <w:szCs w:val="30"/>
        </w:rPr>
        <w:t>條之憲法規定及憲法原則，涉及侵害聲請人受憲法所保障之財產權。依</w:t>
      </w:r>
      <w:r w:rsidRPr="007B5D03">
        <w:rPr>
          <w:sz w:val="30"/>
          <w:szCs w:val="30"/>
        </w:rPr>
        <w:t xml:space="preserve">　</w:t>
      </w:r>
      <w:r w:rsidRPr="007B5D03">
        <w:rPr>
          <w:rFonts w:hAnsi="標楷體"/>
          <w:sz w:val="30"/>
          <w:szCs w:val="30"/>
        </w:rPr>
        <w:t>鈞院釋字</w:t>
      </w:r>
      <w:r w:rsidRPr="007B5D03">
        <w:rPr>
          <w:sz w:val="30"/>
          <w:szCs w:val="30"/>
        </w:rPr>
        <w:t>374</w:t>
      </w:r>
      <w:r w:rsidRPr="007B5D03">
        <w:rPr>
          <w:rFonts w:hAnsi="標楷體"/>
          <w:sz w:val="30"/>
          <w:szCs w:val="30"/>
        </w:rPr>
        <w:t>號解釋理由書，行政機關之釋示，若為最終確定判決之裁判依據，亦得為解釋憲法之審查客體。故前揭財政部</w:t>
      </w:r>
      <w:r w:rsidRPr="007B5D03">
        <w:rPr>
          <w:sz w:val="30"/>
          <w:szCs w:val="30"/>
        </w:rPr>
        <w:t>86</w:t>
      </w:r>
      <w:r w:rsidRPr="007B5D03">
        <w:rPr>
          <w:rFonts w:hAnsi="標楷體"/>
          <w:sz w:val="30"/>
          <w:szCs w:val="30"/>
        </w:rPr>
        <w:t>年函釋屬</w:t>
      </w:r>
      <w:r w:rsidRPr="007B5D03">
        <w:rPr>
          <w:sz w:val="30"/>
          <w:szCs w:val="30"/>
        </w:rPr>
        <w:t xml:space="preserve">　</w:t>
      </w:r>
      <w:r w:rsidRPr="007B5D03">
        <w:rPr>
          <w:rFonts w:hAnsi="標楷體"/>
          <w:sz w:val="30"/>
          <w:szCs w:val="30"/>
        </w:rPr>
        <w:t>鈞院大法官解釋憲法與審查之客體。</w:t>
      </w:r>
    </w:p>
    <w:p w:rsidR="00514426" w:rsidRPr="007B5D03" w:rsidRDefault="00514426" w:rsidP="00FB2D5A">
      <w:pPr>
        <w:snapToGrid w:val="0"/>
        <w:spacing w:line="437" w:lineRule="exact"/>
        <w:ind w:left="1616" w:hanging="936"/>
        <w:rPr>
          <w:b/>
          <w:sz w:val="30"/>
          <w:szCs w:val="30"/>
        </w:rPr>
      </w:pPr>
      <w:r w:rsidRPr="007B5D03">
        <w:rPr>
          <w:rFonts w:hint="eastAsia"/>
          <w:sz w:val="30"/>
          <w:szCs w:val="30"/>
        </w:rPr>
        <w:lastRenderedPageBreak/>
        <w:t>（二）</w:t>
      </w:r>
      <w:r w:rsidRPr="007B5D03">
        <w:rPr>
          <w:rFonts w:hAnsi="標楷體"/>
          <w:sz w:val="30"/>
          <w:szCs w:val="30"/>
        </w:rPr>
        <w:t>實體部分</w:t>
      </w:r>
    </w:p>
    <w:p w:rsidR="00514426" w:rsidRPr="007B5D03" w:rsidRDefault="00514426" w:rsidP="00FD53E4">
      <w:pPr>
        <w:snapToGrid w:val="0"/>
        <w:spacing w:line="437" w:lineRule="exact"/>
        <w:ind w:left="1247" w:firstLine="340"/>
        <w:rPr>
          <w:sz w:val="30"/>
          <w:szCs w:val="30"/>
        </w:rPr>
      </w:pPr>
      <w:r w:rsidRPr="007B5D03">
        <w:rPr>
          <w:rFonts w:hAnsi="標楷體"/>
          <w:sz w:val="30"/>
          <w:szCs w:val="30"/>
        </w:rPr>
        <w:t>本案確定終局判決適用財政部</w:t>
      </w:r>
      <w:r w:rsidRPr="007B5D03">
        <w:rPr>
          <w:sz w:val="30"/>
          <w:szCs w:val="30"/>
        </w:rPr>
        <w:t>86</w:t>
      </w:r>
      <w:r w:rsidRPr="007B5D03">
        <w:rPr>
          <w:rFonts w:hAnsi="標楷體"/>
          <w:sz w:val="30"/>
          <w:szCs w:val="30"/>
        </w:rPr>
        <w:t>年函釋，廢棄原審</w:t>
      </w:r>
      <w:r w:rsidRPr="007B5D03">
        <w:rPr>
          <w:rFonts w:hAnsi="標楷體"/>
          <w:spacing w:val="4"/>
          <w:sz w:val="30"/>
          <w:szCs w:val="30"/>
        </w:rPr>
        <w:t>關於權證交易之相關避險成本可認列為發行權利金收</w:t>
      </w:r>
      <w:r w:rsidRPr="007B5D03">
        <w:rPr>
          <w:rFonts w:hAnsi="標楷體"/>
          <w:sz w:val="30"/>
          <w:szCs w:val="30"/>
        </w:rPr>
        <w:t>入之成本減項，駁回聲請人請求撤銷財政部臺北市國稅</w:t>
      </w:r>
      <w:r w:rsidRPr="007B5D03">
        <w:rPr>
          <w:rFonts w:hAnsi="標楷體"/>
          <w:spacing w:val="10"/>
          <w:sz w:val="30"/>
          <w:szCs w:val="30"/>
        </w:rPr>
        <w:t>局否准認列系爭權證交易之相關必要之避險損失部</w:t>
      </w:r>
      <w:r w:rsidRPr="007B5D03">
        <w:rPr>
          <w:rFonts w:hAnsi="標楷體"/>
          <w:sz w:val="30"/>
          <w:szCs w:val="30"/>
        </w:rPr>
        <w:t>分。然而財政部</w:t>
      </w:r>
      <w:r w:rsidRPr="007B5D03">
        <w:rPr>
          <w:sz w:val="30"/>
          <w:szCs w:val="30"/>
        </w:rPr>
        <w:t>86</w:t>
      </w:r>
      <w:r w:rsidRPr="007B5D03">
        <w:rPr>
          <w:rFonts w:hAnsi="標楷體"/>
          <w:sz w:val="30"/>
          <w:szCs w:val="30"/>
        </w:rPr>
        <w:t>年函釋有違量能課稅原則、客觀淨</w:t>
      </w:r>
      <w:r w:rsidRPr="007B5D03">
        <w:rPr>
          <w:rFonts w:hAnsi="標楷體"/>
          <w:spacing w:val="4"/>
          <w:sz w:val="30"/>
          <w:szCs w:val="30"/>
        </w:rPr>
        <w:t>額所得原則，且對於權證交易之認定即屬對一交易事實、法律行為給予矛盾的法律評價，當屬違反體系正</w:t>
      </w:r>
      <w:r w:rsidRPr="007B5D03">
        <w:rPr>
          <w:rFonts w:hAnsi="標楷體"/>
          <w:sz w:val="30"/>
          <w:szCs w:val="30"/>
        </w:rPr>
        <w:t>義、租稅正義及割裂適用禁止原則；另從租稅法律主義之觀點而論，財政部</w:t>
      </w:r>
      <w:r w:rsidRPr="007B5D03">
        <w:rPr>
          <w:sz w:val="30"/>
          <w:szCs w:val="30"/>
        </w:rPr>
        <w:t>86</w:t>
      </w:r>
      <w:r w:rsidRPr="007B5D03">
        <w:rPr>
          <w:rFonts w:hAnsi="標楷體"/>
          <w:sz w:val="30"/>
          <w:szCs w:val="30"/>
        </w:rPr>
        <w:t>年函釋顯然違反行為時所得稅法第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及第</w:t>
      </w:r>
      <w:r w:rsidRPr="007B5D03">
        <w:rPr>
          <w:sz w:val="30"/>
          <w:szCs w:val="30"/>
        </w:rPr>
        <w:t>24</w:t>
      </w:r>
      <w:r w:rsidRPr="007B5D03">
        <w:rPr>
          <w:rFonts w:hAnsi="標楷體"/>
          <w:sz w:val="30"/>
          <w:szCs w:val="30"/>
        </w:rPr>
        <w:t>條之應有的合法解釋，有違租稅法</w:t>
      </w:r>
      <w:r w:rsidRPr="007B5D03">
        <w:rPr>
          <w:rFonts w:hAnsi="標楷體"/>
          <w:spacing w:val="8"/>
          <w:sz w:val="30"/>
          <w:szCs w:val="30"/>
        </w:rPr>
        <w:t>律主義及法律保留原則；復以財政部</w:t>
      </w:r>
      <w:r w:rsidRPr="007B5D03">
        <w:rPr>
          <w:spacing w:val="8"/>
          <w:sz w:val="30"/>
          <w:szCs w:val="30"/>
        </w:rPr>
        <w:t>86</w:t>
      </w:r>
      <w:r w:rsidRPr="007B5D03">
        <w:rPr>
          <w:rFonts w:hAnsi="標楷體"/>
          <w:spacing w:val="8"/>
          <w:sz w:val="30"/>
          <w:szCs w:val="30"/>
        </w:rPr>
        <w:t>年函釋以權</w:t>
      </w:r>
      <w:r w:rsidRPr="007B5D03">
        <w:rPr>
          <w:rFonts w:hAnsi="標楷體"/>
          <w:sz w:val="30"/>
          <w:szCs w:val="30"/>
        </w:rPr>
        <w:t>利金毛所得課稅之觀點而論，有違量能課稅原則，並非</w:t>
      </w:r>
      <w:r w:rsidRPr="007B5D03">
        <w:rPr>
          <w:rFonts w:hAnsi="標楷體"/>
          <w:spacing w:val="10"/>
          <w:sz w:val="30"/>
          <w:szCs w:val="30"/>
        </w:rPr>
        <w:t>屬立法者有意形成量能課稅原則例外或進行財稅差</w:t>
      </w:r>
      <w:r w:rsidRPr="007B5D03">
        <w:rPr>
          <w:rFonts w:hAnsi="標楷體"/>
          <w:spacing w:val="4"/>
          <w:sz w:val="30"/>
          <w:szCs w:val="30"/>
        </w:rPr>
        <w:t>異，且立法者亦不得為此種裁量，否則與平等原則相左。是財政部</w:t>
      </w:r>
      <w:r w:rsidRPr="007B5D03">
        <w:rPr>
          <w:spacing w:val="4"/>
          <w:sz w:val="30"/>
          <w:szCs w:val="30"/>
        </w:rPr>
        <w:t>86</w:t>
      </w:r>
      <w:r w:rsidRPr="007B5D03">
        <w:rPr>
          <w:rFonts w:hAnsi="標楷體"/>
          <w:spacing w:val="4"/>
          <w:sz w:val="30"/>
          <w:szCs w:val="30"/>
        </w:rPr>
        <w:t>年函釋有違反憲法第</w:t>
      </w:r>
      <w:r w:rsidRPr="007B5D03">
        <w:rPr>
          <w:spacing w:val="4"/>
          <w:sz w:val="30"/>
          <w:szCs w:val="30"/>
        </w:rPr>
        <w:t>7</w:t>
      </w:r>
      <w:r w:rsidRPr="007B5D03">
        <w:rPr>
          <w:rFonts w:hAnsi="標楷體"/>
          <w:spacing w:val="4"/>
          <w:sz w:val="30"/>
          <w:szCs w:val="30"/>
        </w:rPr>
        <w:t>條平等原則、</w:t>
      </w:r>
      <w:r w:rsidRPr="007B5D03">
        <w:rPr>
          <w:rFonts w:hAnsi="標楷體"/>
          <w:sz w:val="30"/>
          <w:szCs w:val="30"/>
        </w:rPr>
        <w:t>第</w:t>
      </w:r>
      <w:r w:rsidRPr="007B5D03">
        <w:rPr>
          <w:sz w:val="30"/>
          <w:szCs w:val="30"/>
        </w:rPr>
        <w:t>15</w:t>
      </w:r>
      <w:r w:rsidRPr="007B5D03">
        <w:rPr>
          <w:rFonts w:hAnsi="標楷體"/>
          <w:sz w:val="30"/>
          <w:szCs w:val="30"/>
        </w:rPr>
        <w:t>條財產權</w:t>
      </w:r>
      <w:r w:rsidRPr="007B5D03">
        <w:rPr>
          <w:rFonts w:hAnsi="標楷體" w:hint="eastAsia"/>
          <w:sz w:val="30"/>
          <w:szCs w:val="30"/>
        </w:rPr>
        <w:t>保障</w:t>
      </w:r>
      <w:r w:rsidRPr="007B5D03">
        <w:rPr>
          <w:rFonts w:hAnsi="標楷體"/>
          <w:sz w:val="30"/>
          <w:szCs w:val="30"/>
        </w:rPr>
        <w:t>、第</w:t>
      </w:r>
      <w:r w:rsidRPr="007B5D03">
        <w:rPr>
          <w:sz w:val="30"/>
          <w:szCs w:val="30"/>
        </w:rPr>
        <w:t>19</w:t>
      </w:r>
      <w:r w:rsidRPr="007B5D03">
        <w:rPr>
          <w:rFonts w:hAnsi="標楷體"/>
          <w:sz w:val="30"/>
          <w:szCs w:val="30"/>
        </w:rPr>
        <w:t>條租稅法律主義及租稅公平</w:t>
      </w:r>
      <w:r w:rsidRPr="007B5D03">
        <w:rPr>
          <w:rFonts w:hAnsi="標楷體"/>
          <w:spacing w:val="4"/>
          <w:sz w:val="30"/>
          <w:szCs w:val="30"/>
        </w:rPr>
        <w:t>原則</w:t>
      </w:r>
      <w:r w:rsidRPr="007B5D03">
        <w:rPr>
          <w:rFonts w:hAnsi="標楷體" w:hint="eastAsia"/>
          <w:spacing w:val="4"/>
          <w:sz w:val="30"/>
          <w:szCs w:val="30"/>
        </w:rPr>
        <w:t>、</w:t>
      </w:r>
      <w:r w:rsidRPr="007B5D03">
        <w:rPr>
          <w:rFonts w:hAnsi="標楷體"/>
          <w:spacing w:val="4"/>
          <w:sz w:val="30"/>
          <w:szCs w:val="30"/>
        </w:rPr>
        <w:t>第</w:t>
      </w:r>
      <w:r w:rsidRPr="007B5D03">
        <w:rPr>
          <w:spacing w:val="4"/>
          <w:sz w:val="30"/>
          <w:szCs w:val="30"/>
        </w:rPr>
        <w:t>23</w:t>
      </w:r>
      <w:r w:rsidRPr="007B5D03">
        <w:rPr>
          <w:rFonts w:hAnsi="標楷體"/>
          <w:spacing w:val="4"/>
          <w:sz w:val="30"/>
          <w:szCs w:val="30"/>
        </w:rPr>
        <w:t>條比例原則</w:t>
      </w:r>
      <w:r w:rsidRPr="007B5D03">
        <w:rPr>
          <w:rFonts w:hAnsi="標楷體" w:hint="eastAsia"/>
          <w:spacing w:val="4"/>
          <w:sz w:val="30"/>
          <w:szCs w:val="30"/>
        </w:rPr>
        <w:t>、</w:t>
      </w:r>
      <w:r w:rsidRPr="007B5D03">
        <w:rPr>
          <w:rFonts w:hAnsi="標楷體"/>
          <w:spacing w:val="4"/>
          <w:sz w:val="30"/>
          <w:szCs w:val="30"/>
        </w:rPr>
        <w:t>第</w:t>
      </w:r>
      <w:r w:rsidRPr="007B5D03">
        <w:rPr>
          <w:spacing w:val="4"/>
          <w:sz w:val="30"/>
          <w:szCs w:val="30"/>
        </w:rPr>
        <w:t>172</w:t>
      </w:r>
      <w:r w:rsidRPr="007B5D03">
        <w:rPr>
          <w:rFonts w:hAnsi="標楷體"/>
          <w:spacing w:val="4"/>
          <w:sz w:val="30"/>
          <w:szCs w:val="30"/>
        </w:rPr>
        <w:t>條等規定，以及鈞院</w:t>
      </w:r>
      <w:r w:rsidRPr="007B5D03">
        <w:rPr>
          <w:rFonts w:hAnsi="標楷體"/>
          <w:sz w:val="30"/>
          <w:szCs w:val="30"/>
        </w:rPr>
        <w:t>歷年來之釋字第</w:t>
      </w:r>
      <w:r w:rsidRPr="007B5D03">
        <w:rPr>
          <w:sz w:val="30"/>
          <w:szCs w:val="30"/>
        </w:rPr>
        <w:t>385</w:t>
      </w:r>
      <w:r w:rsidRPr="007B5D03">
        <w:rPr>
          <w:rFonts w:hAnsi="標楷體"/>
          <w:sz w:val="30"/>
          <w:szCs w:val="30"/>
        </w:rPr>
        <w:t>號</w:t>
      </w:r>
      <w:r w:rsidRPr="007B5D03">
        <w:rPr>
          <w:rFonts w:hAnsi="標楷體" w:hint="eastAsia"/>
          <w:sz w:val="30"/>
          <w:szCs w:val="30"/>
        </w:rPr>
        <w:t>、</w:t>
      </w:r>
      <w:r w:rsidRPr="007B5D03">
        <w:rPr>
          <w:rFonts w:hAnsi="標楷體"/>
          <w:sz w:val="30"/>
          <w:szCs w:val="30"/>
        </w:rPr>
        <w:t>第</w:t>
      </w:r>
      <w:r w:rsidRPr="007B5D03">
        <w:rPr>
          <w:sz w:val="30"/>
          <w:szCs w:val="30"/>
        </w:rPr>
        <w:t>420</w:t>
      </w:r>
      <w:r w:rsidRPr="007B5D03">
        <w:rPr>
          <w:rFonts w:hAnsi="標楷體"/>
          <w:sz w:val="30"/>
          <w:szCs w:val="30"/>
        </w:rPr>
        <w:t>號、第</w:t>
      </w:r>
      <w:r w:rsidRPr="007B5D03">
        <w:rPr>
          <w:sz w:val="30"/>
          <w:szCs w:val="30"/>
        </w:rPr>
        <w:t>493</w:t>
      </w:r>
      <w:r w:rsidRPr="007B5D03">
        <w:rPr>
          <w:rFonts w:hAnsi="標楷體"/>
          <w:sz w:val="30"/>
          <w:szCs w:val="30"/>
        </w:rPr>
        <w:t>號、第</w:t>
      </w:r>
      <w:r w:rsidRPr="007B5D03">
        <w:rPr>
          <w:sz w:val="30"/>
          <w:szCs w:val="30"/>
        </w:rPr>
        <w:t>597</w:t>
      </w:r>
      <w:r w:rsidRPr="007B5D03">
        <w:rPr>
          <w:rFonts w:hAnsi="標楷體"/>
          <w:sz w:val="30"/>
          <w:szCs w:val="30"/>
        </w:rPr>
        <w:t>號、第</w:t>
      </w:r>
      <w:r w:rsidRPr="007B5D03">
        <w:rPr>
          <w:sz w:val="30"/>
          <w:szCs w:val="30"/>
        </w:rPr>
        <w:t>607</w:t>
      </w:r>
      <w:r w:rsidRPr="007B5D03">
        <w:rPr>
          <w:rFonts w:hAnsi="標楷體"/>
          <w:sz w:val="30"/>
          <w:szCs w:val="30"/>
        </w:rPr>
        <w:t>號、第</w:t>
      </w:r>
      <w:r w:rsidRPr="007B5D03">
        <w:rPr>
          <w:sz w:val="30"/>
          <w:szCs w:val="30"/>
        </w:rPr>
        <w:t>625</w:t>
      </w:r>
      <w:r w:rsidRPr="007B5D03">
        <w:rPr>
          <w:rFonts w:hAnsi="標楷體"/>
          <w:sz w:val="30"/>
          <w:szCs w:val="30"/>
        </w:rPr>
        <w:t>號與第</w:t>
      </w:r>
      <w:r w:rsidRPr="007B5D03">
        <w:rPr>
          <w:sz w:val="30"/>
          <w:szCs w:val="30"/>
        </w:rPr>
        <w:t>635</w:t>
      </w:r>
      <w:r w:rsidRPr="007B5D03">
        <w:rPr>
          <w:rFonts w:hAnsi="標楷體"/>
          <w:sz w:val="30"/>
          <w:szCs w:val="30"/>
        </w:rPr>
        <w:t>號等解釋先例，而有牴觸憲法之疑義。</w:t>
      </w:r>
    </w:p>
    <w:p w:rsidR="00514426" w:rsidRPr="007B5D03" w:rsidRDefault="00514426" w:rsidP="00FB2D5A">
      <w:pPr>
        <w:spacing w:line="437" w:lineRule="exact"/>
        <w:ind w:left="641" w:hanging="641"/>
        <w:rPr>
          <w:spacing w:val="4"/>
          <w:sz w:val="30"/>
          <w:szCs w:val="30"/>
        </w:rPr>
      </w:pPr>
      <w:r w:rsidRPr="007B5D03">
        <w:rPr>
          <w:rFonts w:hAnsi="標楷體"/>
          <w:spacing w:val="4"/>
          <w:sz w:val="30"/>
          <w:szCs w:val="30"/>
        </w:rPr>
        <w:t>叁、聲請解釋憲法之理由及聲請人對本案所持之立場與見解</w:t>
      </w:r>
    </w:p>
    <w:p w:rsidR="00514426" w:rsidRPr="007B5D03" w:rsidRDefault="00514426" w:rsidP="00FB2D5A">
      <w:pPr>
        <w:snapToGrid w:val="0"/>
        <w:spacing w:line="437" w:lineRule="exact"/>
        <w:ind w:leftChars="100" w:left="960" w:hanging="680"/>
        <w:rPr>
          <w:spacing w:val="6"/>
          <w:sz w:val="30"/>
          <w:szCs w:val="30"/>
        </w:rPr>
      </w:pPr>
      <w:r w:rsidRPr="007B5D03">
        <w:rPr>
          <w:rFonts w:hAnsi="標楷體"/>
          <w:spacing w:val="6"/>
          <w:sz w:val="30"/>
          <w:szCs w:val="30"/>
        </w:rPr>
        <w:t>一、聲請解釋憲法之理由</w:t>
      </w:r>
    </w:p>
    <w:p w:rsidR="00514426" w:rsidRPr="007B5D03" w:rsidRDefault="00514426" w:rsidP="00FD53E4">
      <w:pPr>
        <w:snapToGrid w:val="0"/>
        <w:spacing w:line="437" w:lineRule="exact"/>
        <w:ind w:leftChars="335" w:left="938" w:firstLineChars="100" w:firstLine="300"/>
        <w:rPr>
          <w:sz w:val="30"/>
          <w:szCs w:val="30"/>
        </w:rPr>
      </w:pPr>
      <w:r w:rsidRPr="007B5D03">
        <w:rPr>
          <w:rFonts w:hAnsi="標楷體"/>
          <w:sz w:val="30"/>
          <w:szCs w:val="30"/>
        </w:rPr>
        <w:t>在探討基本權利違憲審查時，應分基本權利保障範圍之詮釋、基本權利是否受限與限制基本權利之憲法上合法化理由之審查三個層次思考。當立法機關之立法行為如侵及人民基本權利之基礎範圍</w:t>
      </w:r>
      <w:r w:rsidRPr="007B5D03">
        <w:rPr>
          <w:rFonts w:hAnsi="標楷體" w:hint="eastAsia"/>
          <w:sz w:val="30"/>
          <w:szCs w:val="30"/>
        </w:rPr>
        <w:t>(</w:t>
      </w:r>
      <w:r w:rsidRPr="007B5D03">
        <w:rPr>
          <w:sz w:val="30"/>
          <w:szCs w:val="30"/>
        </w:rPr>
        <w:t>Reichweite</w:t>
      </w:r>
      <w:r w:rsidRPr="007B5D03">
        <w:rPr>
          <w:rFonts w:hint="eastAsia"/>
          <w:sz w:val="30"/>
          <w:szCs w:val="30"/>
        </w:rPr>
        <w:t>)</w:t>
      </w:r>
      <w:r w:rsidRPr="007B5D03">
        <w:rPr>
          <w:rFonts w:hAnsi="標楷體"/>
          <w:sz w:val="30"/>
          <w:szCs w:val="30"/>
        </w:rPr>
        <w:t>時，即將之視為一種</w:t>
      </w:r>
      <w:r w:rsidRPr="007B5D03">
        <w:rPr>
          <w:rFonts w:hAnsi="標楷體"/>
          <w:sz w:val="30"/>
          <w:szCs w:val="30"/>
        </w:rPr>
        <w:lastRenderedPageBreak/>
        <w:t>違憲徵兆</w:t>
      </w:r>
      <w:r w:rsidRPr="007B5D03">
        <w:rPr>
          <w:rFonts w:hAnsi="標楷體" w:hint="eastAsia"/>
          <w:sz w:val="30"/>
          <w:szCs w:val="30"/>
        </w:rPr>
        <w:t>(</w:t>
      </w:r>
      <w:r w:rsidRPr="007B5D03">
        <w:rPr>
          <w:sz w:val="30"/>
          <w:szCs w:val="30"/>
        </w:rPr>
        <w:t>Indiz</w:t>
      </w:r>
      <w:r w:rsidRPr="007B5D03">
        <w:rPr>
          <w:rFonts w:hAnsi="標楷體" w:hint="eastAsia"/>
          <w:sz w:val="30"/>
          <w:szCs w:val="30"/>
        </w:rPr>
        <w:t>)</w:t>
      </w:r>
      <w:r w:rsidRPr="007B5D03">
        <w:rPr>
          <w:rFonts w:hAnsi="標楷體"/>
          <w:sz w:val="30"/>
          <w:szCs w:val="30"/>
        </w:rPr>
        <w:t>，在第二層次上，即須檢視國家行為限制</w:t>
      </w:r>
      <w:r w:rsidRPr="007B5D03">
        <w:rPr>
          <w:rFonts w:hAnsi="標楷體"/>
          <w:spacing w:val="-10"/>
          <w:sz w:val="30"/>
          <w:szCs w:val="30"/>
        </w:rPr>
        <w:t>基本權之合憲性（即有無阻卻違憲事由）（附件</w:t>
      </w:r>
      <w:r w:rsidRPr="007B5D03">
        <w:rPr>
          <w:spacing w:val="-10"/>
          <w:sz w:val="30"/>
          <w:szCs w:val="30"/>
        </w:rPr>
        <w:t>8</w:t>
      </w:r>
      <w:r w:rsidRPr="007B5D03">
        <w:rPr>
          <w:rFonts w:hAnsi="標楷體"/>
          <w:spacing w:val="-10"/>
          <w:sz w:val="30"/>
          <w:szCs w:val="30"/>
        </w:rPr>
        <w:t>，李建良，</w:t>
      </w:r>
      <w:r w:rsidRPr="007B5D03">
        <w:rPr>
          <w:rFonts w:hAnsi="標楷體"/>
          <w:spacing w:val="4"/>
          <w:sz w:val="30"/>
          <w:szCs w:val="30"/>
        </w:rPr>
        <w:t>基本權利理論之構成</w:t>
      </w:r>
      <w:r w:rsidRPr="007B5D03">
        <w:rPr>
          <w:rFonts w:hAnsi="標楷體"/>
          <w:spacing w:val="4"/>
          <w:sz w:val="30"/>
          <w:szCs w:val="30"/>
          <w:lang w:val="de-DE"/>
        </w:rPr>
        <w:t>及</w:t>
      </w:r>
      <w:r w:rsidRPr="007B5D03">
        <w:rPr>
          <w:rFonts w:hAnsi="標楷體"/>
          <w:spacing w:val="4"/>
          <w:sz w:val="30"/>
          <w:szCs w:val="30"/>
        </w:rPr>
        <w:t>其思考層次，人文及社會科學集</w:t>
      </w:r>
      <w:r w:rsidRPr="007B5D03">
        <w:rPr>
          <w:rFonts w:hAnsi="標楷體"/>
          <w:sz w:val="30"/>
          <w:szCs w:val="30"/>
        </w:rPr>
        <w:t>刊，第九卷第一期，第</w:t>
      </w:r>
      <w:r w:rsidRPr="007B5D03">
        <w:rPr>
          <w:sz w:val="30"/>
          <w:szCs w:val="30"/>
        </w:rPr>
        <w:t>39</w:t>
      </w:r>
      <w:r w:rsidRPr="007B5D03">
        <w:rPr>
          <w:rFonts w:hAnsi="標楷體"/>
          <w:sz w:val="30"/>
          <w:szCs w:val="30"/>
        </w:rPr>
        <w:t>頁以下）。又按</w:t>
      </w:r>
      <w:r w:rsidRPr="007B5D03">
        <w:rPr>
          <w:sz w:val="30"/>
          <w:szCs w:val="30"/>
        </w:rPr>
        <w:t xml:space="preserve">　</w:t>
      </w:r>
      <w:r w:rsidRPr="007B5D03">
        <w:rPr>
          <w:rFonts w:hAnsi="標楷體"/>
          <w:sz w:val="30"/>
          <w:szCs w:val="30"/>
        </w:rPr>
        <w:t>鈞院對於租稅法令之審查向採取綜合審查標準，申言之，</w:t>
      </w:r>
      <w:r w:rsidRPr="007B5D03">
        <w:rPr>
          <w:sz w:val="30"/>
          <w:szCs w:val="30"/>
        </w:rPr>
        <w:t xml:space="preserve">　</w:t>
      </w:r>
      <w:r w:rsidRPr="007B5D03">
        <w:rPr>
          <w:rFonts w:hAnsi="標楷體"/>
          <w:sz w:val="30"/>
          <w:szCs w:val="30"/>
        </w:rPr>
        <w:t>鈞院近來之憲法解釋係以憲法第</w:t>
      </w:r>
      <w:r w:rsidRPr="007B5D03">
        <w:rPr>
          <w:sz w:val="30"/>
          <w:szCs w:val="30"/>
        </w:rPr>
        <w:t>19</w:t>
      </w:r>
      <w:r w:rsidRPr="007B5D03">
        <w:rPr>
          <w:rFonts w:hAnsi="標楷體"/>
          <w:sz w:val="30"/>
          <w:szCs w:val="30"/>
        </w:rPr>
        <w:t>條規定之「人民有依法律納稅之義務」之文義出發，除包含租稅法律主義之形式合憲性審查標準外，亦就租稅公平原則、量能課稅原則、實質課稅原則及財產權保護等實質違憲性檢驗標準一併納入，此觀</w:t>
      </w:r>
      <w:r w:rsidRPr="007B5D03">
        <w:rPr>
          <w:sz w:val="30"/>
          <w:szCs w:val="30"/>
        </w:rPr>
        <w:t xml:space="preserve">　</w:t>
      </w:r>
      <w:r w:rsidRPr="007B5D03">
        <w:rPr>
          <w:rFonts w:hAnsi="標楷體"/>
          <w:sz w:val="30"/>
          <w:szCs w:val="30"/>
        </w:rPr>
        <w:t>鈞院釋字第</w:t>
      </w:r>
      <w:r w:rsidRPr="007B5D03">
        <w:rPr>
          <w:sz w:val="30"/>
          <w:szCs w:val="30"/>
        </w:rPr>
        <w:t>635</w:t>
      </w:r>
      <w:r w:rsidRPr="007B5D03">
        <w:rPr>
          <w:rFonts w:hAnsi="標楷體"/>
          <w:sz w:val="30"/>
          <w:szCs w:val="30"/>
        </w:rPr>
        <w:t>號解釋理由書所揭櫫：「憲法第十九條規定，人民有依法律納稅之義務，係指國家課人民以繳納稅捐之義務或給予人民減免稅捐之優惠時，應就租稅主體、租稅客體、稅基、稅率等租稅構成要件，以法律定之，惟法律之規定不能鉅細靡遺，有關課稅之技術性及細節性事項，尚非不得以行政命令為必要之釋示。故主管機關於職權範圍內適用之法律條文發生疑義者，本於法定職權就相關規定予以闡釋，如係秉持相關憲法原則，無違於一般法律解釋方法，且符合各該法律之立法目的、租稅之經濟意義，即與租稅法律主義、租稅公平原則無違（本院釋字第四二</w:t>
      </w:r>
      <w:r w:rsidRPr="007B5D03">
        <w:rPr>
          <w:rFonts w:ascii="標楷體" w:hAnsi="標楷體" w:hint="eastAsia"/>
          <w:sz w:val="30"/>
          <w:szCs w:val="30"/>
        </w:rPr>
        <w:t>０</w:t>
      </w:r>
      <w:r w:rsidRPr="007B5D03">
        <w:rPr>
          <w:rFonts w:hAnsi="標楷體"/>
          <w:sz w:val="30"/>
          <w:szCs w:val="30"/>
        </w:rPr>
        <w:t>號、第四六</w:t>
      </w:r>
      <w:r w:rsidRPr="007B5D03">
        <w:rPr>
          <w:rFonts w:hAnsi="標楷體" w:hint="eastAsia"/>
          <w:sz w:val="30"/>
          <w:szCs w:val="30"/>
        </w:rPr>
        <w:t>０</w:t>
      </w:r>
      <w:r w:rsidRPr="007B5D03">
        <w:rPr>
          <w:rFonts w:hAnsi="標楷體"/>
          <w:sz w:val="30"/>
          <w:szCs w:val="30"/>
        </w:rPr>
        <w:t>號、第四九六號、第五一九號、第五</w:t>
      </w:r>
      <w:r w:rsidRPr="007B5D03">
        <w:rPr>
          <w:rFonts w:hAnsi="標楷體"/>
          <w:spacing w:val="-14"/>
          <w:sz w:val="30"/>
          <w:szCs w:val="30"/>
        </w:rPr>
        <w:t>九七號、第六</w:t>
      </w:r>
      <w:r w:rsidRPr="007B5D03">
        <w:rPr>
          <w:rFonts w:ascii="標楷體" w:hAnsi="標楷體" w:hint="eastAsia"/>
          <w:spacing w:val="-14"/>
          <w:sz w:val="30"/>
          <w:szCs w:val="30"/>
        </w:rPr>
        <w:t>０</w:t>
      </w:r>
      <w:r w:rsidRPr="007B5D03">
        <w:rPr>
          <w:rFonts w:hAnsi="標楷體"/>
          <w:spacing w:val="-14"/>
          <w:sz w:val="30"/>
          <w:szCs w:val="30"/>
        </w:rPr>
        <w:t>七號、第六二二號、第六二五號解釋參照）。」</w:t>
      </w:r>
      <w:r w:rsidRPr="007B5D03">
        <w:rPr>
          <w:rFonts w:hAnsi="標楷體"/>
          <w:sz w:val="30"/>
          <w:szCs w:val="30"/>
        </w:rPr>
        <w:t>自明。是聲請人就本件釋憲標的如何違反上開憲法原則，循上揭先形式後實質之合憲性檢驗標準，作為撰寫本聲請書之方法論，合先敘明。</w:t>
      </w:r>
    </w:p>
    <w:p w:rsidR="00514426" w:rsidRPr="007B5D03" w:rsidRDefault="00514426" w:rsidP="00FD53E4">
      <w:pPr>
        <w:snapToGrid w:val="0"/>
        <w:spacing w:line="437" w:lineRule="exact"/>
        <w:ind w:leftChars="335" w:left="938" w:firstLineChars="100" w:firstLine="300"/>
        <w:rPr>
          <w:sz w:val="30"/>
          <w:szCs w:val="30"/>
        </w:rPr>
      </w:pPr>
      <w:r w:rsidRPr="007B5D03">
        <w:rPr>
          <w:rFonts w:hAnsi="標楷體"/>
          <w:sz w:val="30"/>
          <w:szCs w:val="30"/>
        </w:rPr>
        <w:t>由於本案聲請之釋憲標的係屬財政部行政釋示，就形式</w:t>
      </w:r>
      <w:r w:rsidRPr="007B5D03">
        <w:rPr>
          <w:rFonts w:hAnsi="標楷體"/>
          <w:spacing w:val="4"/>
          <w:sz w:val="30"/>
          <w:szCs w:val="30"/>
        </w:rPr>
        <w:t>合憲性之檢驗上，必須遵守租稅法律主義及法律保留原</w:t>
      </w:r>
      <w:r w:rsidRPr="007B5D03">
        <w:rPr>
          <w:rFonts w:hAnsi="標楷體"/>
          <w:sz w:val="30"/>
          <w:szCs w:val="30"/>
        </w:rPr>
        <w:t>則</w:t>
      </w:r>
      <w:r w:rsidRPr="007B5D03">
        <w:rPr>
          <w:rFonts w:hAnsi="標楷體"/>
          <w:sz w:val="30"/>
          <w:szCs w:val="30"/>
        </w:rPr>
        <w:lastRenderedPageBreak/>
        <w:t>，故其問題之爭點在於其解釋是否與所得稅法之法律體系相符合，而無增加法律所無之限制；另從實質合憲性而言，自前揭</w:t>
      </w:r>
      <w:r w:rsidRPr="007B5D03">
        <w:rPr>
          <w:sz w:val="30"/>
          <w:szCs w:val="30"/>
        </w:rPr>
        <w:t xml:space="preserve">　</w:t>
      </w:r>
      <w:r w:rsidRPr="007B5D03">
        <w:rPr>
          <w:rFonts w:hAnsi="標楷體"/>
          <w:sz w:val="30"/>
          <w:szCs w:val="30"/>
        </w:rPr>
        <w:t>鈞院釋字第</w:t>
      </w:r>
      <w:r w:rsidRPr="007B5D03">
        <w:rPr>
          <w:sz w:val="30"/>
          <w:szCs w:val="30"/>
        </w:rPr>
        <w:t>635</w:t>
      </w:r>
      <w:r w:rsidRPr="007B5D03">
        <w:rPr>
          <w:rFonts w:hAnsi="標楷體"/>
          <w:sz w:val="30"/>
          <w:szCs w:val="30"/>
        </w:rPr>
        <w:t>號解釋可知，應以租稅公平原則、量能課稅原則、實質課稅原則作為檢驗財政部</w:t>
      </w:r>
      <w:r w:rsidRPr="007B5D03">
        <w:rPr>
          <w:sz w:val="30"/>
          <w:szCs w:val="30"/>
        </w:rPr>
        <w:t>86</w:t>
      </w:r>
      <w:r w:rsidRPr="007B5D03">
        <w:rPr>
          <w:rFonts w:hAnsi="標楷體"/>
          <w:sz w:val="30"/>
          <w:szCs w:val="30"/>
        </w:rPr>
        <w:t>年函釋主要標準，又一般實質合憲性檢驗最主要者即為比例原則</w:t>
      </w:r>
      <w:r w:rsidRPr="007B5D03">
        <w:rPr>
          <w:rFonts w:hAnsi="標楷體" w:hint="eastAsia"/>
          <w:sz w:val="30"/>
          <w:szCs w:val="30"/>
        </w:rPr>
        <w:t>(</w:t>
      </w:r>
      <w:r w:rsidRPr="007B5D03">
        <w:rPr>
          <w:sz w:val="30"/>
          <w:szCs w:val="30"/>
          <w:lang w:val="de-DE"/>
        </w:rPr>
        <w:t>Grundsatz der Verhaltnismaßigkeit</w:t>
      </w:r>
      <w:r w:rsidRPr="007B5D03">
        <w:rPr>
          <w:rFonts w:hAnsi="標楷體" w:hint="eastAsia"/>
          <w:sz w:val="30"/>
          <w:szCs w:val="30"/>
        </w:rPr>
        <w:t>)</w:t>
      </w:r>
      <w:r w:rsidRPr="007B5D03">
        <w:rPr>
          <w:rFonts w:hAnsi="標楷體"/>
          <w:sz w:val="30"/>
          <w:szCs w:val="30"/>
        </w:rPr>
        <w:t>與平等原則所構成之違憲審查基準，故聲請人亦於本案一併檢討。</w:t>
      </w:r>
    </w:p>
    <w:p w:rsidR="00514426" w:rsidRPr="007B5D03" w:rsidRDefault="00514426" w:rsidP="00FD53E4">
      <w:pPr>
        <w:snapToGrid w:val="0"/>
        <w:spacing w:line="437" w:lineRule="exact"/>
        <w:ind w:leftChars="335" w:left="938" w:firstLineChars="100" w:firstLine="300"/>
        <w:rPr>
          <w:sz w:val="30"/>
          <w:szCs w:val="30"/>
        </w:rPr>
      </w:pPr>
      <w:r w:rsidRPr="007B5D03">
        <w:rPr>
          <w:rFonts w:hAnsi="標楷體"/>
          <w:sz w:val="30"/>
          <w:szCs w:val="30"/>
        </w:rPr>
        <w:t>本於前述，認財政部</w:t>
      </w:r>
      <w:r w:rsidRPr="007B5D03">
        <w:rPr>
          <w:sz w:val="30"/>
          <w:szCs w:val="30"/>
        </w:rPr>
        <w:t>86</w:t>
      </w:r>
      <w:r w:rsidRPr="007B5D03">
        <w:rPr>
          <w:rFonts w:hAnsi="標楷體"/>
          <w:sz w:val="30"/>
          <w:szCs w:val="30"/>
        </w:rPr>
        <w:t>年函釋有以下涉及牴觸憲法之疑義：</w:t>
      </w:r>
    </w:p>
    <w:p w:rsidR="00514426" w:rsidRPr="007B5D03" w:rsidRDefault="00514426" w:rsidP="00FD53E4">
      <w:pPr>
        <w:snapToGrid w:val="0"/>
        <w:spacing w:line="437" w:lineRule="exact"/>
        <w:ind w:left="1587" w:hanging="907"/>
        <w:rPr>
          <w:sz w:val="30"/>
          <w:szCs w:val="30"/>
        </w:rPr>
      </w:pPr>
      <w:r w:rsidRPr="007B5D03">
        <w:rPr>
          <w:rFonts w:hAnsi="標楷體"/>
          <w:sz w:val="30"/>
          <w:szCs w:val="30"/>
        </w:rPr>
        <w:t>（一）</w:t>
      </w:r>
      <w:r w:rsidRPr="007B5D03">
        <w:rPr>
          <w:rFonts w:hAnsi="標楷體"/>
          <w:spacing w:val="4"/>
          <w:sz w:val="30"/>
          <w:szCs w:val="30"/>
        </w:rPr>
        <w:t>依形式合憲性檢驗標準，財政部</w:t>
      </w:r>
      <w:r w:rsidRPr="007B5D03">
        <w:rPr>
          <w:spacing w:val="4"/>
          <w:sz w:val="30"/>
          <w:szCs w:val="30"/>
        </w:rPr>
        <w:t>86</w:t>
      </w:r>
      <w:r w:rsidRPr="007B5D03">
        <w:rPr>
          <w:rFonts w:hAnsi="標楷體"/>
          <w:spacing w:val="4"/>
          <w:sz w:val="30"/>
          <w:szCs w:val="30"/>
        </w:rPr>
        <w:t>年函釋有違修正</w:t>
      </w:r>
      <w:r w:rsidRPr="007B5D03">
        <w:rPr>
          <w:rFonts w:hAnsi="標楷體"/>
          <w:sz w:val="30"/>
          <w:szCs w:val="30"/>
        </w:rPr>
        <w:t>前所得稅法第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項之規定，且逾越所得稅法第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的可能文義範圍，增加法律所無之課稅要件</w:t>
      </w:r>
    </w:p>
    <w:p w:rsidR="00514426" w:rsidRPr="007B5D03" w:rsidRDefault="00514426" w:rsidP="00FD53E4">
      <w:pPr>
        <w:snapToGrid w:val="0"/>
        <w:spacing w:line="437" w:lineRule="exact"/>
        <w:ind w:left="1871" w:hanging="340"/>
        <w:rPr>
          <w:sz w:val="30"/>
          <w:szCs w:val="30"/>
        </w:rPr>
      </w:pPr>
      <w:r w:rsidRPr="007B5D03">
        <w:rPr>
          <w:rFonts w:ascii="標楷體" w:hAnsi="標楷體"/>
          <w:sz w:val="30"/>
          <w:szCs w:val="30"/>
        </w:rPr>
        <w:t>1.</w:t>
      </w:r>
      <w:r w:rsidRPr="007B5D03">
        <w:rPr>
          <w:rFonts w:ascii="標楷體" w:hAnsi="標楷體"/>
          <w:spacing w:val="6"/>
          <w:sz w:val="30"/>
          <w:szCs w:val="30"/>
        </w:rPr>
        <w:t>按</w:t>
      </w:r>
      <w:r w:rsidRPr="007B5D03">
        <w:rPr>
          <w:rFonts w:hAnsi="標楷體"/>
          <w:spacing w:val="6"/>
          <w:sz w:val="30"/>
          <w:szCs w:val="30"/>
        </w:rPr>
        <w:t>「憲法第十九條規定，人民有依法律納稅之義</w:t>
      </w:r>
      <w:r w:rsidRPr="007B5D03">
        <w:rPr>
          <w:rFonts w:hAnsi="標楷體"/>
          <w:sz w:val="30"/>
          <w:szCs w:val="30"/>
        </w:rPr>
        <w:t>務，係指國家課人民以繳納稅捐之義務或給予人民減免稅捐之優惠時，應就租稅主體、租稅客體、稅基、稅率、納稅方法及納稅期間等租稅構成要件，</w:t>
      </w:r>
      <w:r w:rsidRPr="007B5D03">
        <w:rPr>
          <w:rFonts w:hAnsi="標楷體"/>
          <w:spacing w:val="4"/>
          <w:sz w:val="30"/>
          <w:szCs w:val="30"/>
        </w:rPr>
        <w:t>以法律明文規定。是應以法律明定之租稅構成要</w:t>
      </w:r>
      <w:r w:rsidRPr="007B5D03">
        <w:rPr>
          <w:rFonts w:hAnsi="標楷體"/>
          <w:sz w:val="30"/>
          <w:szCs w:val="30"/>
        </w:rPr>
        <w:t>件，自不得以命令為不同規定，或逾越法律，增加法律所無之要件或限制，而課人民以法律所未規定之租稅義務，否則即有違租稅法律主義。最高行政法院以決議之方式表示法律見解者，亦須遵守一般</w:t>
      </w:r>
      <w:r w:rsidRPr="007B5D03">
        <w:rPr>
          <w:rFonts w:hAnsi="標楷體"/>
          <w:spacing w:val="4"/>
          <w:sz w:val="30"/>
          <w:szCs w:val="30"/>
        </w:rPr>
        <w:t>法律解釋方法，秉持立法意旨暨相關憲法原則為</w:t>
      </w:r>
      <w:r w:rsidRPr="007B5D03">
        <w:rPr>
          <w:rFonts w:hAnsi="標楷體"/>
          <w:sz w:val="30"/>
          <w:szCs w:val="30"/>
        </w:rPr>
        <w:t>之；逾越法律解釋之範圍，而增減法律所定租稅義</w:t>
      </w:r>
      <w:r w:rsidRPr="007B5D03">
        <w:rPr>
          <w:rFonts w:hAnsi="標楷體"/>
          <w:spacing w:val="4"/>
          <w:sz w:val="30"/>
          <w:szCs w:val="30"/>
        </w:rPr>
        <w:t>務者，自非憲法第十九條規定之租稅法律主義所</w:t>
      </w:r>
      <w:r w:rsidRPr="007B5D03">
        <w:rPr>
          <w:rFonts w:hAnsi="標楷體"/>
          <w:sz w:val="30"/>
          <w:szCs w:val="30"/>
        </w:rPr>
        <w:t>許」</w:t>
      </w:r>
      <w:r w:rsidRPr="007B5D03">
        <w:rPr>
          <w:rFonts w:hAnsi="標楷體" w:hint="eastAsia"/>
          <w:sz w:val="30"/>
          <w:szCs w:val="30"/>
        </w:rPr>
        <w:t>，</w:t>
      </w:r>
      <w:r w:rsidRPr="007B5D03">
        <w:rPr>
          <w:rFonts w:hAnsi="標楷體"/>
          <w:sz w:val="30"/>
          <w:szCs w:val="30"/>
        </w:rPr>
        <w:t xml:space="preserve">　鈞院著有釋字第</w:t>
      </w:r>
      <w:r w:rsidRPr="007B5D03">
        <w:rPr>
          <w:sz w:val="30"/>
          <w:szCs w:val="30"/>
        </w:rPr>
        <w:t>622</w:t>
      </w:r>
      <w:r w:rsidRPr="007B5D03">
        <w:rPr>
          <w:rFonts w:hAnsi="標楷體"/>
          <w:sz w:val="30"/>
          <w:szCs w:val="30"/>
        </w:rPr>
        <w:t>號解釋理由書在案，可供參憑。</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lastRenderedPageBreak/>
        <w:t>2.次</w:t>
      </w:r>
      <w:r w:rsidRPr="007B5D03">
        <w:rPr>
          <w:rFonts w:hAnsi="標楷體"/>
          <w:sz w:val="30"/>
          <w:szCs w:val="30"/>
        </w:rPr>
        <w:t>按行為時</w:t>
      </w:r>
      <w:r w:rsidRPr="007B5D03">
        <w:rPr>
          <w:rFonts w:hAnsi="標楷體" w:hint="eastAsia"/>
          <w:sz w:val="30"/>
          <w:szCs w:val="30"/>
        </w:rPr>
        <w:t>所得稅法</w:t>
      </w:r>
      <w:r w:rsidRPr="007B5D03">
        <w:rPr>
          <w:rFonts w:hAnsi="標楷體"/>
          <w:sz w:val="30"/>
          <w:szCs w:val="30"/>
        </w:rPr>
        <w:t>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項規定：「營利事業所得之計算，以其本年度收入總額減除各項成本費用、損失及稅捐後之純益額為所得額。」依　鈞院釋字第</w:t>
      </w:r>
      <w:r w:rsidRPr="007B5D03">
        <w:rPr>
          <w:sz w:val="30"/>
          <w:szCs w:val="30"/>
        </w:rPr>
        <w:t>607</w:t>
      </w:r>
      <w:r w:rsidRPr="007B5D03">
        <w:rPr>
          <w:rFonts w:hAnsi="標楷體"/>
          <w:sz w:val="30"/>
          <w:szCs w:val="30"/>
        </w:rPr>
        <w:t>號解釋理由書闡釋</w:t>
      </w:r>
      <w:r w:rsidRPr="007B5D03">
        <w:rPr>
          <w:rFonts w:hAnsi="標楷體" w:hint="eastAsia"/>
          <w:sz w:val="30"/>
          <w:szCs w:val="30"/>
        </w:rPr>
        <w:t>：</w:t>
      </w:r>
      <w:r w:rsidRPr="007B5D03">
        <w:rPr>
          <w:rFonts w:hAnsi="標楷體"/>
          <w:sz w:val="30"/>
          <w:szCs w:val="30"/>
        </w:rPr>
        <w:t>「所得稅法關於營利事業所得稅之課徵客體，為營利事業之收益，包括營業增益及非營業增益，除具有法定減免事由外，均應予以課稅。按所得稅法第二十四條第一項規定：</w:t>
      </w:r>
      <w:r w:rsidRPr="007B5D03">
        <w:rPr>
          <w:rFonts w:hAnsi="標楷體" w:hint="eastAsia"/>
          <w:sz w:val="30"/>
          <w:szCs w:val="30"/>
        </w:rPr>
        <w:t>『</w:t>
      </w:r>
      <w:r w:rsidRPr="007B5D03">
        <w:rPr>
          <w:rFonts w:hAnsi="標楷體"/>
          <w:sz w:val="30"/>
          <w:szCs w:val="30"/>
        </w:rPr>
        <w:t>營利事業所得之計算，以其本年度收入總額減除各項成本費用、損失及稅捐後之純益額為所得額</w:t>
      </w:r>
      <w:r w:rsidRPr="007B5D03">
        <w:rPr>
          <w:rFonts w:hAnsi="標楷體" w:hint="eastAsia"/>
          <w:sz w:val="30"/>
          <w:szCs w:val="30"/>
        </w:rPr>
        <w:t>』</w:t>
      </w:r>
      <w:r w:rsidRPr="007B5D03">
        <w:rPr>
          <w:rFonts w:hAnsi="標楷體"/>
          <w:sz w:val="30"/>
          <w:szCs w:val="30"/>
        </w:rPr>
        <w:t>。所謂</w:t>
      </w:r>
      <w:r w:rsidRPr="007B5D03">
        <w:rPr>
          <w:rFonts w:hAnsi="標楷體" w:hint="eastAsia"/>
          <w:sz w:val="30"/>
          <w:szCs w:val="30"/>
        </w:rPr>
        <w:t>『</w:t>
      </w:r>
      <w:r w:rsidRPr="007B5D03">
        <w:rPr>
          <w:rFonts w:hAnsi="標楷體"/>
          <w:sz w:val="30"/>
          <w:szCs w:val="30"/>
        </w:rPr>
        <w:t>年度收入總額</w:t>
      </w:r>
      <w:r w:rsidRPr="007B5D03">
        <w:rPr>
          <w:rFonts w:hAnsi="標楷體" w:hint="eastAsia"/>
          <w:sz w:val="30"/>
          <w:szCs w:val="30"/>
        </w:rPr>
        <w:t>』</w:t>
      </w:r>
      <w:r w:rsidRPr="007B5D03">
        <w:rPr>
          <w:rFonts w:hAnsi="標楷體"/>
          <w:sz w:val="30"/>
          <w:szCs w:val="30"/>
        </w:rPr>
        <w:t>及供計算所得額之</w:t>
      </w:r>
      <w:r w:rsidRPr="007B5D03">
        <w:rPr>
          <w:rFonts w:hAnsi="標楷體"/>
          <w:spacing w:val="4"/>
          <w:sz w:val="30"/>
          <w:szCs w:val="30"/>
        </w:rPr>
        <w:t>項目則委由同法施行細則第三十一條規定為營業</w:t>
      </w:r>
      <w:r w:rsidRPr="007B5D03">
        <w:rPr>
          <w:rFonts w:hAnsi="標楷體"/>
          <w:sz w:val="30"/>
          <w:szCs w:val="30"/>
        </w:rPr>
        <w:t>淨利＋非營業收益－非營業損失＝純益額（即所得</w:t>
      </w:r>
      <w:r w:rsidRPr="007B5D03">
        <w:rPr>
          <w:rFonts w:hAnsi="標楷體"/>
          <w:spacing w:val="6"/>
          <w:sz w:val="30"/>
          <w:szCs w:val="30"/>
        </w:rPr>
        <w:t>額），至於免稅項目則列舉規定於所得稅法第四</w:t>
      </w:r>
      <w:r w:rsidRPr="007B5D03">
        <w:rPr>
          <w:rFonts w:hAnsi="標楷體"/>
          <w:sz w:val="30"/>
          <w:szCs w:val="30"/>
        </w:rPr>
        <w:t>條，觀諸所得稅法第三條、第四條及第二十四條第一項規定之立法目的及其整體規定之關聯意義，尚未違背憲法第十九條規定之租稅法律主義。」準此</w:t>
      </w:r>
      <w:r w:rsidRPr="007B5D03">
        <w:rPr>
          <w:rFonts w:hAnsi="標楷體"/>
          <w:spacing w:val="4"/>
          <w:sz w:val="30"/>
          <w:szCs w:val="30"/>
        </w:rPr>
        <w:t>行為時所得稅法第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項之文義係規定收入</w:t>
      </w:r>
      <w:r w:rsidRPr="007B5D03">
        <w:rPr>
          <w:rFonts w:hAnsi="標楷體"/>
          <w:sz w:val="30"/>
          <w:szCs w:val="30"/>
        </w:rPr>
        <w:t>應減除成本費用、損失及稅捐之純益額為所得額，以該淨所得額作為營利事業所得稅之稅捐客體，此即量能課稅原則之客觀淨所得原則，而所得稅法施</w:t>
      </w:r>
      <w:r w:rsidRPr="007B5D03">
        <w:rPr>
          <w:rFonts w:hAnsi="標楷體"/>
          <w:spacing w:val="4"/>
          <w:sz w:val="30"/>
          <w:szCs w:val="30"/>
        </w:rPr>
        <w:t>行細則第</w:t>
      </w:r>
      <w:r w:rsidRPr="007B5D03">
        <w:rPr>
          <w:spacing w:val="4"/>
          <w:sz w:val="30"/>
          <w:szCs w:val="30"/>
        </w:rPr>
        <w:t>31</w:t>
      </w:r>
      <w:r w:rsidRPr="007B5D03">
        <w:rPr>
          <w:rFonts w:hAnsi="標楷體"/>
          <w:spacing w:val="4"/>
          <w:sz w:val="30"/>
          <w:szCs w:val="30"/>
        </w:rPr>
        <w:t>條第</w:t>
      </w:r>
      <w:r w:rsidRPr="007B5D03">
        <w:rPr>
          <w:spacing w:val="4"/>
          <w:sz w:val="30"/>
          <w:szCs w:val="30"/>
        </w:rPr>
        <w:t>3</w:t>
      </w:r>
      <w:r w:rsidRPr="007B5D03">
        <w:rPr>
          <w:rFonts w:hAnsi="標楷體"/>
          <w:spacing w:val="4"/>
          <w:sz w:val="30"/>
          <w:szCs w:val="30"/>
        </w:rPr>
        <w:t>款規定其他供給勞務或信用各</w:t>
      </w:r>
      <w:r w:rsidRPr="007B5D03">
        <w:rPr>
          <w:rFonts w:hAnsi="標楷體"/>
          <w:sz w:val="30"/>
          <w:szCs w:val="30"/>
        </w:rPr>
        <w:t>業之營利事業所得額計算，亦應扣除必要之成本費用，亦即客觀淨所得原則之具體規範。</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3.又</w:t>
      </w:r>
      <w:r w:rsidRPr="007B5D03">
        <w:rPr>
          <w:rFonts w:hAnsi="標楷體"/>
          <w:sz w:val="30"/>
          <w:szCs w:val="30"/>
        </w:rPr>
        <w:t>按所得稅法第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規定：「自中華民國七十九年一月一日起，證券交易所得停止課徵所得稅，證券交易損失亦不得自所得額中減除。」其構成要</w:t>
      </w:r>
      <w:r w:rsidRPr="007B5D03">
        <w:rPr>
          <w:rFonts w:hAnsi="標楷體"/>
          <w:sz w:val="30"/>
          <w:szCs w:val="30"/>
        </w:rPr>
        <w:lastRenderedPageBreak/>
        <w:t>件係證券交易所得免稅，故證券交易損失亦不得自應稅所得中扣減，其構成要件要素必須整體以觀，亦即證券交易收入（免稅收入）對應之成本</w:t>
      </w:r>
      <w:r w:rsidRPr="007B5D03">
        <w:rPr>
          <w:rFonts w:hAnsi="標楷體" w:hint="eastAsia"/>
          <w:sz w:val="30"/>
          <w:szCs w:val="30"/>
        </w:rPr>
        <w:t>費用</w:t>
      </w:r>
      <w:r w:rsidRPr="007B5D03">
        <w:rPr>
          <w:rFonts w:hAnsi="標楷體"/>
          <w:sz w:val="30"/>
          <w:szCs w:val="30"/>
        </w:rPr>
        <w:t>、損</w:t>
      </w:r>
      <w:r w:rsidRPr="007B5D03">
        <w:rPr>
          <w:rFonts w:hAnsi="標楷體" w:hint="eastAsia"/>
          <w:sz w:val="30"/>
          <w:szCs w:val="30"/>
        </w:rPr>
        <w:t>失</w:t>
      </w:r>
      <w:r w:rsidRPr="007B5D03">
        <w:rPr>
          <w:rFonts w:hAnsi="標楷體"/>
          <w:sz w:val="30"/>
          <w:szCs w:val="30"/>
        </w:rPr>
        <w:t>均不得於稅上認列，至於應稅收入對應之成本費用並不在其構成要件要素所規範。從</w:t>
      </w:r>
      <w:r w:rsidRPr="007B5D03">
        <w:rPr>
          <w:sz w:val="30"/>
          <w:szCs w:val="30"/>
        </w:rPr>
        <w:t xml:space="preserve">　</w:t>
      </w:r>
      <w:r w:rsidRPr="007B5D03">
        <w:rPr>
          <w:rFonts w:hAnsi="標楷體"/>
          <w:sz w:val="30"/>
          <w:szCs w:val="30"/>
        </w:rPr>
        <w:t>鈞院釋字第</w:t>
      </w:r>
      <w:r w:rsidRPr="007B5D03">
        <w:rPr>
          <w:sz w:val="30"/>
          <w:szCs w:val="30"/>
        </w:rPr>
        <w:t>493</w:t>
      </w:r>
      <w:r w:rsidRPr="007B5D03">
        <w:rPr>
          <w:rFonts w:hAnsi="標楷體"/>
          <w:sz w:val="30"/>
          <w:szCs w:val="30"/>
        </w:rPr>
        <w:t>號解釋以言，「營利事業所得之計算，係以其本年度收入總額減除各項成本費用、損失及稅捐後之純益額為所得額，為所得稅法第二十四條第一項所明定。依所得稅法第四條之一前段規定，自中華民國七十九年一月一日起，證券交易所得停止課徵所得稅；公司投資收益部分，依六十九年十二月三十日修正公布之所得稅法第四十二條，公司組織之營利事業，投資於國內其他非受免徵營利事業所得稅待遇之股份有限公司組織者，其中百分之八十免予計入所得額課稅；則其相關成本費用，按諸收</w:t>
      </w:r>
      <w:r w:rsidRPr="007B5D03">
        <w:rPr>
          <w:rFonts w:hAnsi="標楷體"/>
          <w:spacing w:val="4"/>
          <w:sz w:val="30"/>
          <w:szCs w:val="30"/>
        </w:rPr>
        <w:t>入與成本費用配合之上揭法律規定意旨及公平原</w:t>
      </w:r>
      <w:r w:rsidRPr="007B5D03">
        <w:rPr>
          <w:rFonts w:hAnsi="標楷體"/>
          <w:sz w:val="30"/>
          <w:szCs w:val="30"/>
        </w:rPr>
        <w:t>則，自亦不得歸由其他應稅之收入項下減除。至應稅收入及免稅收入應分攤之相關成本費用，除可直接合理明確歸屬者得個別歸屬，應自有價證券出售收入項下減除外，因投資收益及證券交易收入源自</w:t>
      </w:r>
      <w:r w:rsidRPr="007B5D03">
        <w:rPr>
          <w:rFonts w:hAnsi="標楷體"/>
          <w:spacing w:val="-4"/>
          <w:sz w:val="30"/>
          <w:szCs w:val="30"/>
        </w:rPr>
        <w:t>同一投入成本，難以投入成本比例作為分攤基準。」</w:t>
      </w:r>
      <w:r w:rsidRPr="007B5D03">
        <w:rPr>
          <w:rFonts w:hAnsi="標楷體"/>
          <w:sz w:val="30"/>
          <w:szCs w:val="30"/>
        </w:rPr>
        <w:t>因為券商同時有免稅收入及應稅收入，故在利息支出如無法明確歸屬，就必須有部分分攤至免稅收入項下，不得用以扣減應稅收入，是應以收入之性質決定對應之成本費用能否扣除應稅收入。所得稅法第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構成要件為免稅收入對應之成本費用、</w:t>
      </w:r>
      <w:r w:rsidRPr="007B5D03">
        <w:rPr>
          <w:rFonts w:hAnsi="標楷體"/>
          <w:spacing w:val="4"/>
          <w:sz w:val="30"/>
          <w:szCs w:val="30"/>
        </w:rPr>
        <w:lastRenderedPageBreak/>
        <w:t>損失而言，僅為所得稅法第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項之意旨重</w:t>
      </w:r>
      <w:r w:rsidRPr="007B5D03">
        <w:rPr>
          <w:rFonts w:hAnsi="標楷體"/>
          <w:sz w:val="30"/>
          <w:szCs w:val="30"/>
        </w:rPr>
        <w:t>申，惟在應稅收入所對應之成本費用部分，所得稅法第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在規範意旨上並未包括到如果證券交易損失屬於應稅收入對應之成本費用時，亦不得自應稅收入扣除之意思，不能僅執所得稅法第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後段「證券交易損失亦不得自所得額中減除」之規定單獨適用。</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4.末按</w:t>
      </w:r>
      <w:r w:rsidRPr="007B5D03">
        <w:rPr>
          <w:rFonts w:hAnsi="標楷體"/>
          <w:sz w:val="30"/>
          <w:szCs w:val="30"/>
        </w:rPr>
        <w:t>在法律體系上，假使有二個以上的法條的構成要件互相重合或交集，則便可能發生同一法律事實同時為它們所規範的情形，於是相對於該法律事實的這些法條便處於競合的狀態。若系爭法條所規定之法律效果並不相同，則就系爭法條之一是否排除另一法條之適用，便會構成問題，假若系爭不同之法律效果在性質上不能並存時，便只有一個能夠受</w:t>
      </w:r>
      <w:r w:rsidRPr="007B5D03">
        <w:rPr>
          <w:rFonts w:hAnsi="標楷體"/>
          <w:spacing w:val="4"/>
          <w:sz w:val="30"/>
          <w:szCs w:val="30"/>
        </w:rPr>
        <w:t>到適用，蓋認為法規範同時要求</w:t>
      </w:r>
      <w:r w:rsidRPr="007B5D03">
        <w:rPr>
          <w:spacing w:val="4"/>
          <w:sz w:val="30"/>
          <w:szCs w:val="30"/>
        </w:rPr>
        <w:t>A</w:t>
      </w:r>
      <w:r w:rsidRPr="007B5D03">
        <w:rPr>
          <w:rFonts w:hAnsi="標楷體"/>
          <w:spacing w:val="4"/>
          <w:sz w:val="30"/>
          <w:szCs w:val="30"/>
        </w:rPr>
        <w:t>與非</w:t>
      </w:r>
      <w:r w:rsidRPr="007B5D03">
        <w:rPr>
          <w:spacing w:val="4"/>
          <w:sz w:val="30"/>
          <w:szCs w:val="30"/>
        </w:rPr>
        <w:t>A</w:t>
      </w:r>
      <w:r w:rsidRPr="007B5D03">
        <w:rPr>
          <w:rFonts w:hAnsi="標楷體"/>
          <w:spacing w:val="4"/>
          <w:sz w:val="30"/>
          <w:szCs w:val="30"/>
        </w:rPr>
        <w:t>之法律</w:t>
      </w:r>
      <w:r w:rsidRPr="007B5D03">
        <w:rPr>
          <w:rFonts w:hAnsi="標楷體"/>
          <w:sz w:val="30"/>
          <w:szCs w:val="30"/>
        </w:rPr>
        <w:t>效果，是不能被理解的（附件</w:t>
      </w:r>
      <w:r w:rsidRPr="007B5D03">
        <w:rPr>
          <w:sz w:val="30"/>
          <w:szCs w:val="30"/>
        </w:rPr>
        <w:t>9</w:t>
      </w:r>
      <w:r w:rsidRPr="007B5D03">
        <w:rPr>
          <w:rFonts w:hAnsi="標楷體"/>
          <w:sz w:val="30"/>
          <w:szCs w:val="30"/>
        </w:rPr>
        <w:t>，黃茂榮，法學方法與現代民法，第</w:t>
      </w:r>
      <w:r w:rsidRPr="007B5D03">
        <w:rPr>
          <w:sz w:val="30"/>
          <w:szCs w:val="30"/>
        </w:rPr>
        <w:t>185</w:t>
      </w:r>
      <w:r w:rsidRPr="007B5D03">
        <w:rPr>
          <w:rFonts w:hAnsi="標楷體"/>
          <w:sz w:val="30"/>
          <w:szCs w:val="30"/>
        </w:rPr>
        <w:t>至</w:t>
      </w:r>
      <w:r w:rsidRPr="007B5D03">
        <w:rPr>
          <w:sz w:val="30"/>
          <w:szCs w:val="30"/>
        </w:rPr>
        <w:t>188</w:t>
      </w:r>
      <w:r w:rsidRPr="007B5D03">
        <w:rPr>
          <w:rFonts w:hAnsi="標楷體"/>
          <w:sz w:val="30"/>
          <w:szCs w:val="30"/>
        </w:rPr>
        <w:t>頁）。所以本於體系貫徹法律價值之觀點，對一個法律事實作成無矛盾之法律評價，其本身即為實現正義原則，從憲法上之原則而論，即是平等原則、體系正義之展現。</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5.是</w:t>
      </w:r>
      <w:r w:rsidRPr="007B5D03">
        <w:rPr>
          <w:rFonts w:hAnsi="標楷體"/>
          <w:sz w:val="30"/>
          <w:szCs w:val="30"/>
        </w:rPr>
        <w:t>以，本案確定判決顯誤以為所得稅法第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pacing w:val="4"/>
          <w:sz w:val="30"/>
          <w:szCs w:val="30"/>
        </w:rPr>
        <w:t>為所得稅法第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項之特別規定，故應排除所得稅法第</w:t>
      </w:r>
      <w:r w:rsidRPr="007B5D03">
        <w:rPr>
          <w:spacing w:val="4"/>
          <w:sz w:val="30"/>
          <w:szCs w:val="30"/>
        </w:rPr>
        <w:t>24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而單獨依所得稅法第</w:t>
      </w:r>
      <w:r w:rsidRPr="007B5D03">
        <w:rPr>
          <w:spacing w:val="4"/>
          <w:sz w:val="30"/>
          <w:szCs w:val="30"/>
        </w:rPr>
        <w:t>4</w:t>
      </w:r>
      <w:r w:rsidRPr="007B5D03">
        <w:rPr>
          <w:rFonts w:hAnsi="標楷體"/>
          <w:spacing w:val="4"/>
          <w:sz w:val="30"/>
          <w:szCs w:val="30"/>
        </w:rPr>
        <w:t>條之</w:t>
      </w:r>
      <w:r w:rsidRPr="007B5D03">
        <w:rPr>
          <w:sz w:val="30"/>
          <w:szCs w:val="30"/>
        </w:rPr>
        <w:t>1</w:t>
      </w:r>
      <w:r w:rsidRPr="007B5D03">
        <w:rPr>
          <w:rFonts w:hAnsi="標楷體"/>
          <w:sz w:val="30"/>
          <w:szCs w:val="30"/>
        </w:rPr>
        <w:t>後段之規定</w:t>
      </w:r>
      <w:r w:rsidRPr="007B5D03">
        <w:rPr>
          <w:rFonts w:hAnsi="標楷體" w:hint="eastAsia"/>
          <w:sz w:val="30"/>
          <w:szCs w:val="30"/>
        </w:rPr>
        <w:t>作</w:t>
      </w:r>
      <w:r w:rsidRPr="007B5D03">
        <w:rPr>
          <w:rFonts w:hAnsi="標楷體"/>
          <w:sz w:val="30"/>
          <w:szCs w:val="30"/>
        </w:rPr>
        <w:t>為本案之法律依據，進而的法律效果，不許認列權證避險交易之損失。惟查，就法學方法論以言，特別法優於普通法必須是，其中之一</w:t>
      </w:r>
      <w:r w:rsidRPr="007B5D03">
        <w:rPr>
          <w:rFonts w:hAnsi="標楷體"/>
          <w:sz w:val="30"/>
          <w:szCs w:val="30"/>
        </w:rPr>
        <w:lastRenderedPageBreak/>
        <w:t>的構成要件要素為另一法條所全部具備，且該法條進一步具有前一法條所無之構成要件要素，則該另一法條相對於前一法條便具有特別性（附件</w:t>
      </w:r>
      <w:r w:rsidRPr="007B5D03">
        <w:rPr>
          <w:sz w:val="30"/>
          <w:szCs w:val="30"/>
        </w:rPr>
        <w:t>9</w:t>
      </w:r>
      <w:r w:rsidRPr="007B5D03">
        <w:rPr>
          <w:rFonts w:hAnsi="標楷體"/>
          <w:sz w:val="30"/>
          <w:szCs w:val="30"/>
        </w:rPr>
        <w:t>，黃茂榮，法學方法與現代民法，第</w:t>
      </w:r>
      <w:r w:rsidRPr="007B5D03">
        <w:rPr>
          <w:sz w:val="30"/>
          <w:szCs w:val="30"/>
        </w:rPr>
        <w:t>75</w:t>
      </w:r>
      <w:r w:rsidRPr="007B5D03">
        <w:rPr>
          <w:rFonts w:hAnsi="標楷體"/>
          <w:sz w:val="30"/>
          <w:szCs w:val="30"/>
        </w:rPr>
        <w:t>至</w:t>
      </w:r>
      <w:r w:rsidRPr="007B5D03">
        <w:rPr>
          <w:sz w:val="30"/>
          <w:szCs w:val="30"/>
        </w:rPr>
        <w:t>77</w:t>
      </w:r>
      <w:r w:rsidRPr="007B5D03">
        <w:rPr>
          <w:rFonts w:hAnsi="標楷體"/>
          <w:sz w:val="30"/>
          <w:szCs w:val="30"/>
        </w:rPr>
        <w:t>頁）。所得稅第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規範對象（目的）係證券交易所得免稅，故證券交易損失亦不得自應稅所得中扣減，其構成要件要素必須整體以觀，亦即證券交易收入（免稅收入）對應之成本</w:t>
      </w:r>
      <w:r w:rsidRPr="007B5D03">
        <w:rPr>
          <w:rFonts w:hAnsi="標楷體" w:hint="eastAsia"/>
          <w:sz w:val="30"/>
          <w:szCs w:val="30"/>
        </w:rPr>
        <w:t>費用</w:t>
      </w:r>
      <w:r w:rsidRPr="007B5D03">
        <w:rPr>
          <w:rFonts w:hAnsi="標楷體"/>
          <w:sz w:val="30"/>
          <w:szCs w:val="30"/>
        </w:rPr>
        <w:t>、損</w:t>
      </w:r>
      <w:r w:rsidRPr="007B5D03">
        <w:rPr>
          <w:rFonts w:hAnsi="標楷體" w:hint="eastAsia"/>
          <w:sz w:val="30"/>
          <w:szCs w:val="30"/>
        </w:rPr>
        <w:t>失</w:t>
      </w:r>
      <w:r w:rsidRPr="007B5D03">
        <w:rPr>
          <w:rFonts w:hAnsi="標楷體"/>
          <w:sz w:val="30"/>
          <w:szCs w:val="30"/>
        </w:rPr>
        <w:t>均不得於稅上</w:t>
      </w:r>
      <w:r w:rsidRPr="007B5D03">
        <w:rPr>
          <w:rFonts w:hAnsi="標楷體"/>
          <w:spacing w:val="4"/>
          <w:sz w:val="30"/>
          <w:szCs w:val="30"/>
        </w:rPr>
        <w:t>認列，至於所得稅法第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項之構成要件係</w:t>
      </w:r>
      <w:r w:rsidRPr="007B5D03">
        <w:rPr>
          <w:rFonts w:hAnsi="標楷體"/>
          <w:sz w:val="30"/>
          <w:szCs w:val="30"/>
        </w:rPr>
        <w:t>每一項成本、費用應對應其收入，是故從規範無矛盾之角度解釋，所得稅法第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不可能</w:t>
      </w:r>
      <w:r w:rsidRPr="007B5D03">
        <w:rPr>
          <w:rFonts w:hAnsi="標楷體" w:hint="eastAsia"/>
          <w:sz w:val="30"/>
          <w:szCs w:val="30"/>
        </w:rPr>
        <w:t>作</w:t>
      </w:r>
      <w:r w:rsidRPr="007B5D03">
        <w:rPr>
          <w:rFonts w:hAnsi="標楷體"/>
          <w:sz w:val="30"/>
          <w:szCs w:val="30"/>
        </w:rPr>
        <w:t>成排</w:t>
      </w:r>
      <w:r w:rsidRPr="007B5D03">
        <w:rPr>
          <w:rFonts w:hAnsi="標楷體"/>
          <w:spacing w:val="4"/>
          <w:sz w:val="30"/>
          <w:szCs w:val="30"/>
        </w:rPr>
        <w:t>除所得稅法第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項收入配合原則之解釋。</w:t>
      </w:r>
      <w:r w:rsidRPr="007B5D03">
        <w:rPr>
          <w:rFonts w:hAnsi="標楷體"/>
          <w:sz w:val="30"/>
          <w:szCs w:val="30"/>
        </w:rPr>
        <w:t>準此，所得稅法第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對於應稅收入部分對應</w:t>
      </w:r>
      <w:r w:rsidRPr="007B5D03">
        <w:rPr>
          <w:rFonts w:hAnsi="標楷體"/>
          <w:spacing w:val="4"/>
          <w:sz w:val="30"/>
          <w:szCs w:val="30"/>
        </w:rPr>
        <w:t>之成本費用並無規範，其對於所得稅法第</w:t>
      </w:r>
      <w:r w:rsidRPr="007B5D03">
        <w:rPr>
          <w:spacing w:val="4"/>
          <w:sz w:val="30"/>
          <w:szCs w:val="30"/>
        </w:rPr>
        <w:t>24</w:t>
      </w:r>
      <w:r w:rsidRPr="007B5D03">
        <w:rPr>
          <w:rFonts w:hAnsi="標楷體"/>
          <w:spacing w:val="4"/>
          <w:sz w:val="30"/>
          <w:szCs w:val="30"/>
        </w:rPr>
        <w:t>條第</w:t>
      </w:r>
      <w:r w:rsidRPr="007B5D03">
        <w:rPr>
          <w:sz w:val="30"/>
          <w:szCs w:val="30"/>
        </w:rPr>
        <w:t>1</w:t>
      </w:r>
      <w:r w:rsidRPr="007B5D03">
        <w:rPr>
          <w:rFonts w:hAnsi="標楷體"/>
          <w:sz w:val="30"/>
          <w:szCs w:val="30"/>
        </w:rPr>
        <w:t>項規範之構成要件要素，並無完全包含（亦即所得稅法第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構成要件要素並無特別明示其係</w:t>
      </w:r>
      <w:r w:rsidRPr="007B5D03">
        <w:rPr>
          <w:rFonts w:hAnsi="標楷體"/>
          <w:spacing w:val="4"/>
          <w:sz w:val="30"/>
          <w:szCs w:val="30"/>
        </w:rPr>
        <w:t>免稅收入對應之成本費用進行規範，所得稅法第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項卻有就應稅收入對應之成本費用進行</w:t>
      </w:r>
      <w:r w:rsidRPr="007B5D03">
        <w:rPr>
          <w:rFonts w:hAnsi="標楷體"/>
          <w:sz w:val="30"/>
          <w:szCs w:val="30"/>
        </w:rPr>
        <w:t>規範，二者在邏輯上就不會有完全重合之情形），</w:t>
      </w:r>
      <w:r w:rsidRPr="007B5D03">
        <w:rPr>
          <w:rFonts w:hAnsi="標楷體"/>
          <w:spacing w:val="4"/>
          <w:sz w:val="30"/>
          <w:szCs w:val="30"/>
        </w:rPr>
        <w:t>在此處當不能構成所得稅法第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項之特別</w:t>
      </w:r>
      <w:r w:rsidRPr="007B5D03">
        <w:rPr>
          <w:rFonts w:hAnsi="標楷體"/>
          <w:sz w:val="30"/>
          <w:szCs w:val="30"/>
        </w:rPr>
        <w:t>規定，如真採特別規定之看法，即屬同一法律事實</w:t>
      </w:r>
      <w:r w:rsidRPr="007B5D03">
        <w:rPr>
          <w:rFonts w:hAnsi="標楷體"/>
          <w:spacing w:val="4"/>
          <w:sz w:val="30"/>
          <w:szCs w:val="30"/>
        </w:rPr>
        <w:t>（行為）有規範適用上之矛盾。即所得稅法第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項同意應稅收入項下屬可歸屬為免稅成本</w:t>
      </w:r>
      <w:r w:rsidRPr="007B5D03">
        <w:rPr>
          <w:rFonts w:hAnsi="標楷體"/>
          <w:sz w:val="30"/>
          <w:szCs w:val="30"/>
        </w:rPr>
        <w:t>均得計入免稅損益，卻於所得稅法第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規範免稅收入項下之成本均必須計入免稅損益，使得其</w:t>
      </w:r>
      <w:r w:rsidRPr="007B5D03">
        <w:rPr>
          <w:rFonts w:hAnsi="標楷體"/>
          <w:spacing w:val="4"/>
          <w:sz w:val="30"/>
          <w:szCs w:val="30"/>
        </w:rPr>
        <w:t>中可歸屬應稅項下之成本不得計入應稅損益，準</w:t>
      </w:r>
      <w:r w:rsidRPr="007B5D03">
        <w:rPr>
          <w:rFonts w:hAnsi="標楷體"/>
          <w:sz w:val="30"/>
          <w:szCs w:val="30"/>
        </w:rPr>
        <w:t>此，</w:t>
      </w:r>
      <w:r w:rsidRPr="007B5D03">
        <w:rPr>
          <w:rFonts w:hAnsi="標楷體"/>
          <w:sz w:val="30"/>
          <w:szCs w:val="30"/>
        </w:rPr>
        <w:lastRenderedPageBreak/>
        <w:t>除非有足夠之證據認立法者制</w:t>
      </w:r>
      <w:r w:rsidRPr="007B5D03">
        <w:rPr>
          <w:rFonts w:hAnsi="標楷體" w:hint="eastAsia"/>
          <w:sz w:val="30"/>
          <w:szCs w:val="30"/>
        </w:rPr>
        <w:t>定</w:t>
      </w: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w:t>
      </w:r>
      <w:r w:rsidRPr="007B5D03">
        <w:rPr>
          <w:rFonts w:hAnsi="標楷體" w:hint="eastAsia"/>
          <w:sz w:val="30"/>
          <w:szCs w:val="30"/>
        </w:rPr>
        <w:t>，</w:t>
      </w:r>
      <w:r w:rsidRPr="007B5D03">
        <w:rPr>
          <w:rFonts w:hAnsi="標楷體"/>
          <w:sz w:val="30"/>
          <w:szCs w:val="30"/>
        </w:rPr>
        <w:t>有意創設收入成本配合原則應於證券交易所得計算時排除適用之規定，否則規範免稅收入項下可歸屬於免稅項下之成本必須計入，此種見解顯然過度擴張所得稅法第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6.</w:t>
      </w:r>
      <w:r w:rsidRPr="007B5D03">
        <w:rPr>
          <w:rFonts w:ascii="標楷體" w:hAnsi="標楷體"/>
          <w:spacing w:val="4"/>
          <w:sz w:val="30"/>
          <w:szCs w:val="30"/>
        </w:rPr>
        <w:t>經</w:t>
      </w:r>
      <w:r w:rsidRPr="007B5D03">
        <w:rPr>
          <w:rFonts w:hAnsi="標楷體"/>
          <w:spacing w:val="4"/>
          <w:sz w:val="30"/>
          <w:szCs w:val="30"/>
        </w:rPr>
        <w:t>查，財政部</w:t>
      </w:r>
      <w:r w:rsidRPr="007B5D03">
        <w:rPr>
          <w:spacing w:val="4"/>
          <w:sz w:val="30"/>
          <w:szCs w:val="30"/>
        </w:rPr>
        <w:t>86</w:t>
      </w:r>
      <w:r w:rsidRPr="007B5D03">
        <w:rPr>
          <w:rFonts w:hAnsi="標楷體"/>
          <w:spacing w:val="4"/>
          <w:sz w:val="30"/>
          <w:szCs w:val="30"/>
        </w:rPr>
        <w:t>年函釋即是僅以所得稅法第</w:t>
      </w:r>
      <w:r w:rsidRPr="007B5D03">
        <w:rPr>
          <w:spacing w:val="4"/>
          <w:sz w:val="30"/>
          <w:szCs w:val="30"/>
        </w:rPr>
        <w:t>4</w:t>
      </w:r>
      <w:r w:rsidRPr="007B5D03">
        <w:rPr>
          <w:rFonts w:hAnsi="標楷體"/>
          <w:spacing w:val="4"/>
          <w:sz w:val="30"/>
          <w:szCs w:val="30"/>
        </w:rPr>
        <w:t>條</w:t>
      </w:r>
      <w:r w:rsidRPr="007B5D03">
        <w:rPr>
          <w:rFonts w:hAnsi="標楷體"/>
          <w:sz w:val="30"/>
          <w:szCs w:val="30"/>
        </w:rPr>
        <w:t>之</w:t>
      </w:r>
      <w:r w:rsidRPr="007B5D03">
        <w:rPr>
          <w:sz w:val="30"/>
          <w:szCs w:val="30"/>
        </w:rPr>
        <w:t>1</w:t>
      </w:r>
      <w:r w:rsidRPr="007B5D03">
        <w:rPr>
          <w:rFonts w:hAnsi="標楷體"/>
          <w:sz w:val="30"/>
          <w:szCs w:val="30"/>
        </w:rPr>
        <w:t>後段「證券交易損失亦不得自所得額中減除」之規定孤立解釋，而認定避險部分所生之證券交易損失屬於所得稅法第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之規範範疇，未整體解釋所得稅法第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適用範圍係以免稅收入對應之成本費用、損失為前提，故財政部</w:t>
      </w:r>
      <w:r w:rsidRPr="007B5D03">
        <w:rPr>
          <w:sz w:val="30"/>
          <w:szCs w:val="30"/>
        </w:rPr>
        <w:t>86</w:t>
      </w:r>
      <w:r w:rsidRPr="007B5D03">
        <w:rPr>
          <w:rFonts w:hAnsi="標楷體"/>
          <w:sz w:val="30"/>
          <w:szCs w:val="30"/>
        </w:rPr>
        <w:t>年函釋表面上係依據所得稅法第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所為之法律意旨闡釋，惟其增加所得稅法第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所無規範之應稅收入對應成本費用如為證券交易損失時，不得自應稅收入扣除。又查所得稅法第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及其施行細則第</w:t>
      </w:r>
      <w:r w:rsidRPr="007B5D03">
        <w:rPr>
          <w:sz w:val="30"/>
          <w:szCs w:val="30"/>
        </w:rPr>
        <w:t>31</w:t>
      </w:r>
      <w:r w:rsidRPr="007B5D03">
        <w:rPr>
          <w:rFonts w:hAnsi="標楷體"/>
          <w:sz w:val="30"/>
          <w:szCs w:val="30"/>
        </w:rPr>
        <w:t>條規定成本費用應得減除收入之意旨，財政部</w:t>
      </w:r>
      <w:r w:rsidRPr="007B5D03">
        <w:rPr>
          <w:sz w:val="30"/>
          <w:szCs w:val="30"/>
        </w:rPr>
        <w:t>86</w:t>
      </w:r>
      <w:r w:rsidRPr="007B5D03">
        <w:rPr>
          <w:rFonts w:hAnsi="標楷體"/>
          <w:sz w:val="30"/>
          <w:szCs w:val="30"/>
        </w:rPr>
        <w:t>年函釋對於權證交易避險部位之證券交易損失，認為應依照所得稅法第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規定不准減除應稅收入，其既誤解所得稅法第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規範要件之可能文義在先，復在無法律或法規命令依據下增加所得稅法第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項及其施行細則第</w:t>
      </w:r>
      <w:r w:rsidRPr="007B5D03">
        <w:rPr>
          <w:sz w:val="30"/>
          <w:szCs w:val="30"/>
        </w:rPr>
        <w:t>31</w:t>
      </w:r>
      <w:r w:rsidRPr="007B5D03">
        <w:rPr>
          <w:rFonts w:hAnsi="標楷體"/>
          <w:sz w:val="30"/>
          <w:szCs w:val="30"/>
        </w:rPr>
        <w:t>條所無規定之要件，對於課稅客體（亦即稅基之計算）增加法律所無之要件，屬以行政釋示就不得減除之成本費用增加法律所無之要件，洵有違反憲法</w:t>
      </w:r>
      <w:r w:rsidRPr="007B5D03">
        <w:rPr>
          <w:rFonts w:hAnsi="標楷體"/>
          <w:spacing w:val="4"/>
          <w:sz w:val="30"/>
          <w:szCs w:val="30"/>
        </w:rPr>
        <w:t>第</w:t>
      </w:r>
      <w:r w:rsidRPr="007B5D03">
        <w:rPr>
          <w:spacing w:val="4"/>
          <w:sz w:val="30"/>
          <w:szCs w:val="30"/>
        </w:rPr>
        <w:t>19</w:t>
      </w:r>
      <w:r w:rsidRPr="007B5D03">
        <w:rPr>
          <w:rFonts w:hAnsi="標楷體"/>
          <w:spacing w:val="4"/>
          <w:sz w:val="30"/>
          <w:szCs w:val="30"/>
        </w:rPr>
        <w:t>條及前開</w:t>
      </w:r>
      <w:r w:rsidRPr="007B5D03">
        <w:rPr>
          <w:spacing w:val="4"/>
          <w:sz w:val="30"/>
          <w:szCs w:val="30"/>
        </w:rPr>
        <w:t xml:space="preserve">　</w:t>
      </w:r>
      <w:r w:rsidRPr="007B5D03">
        <w:rPr>
          <w:rFonts w:hAnsi="標楷體"/>
          <w:spacing w:val="4"/>
          <w:sz w:val="30"/>
          <w:szCs w:val="30"/>
        </w:rPr>
        <w:t>鈞院釋字第</w:t>
      </w:r>
      <w:r w:rsidRPr="007B5D03">
        <w:rPr>
          <w:spacing w:val="4"/>
          <w:sz w:val="30"/>
          <w:szCs w:val="30"/>
        </w:rPr>
        <w:t>622</w:t>
      </w:r>
      <w:r w:rsidRPr="007B5D03">
        <w:rPr>
          <w:rFonts w:hAnsi="標楷體"/>
          <w:spacing w:val="4"/>
          <w:sz w:val="30"/>
          <w:szCs w:val="30"/>
        </w:rPr>
        <w:t>號</w:t>
      </w:r>
      <w:r w:rsidRPr="007B5D03">
        <w:rPr>
          <w:rFonts w:hAnsi="標楷體" w:hint="eastAsia"/>
          <w:spacing w:val="4"/>
          <w:sz w:val="30"/>
          <w:szCs w:val="30"/>
        </w:rPr>
        <w:t>解釋</w:t>
      </w:r>
      <w:r w:rsidRPr="007B5D03">
        <w:rPr>
          <w:rFonts w:hAnsi="標楷體"/>
          <w:spacing w:val="4"/>
          <w:sz w:val="30"/>
          <w:szCs w:val="30"/>
        </w:rPr>
        <w:t>之租稅法</w:t>
      </w:r>
      <w:r w:rsidRPr="007B5D03">
        <w:rPr>
          <w:rFonts w:hAnsi="標楷體"/>
          <w:sz w:val="30"/>
          <w:szCs w:val="30"/>
        </w:rPr>
        <w:t>律主義、中央法規標準法第</w:t>
      </w:r>
      <w:r w:rsidRPr="007B5D03">
        <w:rPr>
          <w:sz w:val="30"/>
          <w:szCs w:val="30"/>
        </w:rPr>
        <w:t>5</w:t>
      </w:r>
      <w:r w:rsidRPr="007B5D03">
        <w:rPr>
          <w:rFonts w:hAnsi="標楷體"/>
          <w:sz w:val="30"/>
          <w:szCs w:val="30"/>
        </w:rPr>
        <w:t>條之法律保留原則及憲法</w:t>
      </w:r>
      <w:r w:rsidRPr="007B5D03">
        <w:rPr>
          <w:rFonts w:hAnsi="標楷體"/>
          <w:sz w:val="30"/>
          <w:szCs w:val="30"/>
        </w:rPr>
        <w:lastRenderedPageBreak/>
        <w:t>第</w:t>
      </w:r>
      <w:r w:rsidRPr="007B5D03">
        <w:rPr>
          <w:sz w:val="30"/>
          <w:szCs w:val="30"/>
        </w:rPr>
        <w:t>172</w:t>
      </w:r>
      <w:r w:rsidRPr="007B5D03">
        <w:rPr>
          <w:rFonts w:hAnsi="標楷體"/>
          <w:sz w:val="30"/>
          <w:szCs w:val="30"/>
        </w:rPr>
        <w:t>條命令不得違法、違憲之規定。</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7.再查</w:t>
      </w:r>
      <w:r w:rsidRPr="007B5D03">
        <w:rPr>
          <w:rFonts w:hAnsi="標楷體"/>
          <w:sz w:val="30"/>
          <w:szCs w:val="30"/>
        </w:rPr>
        <w:t>，本案聲請人在臺北高等行政院法獲判勝訴之主要關鍵即在於，權證之避險交易與一般消費者購買之證券交易性質有異，雖最高行政法院確定判決</w:t>
      </w:r>
      <w:r w:rsidRPr="007B5D03">
        <w:rPr>
          <w:rFonts w:hAnsi="標楷體"/>
          <w:spacing w:val="10"/>
          <w:sz w:val="30"/>
          <w:szCs w:val="30"/>
        </w:rPr>
        <w:t>以券商發行權證前已知悉避險交易可能發生損</w:t>
      </w:r>
      <w:r w:rsidRPr="007B5D03">
        <w:rPr>
          <w:rFonts w:hAnsi="標楷體"/>
          <w:sz w:val="30"/>
          <w:szCs w:val="30"/>
        </w:rPr>
        <w:t>失，及證券交易只問有證券交易之形式外觀，而不</w:t>
      </w:r>
      <w:r w:rsidRPr="007B5D03">
        <w:rPr>
          <w:rFonts w:hAnsi="標楷體"/>
          <w:spacing w:val="4"/>
          <w:sz w:val="30"/>
          <w:szCs w:val="30"/>
        </w:rPr>
        <w:t>問買賣雙方對該證券交易其動機及內在主觀意思</w:t>
      </w:r>
      <w:r w:rsidRPr="007B5D03">
        <w:rPr>
          <w:rFonts w:hAnsi="標楷體"/>
          <w:sz w:val="30"/>
          <w:szCs w:val="30"/>
        </w:rPr>
        <w:t>為何，否則亦有違證券交易之安定性及國家稅收之一致性，據此駁斥臺北高等行政法院判決之見解。</w:t>
      </w:r>
      <w:r w:rsidRPr="007B5D03">
        <w:rPr>
          <w:rFonts w:hAnsi="標楷體"/>
          <w:spacing w:val="4"/>
          <w:sz w:val="30"/>
          <w:szCs w:val="30"/>
        </w:rPr>
        <w:t>上開司法機關間之所以對證券交易之範圍有不同</w:t>
      </w:r>
      <w:r w:rsidRPr="007B5D03">
        <w:rPr>
          <w:rFonts w:hAnsi="標楷體"/>
          <w:sz w:val="30"/>
          <w:szCs w:val="30"/>
        </w:rPr>
        <w:t>之見解，足見所得稅法第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之適用範圍確實有著重大爭議。聲請人以為，如堅持就所得稅法第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後段「證券交易損失亦不得自所得額中減除」之規定可孤立解釋時，當然會發生上開實務對於證券交易行為認定之爭議，惟如果正確的理解所得稅法第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之適用範圍，再釐清實務上對證</w:t>
      </w:r>
      <w:r w:rsidRPr="007B5D03">
        <w:rPr>
          <w:rFonts w:hAnsi="標楷體"/>
          <w:spacing w:val="4"/>
          <w:sz w:val="30"/>
          <w:szCs w:val="30"/>
        </w:rPr>
        <w:t>券交易是否以形式外觀論斷或顧及主觀交易目的</w:t>
      </w:r>
      <w:r w:rsidRPr="007B5D03">
        <w:rPr>
          <w:rFonts w:hAnsi="標楷體"/>
          <w:sz w:val="30"/>
          <w:szCs w:val="30"/>
        </w:rPr>
        <w:t>之爭議，而將問題聚焦回到證券交易法第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是否僅就免稅收入對應之費</w:t>
      </w:r>
      <w:r w:rsidRPr="007B5D03">
        <w:rPr>
          <w:rFonts w:hAnsi="標楷體" w:hint="eastAsia"/>
          <w:sz w:val="30"/>
          <w:szCs w:val="30"/>
        </w:rPr>
        <w:t>用、</w:t>
      </w:r>
      <w:r w:rsidRPr="007B5D03">
        <w:rPr>
          <w:rFonts w:hAnsi="標楷體"/>
          <w:sz w:val="30"/>
          <w:szCs w:val="30"/>
        </w:rPr>
        <w:t>損</w:t>
      </w:r>
      <w:r w:rsidRPr="007B5D03">
        <w:rPr>
          <w:rFonts w:hAnsi="標楷體" w:hint="eastAsia"/>
          <w:sz w:val="30"/>
          <w:szCs w:val="30"/>
        </w:rPr>
        <w:t>失</w:t>
      </w:r>
      <w:r w:rsidRPr="007B5D03">
        <w:rPr>
          <w:rFonts w:hAnsi="標楷體"/>
          <w:sz w:val="30"/>
          <w:szCs w:val="30"/>
        </w:rPr>
        <w:t>予以規範，即</w:t>
      </w:r>
      <w:r w:rsidRPr="007B5D03">
        <w:rPr>
          <w:rFonts w:hAnsi="標楷體"/>
          <w:spacing w:val="4"/>
          <w:sz w:val="30"/>
          <w:szCs w:val="30"/>
        </w:rPr>
        <w:t>能論斷財政部</w:t>
      </w:r>
      <w:r w:rsidRPr="007B5D03">
        <w:rPr>
          <w:spacing w:val="4"/>
          <w:sz w:val="30"/>
          <w:szCs w:val="30"/>
        </w:rPr>
        <w:t>86</w:t>
      </w:r>
      <w:r w:rsidRPr="007B5D03">
        <w:rPr>
          <w:rFonts w:hAnsi="標楷體"/>
          <w:spacing w:val="4"/>
          <w:sz w:val="30"/>
          <w:szCs w:val="30"/>
        </w:rPr>
        <w:t>年函釋是否依照所得稅法第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進行符合租稅法律主義、法律保留原則之解釋，抑或超越所得稅法第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、第</w:t>
      </w:r>
      <w:r w:rsidRPr="007B5D03">
        <w:rPr>
          <w:spacing w:val="4"/>
          <w:sz w:val="30"/>
          <w:szCs w:val="30"/>
        </w:rPr>
        <w:t>24</w:t>
      </w:r>
      <w:r w:rsidRPr="007B5D03">
        <w:rPr>
          <w:rFonts w:hAnsi="標楷體"/>
          <w:spacing w:val="4"/>
          <w:sz w:val="30"/>
          <w:szCs w:val="30"/>
        </w:rPr>
        <w:t>條及其</w:t>
      </w:r>
      <w:r w:rsidRPr="007B5D03">
        <w:rPr>
          <w:rFonts w:hAnsi="標楷體"/>
          <w:sz w:val="30"/>
          <w:szCs w:val="30"/>
        </w:rPr>
        <w:t>施行細則第</w:t>
      </w:r>
      <w:r w:rsidRPr="007B5D03">
        <w:rPr>
          <w:sz w:val="30"/>
          <w:szCs w:val="30"/>
        </w:rPr>
        <w:t>31</w:t>
      </w:r>
      <w:r w:rsidRPr="007B5D03">
        <w:rPr>
          <w:rFonts w:hAnsi="標楷體"/>
          <w:sz w:val="30"/>
          <w:szCs w:val="30"/>
        </w:rPr>
        <w:t>條之可能文義，增加法律所無之限制，併此敘明。</w:t>
      </w:r>
    </w:p>
    <w:p w:rsidR="00514426" w:rsidRPr="007B5D03" w:rsidRDefault="00514426" w:rsidP="001B3A93">
      <w:pPr>
        <w:snapToGrid w:val="0"/>
        <w:spacing w:line="437" w:lineRule="exact"/>
        <w:ind w:left="1531" w:hanging="851"/>
        <w:rPr>
          <w:sz w:val="30"/>
          <w:szCs w:val="30"/>
        </w:rPr>
      </w:pPr>
      <w:r w:rsidRPr="007B5D03">
        <w:rPr>
          <w:rFonts w:hAnsi="標楷體"/>
          <w:sz w:val="30"/>
          <w:szCs w:val="30"/>
        </w:rPr>
        <w:t>（二）依實質課稅原則，權證課稅案件之爭議在於財政部</w:t>
      </w:r>
      <w:r w:rsidRPr="007B5D03">
        <w:rPr>
          <w:sz w:val="30"/>
          <w:szCs w:val="30"/>
        </w:rPr>
        <w:t>86</w:t>
      </w:r>
      <w:r w:rsidRPr="007B5D03">
        <w:rPr>
          <w:rFonts w:hAnsi="標楷體"/>
          <w:sz w:val="30"/>
          <w:szCs w:val="30"/>
        </w:rPr>
        <w:t>年函釋對於課稅事實關係之定性問題未予釐清，以致</w:t>
      </w:r>
      <w:r w:rsidRPr="007B5D03">
        <w:rPr>
          <w:rFonts w:hAnsi="標楷體"/>
          <w:spacing w:val="4"/>
          <w:sz w:val="30"/>
          <w:szCs w:val="30"/>
        </w:rPr>
        <w:lastRenderedPageBreak/>
        <w:t>誤認避險部分之證券交易為法律上應獨立評價之行</w:t>
      </w:r>
      <w:r w:rsidRPr="007B5D03">
        <w:rPr>
          <w:rFonts w:hAnsi="標楷體"/>
          <w:sz w:val="30"/>
          <w:szCs w:val="30"/>
        </w:rPr>
        <w:t>為，有違實質課稅之租稅公平原則</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1.</w:t>
      </w:r>
      <w:r w:rsidRPr="007B5D03">
        <w:rPr>
          <w:rFonts w:hAnsi="標楷體"/>
          <w:sz w:val="30"/>
          <w:szCs w:val="30"/>
        </w:rPr>
        <w:t>課稅事實關係定性問題與實質課稅原則之關係</w:t>
      </w:r>
    </w:p>
    <w:p w:rsidR="00514426" w:rsidRPr="007B5D03" w:rsidRDefault="00514426" w:rsidP="001B3A93">
      <w:pPr>
        <w:snapToGrid w:val="0"/>
        <w:spacing w:line="437" w:lineRule="exact"/>
        <w:ind w:left="2138" w:hanging="380"/>
        <w:rPr>
          <w:sz w:val="30"/>
          <w:szCs w:val="30"/>
        </w:rPr>
      </w:pPr>
      <w:r w:rsidRPr="007B5D03">
        <w:rPr>
          <w:rFonts w:hAnsi="標楷體" w:hint="eastAsia"/>
          <w:sz w:val="30"/>
          <w:szCs w:val="30"/>
        </w:rPr>
        <w:t>(</w:t>
      </w:r>
      <w:r w:rsidRPr="007B5D03">
        <w:rPr>
          <w:sz w:val="30"/>
          <w:szCs w:val="30"/>
        </w:rPr>
        <w:t>1</w:t>
      </w:r>
      <w:r w:rsidRPr="007B5D03">
        <w:rPr>
          <w:rFonts w:hint="eastAsia"/>
          <w:sz w:val="30"/>
          <w:szCs w:val="30"/>
        </w:rPr>
        <w:t>)</w:t>
      </w:r>
      <w:r w:rsidRPr="007B5D03">
        <w:rPr>
          <w:rFonts w:hAnsi="標楷體"/>
          <w:sz w:val="30"/>
          <w:szCs w:val="30"/>
        </w:rPr>
        <w:t>按「地價稅之稽徵，係以土地所有權人在同一直轄市或縣（市）所有之土地之地價及面積所計算之地價總額為課稅基礎，並按照地政機關編送之地價歸戶冊及地籍異動通知資料核定之。因地籍依法重測之結果，如與重測前之土地登記標示之面積有出入者，除非否定重測之結果或確認實施重測時作業有瑕疵，否則，即應以重測確定後所為土地標示變更登記所記載之土地面積為準。而</w:t>
      </w:r>
      <w:r w:rsidRPr="007B5D03">
        <w:rPr>
          <w:rFonts w:hAnsi="標楷體"/>
          <w:spacing w:val="4"/>
          <w:sz w:val="30"/>
          <w:szCs w:val="30"/>
        </w:rPr>
        <w:t>同一土地如經地政機關於實施重測時發現與鄰</w:t>
      </w:r>
      <w:r w:rsidRPr="007B5D03">
        <w:rPr>
          <w:rFonts w:hAnsi="標楷體"/>
          <w:sz w:val="30"/>
          <w:szCs w:val="30"/>
        </w:rPr>
        <w:t>地有界址重疊之情形而經重測後面積減少者，即</w:t>
      </w:r>
      <w:r w:rsidRPr="007B5D03">
        <w:rPr>
          <w:rFonts w:hAnsi="標楷體"/>
          <w:spacing w:val="4"/>
          <w:sz w:val="30"/>
          <w:szCs w:val="30"/>
        </w:rPr>
        <w:t>表示依重測前之土地登記標示之面積為計算基</w:t>
      </w:r>
      <w:r w:rsidRPr="007B5D03">
        <w:rPr>
          <w:rFonts w:hAnsi="標楷體"/>
          <w:sz w:val="30"/>
          <w:szCs w:val="30"/>
        </w:rPr>
        <w:t>礎而核列歸戶冊之地價總額並不正確，其致土地所有權人因而負擔更多稅負者，亦應解為係屬稅捐稽徵法第二十八條所規定之</w:t>
      </w:r>
      <w:r w:rsidRPr="007B5D03">
        <w:rPr>
          <w:rFonts w:hAnsi="標楷體" w:hint="eastAsia"/>
          <w:sz w:val="30"/>
          <w:szCs w:val="30"/>
        </w:rPr>
        <w:t>『</w:t>
      </w:r>
      <w:r w:rsidRPr="007B5D03">
        <w:rPr>
          <w:rFonts w:hAnsi="標楷體"/>
          <w:sz w:val="30"/>
          <w:szCs w:val="30"/>
        </w:rPr>
        <w:t>因計算錯誤溢繳之稅款</w:t>
      </w:r>
      <w:r w:rsidRPr="007B5D03">
        <w:rPr>
          <w:rFonts w:hAnsi="標楷體" w:hint="eastAsia"/>
          <w:sz w:val="30"/>
          <w:szCs w:val="30"/>
        </w:rPr>
        <w:t>』</w:t>
      </w:r>
      <w:r w:rsidRPr="007B5D03">
        <w:rPr>
          <w:rFonts w:hAnsi="標楷體"/>
          <w:sz w:val="30"/>
          <w:szCs w:val="30"/>
        </w:rPr>
        <w:t>，方與實質課稅之公平原則無違。」有</w:t>
      </w:r>
      <w:r w:rsidRPr="007B5D03">
        <w:rPr>
          <w:rFonts w:hint="eastAsia"/>
          <w:sz w:val="30"/>
          <w:szCs w:val="30"/>
        </w:rPr>
        <w:t xml:space="preserve">　□</w:t>
      </w:r>
      <w:r w:rsidRPr="007B5D03">
        <w:rPr>
          <w:rFonts w:hAnsi="標楷體"/>
          <w:sz w:val="30"/>
          <w:szCs w:val="30"/>
        </w:rPr>
        <w:t>鈞院釋字第</w:t>
      </w:r>
      <w:r w:rsidRPr="007B5D03">
        <w:rPr>
          <w:sz w:val="30"/>
          <w:szCs w:val="30"/>
        </w:rPr>
        <w:t>625</w:t>
      </w:r>
      <w:r w:rsidRPr="007B5D03">
        <w:rPr>
          <w:rFonts w:hAnsi="標楷體"/>
          <w:sz w:val="30"/>
          <w:szCs w:val="30"/>
        </w:rPr>
        <w:t>號解釋可資參照。是以土地面積錯誤造成地價稅計算錯誤之情形，</w:t>
      </w:r>
      <w:r w:rsidRPr="007B5D03">
        <w:rPr>
          <w:sz w:val="30"/>
          <w:szCs w:val="30"/>
        </w:rPr>
        <w:t xml:space="preserve">　</w:t>
      </w:r>
      <w:r w:rsidRPr="007B5D03">
        <w:rPr>
          <w:rFonts w:hAnsi="標楷體"/>
          <w:sz w:val="30"/>
          <w:szCs w:val="30"/>
        </w:rPr>
        <w:t>鈞院亦認為此與實質課稅原則相違背，亦即實質課稅</w:t>
      </w:r>
      <w:r w:rsidRPr="007B5D03">
        <w:rPr>
          <w:rFonts w:hAnsi="標楷體" w:hint="eastAsia"/>
          <w:sz w:val="30"/>
          <w:szCs w:val="30"/>
        </w:rPr>
        <w:t>原</w:t>
      </w:r>
      <w:r w:rsidRPr="007B5D03">
        <w:rPr>
          <w:rFonts w:hAnsi="標楷體"/>
          <w:sz w:val="30"/>
          <w:szCs w:val="30"/>
        </w:rPr>
        <w:t>則對於租稅法令及課稅事實（課稅事實關係定性）均有其適用，應無疑義。</w:t>
      </w:r>
    </w:p>
    <w:p w:rsidR="00514426" w:rsidRPr="007B5D03" w:rsidRDefault="00514426" w:rsidP="001B3A93">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2)</w:t>
      </w:r>
      <w:r w:rsidRPr="007B5D03">
        <w:rPr>
          <w:rFonts w:hAnsi="標楷體"/>
          <w:spacing w:val="4"/>
          <w:sz w:val="30"/>
          <w:szCs w:val="30"/>
        </w:rPr>
        <w:t>故學者認為實質課稅原則對於稅捐客體之有無</w:t>
      </w:r>
      <w:r w:rsidRPr="007B5D03">
        <w:rPr>
          <w:rFonts w:hAnsi="標楷體"/>
          <w:sz w:val="30"/>
          <w:szCs w:val="30"/>
        </w:rPr>
        <w:t>之適用上，係包括定性之問題，這影響到其是否該當應稅的構成要件，及其應適用之稅基的計算規</w:t>
      </w:r>
      <w:r w:rsidRPr="007B5D03">
        <w:rPr>
          <w:rFonts w:hAnsi="標楷體"/>
          <w:sz w:val="30"/>
          <w:szCs w:val="30"/>
        </w:rPr>
        <w:lastRenderedPageBreak/>
        <w:t>定和稅率</w:t>
      </w:r>
      <w:r w:rsidRPr="007B5D03">
        <w:rPr>
          <w:rFonts w:hAnsi="標楷體" w:hint="eastAsia"/>
          <w:sz w:val="30"/>
          <w:szCs w:val="30"/>
        </w:rPr>
        <w:t>，</w:t>
      </w:r>
      <w:r w:rsidRPr="007B5D03">
        <w:rPr>
          <w:rFonts w:hAnsi="標楷體"/>
          <w:sz w:val="30"/>
          <w:szCs w:val="30"/>
        </w:rPr>
        <w:t>對於納稅義務人之實質稅捐利益自有重大影響。例如一棟建築是否被定性為自用住宅，不但影響其房屋稅，而且影響其基地之地價</w:t>
      </w:r>
      <w:r w:rsidRPr="007B5D03">
        <w:rPr>
          <w:rFonts w:hAnsi="標楷體"/>
          <w:spacing w:val="4"/>
          <w:sz w:val="30"/>
          <w:szCs w:val="30"/>
        </w:rPr>
        <w:t>稅、土地增值稅之應適用稅率（附件</w:t>
      </w:r>
      <w:r w:rsidRPr="007B5D03">
        <w:rPr>
          <w:spacing w:val="4"/>
          <w:sz w:val="30"/>
          <w:szCs w:val="30"/>
        </w:rPr>
        <w:t>10</w:t>
      </w:r>
      <w:r w:rsidRPr="007B5D03">
        <w:rPr>
          <w:rFonts w:hAnsi="標楷體"/>
          <w:spacing w:val="4"/>
          <w:sz w:val="30"/>
          <w:szCs w:val="30"/>
        </w:rPr>
        <w:t>，黃茂</w:t>
      </w:r>
      <w:r w:rsidRPr="007B5D03">
        <w:rPr>
          <w:rFonts w:hAnsi="標楷體"/>
          <w:sz w:val="30"/>
          <w:szCs w:val="30"/>
        </w:rPr>
        <w:t>榮，稅法總論第一冊，第</w:t>
      </w:r>
      <w:r w:rsidRPr="007B5D03">
        <w:rPr>
          <w:sz w:val="30"/>
          <w:szCs w:val="30"/>
        </w:rPr>
        <w:t>405</w:t>
      </w:r>
      <w:r w:rsidRPr="007B5D03">
        <w:rPr>
          <w:rFonts w:hAnsi="標楷體"/>
          <w:sz w:val="30"/>
          <w:szCs w:val="30"/>
        </w:rPr>
        <w:t>頁）。</w:t>
      </w:r>
    </w:p>
    <w:p w:rsidR="00514426" w:rsidRPr="007B5D03" w:rsidRDefault="00514426" w:rsidP="001B3A93">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3)</w:t>
      </w:r>
      <w:r w:rsidRPr="007B5D03">
        <w:rPr>
          <w:rFonts w:hAnsi="標楷體"/>
          <w:sz w:val="30"/>
          <w:szCs w:val="30"/>
        </w:rPr>
        <w:t>而所謂之「定性」係指事實關係的定性，由於法律之適用並不僅限於法規範解釋之問題，單純對於系爭法規範進行解釋，並無法獲得裁判規範，</w:t>
      </w:r>
      <w:r w:rsidRPr="007B5D03">
        <w:rPr>
          <w:rFonts w:hAnsi="標楷體"/>
          <w:spacing w:val="6"/>
          <w:sz w:val="30"/>
          <w:szCs w:val="30"/>
        </w:rPr>
        <w:t>且小前提（亦即事實）之處理也絕不是毫無問</w:t>
      </w:r>
      <w:r w:rsidRPr="007B5D03">
        <w:rPr>
          <w:rFonts w:hAnsi="標楷體"/>
          <w:sz w:val="30"/>
          <w:szCs w:val="30"/>
        </w:rPr>
        <w:t>題，所以事實關係之認定並不是單純的程序法的事務，對事實關係的定性，都應考慮法規範的意旨及目的，如對於事實關係的特徵，按照規範的意旨與任務，以合乎事理的方式，加以評價時，亦即針對構成要件的標準，對於事實關係的相關</w:t>
      </w:r>
      <w:r w:rsidRPr="007B5D03">
        <w:rPr>
          <w:rFonts w:hAnsi="標楷體" w:hint="eastAsia"/>
          <w:sz w:val="30"/>
          <w:szCs w:val="30"/>
        </w:rPr>
        <w:t>連</w:t>
      </w:r>
      <w:r w:rsidRPr="007B5D03">
        <w:rPr>
          <w:rFonts w:hAnsi="標楷體"/>
          <w:sz w:val="30"/>
          <w:szCs w:val="30"/>
        </w:rPr>
        <w:t>部分，加以評價時，則小前提（事實）即可正確的加以建立。是以德國稅法碩儒</w:t>
      </w:r>
      <w:r w:rsidRPr="007B5D03">
        <w:rPr>
          <w:sz w:val="30"/>
          <w:szCs w:val="30"/>
        </w:rPr>
        <w:t>Tipke</w:t>
      </w:r>
      <w:r w:rsidRPr="007B5D03">
        <w:rPr>
          <w:rFonts w:hAnsi="標楷體"/>
          <w:sz w:val="30"/>
          <w:szCs w:val="30"/>
        </w:rPr>
        <w:t>認為在稅法上，事實關係的定性，必須以經濟觀察法為之（附件</w:t>
      </w:r>
      <w:r w:rsidRPr="007B5D03">
        <w:rPr>
          <w:sz w:val="30"/>
          <w:szCs w:val="30"/>
        </w:rPr>
        <w:t>11</w:t>
      </w:r>
      <w:r w:rsidRPr="007B5D03">
        <w:rPr>
          <w:rFonts w:hAnsi="標楷體"/>
          <w:sz w:val="30"/>
          <w:szCs w:val="30"/>
        </w:rPr>
        <w:t>，陳清秀，稅法總論，第</w:t>
      </w:r>
      <w:r w:rsidRPr="007B5D03">
        <w:rPr>
          <w:sz w:val="30"/>
          <w:szCs w:val="30"/>
        </w:rPr>
        <w:t>196</w:t>
      </w:r>
      <w:r w:rsidRPr="007B5D03">
        <w:rPr>
          <w:rFonts w:hAnsi="標楷體"/>
          <w:sz w:val="30"/>
          <w:szCs w:val="30"/>
        </w:rPr>
        <w:t>頁）。有關實質課稅原則之適用包含課稅事實關係（亦即稅捐客體之有無），在我國憲法上、稅法上應為相同解釋，此觀　鈞院釋字第</w:t>
      </w:r>
      <w:r w:rsidRPr="007B5D03">
        <w:rPr>
          <w:sz w:val="30"/>
          <w:szCs w:val="30"/>
        </w:rPr>
        <w:t>625</w:t>
      </w:r>
      <w:r w:rsidRPr="007B5D03">
        <w:rPr>
          <w:rFonts w:hAnsi="標楷體"/>
          <w:sz w:val="30"/>
          <w:szCs w:val="30"/>
        </w:rPr>
        <w:t>號解釋亦針</w:t>
      </w:r>
      <w:r w:rsidRPr="007B5D03">
        <w:rPr>
          <w:rFonts w:hAnsi="標楷體"/>
          <w:spacing w:val="6"/>
          <w:sz w:val="30"/>
          <w:szCs w:val="30"/>
        </w:rPr>
        <w:t>對稅捐客體有無及事實關係之認定予以涵蓋自</w:t>
      </w:r>
      <w:r w:rsidRPr="007B5D03">
        <w:rPr>
          <w:rFonts w:hAnsi="標楷體"/>
          <w:sz w:val="30"/>
          <w:szCs w:val="30"/>
        </w:rPr>
        <w:t>明。</w:t>
      </w:r>
    </w:p>
    <w:p w:rsidR="00514426" w:rsidRPr="007B5D03" w:rsidRDefault="00514426" w:rsidP="005F68BA">
      <w:pPr>
        <w:snapToGrid w:val="0"/>
        <w:spacing w:line="437" w:lineRule="exact"/>
        <w:ind w:left="1843" w:hanging="312"/>
        <w:rPr>
          <w:sz w:val="30"/>
          <w:szCs w:val="30"/>
        </w:rPr>
      </w:pPr>
      <w:r w:rsidRPr="007B5D03">
        <w:rPr>
          <w:rFonts w:ascii="標楷體" w:hAnsi="標楷體"/>
          <w:sz w:val="30"/>
          <w:szCs w:val="30"/>
        </w:rPr>
        <w:t>2.</w:t>
      </w:r>
      <w:r w:rsidRPr="007B5D03">
        <w:rPr>
          <w:rFonts w:hAnsi="標楷體"/>
          <w:sz w:val="30"/>
          <w:szCs w:val="30"/>
        </w:rPr>
        <w:t>權證課稅案件其關鍵問題之一亦在於課稅事實關係定性問題</w:t>
      </w:r>
    </w:p>
    <w:p w:rsidR="00514426" w:rsidRPr="007B5D03" w:rsidRDefault="00514426" w:rsidP="005F68BA">
      <w:pPr>
        <w:snapToGrid w:val="0"/>
        <w:spacing w:line="437" w:lineRule="exact"/>
        <w:ind w:left="1843" w:firstLine="318"/>
        <w:rPr>
          <w:b/>
          <w:sz w:val="30"/>
          <w:szCs w:val="30"/>
        </w:rPr>
      </w:pPr>
      <w:r w:rsidRPr="007B5D03">
        <w:rPr>
          <w:rFonts w:hAnsi="標楷體"/>
          <w:sz w:val="30"/>
          <w:szCs w:val="30"/>
        </w:rPr>
        <w:t>有關權證案件之法院判決中，臺北高等行政法院</w:t>
      </w:r>
      <w:r w:rsidRPr="007B5D03">
        <w:rPr>
          <w:rFonts w:hAnsi="標楷體"/>
          <w:spacing w:val="4"/>
          <w:sz w:val="30"/>
          <w:szCs w:val="30"/>
        </w:rPr>
        <w:t>率先於</w:t>
      </w:r>
      <w:r w:rsidRPr="007B5D03">
        <w:rPr>
          <w:spacing w:val="4"/>
          <w:sz w:val="30"/>
          <w:szCs w:val="30"/>
        </w:rPr>
        <w:t>92</w:t>
      </w:r>
      <w:r w:rsidRPr="007B5D03">
        <w:rPr>
          <w:rFonts w:hAnsi="標楷體"/>
          <w:spacing w:val="4"/>
          <w:sz w:val="30"/>
          <w:szCs w:val="30"/>
        </w:rPr>
        <w:t>年度訴字第</w:t>
      </w:r>
      <w:r w:rsidRPr="007B5D03">
        <w:rPr>
          <w:spacing w:val="4"/>
          <w:sz w:val="30"/>
          <w:szCs w:val="30"/>
        </w:rPr>
        <w:t>157</w:t>
      </w:r>
      <w:r w:rsidRPr="007B5D03">
        <w:rPr>
          <w:rFonts w:hAnsi="標楷體"/>
          <w:spacing w:val="4"/>
          <w:sz w:val="30"/>
          <w:szCs w:val="30"/>
        </w:rPr>
        <w:t>號判決表示此課稅問題</w:t>
      </w:r>
      <w:r w:rsidRPr="007B5D03">
        <w:rPr>
          <w:rFonts w:hAnsi="標楷體"/>
          <w:spacing w:val="-10"/>
          <w:sz w:val="30"/>
          <w:szCs w:val="30"/>
        </w:rPr>
        <w:lastRenderedPageBreak/>
        <w:t>與定性間之關係，該號判決略謂：「法律的實踐，</w:t>
      </w:r>
      <w:r w:rsidRPr="007B5D03">
        <w:rPr>
          <w:rFonts w:hAnsi="標楷體" w:hint="eastAsia"/>
          <w:spacing w:val="-10"/>
          <w:sz w:val="30"/>
          <w:szCs w:val="30"/>
        </w:rPr>
        <w:t>『</w:t>
      </w:r>
      <w:r w:rsidRPr="007B5D03">
        <w:rPr>
          <w:rFonts w:hAnsi="標楷體"/>
          <w:spacing w:val="-10"/>
          <w:sz w:val="30"/>
          <w:szCs w:val="30"/>
        </w:rPr>
        <w:t>定</w:t>
      </w:r>
      <w:r w:rsidRPr="007B5D03">
        <w:rPr>
          <w:rFonts w:hAnsi="標楷體"/>
          <w:sz w:val="30"/>
          <w:szCs w:val="30"/>
        </w:rPr>
        <w:t>性</w:t>
      </w:r>
      <w:r w:rsidRPr="007B5D03">
        <w:rPr>
          <w:rFonts w:hAnsi="標楷體" w:hint="eastAsia"/>
          <w:sz w:val="30"/>
          <w:szCs w:val="30"/>
        </w:rPr>
        <w:t>』</w:t>
      </w:r>
      <w:r w:rsidRPr="007B5D03">
        <w:rPr>
          <w:rFonts w:hAnsi="標楷體"/>
          <w:sz w:val="30"/>
          <w:szCs w:val="30"/>
        </w:rPr>
        <w:t>先於</w:t>
      </w:r>
      <w:r w:rsidRPr="007B5D03">
        <w:rPr>
          <w:rFonts w:hAnsi="標楷體" w:hint="eastAsia"/>
          <w:sz w:val="30"/>
          <w:szCs w:val="30"/>
        </w:rPr>
        <w:t>『</w:t>
      </w:r>
      <w:r w:rsidRPr="007B5D03">
        <w:rPr>
          <w:rFonts w:hAnsi="標楷體"/>
          <w:sz w:val="30"/>
          <w:szCs w:val="30"/>
        </w:rPr>
        <w:t>適用</w:t>
      </w:r>
      <w:r w:rsidRPr="007B5D03">
        <w:rPr>
          <w:rFonts w:hAnsi="標楷體" w:hint="eastAsia"/>
          <w:sz w:val="30"/>
          <w:szCs w:val="30"/>
        </w:rPr>
        <w:t>』</w:t>
      </w:r>
      <w:r w:rsidRPr="007B5D03">
        <w:rPr>
          <w:rFonts w:hAnsi="標楷體"/>
          <w:sz w:val="30"/>
          <w:szCs w:val="30"/>
        </w:rPr>
        <w:t>，事實定性清楚後，才能按照定</w:t>
      </w:r>
      <w:r w:rsidRPr="007B5D03">
        <w:rPr>
          <w:rFonts w:hAnsi="標楷體"/>
          <w:spacing w:val="12"/>
          <w:sz w:val="30"/>
          <w:szCs w:val="30"/>
        </w:rPr>
        <w:t>性結果去尋找對應之法規範，進而形成法律效</w:t>
      </w:r>
      <w:r w:rsidRPr="007B5D03">
        <w:rPr>
          <w:rFonts w:hAnsi="標楷體"/>
          <w:sz w:val="30"/>
          <w:szCs w:val="30"/>
        </w:rPr>
        <w:t>果。</w:t>
      </w:r>
      <w:r w:rsidRPr="007B5D03">
        <w:rPr>
          <w:sz w:val="30"/>
          <w:szCs w:val="30"/>
        </w:rPr>
        <w:t>……</w:t>
      </w:r>
      <w:r w:rsidRPr="007B5D03">
        <w:rPr>
          <w:rFonts w:hAnsi="標楷體"/>
          <w:sz w:val="30"/>
          <w:szCs w:val="30"/>
        </w:rPr>
        <w:t>所得稅法制下的稅捐規避理論，是以</w:t>
      </w:r>
      <w:r w:rsidRPr="007B5D03">
        <w:rPr>
          <w:rFonts w:hAnsi="標楷體" w:hint="eastAsia"/>
          <w:sz w:val="30"/>
          <w:szCs w:val="30"/>
        </w:rPr>
        <w:t>『</w:t>
      </w:r>
      <w:r w:rsidRPr="007B5D03">
        <w:rPr>
          <w:rFonts w:hAnsi="標楷體"/>
          <w:sz w:val="30"/>
          <w:szCs w:val="30"/>
        </w:rPr>
        <w:t>承認收入定性主要要用民商法因素來衡量</w:t>
      </w:r>
      <w:r w:rsidRPr="007B5D03">
        <w:rPr>
          <w:rFonts w:hAnsi="標楷體" w:hint="eastAsia"/>
          <w:sz w:val="30"/>
          <w:szCs w:val="30"/>
        </w:rPr>
        <w:t>』</w:t>
      </w:r>
      <w:r w:rsidRPr="007B5D03">
        <w:rPr>
          <w:rFonts w:hAnsi="標楷體"/>
          <w:sz w:val="30"/>
          <w:szCs w:val="30"/>
        </w:rPr>
        <w:t>為其理論背景。（債券買賣價金中相當於出賣人持有期間票面利率之金額被認定為</w:t>
      </w:r>
      <w:r w:rsidRPr="007B5D03">
        <w:rPr>
          <w:rFonts w:hAnsi="標楷體" w:hint="eastAsia"/>
          <w:sz w:val="30"/>
          <w:szCs w:val="30"/>
        </w:rPr>
        <w:t>『</w:t>
      </w:r>
      <w:r w:rsidRPr="007B5D03">
        <w:rPr>
          <w:rFonts w:hAnsi="標楷體"/>
          <w:sz w:val="30"/>
          <w:szCs w:val="30"/>
        </w:rPr>
        <w:t>利息所得</w:t>
      </w:r>
      <w:r w:rsidRPr="007B5D03">
        <w:rPr>
          <w:rFonts w:hAnsi="標楷體" w:hint="eastAsia"/>
          <w:sz w:val="30"/>
          <w:szCs w:val="30"/>
        </w:rPr>
        <w:t>』</w:t>
      </w:r>
      <w:r w:rsidRPr="007B5D03">
        <w:rPr>
          <w:rFonts w:hAnsi="標楷體"/>
          <w:sz w:val="30"/>
          <w:szCs w:val="30"/>
        </w:rPr>
        <w:t>也可視為稅捐規避理論之一般化，或從稅捐規避理論法理所延伸出的觀點。）</w:t>
      </w:r>
      <w:r w:rsidRPr="007B5D03">
        <w:rPr>
          <w:sz w:val="30"/>
          <w:szCs w:val="30"/>
        </w:rPr>
        <w:t>……</w:t>
      </w:r>
      <w:r w:rsidRPr="007B5D03">
        <w:rPr>
          <w:rFonts w:hAnsi="標楷體"/>
          <w:sz w:val="30"/>
          <w:szCs w:val="30"/>
        </w:rPr>
        <w:t>事實上本院已用了極大的篇幅來說明，認購權證交易活動之全部流程，早在民商法層次上即被認定為一個單一的收入形成活動，而應一體看待，無從獨立分割，因此活動過程中之成本費用當然也可以認列。」其實其判決意旨可以簡明地被解析為，究竟應將權證發行而收取權利金之事實與避險交易所從事證券交易之事實，在法律上以一行為評價，抑或以多個行為評價？此問題除了課稅事實定性本身之問題外，更衍生出一個法律適用一致性的平等原則問題，此部分將待文後平等原則之檢討，再行論述。不過在實質課稅原則之層次上要討論的是，如何判斷權證交易之避險交易操作構成一個權證交易之整體行為（或事實）。</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3.</w:t>
      </w:r>
      <w:r w:rsidRPr="007B5D03">
        <w:rPr>
          <w:rFonts w:hAnsi="標楷體"/>
          <w:sz w:val="30"/>
          <w:szCs w:val="30"/>
        </w:rPr>
        <w:t>權證交易屬於一個法律事實（法律行為）</w:t>
      </w:r>
    </w:p>
    <w:p w:rsidR="00514426" w:rsidRPr="007B5D03" w:rsidRDefault="00514426" w:rsidP="00936596">
      <w:pPr>
        <w:snapToGrid w:val="0"/>
        <w:spacing w:line="437" w:lineRule="exact"/>
        <w:ind w:left="2138" w:hanging="380"/>
        <w:rPr>
          <w:b/>
          <w:sz w:val="30"/>
          <w:szCs w:val="30"/>
        </w:rPr>
      </w:pPr>
      <w:r w:rsidRPr="007B5D03">
        <w:rPr>
          <w:rFonts w:hAnsi="標楷體" w:hint="eastAsia"/>
          <w:sz w:val="30"/>
          <w:szCs w:val="30"/>
        </w:rPr>
        <w:t>(</w:t>
      </w:r>
      <w:r w:rsidRPr="007B5D03">
        <w:rPr>
          <w:sz w:val="30"/>
          <w:szCs w:val="30"/>
        </w:rPr>
        <w:t>1</w:t>
      </w:r>
      <w:r w:rsidRPr="007B5D03">
        <w:rPr>
          <w:rFonts w:hint="eastAsia"/>
          <w:sz w:val="30"/>
          <w:szCs w:val="30"/>
        </w:rPr>
        <w:t>)</w:t>
      </w:r>
      <w:r w:rsidRPr="007B5D03">
        <w:rPr>
          <w:rFonts w:hAnsi="標楷體"/>
          <w:sz w:val="30"/>
          <w:szCs w:val="30"/>
        </w:rPr>
        <w:t>按法律事實為生活事實中之為法律所規範者，且因其為法律所規範，故可被定性為法律事實之生活事實是否存在，便具有規範上的意義。法律事實之主要特徵應在：</w:t>
      </w:r>
      <w:r w:rsidRPr="007B5D03">
        <w:rPr>
          <w:rFonts w:hAnsi="標楷體" w:hint="eastAsia"/>
          <w:sz w:val="30"/>
          <w:szCs w:val="30"/>
        </w:rPr>
        <w:t>(</w:t>
      </w:r>
      <w:r w:rsidRPr="007B5D03">
        <w:rPr>
          <w:sz w:val="30"/>
          <w:szCs w:val="30"/>
        </w:rPr>
        <w:t>1</w:t>
      </w:r>
      <w:r w:rsidRPr="007B5D03">
        <w:rPr>
          <w:rFonts w:hint="eastAsia"/>
          <w:sz w:val="30"/>
          <w:szCs w:val="30"/>
        </w:rPr>
        <w:t>)</w:t>
      </w:r>
      <w:r w:rsidRPr="007B5D03">
        <w:rPr>
          <w:rFonts w:hAnsi="標楷體"/>
          <w:sz w:val="30"/>
          <w:szCs w:val="30"/>
        </w:rPr>
        <w:t>具體性，</w:t>
      </w:r>
      <w:r w:rsidRPr="007B5D03">
        <w:rPr>
          <w:rFonts w:hAnsi="標楷體" w:hint="eastAsia"/>
          <w:sz w:val="30"/>
          <w:szCs w:val="30"/>
        </w:rPr>
        <w:t>(</w:t>
      </w:r>
      <w:r w:rsidRPr="007B5D03">
        <w:rPr>
          <w:rFonts w:hint="eastAsia"/>
          <w:sz w:val="30"/>
          <w:szCs w:val="30"/>
        </w:rPr>
        <w:t>2)</w:t>
      </w:r>
      <w:r w:rsidRPr="007B5D03">
        <w:rPr>
          <w:rFonts w:hAnsi="標楷體"/>
          <w:sz w:val="30"/>
          <w:szCs w:val="30"/>
        </w:rPr>
        <w:t>事實性，若將法</w:t>
      </w:r>
      <w:r w:rsidRPr="007B5D03">
        <w:rPr>
          <w:rFonts w:hAnsi="標楷體"/>
          <w:sz w:val="30"/>
          <w:szCs w:val="30"/>
        </w:rPr>
        <w:lastRenderedPageBreak/>
        <w:t>律事實同一化為（抽象的）構成要件，首先</w:t>
      </w:r>
      <w:r w:rsidRPr="007B5D03">
        <w:rPr>
          <w:rFonts w:hAnsi="標楷體"/>
          <w:spacing w:val="4"/>
          <w:sz w:val="30"/>
          <w:szCs w:val="30"/>
        </w:rPr>
        <w:t>只有使人們喪失描述本來意義之法律事實這個</w:t>
      </w:r>
      <w:r w:rsidRPr="007B5D03">
        <w:rPr>
          <w:rFonts w:hAnsi="標楷體"/>
          <w:sz w:val="30"/>
          <w:szCs w:val="30"/>
        </w:rPr>
        <w:t>用語，並使之混淆，要之，法律事實並不是構成要件，它祇是充分了構成要件要素而已，所以法</w:t>
      </w:r>
      <w:r w:rsidRPr="007B5D03">
        <w:rPr>
          <w:rFonts w:hAnsi="標楷體"/>
          <w:spacing w:val="4"/>
          <w:sz w:val="30"/>
          <w:szCs w:val="30"/>
        </w:rPr>
        <w:t>律事實只要簡單地將之瞭解成法律所規範之生</w:t>
      </w:r>
      <w:r w:rsidRPr="007B5D03">
        <w:rPr>
          <w:rFonts w:hAnsi="標楷體"/>
          <w:spacing w:val="-4"/>
          <w:sz w:val="30"/>
          <w:szCs w:val="30"/>
        </w:rPr>
        <w:t>活事實（附件</w:t>
      </w:r>
      <w:r w:rsidRPr="007B5D03">
        <w:rPr>
          <w:spacing w:val="-4"/>
          <w:sz w:val="30"/>
          <w:szCs w:val="30"/>
        </w:rPr>
        <w:t>9</w:t>
      </w:r>
      <w:r w:rsidRPr="007B5D03">
        <w:rPr>
          <w:rFonts w:hAnsi="標楷體"/>
          <w:spacing w:val="-4"/>
          <w:sz w:val="30"/>
          <w:szCs w:val="30"/>
        </w:rPr>
        <w:t>，黃茂榮，法學方法與現代民法，</w:t>
      </w:r>
      <w:r w:rsidRPr="007B5D03">
        <w:rPr>
          <w:rFonts w:hAnsi="標楷體"/>
          <w:sz w:val="30"/>
          <w:szCs w:val="30"/>
        </w:rPr>
        <w:t>第</w:t>
      </w:r>
      <w:r w:rsidRPr="007B5D03">
        <w:rPr>
          <w:sz w:val="30"/>
          <w:szCs w:val="30"/>
        </w:rPr>
        <w:t>219</w:t>
      </w:r>
      <w:r w:rsidRPr="007B5D03">
        <w:rPr>
          <w:rFonts w:hAnsi="標楷體"/>
          <w:sz w:val="30"/>
          <w:szCs w:val="30"/>
        </w:rPr>
        <w:t>至</w:t>
      </w:r>
      <w:r w:rsidRPr="007B5D03">
        <w:rPr>
          <w:sz w:val="30"/>
          <w:szCs w:val="30"/>
        </w:rPr>
        <w:t>222</w:t>
      </w:r>
      <w:r w:rsidRPr="007B5D03">
        <w:rPr>
          <w:rFonts w:hAnsi="標楷體"/>
          <w:sz w:val="30"/>
          <w:szCs w:val="30"/>
        </w:rPr>
        <w:t>頁）。故學者理解之法律事實是不</w:t>
      </w:r>
      <w:r w:rsidRPr="007B5D03">
        <w:rPr>
          <w:rFonts w:hAnsi="標楷體"/>
          <w:spacing w:val="4"/>
          <w:sz w:val="30"/>
          <w:szCs w:val="30"/>
        </w:rPr>
        <w:t>以法條規定之構成要件作為行為個數之判斷標</w:t>
      </w:r>
      <w:r w:rsidRPr="007B5D03">
        <w:rPr>
          <w:rFonts w:hAnsi="標楷體"/>
          <w:sz w:val="30"/>
          <w:szCs w:val="30"/>
        </w:rPr>
        <w:t>準。</w:t>
      </w:r>
    </w:p>
    <w:p w:rsidR="00514426" w:rsidRPr="007B5D03" w:rsidRDefault="00514426" w:rsidP="00936596">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2)</w:t>
      </w:r>
      <w:r w:rsidRPr="007B5D03">
        <w:rPr>
          <w:rFonts w:hAnsi="標楷體"/>
          <w:spacing w:val="12"/>
          <w:sz w:val="30"/>
          <w:szCs w:val="30"/>
        </w:rPr>
        <w:t>至於是否屬於一個法律事實或法律行為之判</w:t>
      </w:r>
      <w:r w:rsidRPr="007B5D03">
        <w:rPr>
          <w:rFonts w:hAnsi="標楷體"/>
          <w:sz w:val="30"/>
          <w:szCs w:val="30"/>
        </w:rPr>
        <w:t>斷，在各個法律體系都有其判斷之標準，例如在民法上即有「法律行為」之概念（法律行為為法律事實之一），即以意思表示為核心，所謂意思表示不僅要看客觀的表示行為，亦要由客觀行為狀態推論效果意思為何。另在刑法及行政罰法上之「行為單數」包括自然意義之一行為、構成要件之行為單數及自然之行為單數，其中第二、三種本非自然意義的一行為，是經法學評價後始承認為行為單數之態樣，在刑法及行政罰法上，對於一行為就不可以為雙重評價，所以自然意義之</w:t>
      </w:r>
      <w:r w:rsidRPr="007B5D03">
        <w:rPr>
          <w:rFonts w:hAnsi="標楷體"/>
          <w:spacing w:val="4"/>
          <w:sz w:val="30"/>
          <w:szCs w:val="30"/>
        </w:rPr>
        <w:t>一行為不會因為該當數個構成要件而被給予法</w:t>
      </w:r>
      <w:r w:rsidRPr="007B5D03">
        <w:rPr>
          <w:rFonts w:hAnsi="標楷體"/>
          <w:sz w:val="30"/>
          <w:szCs w:val="30"/>
        </w:rPr>
        <w:t>律的雙重評價。又自然意義之一行為係指以身體動作實現的「一個意思活動」，是以在法律的評價上恆為一個行為，並無再割裂、支解觀察之可</w:t>
      </w:r>
      <w:r w:rsidRPr="007B5D03">
        <w:rPr>
          <w:rFonts w:hAnsi="標楷體"/>
          <w:spacing w:val="4"/>
          <w:sz w:val="30"/>
          <w:szCs w:val="30"/>
        </w:rPr>
        <w:t>能（附件</w:t>
      </w:r>
      <w:r w:rsidRPr="007B5D03">
        <w:rPr>
          <w:spacing w:val="4"/>
          <w:sz w:val="30"/>
          <w:szCs w:val="30"/>
        </w:rPr>
        <w:t>12</w:t>
      </w:r>
      <w:r w:rsidRPr="007B5D03">
        <w:rPr>
          <w:rFonts w:hAnsi="標楷體"/>
          <w:spacing w:val="4"/>
          <w:sz w:val="30"/>
          <w:szCs w:val="30"/>
        </w:rPr>
        <w:t>，林明昕，論行政罰中單一行為之</w:t>
      </w:r>
      <w:r w:rsidRPr="007B5D03">
        <w:rPr>
          <w:rFonts w:hAnsi="標楷體"/>
          <w:sz w:val="30"/>
          <w:szCs w:val="30"/>
        </w:rPr>
        <w:t>概念，第</w:t>
      </w:r>
      <w:r w:rsidRPr="007B5D03">
        <w:rPr>
          <w:sz w:val="30"/>
          <w:szCs w:val="30"/>
        </w:rPr>
        <w:t>21</w:t>
      </w:r>
      <w:r w:rsidRPr="007B5D03">
        <w:rPr>
          <w:rFonts w:hAnsi="標楷體"/>
          <w:sz w:val="30"/>
          <w:szCs w:val="30"/>
        </w:rPr>
        <w:t>、</w:t>
      </w:r>
      <w:r w:rsidRPr="007B5D03">
        <w:rPr>
          <w:sz w:val="30"/>
          <w:szCs w:val="30"/>
        </w:rPr>
        <w:t>22</w:t>
      </w:r>
      <w:r w:rsidRPr="007B5D03">
        <w:rPr>
          <w:rFonts w:hAnsi="標楷體"/>
          <w:sz w:val="30"/>
          <w:szCs w:val="30"/>
        </w:rPr>
        <w:t>頁）。</w:t>
      </w:r>
    </w:p>
    <w:p w:rsidR="00514426" w:rsidRPr="007B5D03" w:rsidRDefault="00514426" w:rsidP="00936596">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3)</w:t>
      </w:r>
      <w:r w:rsidRPr="007B5D03">
        <w:rPr>
          <w:rFonts w:hAnsi="標楷體"/>
          <w:sz w:val="30"/>
          <w:szCs w:val="30"/>
        </w:rPr>
        <w:t xml:space="preserve">回到稅法角度觀察，權證交易行為在稅法上究竟屬於一行為或二個以上之行為？吾人可先參考　</w:t>
      </w:r>
      <w:r w:rsidRPr="007B5D03">
        <w:rPr>
          <w:rFonts w:hAnsi="標楷體"/>
          <w:sz w:val="30"/>
          <w:szCs w:val="30"/>
        </w:rPr>
        <w:lastRenderedPageBreak/>
        <w:t>鈞院釋字第</w:t>
      </w:r>
      <w:r w:rsidRPr="007B5D03">
        <w:rPr>
          <w:sz w:val="30"/>
          <w:szCs w:val="30"/>
        </w:rPr>
        <w:t>503</w:t>
      </w:r>
      <w:r w:rsidRPr="007B5D03">
        <w:rPr>
          <w:rFonts w:hAnsi="標楷體"/>
          <w:sz w:val="30"/>
          <w:szCs w:val="30"/>
        </w:rPr>
        <w:t>號解釋理由書，其略謂：「違反租稅義務之行為，涉及數處罰規定時可否併合處罰，因行為之態樣、處罰之種類及處罰之目的不同而有異，如係實質上之數行為違反數法條而處罰結果不一者，其得併合處罰，固不待言。惟納稅義務人對於同一違反租稅義務之行為，同時符合行為罰及漏稅罰之處罰要件者，例如營利事業依法律規定應給與他人憑證而未給與，致短報或漏報銷售額者，就納稅義務人違反作為義務而被處行為罰與因逃漏稅捐而被處漏稅罰而言，其處罰目的及處罰要件，雖有不同，前者係以有違反作為義務之行為即應受處罰，後者則須有處罰法定要件之漏稅事實始屬相當，除二者處罰之性質與種類不同，例如一為罰鍰、一為沒入，或一為罰鍰、一為停止營業處分等情形，必須採用不同方法而為併合處罰，以達行政目的所必要者外，</w:t>
      </w:r>
      <w:r w:rsidRPr="007B5D03">
        <w:rPr>
          <w:rFonts w:hAnsi="標楷體"/>
          <w:spacing w:val="4"/>
          <w:sz w:val="30"/>
          <w:szCs w:val="30"/>
        </w:rPr>
        <w:t>不得重複處罰，乃現代民主法治國家之基本原</w:t>
      </w:r>
      <w:r w:rsidRPr="007B5D03">
        <w:rPr>
          <w:rFonts w:hAnsi="標楷體"/>
          <w:sz w:val="30"/>
          <w:szCs w:val="30"/>
        </w:rPr>
        <w:t>則。從而，違反作為義務之行為，如同時構成漏</w:t>
      </w:r>
      <w:r w:rsidRPr="007B5D03">
        <w:rPr>
          <w:rFonts w:hAnsi="標楷體"/>
          <w:spacing w:val="4"/>
          <w:sz w:val="30"/>
          <w:szCs w:val="30"/>
        </w:rPr>
        <w:t>稅行為之一部或係漏稅行為之方法而處罰種類</w:t>
      </w:r>
      <w:r w:rsidRPr="007B5D03">
        <w:rPr>
          <w:rFonts w:hAnsi="標楷體"/>
          <w:sz w:val="30"/>
          <w:szCs w:val="30"/>
        </w:rPr>
        <w:t>相同者，則從其一重處罰已足達成行政目的時，即不得再就其他行為併予處罰，始符憲法保障人民權利之意旨。」如果單純從外觀上或以不同法條構成要件作為行為個數之認定標準時，納稅義</w:t>
      </w:r>
      <w:r w:rsidRPr="007B5D03">
        <w:rPr>
          <w:rFonts w:hAnsi="標楷體"/>
          <w:spacing w:val="4"/>
          <w:sz w:val="30"/>
          <w:szCs w:val="30"/>
        </w:rPr>
        <w:t>務人取得或開立憑證之義務與申報營業稅之行</w:t>
      </w:r>
      <w:r w:rsidRPr="007B5D03">
        <w:rPr>
          <w:rFonts w:hAnsi="標楷體"/>
          <w:sz w:val="30"/>
          <w:szCs w:val="30"/>
        </w:rPr>
        <w:t>為，似屬於二個構成要件所定之行為，然而該二行為間具有方法與結果之關連，在營業人之意思上取得、開立憑證僅</w:t>
      </w:r>
      <w:r w:rsidRPr="007B5D03">
        <w:rPr>
          <w:rFonts w:hAnsi="標楷體"/>
          <w:sz w:val="30"/>
          <w:szCs w:val="30"/>
        </w:rPr>
        <w:lastRenderedPageBreak/>
        <w:t>為申報營業稅之過程，就客觀狀態觀察營業人之主觀意思活動，應屬基於一個意思所為之整體行為，不能僅以法律上有對憑證開立、取得或保存行為設有特別規定，即將之論為二個行為，給予二罰之法律評價，此觀前揭</w:t>
      </w:r>
      <w:r w:rsidRPr="007B5D03">
        <w:rPr>
          <w:sz w:val="30"/>
          <w:szCs w:val="30"/>
        </w:rPr>
        <w:t xml:space="preserve">　</w:t>
      </w:r>
      <w:r w:rsidRPr="007B5D03">
        <w:rPr>
          <w:rFonts w:hAnsi="標楷體"/>
          <w:sz w:val="30"/>
          <w:szCs w:val="30"/>
        </w:rPr>
        <w:t>鈞院釋字第</w:t>
      </w:r>
      <w:r w:rsidRPr="007B5D03">
        <w:rPr>
          <w:sz w:val="30"/>
          <w:szCs w:val="30"/>
        </w:rPr>
        <w:t>503</w:t>
      </w:r>
      <w:r w:rsidRPr="007B5D03">
        <w:rPr>
          <w:rFonts w:hAnsi="標楷體"/>
          <w:sz w:val="30"/>
          <w:szCs w:val="30"/>
        </w:rPr>
        <w:t>號解釋自明。</w:t>
      </w:r>
    </w:p>
    <w:p w:rsidR="00514426" w:rsidRPr="007B5D03" w:rsidRDefault="00514426" w:rsidP="00936596">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4)</w:t>
      </w:r>
      <w:r w:rsidRPr="007B5D03">
        <w:rPr>
          <w:rFonts w:hAnsi="標楷體"/>
          <w:spacing w:val="4"/>
          <w:sz w:val="30"/>
          <w:szCs w:val="30"/>
        </w:rPr>
        <w:t>經查，權證交易之發行人之所以會從事避險交</w:t>
      </w:r>
      <w:r w:rsidRPr="007B5D03">
        <w:rPr>
          <w:rFonts w:hAnsi="標楷體"/>
          <w:sz w:val="30"/>
          <w:szCs w:val="30"/>
        </w:rPr>
        <w:t>易，此乃權證交易契約性質所使然，發行人本應從事避險交易，詳如前述，就本件聲請人之客觀狀態觀察其主觀意思，當應將簽訂權證契約收取權利金及之後避險交易、投資人執行權利時將標的股票轉讓予伊等整體交易，均屬一行為，對於此種一行為自不能為相互矛盾之評價。易言之，</w:t>
      </w:r>
      <w:r w:rsidRPr="007B5D03">
        <w:rPr>
          <w:rFonts w:hAnsi="標楷體"/>
          <w:spacing w:val="-4"/>
          <w:sz w:val="30"/>
          <w:szCs w:val="30"/>
        </w:rPr>
        <w:t>認購權證屬於一種具「時間價值」的「備」「兌」</w:t>
      </w:r>
      <w:r w:rsidRPr="007B5D03">
        <w:rPr>
          <w:rFonts w:hAnsi="標楷體"/>
          <w:sz w:val="30"/>
          <w:szCs w:val="30"/>
        </w:rPr>
        <w:t>契約，對於權證發行人而言，該交易既然須待整體交易完結後始有結算損益之可能，而其間因避險交易所產生之損失又屬不能事先精確預測，僅能依前述避險公式推算並進行避險操作。從契約的權利義務關係以觀，權證發行人必須在履約時</w:t>
      </w:r>
      <w:r w:rsidRPr="007B5D03">
        <w:rPr>
          <w:rFonts w:hAnsi="標楷體"/>
          <w:spacing w:val="4"/>
          <w:sz w:val="30"/>
          <w:szCs w:val="30"/>
        </w:rPr>
        <w:t>將標的股票依約定價格出售予行使買權之投資</w:t>
      </w:r>
      <w:r w:rsidRPr="007B5D03">
        <w:rPr>
          <w:rFonts w:hAnsi="標楷體"/>
          <w:sz w:val="30"/>
          <w:szCs w:val="30"/>
        </w:rPr>
        <w:t>人，如不進行相關避險操作，有一種可能是在發行權證之際，即購入同等數量之標的股票；或者</w:t>
      </w:r>
      <w:r w:rsidRPr="007B5D03">
        <w:rPr>
          <w:rFonts w:hAnsi="標楷體"/>
          <w:spacing w:val="4"/>
          <w:sz w:val="30"/>
          <w:szCs w:val="30"/>
        </w:rPr>
        <w:t>另一種可能是在投資人要求履約時再從市場上</w:t>
      </w:r>
      <w:r w:rsidRPr="007B5D03">
        <w:rPr>
          <w:rFonts w:hAnsi="標楷體"/>
          <w:sz w:val="30"/>
          <w:szCs w:val="30"/>
        </w:rPr>
        <w:t>購入標的股票，可以想見不進行避險交易而採取上開二種作法，其可能造成之損失更大，前者是一開始購入股票量太大，不一定至履約時可全數出售予投資人，且</w:t>
      </w:r>
      <w:r w:rsidRPr="007B5D03">
        <w:rPr>
          <w:rFonts w:hAnsi="標楷體"/>
          <w:sz w:val="30"/>
          <w:szCs w:val="30"/>
        </w:rPr>
        <w:lastRenderedPageBreak/>
        <w:t>要承擔長期持有股票之價格波動風險，後者雖不必一開始購入大量標的股票，然標的股票市價高於履約價格時，權證發行人勢</w:t>
      </w:r>
      <w:r w:rsidRPr="007B5D03">
        <w:rPr>
          <w:rFonts w:hAnsi="標楷體"/>
          <w:spacing w:val="4"/>
          <w:sz w:val="30"/>
          <w:szCs w:val="30"/>
        </w:rPr>
        <w:t>必會承受遭投資人大量行使買權而生之鉅額損</w:t>
      </w:r>
      <w:r w:rsidRPr="007B5D03">
        <w:rPr>
          <w:rFonts w:hAnsi="標楷體"/>
          <w:sz w:val="30"/>
          <w:szCs w:val="30"/>
        </w:rPr>
        <w:t>失。準此，在權證交易中所採取之避險交易，乃權證發行人不得不採取之措施，並藉由避險交易賺取權證商品之利潤，避險交易當然構成權證交易本質之一部分。</w:t>
      </w:r>
    </w:p>
    <w:p w:rsidR="00514426" w:rsidRPr="007B5D03" w:rsidRDefault="00514426" w:rsidP="00936596">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5)</w:t>
      </w:r>
      <w:r w:rsidRPr="007B5D03">
        <w:rPr>
          <w:rFonts w:hAnsi="標楷體"/>
          <w:sz w:val="30"/>
          <w:szCs w:val="30"/>
        </w:rPr>
        <w:t>最後從法律事實判斷之角度觀察，法律事實之主要特徵應在具體性及事實性，亦即行為數的認定不可能以不同法令規定之構成要件，判斷同時該當二法條構成要件之事實即屬於二行為，仍然應該本於具體事實之狀態加以認定，是故，在法律事實之一環之法律行為，應依照當事人之意思表示活動加以認定，具體言之，聲請人在從事權證交易時，依照交易當事人之真意，避險交易本來</w:t>
      </w:r>
      <w:r w:rsidRPr="007B5D03">
        <w:rPr>
          <w:rFonts w:hAnsi="標楷體"/>
          <w:spacing w:val="4"/>
          <w:sz w:val="30"/>
          <w:szCs w:val="30"/>
        </w:rPr>
        <w:t>就是權證交易行為之一環，或者說是其中的過</w:t>
      </w:r>
      <w:r w:rsidRPr="007B5D03">
        <w:rPr>
          <w:rFonts w:hAnsi="標楷體"/>
          <w:sz w:val="30"/>
          <w:szCs w:val="30"/>
        </w:rPr>
        <w:t>程，絕對不因所得稅法第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規範證券交易損益在稅上不認列後，權證交易行為中之避險交易就應該被拆解出來，只能說此處會有對同一法律事實之不並存的規範間有如何競合之問題。矧</w:t>
      </w:r>
      <w:r w:rsidRPr="007B5D03">
        <w:rPr>
          <w:rFonts w:hAnsi="標楷體"/>
          <w:spacing w:val="10"/>
          <w:sz w:val="30"/>
          <w:szCs w:val="30"/>
        </w:rPr>
        <w:t>權證發行人採取避險措施亦為主管機關所要</w:t>
      </w:r>
      <w:r w:rsidRPr="007B5D03">
        <w:rPr>
          <w:rFonts w:hAnsi="標楷體"/>
          <w:sz w:val="30"/>
          <w:szCs w:val="30"/>
        </w:rPr>
        <w:t>求，亦即法令上亦將權證交易發行及避險交易作為一行為。</w:t>
      </w:r>
    </w:p>
    <w:p w:rsidR="00514426" w:rsidRPr="007B5D03" w:rsidRDefault="00514426" w:rsidP="00936596">
      <w:pPr>
        <w:snapToGrid w:val="0"/>
        <w:spacing w:line="437" w:lineRule="exact"/>
        <w:ind w:left="2138" w:hanging="380"/>
        <w:rPr>
          <w:sz w:val="30"/>
          <w:szCs w:val="30"/>
        </w:rPr>
      </w:pPr>
      <w:r w:rsidRPr="007B5D03">
        <w:rPr>
          <w:rFonts w:hAnsi="標楷體" w:hint="eastAsia"/>
          <w:sz w:val="30"/>
          <w:szCs w:val="30"/>
        </w:rPr>
        <w:t>(</w:t>
      </w:r>
      <w:r w:rsidRPr="007B5D03">
        <w:rPr>
          <w:rFonts w:hint="eastAsia"/>
          <w:sz w:val="30"/>
          <w:szCs w:val="30"/>
        </w:rPr>
        <w:t>6)</w:t>
      </w:r>
      <w:r w:rsidRPr="007B5D03">
        <w:rPr>
          <w:rFonts w:hAnsi="標楷體"/>
          <w:spacing w:val="4"/>
          <w:sz w:val="30"/>
          <w:szCs w:val="30"/>
        </w:rPr>
        <w:t>職是，本案確定判決肯認財政部</w:t>
      </w:r>
      <w:r w:rsidRPr="007B5D03">
        <w:rPr>
          <w:spacing w:val="4"/>
          <w:sz w:val="30"/>
          <w:szCs w:val="30"/>
        </w:rPr>
        <w:t>86</w:t>
      </w:r>
      <w:r w:rsidRPr="007B5D03">
        <w:rPr>
          <w:rFonts w:hAnsi="標楷體"/>
          <w:spacing w:val="4"/>
          <w:sz w:val="30"/>
          <w:szCs w:val="30"/>
        </w:rPr>
        <w:t>年函釋之合</w:t>
      </w:r>
      <w:r w:rsidRPr="007B5D03">
        <w:rPr>
          <w:rFonts w:hAnsi="標楷體"/>
          <w:sz w:val="30"/>
          <w:szCs w:val="30"/>
        </w:rPr>
        <w:t>法性，乃是基於因有證券交易損失不能扣減應稅</w:t>
      </w:r>
      <w:r w:rsidRPr="007B5D03">
        <w:rPr>
          <w:rFonts w:hAnsi="標楷體"/>
          <w:spacing w:val="-4"/>
          <w:sz w:val="30"/>
          <w:szCs w:val="30"/>
        </w:rPr>
        <w:t>收入之規定，將自然意義的一個法律事實（行為）</w:t>
      </w:r>
      <w:r w:rsidRPr="007B5D03">
        <w:rPr>
          <w:rFonts w:hAnsi="標楷體"/>
          <w:sz w:val="30"/>
          <w:szCs w:val="30"/>
        </w:rPr>
        <w:lastRenderedPageBreak/>
        <w:t>誤認為有二個法律行為，所以才會建立出避險交</w:t>
      </w:r>
      <w:r w:rsidRPr="007B5D03">
        <w:rPr>
          <w:rFonts w:hAnsi="標楷體"/>
          <w:spacing w:val="4"/>
          <w:sz w:val="30"/>
          <w:szCs w:val="30"/>
        </w:rPr>
        <w:t>易部分損失不與權利金收入併計之不同法律評</w:t>
      </w:r>
      <w:r w:rsidRPr="007B5D03">
        <w:rPr>
          <w:rFonts w:hAnsi="標楷體"/>
          <w:sz w:val="30"/>
          <w:szCs w:val="30"/>
        </w:rPr>
        <w:t>價。然而聲請人必須指明者為，一個法律行為不得為互相矛盾之法律評價，此即屬正義原則及平等原則之內涵，否則一個法律行為該當數個法律之構成要件，是否就因此成為數行為？如有矛盾產生時，豈非對於一個行為各部分給予歧異之評價，就會如同財政部</w:t>
      </w:r>
      <w:r w:rsidRPr="007B5D03">
        <w:rPr>
          <w:sz w:val="30"/>
          <w:szCs w:val="30"/>
        </w:rPr>
        <w:t>86</w:t>
      </w:r>
      <w:r w:rsidRPr="007B5D03">
        <w:rPr>
          <w:rFonts w:hAnsi="標楷體"/>
          <w:sz w:val="30"/>
          <w:szCs w:val="30"/>
        </w:rPr>
        <w:t>年函釋所犯之錯誤，就權利金收入以毛所得課稅，屬其成本之避險交易</w:t>
      </w:r>
      <w:r w:rsidRPr="007B5D03">
        <w:rPr>
          <w:rFonts w:hAnsi="標楷體"/>
          <w:spacing w:val="4"/>
          <w:sz w:val="30"/>
          <w:szCs w:val="30"/>
        </w:rPr>
        <w:t>反而被認定為另一證券交易行為而不得認列應</w:t>
      </w:r>
      <w:r w:rsidRPr="007B5D03">
        <w:rPr>
          <w:rFonts w:hAnsi="標楷體"/>
          <w:sz w:val="30"/>
          <w:szCs w:val="30"/>
        </w:rPr>
        <w:t>稅收入之成本費用，而對此部分是否應以規範競合方式加以處理，不加以討論。</w:t>
      </w:r>
    </w:p>
    <w:p w:rsidR="00514426" w:rsidRPr="007B5D03" w:rsidRDefault="00514426" w:rsidP="00561EC8">
      <w:pPr>
        <w:snapToGrid w:val="0"/>
        <w:spacing w:line="437" w:lineRule="exact"/>
        <w:ind w:left="1815" w:hanging="284"/>
        <w:rPr>
          <w:sz w:val="30"/>
          <w:szCs w:val="30"/>
        </w:rPr>
      </w:pPr>
      <w:r w:rsidRPr="007B5D03">
        <w:rPr>
          <w:rFonts w:ascii="標楷體" w:hAnsi="標楷體"/>
          <w:sz w:val="30"/>
          <w:szCs w:val="30"/>
        </w:rPr>
        <w:t>4.</w:t>
      </w:r>
      <w:r w:rsidRPr="007B5D03">
        <w:rPr>
          <w:rFonts w:hAnsi="標楷體"/>
          <w:sz w:val="30"/>
          <w:szCs w:val="30"/>
        </w:rPr>
        <w:t>從日本立法例而論，避險交易必須與其對象合併計算損益，足見避險交易成本為認購（售）權證交易之一環</w:t>
      </w:r>
    </w:p>
    <w:p w:rsidR="00514426" w:rsidRPr="007B5D03" w:rsidRDefault="00514426" w:rsidP="00561EC8">
      <w:pPr>
        <w:snapToGrid w:val="0"/>
        <w:spacing w:line="437" w:lineRule="exact"/>
        <w:ind w:left="1814" w:firstLine="318"/>
        <w:rPr>
          <w:sz w:val="30"/>
          <w:szCs w:val="30"/>
        </w:rPr>
      </w:pPr>
      <w:r w:rsidRPr="007B5D03">
        <w:rPr>
          <w:rFonts w:hAnsi="標楷體"/>
          <w:spacing w:val="4"/>
          <w:sz w:val="30"/>
          <w:szCs w:val="30"/>
        </w:rPr>
        <w:t>日本稅法原本對資產的評價損益並不認為屬於</w:t>
      </w:r>
      <w:r w:rsidRPr="007B5D03">
        <w:rPr>
          <w:rFonts w:hAnsi="標楷體"/>
          <w:sz w:val="30"/>
          <w:szCs w:val="30"/>
        </w:rPr>
        <w:t>所得稅（法人稅）上之損益，然而近年來企業會計的領域朝向市場價格會計之方向，對於衍生性金融商品部分有所調整，並於</w:t>
      </w:r>
      <w:r w:rsidRPr="007B5D03">
        <w:rPr>
          <w:sz w:val="30"/>
          <w:szCs w:val="30"/>
        </w:rPr>
        <w:t>2000</w:t>
      </w:r>
      <w:r w:rsidRPr="007B5D03">
        <w:rPr>
          <w:rFonts w:hAnsi="標楷體"/>
          <w:sz w:val="30"/>
          <w:szCs w:val="30"/>
        </w:rPr>
        <w:t>年、</w:t>
      </w:r>
      <w:r w:rsidRPr="007B5D03">
        <w:rPr>
          <w:sz w:val="30"/>
          <w:szCs w:val="30"/>
        </w:rPr>
        <w:t>2007</w:t>
      </w:r>
      <w:r w:rsidRPr="007B5D03">
        <w:rPr>
          <w:rFonts w:hAnsi="標楷體"/>
          <w:sz w:val="30"/>
          <w:szCs w:val="30"/>
        </w:rPr>
        <w:t>年進行法人稅法修正，其中在有關有價證券避險交易部分之</w:t>
      </w:r>
      <w:r w:rsidRPr="007B5D03">
        <w:rPr>
          <w:rFonts w:hAnsi="標楷體"/>
          <w:spacing w:val="4"/>
          <w:sz w:val="30"/>
          <w:szCs w:val="30"/>
        </w:rPr>
        <w:t>規定為法人稅法第</w:t>
      </w:r>
      <w:r w:rsidRPr="007B5D03">
        <w:rPr>
          <w:spacing w:val="4"/>
          <w:sz w:val="30"/>
          <w:szCs w:val="30"/>
        </w:rPr>
        <w:t>61</w:t>
      </w:r>
      <w:r w:rsidRPr="007B5D03">
        <w:rPr>
          <w:rFonts w:hAnsi="標楷體"/>
          <w:spacing w:val="4"/>
          <w:sz w:val="30"/>
          <w:szCs w:val="30"/>
        </w:rPr>
        <w:t>條之</w:t>
      </w:r>
      <w:r w:rsidRPr="007B5D03">
        <w:rPr>
          <w:spacing w:val="4"/>
          <w:sz w:val="30"/>
          <w:szCs w:val="30"/>
        </w:rPr>
        <w:t>7</w:t>
      </w:r>
      <w:r w:rsidRPr="007B5D03">
        <w:rPr>
          <w:rFonts w:hAnsi="標楷體"/>
          <w:spacing w:val="4"/>
          <w:sz w:val="30"/>
          <w:szCs w:val="30"/>
        </w:rPr>
        <w:t>第</w:t>
      </w:r>
      <w:r w:rsidRPr="007B5D03">
        <w:rPr>
          <w:spacing w:val="4"/>
          <w:sz w:val="30"/>
          <w:szCs w:val="30"/>
        </w:rPr>
        <w:t>1</w:t>
      </w:r>
      <w:r w:rsidRPr="007B5D03">
        <w:rPr>
          <w:rFonts w:hAnsi="標楷體"/>
          <w:spacing w:val="4"/>
          <w:sz w:val="30"/>
          <w:szCs w:val="30"/>
        </w:rPr>
        <w:t>項，有關減少有</w:t>
      </w:r>
      <w:r w:rsidRPr="007B5D03">
        <w:rPr>
          <w:rFonts w:hAnsi="標楷體"/>
          <w:sz w:val="30"/>
          <w:szCs w:val="30"/>
        </w:rPr>
        <w:t>價證券價格變動之避險交易所產生之損益金額，在</w:t>
      </w:r>
      <w:r w:rsidRPr="007B5D03">
        <w:rPr>
          <w:rFonts w:hAnsi="標楷體"/>
          <w:spacing w:val="4"/>
          <w:sz w:val="30"/>
          <w:szCs w:val="30"/>
        </w:rPr>
        <w:t>避險交易對於避險對象之有價證券損失額減少可</w:t>
      </w:r>
      <w:r w:rsidRPr="007B5D03">
        <w:rPr>
          <w:rFonts w:hAnsi="標楷體"/>
          <w:sz w:val="30"/>
          <w:szCs w:val="30"/>
        </w:rPr>
        <w:t>被認為有效時，對有價證券市價與帳載價格之差額中，於避險交易損益可對應部分之金額，算入該年度所得金額內（附件</w:t>
      </w:r>
      <w:r w:rsidRPr="007B5D03">
        <w:rPr>
          <w:sz w:val="30"/>
          <w:szCs w:val="30"/>
        </w:rPr>
        <w:t>13</w:t>
      </w:r>
      <w:r w:rsidRPr="007B5D03">
        <w:rPr>
          <w:rFonts w:hAnsi="標楷體"/>
          <w:sz w:val="30"/>
          <w:szCs w:val="30"/>
        </w:rPr>
        <w:t>，金子宏，租稅法，第</w:t>
      </w:r>
      <w:r w:rsidRPr="007B5D03">
        <w:rPr>
          <w:sz w:val="30"/>
          <w:szCs w:val="30"/>
        </w:rPr>
        <w:t>13</w:t>
      </w:r>
      <w:r w:rsidRPr="007B5D03">
        <w:rPr>
          <w:rFonts w:hAnsi="標楷體"/>
          <w:sz w:val="30"/>
          <w:szCs w:val="30"/>
        </w:rPr>
        <w:t>版，第</w:t>
      </w:r>
      <w:r w:rsidRPr="007B5D03">
        <w:rPr>
          <w:sz w:val="30"/>
          <w:szCs w:val="30"/>
        </w:rPr>
        <w:t>262</w:t>
      </w:r>
      <w:r w:rsidRPr="007B5D03">
        <w:rPr>
          <w:rFonts w:hAnsi="標楷體"/>
          <w:sz w:val="30"/>
          <w:szCs w:val="30"/>
        </w:rPr>
        <w:lastRenderedPageBreak/>
        <w:t>至</w:t>
      </w:r>
      <w:r w:rsidRPr="007B5D03">
        <w:rPr>
          <w:sz w:val="30"/>
          <w:szCs w:val="30"/>
        </w:rPr>
        <w:t>265</w:t>
      </w:r>
      <w:r w:rsidRPr="007B5D03">
        <w:rPr>
          <w:rFonts w:hAnsi="標楷體"/>
          <w:sz w:val="30"/>
          <w:szCs w:val="30"/>
        </w:rPr>
        <w:t>頁）。縱日本法制原則上不以資</w:t>
      </w:r>
      <w:r w:rsidRPr="007B5D03">
        <w:rPr>
          <w:rFonts w:hAnsi="標楷體"/>
          <w:spacing w:val="4"/>
          <w:sz w:val="30"/>
          <w:szCs w:val="30"/>
        </w:rPr>
        <w:t>產之市價與其取得成本間之評價損益作為稅上已</w:t>
      </w:r>
      <w:r w:rsidRPr="007B5D03">
        <w:rPr>
          <w:rFonts w:hAnsi="標楷體"/>
          <w:sz w:val="30"/>
          <w:szCs w:val="30"/>
        </w:rPr>
        <w:t>實現之損益，但在避險交易有效用時仍將該部分損益算入，足見避險交易損益屬於其避險對象之必要成本，可以概見。</w:t>
      </w:r>
    </w:p>
    <w:p w:rsidR="00514426" w:rsidRPr="007B5D03" w:rsidRDefault="00514426" w:rsidP="00582DC4">
      <w:pPr>
        <w:snapToGrid w:val="0"/>
        <w:spacing w:line="437" w:lineRule="exact"/>
        <w:ind w:left="1815" w:hanging="284"/>
        <w:rPr>
          <w:sz w:val="30"/>
          <w:szCs w:val="30"/>
        </w:rPr>
      </w:pPr>
      <w:r w:rsidRPr="007B5D03">
        <w:rPr>
          <w:rFonts w:ascii="標楷體" w:hAnsi="標楷體"/>
          <w:sz w:val="30"/>
          <w:szCs w:val="30"/>
        </w:rPr>
        <w:t>5.</w:t>
      </w:r>
      <w:r w:rsidRPr="007B5D03">
        <w:rPr>
          <w:rFonts w:hAnsi="標楷體"/>
          <w:sz w:val="30"/>
          <w:szCs w:val="30"/>
        </w:rPr>
        <w:t>實質課稅原則應顧慮租稅之經濟實質，財務會計對於權證交易之處理當足供　鈞院參考</w:t>
      </w:r>
    </w:p>
    <w:p w:rsidR="00514426" w:rsidRPr="007B5D03" w:rsidRDefault="00514426" w:rsidP="00582DC4">
      <w:pPr>
        <w:snapToGrid w:val="0"/>
        <w:spacing w:line="437" w:lineRule="exact"/>
        <w:ind w:left="2138" w:hanging="380"/>
        <w:rPr>
          <w:b/>
          <w:sz w:val="30"/>
          <w:szCs w:val="30"/>
        </w:rPr>
      </w:pPr>
      <w:r w:rsidRPr="007B5D03">
        <w:rPr>
          <w:rFonts w:hAnsi="標楷體" w:hint="eastAsia"/>
          <w:sz w:val="30"/>
          <w:szCs w:val="30"/>
        </w:rPr>
        <w:t>(1)</w:t>
      </w:r>
      <w:r w:rsidRPr="007B5D03">
        <w:rPr>
          <w:rFonts w:hAnsi="標楷體"/>
          <w:sz w:val="30"/>
          <w:szCs w:val="30"/>
        </w:rPr>
        <w:t>按　鈞院釋字第</w:t>
      </w:r>
      <w:r w:rsidRPr="007B5D03">
        <w:rPr>
          <w:sz w:val="30"/>
          <w:szCs w:val="30"/>
        </w:rPr>
        <w:t>420</w:t>
      </w:r>
      <w:r w:rsidRPr="007B5D03">
        <w:rPr>
          <w:rFonts w:hAnsi="標楷體"/>
          <w:sz w:val="30"/>
          <w:szCs w:val="30"/>
        </w:rPr>
        <w:t>號、第</w:t>
      </w:r>
      <w:r w:rsidRPr="007B5D03">
        <w:rPr>
          <w:sz w:val="30"/>
          <w:szCs w:val="30"/>
        </w:rPr>
        <w:t>607</w:t>
      </w:r>
      <w:r w:rsidRPr="007B5D03">
        <w:rPr>
          <w:rFonts w:hAnsi="標楷體"/>
          <w:sz w:val="30"/>
          <w:szCs w:val="30"/>
        </w:rPr>
        <w:t>號、第</w:t>
      </w:r>
      <w:r w:rsidRPr="007B5D03">
        <w:rPr>
          <w:sz w:val="30"/>
          <w:szCs w:val="30"/>
        </w:rPr>
        <w:t>625</w:t>
      </w:r>
      <w:r w:rsidRPr="007B5D03">
        <w:rPr>
          <w:rFonts w:hAnsi="標楷體"/>
          <w:sz w:val="30"/>
          <w:szCs w:val="30"/>
        </w:rPr>
        <w:t>號、第</w:t>
      </w:r>
      <w:r w:rsidRPr="007B5D03">
        <w:rPr>
          <w:sz w:val="30"/>
          <w:szCs w:val="30"/>
        </w:rPr>
        <w:t>635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均揭示實質課稅原則，尤其釋字第</w:t>
      </w:r>
      <w:r w:rsidRPr="007B5D03">
        <w:rPr>
          <w:sz w:val="30"/>
          <w:szCs w:val="30"/>
        </w:rPr>
        <w:t>635</w:t>
      </w:r>
      <w:r w:rsidRPr="007B5D03">
        <w:rPr>
          <w:rFonts w:hAnsi="標楷體"/>
          <w:sz w:val="30"/>
          <w:szCs w:val="30"/>
        </w:rPr>
        <w:t>號解釋理由書更謂：「主管機關於職權範圍內適用之法律條文發生疑義者，本於法定職權就相關規定予以闡釋，如係秉持相關憲法原則，無違於一般法律解釋方法，且符合各該法律之立法目的、租稅之經濟意義，即與租稅法律主義、租稅公平原則無違」，對於稅法解釋函令本於應參</w:t>
      </w:r>
      <w:r w:rsidRPr="007B5D03">
        <w:rPr>
          <w:rFonts w:hAnsi="標楷體"/>
          <w:spacing w:val="4"/>
          <w:sz w:val="30"/>
          <w:szCs w:val="30"/>
        </w:rPr>
        <w:t>照租稅之經濟意義並依照一般法律解釋方法妥</w:t>
      </w:r>
      <w:r w:rsidRPr="007B5D03">
        <w:rPr>
          <w:rFonts w:hAnsi="標楷體"/>
          <w:sz w:val="30"/>
          <w:szCs w:val="30"/>
        </w:rPr>
        <w:t>為解釋，始不</w:t>
      </w:r>
      <w:r w:rsidRPr="007B5D03">
        <w:rPr>
          <w:rFonts w:hAnsi="標楷體" w:hint="eastAsia"/>
          <w:sz w:val="30"/>
          <w:szCs w:val="30"/>
        </w:rPr>
        <w:t>致</w:t>
      </w:r>
      <w:r w:rsidRPr="007B5D03">
        <w:rPr>
          <w:rFonts w:hAnsi="標楷體"/>
          <w:sz w:val="30"/>
          <w:szCs w:val="30"/>
        </w:rPr>
        <w:t>違反實質課稅之租稅公平原則。</w:t>
      </w:r>
    </w:p>
    <w:p w:rsidR="00514426" w:rsidRPr="007B5D03" w:rsidRDefault="00514426" w:rsidP="00582DC4">
      <w:pPr>
        <w:snapToGrid w:val="0"/>
        <w:spacing w:line="437" w:lineRule="exact"/>
        <w:ind w:left="2138" w:hanging="380"/>
        <w:rPr>
          <w:b/>
          <w:sz w:val="30"/>
          <w:szCs w:val="30"/>
        </w:rPr>
      </w:pPr>
      <w:r w:rsidRPr="007B5D03">
        <w:rPr>
          <w:sz w:val="30"/>
          <w:szCs w:val="30"/>
        </w:rPr>
        <w:t>(2)</w:t>
      </w:r>
      <w:r w:rsidRPr="007B5D03">
        <w:rPr>
          <w:rFonts w:hAnsi="標楷體"/>
          <w:sz w:val="30"/>
          <w:szCs w:val="30"/>
        </w:rPr>
        <w:t>次按財務會計的目標是期能透過財務報表，公允表達所報導之會計個體真正財務狀況。申言之，即以公允表達營利事業（會計個體）之資產、負債、業主權益及其損益結果為終極目標。財務會計對於營利事業經濟交易事項之會計處理，為達該目標自以經濟事物本質入帳。亦即，對券商權證交易事項之會計處理如下：當券商發行權證雖獲得權利金收入，但該筆收入因仍負有購買權證</w:t>
      </w:r>
      <w:r w:rsidRPr="007B5D03">
        <w:rPr>
          <w:rFonts w:hAnsi="標楷體"/>
          <w:spacing w:val="4"/>
          <w:sz w:val="30"/>
          <w:szCs w:val="30"/>
        </w:rPr>
        <w:t>者可依履約價格要求購入或售出標的股票而相</w:t>
      </w:r>
      <w:r w:rsidRPr="007B5D03">
        <w:rPr>
          <w:rFonts w:hAnsi="標楷體"/>
          <w:sz w:val="30"/>
          <w:szCs w:val="30"/>
        </w:rPr>
        <w:t>應發生</w:t>
      </w:r>
      <w:r w:rsidRPr="007B5D03">
        <w:rPr>
          <w:rFonts w:hAnsi="標楷體"/>
          <w:sz w:val="30"/>
          <w:szCs w:val="30"/>
        </w:rPr>
        <w:lastRenderedPageBreak/>
        <w:t>可能損失之負擔，故在收取權利金時，權證發行者雖收到現金，會計帳上借記現金</w:t>
      </w:r>
      <w:r w:rsidRPr="007B5D03">
        <w:rPr>
          <w:rFonts w:hint="eastAsia"/>
          <w:sz w:val="30"/>
          <w:szCs w:val="30"/>
        </w:rPr>
        <w:t>（</w:t>
      </w:r>
      <w:r w:rsidRPr="007B5D03">
        <w:rPr>
          <w:rFonts w:hAnsi="標楷體"/>
          <w:sz w:val="30"/>
          <w:szCs w:val="30"/>
        </w:rPr>
        <w:t>現金增加</w:t>
      </w:r>
      <w:r w:rsidRPr="007B5D03">
        <w:rPr>
          <w:rFonts w:hint="eastAsia"/>
          <w:sz w:val="30"/>
          <w:szCs w:val="30"/>
        </w:rPr>
        <w:t>）</w:t>
      </w:r>
      <w:r w:rsidRPr="007B5D03">
        <w:rPr>
          <w:rFonts w:hAnsi="標楷體"/>
          <w:sz w:val="30"/>
          <w:szCs w:val="30"/>
        </w:rPr>
        <w:t>，但同時貸記發行認購權證之負債</w:t>
      </w:r>
      <w:r w:rsidRPr="007B5D03">
        <w:rPr>
          <w:rFonts w:hint="eastAsia"/>
          <w:sz w:val="30"/>
          <w:szCs w:val="30"/>
        </w:rPr>
        <w:t>（</w:t>
      </w:r>
      <w:r w:rsidRPr="007B5D03">
        <w:rPr>
          <w:rFonts w:hAnsi="標楷體"/>
          <w:sz w:val="30"/>
          <w:szCs w:val="30"/>
        </w:rPr>
        <w:t>負債</w:t>
      </w:r>
      <w:r w:rsidRPr="007B5D03">
        <w:rPr>
          <w:rFonts w:hAnsi="標楷體"/>
          <w:spacing w:val="-4"/>
          <w:sz w:val="30"/>
          <w:szCs w:val="30"/>
        </w:rPr>
        <w:t>增加</w:t>
      </w:r>
      <w:r w:rsidRPr="007B5D03">
        <w:rPr>
          <w:rFonts w:hint="eastAsia"/>
          <w:spacing w:val="-4"/>
          <w:sz w:val="30"/>
          <w:szCs w:val="30"/>
        </w:rPr>
        <w:t>）</w:t>
      </w:r>
      <w:r w:rsidRPr="007B5D03">
        <w:rPr>
          <w:rFonts w:hAnsi="標楷體"/>
          <w:spacing w:val="-4"/>
          <w:sz w:val="30"/>
          <w:szCs w:val="30"/>
        </w:rPr>
        <w:t>，認為所收取之現金，其實為公司之債務，並非真正收入。蓋該筆「收入」（現金），並不符</w:t>
      </w:r>
      <w:r w:rsidRPr="007B5D03">
        <w:rPr>
          <w:rFonts w:hAnsi="標楷體"/>
          <w:sz w:val="30"/>
          <w:szCs w:val="30"/>
        </w:rPr>
        <w:t>合會計學上收入實現原則中，必須為獲得該收入之相關成本已支付或大部分已支付之「已賺得」條件。而在權證流通期間，當標的股票上漲，權證價值增加時，除一方面增加已持有標的股票之評價利益外，另一方面亦同時增加發行認購權證之負債，是以避險項目（標的股票）之上升利益及被避險項目（權證）負債之增加，兩者價值變動損益合併認列，方得正確計算權證交易正確損益。由此一公認會計處理原則清楚說明，發行權證之負債與其相關之避險交易，具有不可分離的密切關</w:t>
      </w:r>
      <w:r w:rsidRPr="007B5D03">
        <w:rPr>
          <w:rFonts w:hAnsi="標楷體" w:hint="eastAsia"/>
          <w:sz w:val="30"/>
          <w:szCs w:val="30"/>
        </w:rPr>
        <w:t>聯</w:t>
      </w:r>
      <w:r w:rsidRPr="007B5D03">
        <w:rPr>
          <w:rFonts w:hAnsi="標楷體"/>
          <w:sz w:val="30"/>
          <w:szCs w:val="30"/>
        </w:rPr>
        <w:t>性，應一併考量不得切割。此可由我國</w:t>
      </w:r>
      <w:r w:rsidRPr="007B5D03">
        <w:rPr>
          <w:rFonts w:hAnsi="標楷體"/>
          <w:spacing w:val="4"/>
          <w:sz w:val="30"/>
          <w:szCs w:val="30"/>
        </w:rPr>
        <w:t>財務會計準則第</w:t>
      </w:r>
      <w:r w:rsidRPr="007B5D03">
        <w:rPr>
          <w:spacing w:val="4"/>
          <w:sz w:val="30"/>
          <w:szCs w:val="30"/>
        </w:rPr>
        <w:t>34</w:t>
      </w:r>
      <w:r w:rsidRPr="007B5D03">
        <w:rPr>
          <w:rFonts w:hAnsi="標楷體"/>
          <w:spacing w:val="4"/>
          <w:sz w:val="30"/>
          <w:szCs w:val="30"/>
        </w:rPr>
        <w:t>號「金融商品之會計處理準</w:t>
      </w:r>
      <w:r w:rsidRPr="007B5D03">
        <w:rPr>
          <w:rFonts w:hAnsi="標楷體"/>
          <w:sz w:val="30"/>
          <w:szCs w:val="30"/>
        </w:rPr>
        <w:t>則」公報證實，亦可由證期局發布之證券商編</w:t>
      </w:r>
      <w:r w:rsidRPr="007B5D03">
        <w:rPr>
          <w:rFonts w:hAnsi="標楷體" w:hint="eastAsia"/>
          <w:sz w:val="30"/>
          <w:szCs w:val="30"/>
        </w:rPr>
        <w:t>製</w:t>
      </w:r>
      <w:r w:rsidRPr="007B5D03">
        <w:rPr>
          <w:rFonts w:hAnsi="標楷體"/>
          <w:sz w:val="30"/>
          <w:szCs w:val="30"/>
        </w:rPr>
        <w:t>財務報表注意要點中察悉。</w:t>
      </w:r>
      <w:r w:rsidRPr="007B5D03">
        <w:rPr>
          <w:rFonts w:hint="eastAsia"/>
          <w:sz w:val="30"/>
          <w:szCs w:val="30"/>
        </w:rPr>
        <w:t>（</w:t>
      </w:r>
      <w:r w:rsidRPr="007B5D03">
        <w:rPr>
          <w:rFonts w:hAnsi="標楷體"/>
          <w:sz w:val="30"/>
          <w:szCs w:val="30"/>
          <w:shd w:val="clear" w:color="auto" w:fill="FFFFFF"/>
        </w:rPr>
        <w:t>附件</w:t>
      </w:r>
      <w:r w:rsidRPr="007B5D03">
        <w:rPr>
          <w:sz w:val="30"/>
          <w:szCs w:val="30"/>
          <w:shd w:val="clear" w:color="auto" w:fill="FFFFFF"/>
        </w:rPr>
        <w:t>14</w:t>
      </w:r>
      <w:r w:rsidRPr="007B5D03">
        <w:rPr>
          <w:rFonts w:hAnsi="標楷體"/>
          <w:sz w:val="30"/>
          <w:szCs w:val="30"/>
        </w:rPr>
        <w:t>、財務會計</w:t>
      </w:r>
      <w:r w:rsidRPr="007B5D03">
        <w:rPr>
          <w:rFonts w:hAnsi="標楷體"/>
          <w:spacing w:val="4"/>
          <w:sz w:val="30"/>
          <w:szCs w:val="30"/>
        </w:rPr>
        <w:t>準則第</w:t>
      </w:r>
      <w:r w:rsidRPr="007B5D03">
        <w:rPr>
          <w:spacing w:val="4"/>
          <w:sz w:val="30"/>
          <w:szCs w:val="30"/>
        </w:rPr>
        <w:t>34</w:t>
      </w:r>
      <w:r w:rsidRPr="007B5D03">
        <w:rPr>
          <w:rFonts w:hAnsi="標楷體"/>
          <w:spacing w:val="4"/>
          <w:sz w:val="30"/>
          <w:szCs w:val="30"/>
        </w:rPr>
        <w:t>號「金融商品之會計處理準則」公報</w:t>
      </w:r>
      <w:r w:rsidRPr="007B5D03">
        <w:rPr>
          <w:rFonts w:hAnsi="標楷體"/>
          <w:sz w:val="30"/>
          <w:szCs w:val="30"/>
        </w:rPr>
        <w:t>及</w:t>
      </w:r>
      <w:r w:rsidRPr="007B5D03">
        <w:rPr>
          <w:rFonts w:hAnsi="標楷體"/>
          <w:sz w:val="30"/>
          <w:szCs w:val="30"/>
          <w:shd w:val="clear" w:color="auto" w:fill="FFFFFF"/>
        </w:rPr>
        <w:t>附件</w:t>
      </w:r>
      <w:r w:rsidRPr="007B5D03">
        <w:rPr>
          <w:rFonts w:hAnsi="標楷體"/>
          <w:sz w:val="30"/>
          <w:szCs w:val="30"/>
          <w:shd w:val="clear" w:color="auto" w:fill="FFFFFF"/>
        </w:rPr>
        <w:t>15</w:t>
      </w:r>
      <w:r w:rsidRPr="007B5D03">
        <w:rPr>
          <w:rFonts w:hAnsi="標楷體"/>
          <w:sz w:val="30"/>
          <w:szCs w:val="30"/>
        </w:rPr>
        <w:t>、證券商財務報告編製準則</w:t>
      </w:r>
      <w:r w:rsidRPr="007B5D03">
        <w:rPr>
          <w:rFonts w:hint="eastAsia"/>
          <w:sz w:val="30"/>
          <w:szCs w:val="30"/>
        </w:rPr>
        <w:t>）</w:t>
      </w:r>
      <w:r w:rsidRPr="007B5D03">
        <w:rPr>
          <w:rFonts w:hAnsi="標楷體"/>
          <w:sz w:val="30"/>
          <w:szCs w:val="30"/>
        </w:rPr>
        <w:t>。</w:t>
      </w:r>
    </w:p>
    <w:p w:rsidR="00514426" w:rsidRPr="007B5D03" w:rsidRDefault="00514426" w:rsidP="00582DC4">
      <w:pPr>
        <w:snapToGrid w:val="0"/>
        <w:spacing w:line="437" w:lineRule="exact"/>
        <w:ind w:left="2138" w:hanging="380"/>
        <w:rPr>
          <w:sz w:val="30"/>
          <w:szCs w:val="30"/>
        </w:rPr>
      </w:pPr>
      <w:r w:rsidRPr="007B5D03">
        <w:rPr>
          <w:rFonts w:hAnsi="標楷體" w:hint="eastAsia"/>
          <w:sz w:val="30"/>
          <w:szCs w:val="30"/>
        </w:rPr>
        <w:t>(3)</w:t>
      </w:r>
      <w:r w:rsidRPr="007B5D03">
        <w:rPr>
          <w:rFonts w:hAnsi="標楷體"/>
          <w:sz w:val="30"/>
          <w:szCs w:val="30"/>
        </w:rPr>
        <w:t>是以，本於對權證商品會計處理之經濟實質，可以進一步確認權證課稅之經濟意義，權利金收入必須配合避險項目之負債始能正確計算損益，權利金在收取時並不符合已賺得之要件，自不得能於收取時認列收入，亦即避險交易損失與權利金收</w:t>
      </w:r>
      <w:r w:rsidRPr="007B5D03">
        <w:rPr>
          <w:rFonts w:hAnsi="標楷體"/>
          <w:sz w:val="30"/>
          <w:szCs w:val="30"/>
        </w:rPr>
        <w:lastRenderedPageBreak/>
        <w:t>入有密不可分之關係，在課稅上自不能個別孤</w:t>
      </w:r>
      <w:r w:rsidRPr="007B5D03">
        <w:rPr>
          <w:rFonts w:hAnsi="標楷體"/>
          <w:spacing w:val="10"/>
          <w:sz w:val="30"/>
          <w:szCs w:val="30"/>
        </w:rPr>
        <w:t>立觀察並個別評價權利金收入與避險交易損</w:t>
      </w:r>
      <w:r w:rsidRPr="007B5D03">
        <w:rPr>
          <w:rFonts w:hAnsi="標楷體"/>
          <w:sz w:val="30"/>
          <w:szCs w:val="30"/>
        </w:rPr>
        <w:t>失，否則當屬嚴重背離租稅之經濟意義，有違實質課稅原則。</w:t>
      </w:r>
    </w:p>
    <w:p w:rsidR="00514426" w:rsidRPr="007B5D03" w:rsidRDefault="00514426" w:rsidP="00EE698B">
      <w:pPr>
        <w:snapToGrid w:val="0"/>
        <w:spacing w:line="437" w:lineRule="exact"/>
        <w:ind w:left="1871" w:hanging="340"/>
        <w:rPr>
          <w:sz w:val="30"/>
          <w:szCs w:val="30"/>
        </w:rPr>
      </w:pPr>
      <w:r w:rsidRPr="007B5D03">
        <w:rPr>
          <w:rFonts w:ascii="標楷體" w:hAnsi="標楷體"/>
          <w:sz w:val="30"/>
          <w:szCs w:val="30"/>
        </w:rPr>
        <w:t>6.</w:t>
      </w:r>
      <w:r w:rsidRPr="007B5D03">
        <w:rPr>
          <w:rFonts w:ascii="標楷體" w:hAnsi="標楷體"/>
          <w:spacing w:val="4"/>
          <w:sz w:val="30"/>
          <w:szCs w:val="30"/>
        </w:rPr>
        <w:t>自</w:t>
      </w:r>
      <w:r w:rsidRPr="007B5D03">
        <w:rPr>
          <w:rFonts w:hAnsi="標楷體"/>
          <w:spacing w:val="4"/>
          <w:sz w:val="30"/>
          <w:szCs w:val="30"/>
        </w:rPr>
        <w:t>實質課稅原則以觀，財政部</w:t>
      </w:r>
      <w:r w:rsidRPr="007B5D03">
        <w:rPr>
          <w:spacing w:val="4"/>
          <w:sz w:val="30"/>
          <w:szCs w:val="30"/>
        </w:rPr>
        <w:t>86</w:t>
      </w:r>
      <w:r w:rsidRPr="007B5D03">
        <w:rPr>
          <w:rFonts w:hAnsi="標楷體"/>
          <w:spacing w:val="4"/>
          <w:sz w:val="30"/>
          <w:szCs w:val="30"/>
        </w:rPr>
        <w:t>年函釋就避險交</w:t>
      </w:r>
      <w:r w:rsidRPr="007B5D03">
        <w:rPr>
          <w:rFonts w:hAnsi="標楷體"/>
          <w:sz w:val="30"/>
          <w:szCs w:val="30"/>
        </w:rPr>
        <w:t>易損失部分單獨適用所得稅法第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，實屬對權證交易整體行為之不當評價</w:t>
      </w:r>
    </w:p>
    <w:p w:rsidR="00514426" w:rsidRPr="007B5D03" w:rsidRDefault="00514426" w:rsidP="00C77EEA">
      <w:pPr>
        <w:snapToGrid w:val="0"/>
        <w:spacing w:line="437" w:lineRule="exact"/>
        <w:ind w:left="2194" w:hanging="380"/>
        <w:rPr>
          <w:sz w:val="30"/>
          <w:szCs w:val="30"/>
        </w:rPr>
      </w:pPr>
      <w:r w:rsidRPr="007B5D03">
        <w:rPr>
          <w:rFonts w:hAnsi="標楷體" w:hint="eastAsia"/>
          <w:sz w:val="30"/>
          <w:szCs w:val="30"/>
        </w:rPr>
        <w:t>(1)</w:t>
      </w:r>
      <w:r w:rsidRPr="007B5D03">
        <w:rPr>
          <w:rFonts w:hAnsi="標楷體"/>
          <w:spacing w:val="4"/>
          <w:sz w:val="30"/>
          <w:szCs w:val="30"/>
        </w:rPr>
        <w:t>實質課稅原則既要求依課稅客體之有無及其量</w:t>
      </w:r>
      <w:r w:rsidRPr="007B5D03">
        <w:rPr>
          <w:rFonts w:hAnsi="標楷體"/>
          <w:sz w:val="30"/>
          <w:szCs w:val="30"/>
        </w:rPr>
        <w:t>化而核實課徵，應以實質之經濟活動認定稅捐客體之有無及範圍。權證交易之經濟實質是發行權</w:t>
      </w:r>
      <w:r w:rsidRPr="007B5D03">
        <w:rPr>
          <w:rFonts w:hAnsi="標楷體"/>
          <w:spacing w:val="4"/>
          <w:sz w:val="30"/>
          <w:szCs w:val="30"/>
        </w:rPr>
        <w:t>證之行為與後續避險交易乃至於投資人行使買</w:t>
      </w:r>
      <w:r w:rsidRPr="007B5D03">
        <w:rPr>
          <w:rFonts w:hAnsi="標楷體"/>
          <w:sz w:val="30"/>
          <w:szCs w:val="30"/>
        </w:rPr>
        <w:t>權而依履約價格交付標的股票，均屬一個權證交易之整體行為，依照實質課稅原則應以整體權證交易行為進行課稅客體之法律評價。財政部</w:t>
      </w:r>
      <w:r w:rsidRPr="007B5D03">
        <w:rPr>
          <w:sz w:val="30"/>
          <w:szCs w:val="30"/>
        </w:rPr>
        <w:t>86</w:t>
      </w:r>
      <w:r w:rsidRPr="007B5D03">
        <w:rPr>
          <w:rFonts w:hAnsi="標楷體"/>
          <w:sz w:val="30"/>
          <w:szCs w:val="30"/>
        </w:rPr>
        <w:t>年函釋將權證交易拆解為二種稅上評價，一係權利金收入屬應稅收入，二係避險交易損益屬證券交易損益，此種對權證交易之拆解方式而得出避險交易不得扣減應稅權利金收入之結論，誠與權證交易之經濟實質相去甚遠，有違實質課稅原則對於課稅事實關係之定性，甚且對於一般法律解釋原則上對於一個法律行為、法律事實，不得給予相互矛盾之評價，亦有未符，參諸前揭</w:t>
      </w:r>
      <w:r w:rsidRPr="007B5D03">
        <w:rPr>
          <w:sz w:val="30"/>
          <w:szCs w:val="30"/>
        </w:rPr>
        <w:t xml:space="preserve">　</w:t>
      </w:r>
      <w:r w:rsidRPr="007B5D03">
        <w:rPr>
          <w:rFonts w:hAnsi="標楷體"/>
          <w:sz w:val="30"/>
          <w:szCs w:val="30"/>
        </w:rPr>
        <w:t>鈞院</w:t>
      </w:r>
      <w:r w:rsidRPr="007B5D03">
        <w:rPr>
          <w:rFonts w:hAnsi="標楷體"/>
          <w:spacing w:val="4"/>
          <w:sz w:val="30"/>
          <w:szCs w:val="30"/>
        </w:rPr>
        <w:t>釋字第</w:t>
      </w:r>
      <w:r w:rsidRPr="007B5D03">
        <w:rPr>
          <w:spacing w:val="4"/>
          <w:sz w:val="30"/>
          <w:szCs w:val="30"/>
        </w:rPr>
        <w:t>635</w:t>
      </w:r>
      <w:r w:rsidRPr="007B5D03">
        <w:rPr>
          <w:rFonts w:hAnsi="標楷體"/>
          <w:spacing w:val="4"/>
          <w:sz w:val="30"/>
          <w:szCs w:val="30"/>
        </w:rPr>
        <w:t>號解釋理由書對於行政釋示違反一般法律解釋原則亦屬有違反實質課稅之租稅公</w:t>
      </w:r>
      <w:r w:rsidRPr="007B5D03">
        <w:rPr>
          <w:rFonts w:hAnsi="標楷體"/>
          <w:sz w:val="30"/>
          <w:szCs w:val="30"/>
        </w:rPr>
        <w:t>平原則，可以確認財政部</w:t>
      </w:r>
      <w:r w:rsidRPr="007B5D03">
        <w:rPr>
          <w:sz w:val="30"/>
          <w:szCs w:val="30"/>
        </w:rPr>
        <w:t>86</w:t>
      </w:r>
      <w:r w:rsidRPr="007B5D03">
        <w:rPr>
          <w:rFonts w:hAnsi="標楷體"/>
          <w:sz w:val="30"/>
          <w:szCs w:val="30"/>
        </w:rPr>
        <w:t>年函釋洵有悖於實質課稅原則。</w:t>
      </w:r>
    </w:p>
    <w:p w:rsidR="00514426" w:rsidRPr="007B5D03" w:rsidRDefault="00514426" w:rsidP="00C77EEA">
      <w:pPr>
        <w:snapToGrid w:val="0"/>
        <w:spacing w:line="437" w:lineRule="exact"/>
        <w:ind w:left="2194" w:hanging="380"/>
        <w:rPr>
          <w:sz w:val="30"/>
          <w:szCs w:val="30"/>
        </w:rPr>
      </w:pPr>
      <w:r w:rsidRPr="007B5D03">
        <w:rPr>
          <w:rFonts w:hAnsi="標楷體" w:hint="eastAsia"/>
          <w:sz w:val="30"/>
          <w:szCs w:val="30"/>
        </w:rPr>
        <w:lastRenderedPageBreak/>
        <w:t>(2)</w:t>
      </w:r>
      <w:r w:rsidRPr="007B5D03">
        <w:rPr>
          <w:rFonts w:hAnsi="標楷體"/>
          <w:spacing w:val="4"/>
          <w:sz w:val="30"/>
          <w:szCs w:val="30"/>
        </w:rPr>
        <w:t>附帶說明最高行政法院確定判決理由對於權證</w:t>
      </w:r>
      <w:r w:rsidRPr="007B5D03">
        <w:rPr>
          <w:rFonts w:hAnsi="標楷體"/>
          <w:sz w:val="30"/>
          <w:szCs w:val="30"/>
        </w:rPr>
        <w:t>交易行為數之誤認，以致出現下列數種不同之理由論證，以合理化財政部</w:t>
      </w:r>
      <w:r w:rsidRPr="007B5D03">
        <w:rPr>
          <w:sz w:val="30"/>
          <w:szCs w:val="30"/>
        </w:rPr>
        <w:t>86</w:t>
      </w:r>
      <w:r w:rsidRPr="007B5D03">
        <w:rPr>
          <w:rFonts w:hAnsi="標楷體"/>
          <w:sz w:val="30"/>
          <w:szCs w:val="30"/>
        </w:rPr>
        <w:t>年函釋之實質適法性：</w:t>
      </w:r>
    </w:p>
    <w:p w:rsidR="00514426" w:rsidRPr="007B5D03" w:rsidRDefault="00514426" w:rsidP="00C77EEA">
      <w:pPr>
        <w:snapToGrid w:val="0"/>
        <w:spacing w:line="437" w:lineRule="exact"/>
        <w:ind w:left="3062" w:hanging="794"/>
        <w:rPr>
          <w:sz w:val="30"/>
          <w:szCs w:val="30"/>
        </w:rPr>
      </w:pPr>
      <w:r w:rsidRPr="007B5D03">
        <w:rPr>
          <w:sz w:val="30"/>
          <w:szCs w:val="30"/>
        </w:rPr>
        <w:t>A</w:t>
      </w:r>
      <w:r w:rsidRPr="007B5D03">
        <w:rPr>
          <w:rFonts w:hAnsi="標楷體"/>
          <w:sz w:val="30"/>
          <w:szCs w:val="30"/>
        </w:rPr>
        <w:t xml:space="preserve">　避險交易可能產生利益，故非屬成本費用。</w:t>
      </w:r>
    </w:p>
    <w:p w:rsidR="00514426" w:rsidRPr="007B5D03" w:rsidRDefault="00514426" w:rsidP="00C77EEA">
      <w:pPr>
        <w:snapToGrid w:val="0"/>
        <w:spacing w:line="437" w:lineRule="exact"/>
        <w:ind w:left="2778" w:hanging="510"/>
        <w:rPr>
          <w:sz w:val="30"/>
          <w:szCs w:val="30"/>
        </w:rPr>
      </w:pPr>
      <w:r w:rsidRPr="007B5D03">
        <w:rPr>
          <w:sz w:val="30"/>
          <w:szCs w:val="30"/>
        </w:rPr>
        <w:t>B</w:t>
      </w:r>
      <w:r w:rsidRPr="007B5D03">
        <w:rPr>
          <w:rFonts w:hAnsi="標楷體"/>
          <w:sz w:val="30"/>
          <w:szCs w:val="30"/>
        </w:rPr>
        <w:t xml:space="preserve">　證券交易損益成為他項收入之成本費用，會侵蝕應稅之認購權證權利金所得。</w:t>
      </w:r>
    </w:p>
    <w:p w:rsidR="00514426" w:rsidRPr="007B5D03" w:rsidRDefault="00514426" w:rsidP="00C77EEA">
      <w:pPr>
        <w:snapToGrid w:val="0"/>
        <w:spacing w:line="437" w:lineRule="exact"/>
        <w:ind w:left="2778" w:hanging="510"/>
        <w:rPr>
          <w:sz w:val="30"/>
          <w:szCs w:val="30"/>
        </w:rPr>
      </w:pPr>
      <w:r w:rsidRPr="007B5D03">
        <w:rPr>
          <w:sz w:val="30"/>
          <w:szCs w:val="30"/>
        </w:rPr>
        <w:t>C</w:t>
      </w:r>
      <w:r w:rsidRPr="007B5D03">
        <w:rPr>
          <w:rFonts w:hAnsi="標楷體"/>
          <w:sz w:val="30"/>
          <w:szCs w:val="30"/>
        </w:rPr>
        <w:t xml:space="preserve">　財政部</w:t>
      </w:r>
      <w:r w:rsidRPr="007B5D03">
        <w:rPr>
          <w:sz w:val="30"/>
          <w:szCs w:val="30"/>
        </w:rPr>
        <w:t>86</w:t>
      </w:r>
      <w:r w:rsidRPr="007B5D03">
        <w:rPr>
          <w:rFonts w:hAnsi="標楷體"/>
          <w:sz w:val="30"/>
          <w:szCs w:val="30"/>
        </w:rPr>
        <w:t>年函釋依所得稅法第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不准避險交易損失減除權利金收入，並無割裂適用法律。</w:t>
      </w:r>
    </w:p>
    <w:p w:rsidR="00514426" w:rsidRPr="007B5D03" w:rsidRDefault="00514426" w:rsidP="00C77EEA">
      <w:pPr>
        <w:snapToGrid w:val="0"/>
        <w:spacing w:line="437" w:lineRule="exact"/>
        <w:ind w:left="2778" w:hanging="510"/>
        <w:rPr>
          <w:sz w:val="30"/>
          <w:szCs w:val="30"/>
        </w:rPr>
      </w:pPr>
      <w:r w:rsidRPr="007B5D03">
        <w:rPr>
          <w:sz w:val="30"/>
          <w:szCs w:val="30"/>
        </w:rPr>
        <w:t>D</w:t>
      </w:r>
      <w:r w:rsidRPr="007B5D03">
        <w:rPr>
          <w:rFonts w:hAnsi="標楷體"/>
          <w:sz w:val="30"/>
          <w:szCs w:val="30"/>
        </w:rPr>
        <w:t xml:space="preserve">　證券交易所得不課稅，卻准避險交易損失列報，有割裂適用法律之情。</w:t>
      </w:r>
    </w:p>
    <w:p w:rsidR="00514426" w:rsidRPr="007B5D03" w:rsidRDefault="00514426" w:rsidP="00C77EEA">
      <w:pPr>
        <w:snapToGrid w:val="0"/>
        <w:spacing w:line="437" w:lineRule="exact"/>
        <w:ind w:left="2438" w:firstLine="329"/>
        <w:rPr>
          <w:sz w:val="30"/>
          <w:szCs w:val="30"/>
        </w:rPr>
      </w:pPr>
      <w:r w:rsidRPr="007B5D03">
        <w:rPr>
          <w:rFonts w:hAnsi="標楷體"/>
          <w:sz w:val="30"/>
          <w:szCs w:val="30"/>
        </w:rPr>
        <w:t>上開質疑均是將權證交易拆解為二，始會產生之誤解。事實上避險交易既然構成一個法律行為而應給予一個法律評價時，就無特別探究避險交易可能獲利而在性質上不屬於成本費用之必要，因為一個法律行為我們必須給予一個</w:t>
      </w:r>
      <w:r w:rsidRPr="007B5D03">
        <w:rPr>
          <w:rFonts w:hAnsi="標楷體"/>
          <w:spacing w:val="-4"/>
          <w:sz w:val="30"/>
          <w:szCs w:val="30"/>
        </w:rPr>
        <w:t>法律上評價，所以</w:t>
      </w:r>
      <w:r w:rsidRPr="007B5D03">
        <w:rPr>
          <w:spacing w:val="-4"/>
          <w:sz w:val="30"/>
          <w:szCs w:val="30"/>
        </w:rPr>
        <w:t>96</w:t>
      </w:r>
      <w:r w:rsidRPr="007B5D03">
        <w:rPr>
          <w:rFonts w:hAnsi="標楷體"/>
          <w:spacing w:val="-4"/>
          <w:sz w:val="30"/>
          <w:szCs w:val="30"/>
        </w:rPr>
        <w:t>年新修正之所得稅法第</w:t>
      </w:r>
      <w:r w:rsidRPr="007B5D03">
        <w:rPr>
          <w:spacing w:val="-4"/>
          <w:sz w:val="30"/>
          <w:szCs w:val="30"/>
        </w:rPr>
        <w:t>24</w:t>
      </w:r>
      <w:r w:rsidRPr="007B5D03">
        <w:rPr>
          <w:rFonts w:hAnsi="標楷體"/>
          <w:spacing w:val="-4"/>
          <w:sz w:val="30"/>
          <w:szCs w:val="30"/>
        </w:rPr>
        <w:t>條之</w:t>
      </w:r>
      <w:r w:rsidRPr="007B5D03">
        <w:rPr>
          <w:spacing w:val="-4"/>
          <w:sz w:val="30"/>
          <w:szCs w:val="30"/>
        </w:rPr>
        <w:t>2</w:t>
      </w:r>
      <w:r w:rsidRPr="007B5D03">
        <w:rPr>
          <w:rFonts w:hAnsi="標楷體"/>
          <w:spacing w:val="-4"/>
          <w:sz w:val="30"/>
          <w:szCs w:val="30"/>
        </w:rPr>
        <w:t>第</w:t>
      </w:r>
      <w:r w:rsidRPr="007B5D03">
        <w:rPr>
          <w:spacing w:val="-4"/>
          <w:sz w:val="30"/>
          <w:szCs w:val="30"/>
        </w:rPr>
        <w:t>1</w:t>
      </w:r>
      <w:r w:rsidRPr="007B5D03">
        <w:rPr>
          <w:rFonts w:hAnsi="標楷體"/>
          <w:spacing w:val="-4"/>
          <w:sz w:val="30"/>
          <w:szCs w:val="30"/>
        </w:rPr>
        <w:t>項前段規定：「經目的事業主管機關</w:t>
      </w:r>
      <w:r w:rsidRPr="007B5D03">
        <w:rPr>
          <w:rFonts w:hAnsi="標楷體"/>
          <w:sz w:val="30"/>
          <w:szCs w:val="30"/>
        </w:rPr>
        <w:t>核准發行認購（售）權證者，發行人發行認購（售）權證，於該權證發行日至到期日期間，基於風險管理而買賣經目的事業主管機關核可之有價證券及衍生性金融商品之交易所得或損失，應併計發行認購（售）權證之損益課稅，不適用第四條之一及第四條之二規定。」將避險交易之所得與損失併計權利金而予以課稅，並無真有</w:t>
      </w:r>
      <w:r w:rsidRPr="007B5D03">
        <w:rPr>
          <w:rFonts w:hAnsi="標楷體"/>
          <w:sz w:val="30"/>
          <w:szCs w:val="30"/>
        </w:rPr>
        <w:lastRenderedPageBreak/>
        <w:t>單獨將避險部分證券交易損失扣減權利金收入而主張證券交易所得免稅之情，是最高行政法院確定判決理由顯然未基於實質課稅原則理解權證課稅事實關係之定性，並進而誤解有依所得稅法第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評價之情，誤認避</w:t>
      </w:r>
      <w:r w:rsidRPr="007B5D03">
        <w:rPr>
          <w:rFonts w:hAnsi="標楷體"/>
          <w:spacing w:val="4"/>
          <w:sz w:val="30"/>
          <w:szCs w:val="30"/>
        </w:rPr>
        <w:t>險交易損失為證券交易所得對應之費</w:t>
      </w:r>
      <w:r w:rsidRPr="007B5D03">
        <w:rPr>
          <w:rFonts w:hAnsi="標楷體" w:hint="eastAsia"/>
          <w:spacing w:val="4"/>
          <w:sz w:val="30"/>
          <w:szCs w:val="30"/>
        </w:rPr>
        <w:t>用、</w:t>
      </w:r>
      <w:r w:rsidRPr="007B5D03">
        <w:rPr>
          <w:rFonts w:hAnsi="標楷體"/>
          <w:spacing w:val="4"/>
          <w:sz w:val="30"/>
          <w:szCs w:val="30"/>
        </w:rPr>
        <w:t>損</w:t>
      </w:r>
      <w:r w:rsidRPr="007B5D03">
        <w:rPr>
          <w:rFonts w:hAnsi="標楷體" w:hint="eastAsia"/>
          <w:spacing w:val="-4"/>
          <w:sz w:val="30"/>
          <w:szCs w:val="30"/>
        </w:rPr>
        <w:t>失</w:t>
      </w:r>
      <w:r w:rsidRPr="007B5D03">
        <w:rPr>
          <w:rFonts w:hAnsi="標楷體"/>
          <w:spacing w:val="-4"/>
          <w:sz w:val="30"/>
          <w:szCs w:val="30"/>
        </w:rPr>
        <w:t>，而非權利金之成本費用，此與財政部</w:t>
      </w:r>
      <w:r w:rsidRPr="007B5D03">
        <w:rPr>
          <w:spacing w:val="-4"/>
          <w:sz w:val="30"/>
          <w:szCs w:val="30"/>
        </w:rPr>
        <w:t>86</w:t>
      </w:r>
      <w:r w:rsidRPr="007B5D03">
        <w:rPr>
          <w:rFonts w:hAnsi="標楷體"/>
          <w:spacing w:val="-4"/>
          <w:sz w:val="30"/>
          <w:szCs w:val="30"/>
        </w:rPr>
        <w:t>年</w:t>
      </w:r>
      <w:r w:rsidRPr="007B5D03">
        <w:rPr>
          <w:rFonts w:hAnsi="標楷體"/>
          <w:sz w:val="30"/>
          <w:szCs w:val="30"/>
        </w:rPr>
        <w:t>函釋誤解權證交易之行為數，而有分別以所得稅法第</w:t>
      </w:r>
      <w:r w:rsidRPr="007B5D03">
        <w:rPr>
          <w:sz w:val="30"/>
          <w:szCs w:val="30"/>
        </w:rPr>
        <w:t>24</w:t>
      </w:r>
      <w:r w:rsidRPr="007B5D03">
        <w:rPr>
          <w:rFonts w:hAnsi="標楷體"/>
          <w:sz w:val="30"/>
          <w:szCs w:val="30"/>
        </w:rPr>
        <w:t>條及第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對權利金及避險交易損失作課稅評價，同有與實質課稅原則意旨不</w:t>
      </w:r>
      <w:r w:rsidRPr="007B5D03">
        <w:rPr>
          <w:rFonts w:hAnsi="標楷體"/>
          <w:spacing w:val="-4"/>
          <w:sz w:val="30"/>
          <w:szCs w:val="30"/>
        </w:rPr>
        <w:t>符，其理由並不足以支持財政部</w:t>
      </w:r>
      <w:r w:rsidRPr="007B5D03">
        <w:rPr>
          <w:spacing w:val="-4"/>
          <w:sz w:val="30"/>
          <w:szCs w:val="30"/>
        </w:rPr>
        <w:t>86</w:t>
      </w:r>
      <w:r w:rsidRPr="007B5D03">
        <w:rPr>
          <w:rFonts w:hAnsi="標楷體"/>
          <w:spacing w:val="-4"/>
          <w:sz w:val="30"/>
          <w:szCs w:val="30"/>
        </w:rPr>
        <w:t>年函釋違反</w:t>
      </w:r>
      <w:r w:rsidRPr="007B5D03">
        <w:rPr>
          <w:rFonts w:hAnsi="標楷體"/>
          <w:sz w:val="30"/>
          <w:szCs w:val="30"/>
        </w:rPr>
        <w:t>實質課稅之公平原則。</w:t>
      </w:r>
    </w:p>
    <w:p w:rsidR="00514426" w:rsidRPr="007B5D03" w:rsidRDefault="00514426" w:rsidP="00AF5AD4">
      <w:pPr>
        <w:snapToGrid w:val="0"/>
        <w:spacing w:line="437" w:lineRule="exact"/>
        <w:ind w:left="1560" w:hanging="936"/>
        <w:rPr>
          <w:sz w:val="30"/>
          <w:szCs w:val="30"/>
        </w:rPr>
      </w:pPr>
      <w:r w:rsidRPr="007B5D03">
        <w:rPr>
          <w:rFonts w:hAnsi="標楷體"/>
          <w:sz w:val="30"/>
          <w:szCs w:val="30"/>
        </w:rPr>
        <w:t>（三）自量能課稅原則及客觀營業保障淨所得原則而論，避險交易損失屬於應稅權利金收入之必要成本，並無立法者自由裁量空間，財政部</w:t>
      </w:r>
      <w:r w:rsidRPr="007B5D03">
        <w:rPr>
          <w:sz w:val="30"/>
          <w:szCs w:val="30"/>
        </w:rPr>
        <w:t>86</w:t>
      </w:r>
      <w:r w:rsidRPr="007B5D03">
        <w:rPr>
          <w:rFonts w:hAnsi="標楷體"/>
          <w:sz w:val="30"/>
          <w:szCs w:val="30"/>
        </w:rPr>
        <w:t>年函釋對所得稅法第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選擇非合憲性之解釋方式，當悖於量能課稅原則</w:t>
      </w:r>
    </w:p>
    <w:p w:rsidR="00514426" w:rsidRPr="007B5D03" w:rsidRDefault="00514426" w:rsidP="00AF5AD4">
      <w:pPr>
        <w:snapToGrid w:val="0"/>
        <w:spacing w:line="437" w:lineRule="exact"/>
        <w:ind w:left="1900" w:hanging="312"/>
        <w:rPr>
          <w:sz w:val="30"/>
          <w:szCs w:val="30"/>
        </w:rPr>
      </w:pPr>
      <w:r w:rsidRPr="007B5D03">
        <w:rPr>
          <w:rFonts w:ascii="標楷體" w:hAnsi="標楷體"/>
          <w:sz w:val="30"/>
          <w:szCs w:val="30"/>
        </w:rPr>
        <w:t>1.營</w:t>
      </w:r>
      <w:r w:rsidRPr="007B5D03">
        <w:rPr>
          <w:rFonts w:hAnsi="標楷體"/>
          <w:sz w:val="30"/>
          <w:szCs w:val="30"/>
        </w:rPr>
        <w:t>業成本費用之認列必須符合量能課稅原則、客觀營業保障淨所得原則</w:t>
      </w:r>
    </w:p>
    <w:p w:rsidR="00514426" w:rsidRPr="007B5D03" w:rsidRDefault="00514426" w:rsidP="00AF5AD4">
      <w:pPr>
        <w:snapToGrid w:val="0"/>
        <w:spacing w:line="437" w:lineRule="exact"/>
        <w:ind w:left="2251" w:hanging="380"/>
        <w:rPr>
          <w:sz w:val="30"/>
          <w:szCs w:val="30"/>
        </w:rPr>
      </w:pPr>
      <w:r w:rsidRPr="007B5D03">
        <w:rPr>
          <w:rFonts w:hAnsi="標楷體" w:hint="eastAsia"/>
          <w:sz w:val="30"/>
          <w:szCs w:val="30"/>
        </w:rPr>
        <w:t>(1)</w:t>
      </w:r>
      <w:r w:rsidRPr="007B5D03">
        <w:rPr>
          <w:rFonts w:hAnsi="標楷體"/>
          <w:sz w:val="30"/>
          <w:szCs w:val="30"/>
        </w:rPr>
        <w:t>按「憲法第十九條規定，人民有依法律納稅之義</w:t>
      </w:r>
      <w:r w:rsidRPr="007B5D03">
        <w:rPr>
          <w:rFonts w:hAnsi="標楷體"/>
          <w:spacing w:val="-10"/>
          <w:sz w:val="30"/>
          <w:szCs w:val="30"/>
        </w:rPr>
        <w:t>務。所謂依法律納稅，係指租稅主體、租稅客體、</w:t>
      </w:r>
      <w:r w:rsidRPr="007B5D03">
        <w:rPr>
          <w:rFonts w:hAnsi="標楷體"/>
          <w:sz w:val="30"/>
          <w:szCs w:val="30"/>
        </w:rPr>
        <w:t>稅基、稅率等租稅構成要件，均應依法律明定</w:t>
      </w:r>
      <w:r w:rsidRPr="007B5D03">
        <w:rPr>
          <w:rFonts w:hAnsi="標楷體"/>
          <w:spacing w:val="-4"/>
          <w:sz w:val="30"/>
          <w:szCs w:val="30"/>
        </w:rPr>
        <w:t>之。各該法律之內容且應符合量能課稅及公平原</w:t>
      </w:r>
      <w:r w:rsidRPr="007B5D03">
        <w:rPr>
          <w:rFonts w:hAnsi="標楷體"/>
          <w:sz w:val="30"/>
          <w:szCs w:val="30"/>
        </w:rPr>
        <w:t>則。」　鈞院著有釋字第</w:t>
      </w:r>
      <w:r w:rsidRPr="007B5D03">
        <w:rPr>
          <w:sz w:val="30"/>
          <w:szCs w:val="30"/>
        </w:rPr>
        <w:t>597</w:t>
      </w:r>
      <w:r w:rsidRPr="007B5D03">
        <w:rPr>
          <w:rFonts w:hAnsi="標楷體"/>
          <w:sz w:val="30"/>
          <w:szCs w:val="30"/>
        </w:rPr>
        <w:t>號解釋在案。此號</w:t>
      </w:r>
      <w:r w:rsidRPr="007B5D03">
        <w:rPr>
          <w:rFonts w:hAnsi="標楷體"/>
          <w:spacing w:val="10"/>
          <w:sz w:val="30"/>
          <w:szCs w:val="30"/>
        </w:rPr>
        <w:t>解釋乃</w:t>
      </w:r>
      <w:r w:rsidRPr="007B5D03">
        <w:rPr>
          <w:spacing w:val="10"/>
          <w:sz w:val="30"/>
          <w:szCs w:val="30"/>
        </w:rPr>
        <w:t xml:space="preserve">　</w:t>
      </w:r>
      <w:r w:rsidRPr="007B5D03">
        <w:rPr>
          <w:rFonts w:hAnsi="標楷體"/>
          <w:spacing w:val="10"/>
          <w:sz w:val="30"/>
          <w:szCs w:val="30"/>
        </w:rPr>
        <w:t>鈞院第一次將量能課稅原則明確揭</w:t>
      </w:r>
      <w:r w:rsidRPr="007B5D03">
        <w:rPr>
          <w:rFonts w:hAnsi="標楷體"/>
          <w:spacing w:val="-4"/>
          <w:sz w:val="30"/>
          <w:szCs w:val="30"/>
        </w:rPr>
        <w:t>示，確立量能課稅原則屬於依法律納稅之實質內涵，並與租稅公平原則、實質課稅原則共同成為</w:t>
      </w:r>
      <w:r w:rsidRPr="007B5D03">
        <w:rPr>
          <w:rFonts w:hAnsi="標楷體"/>
          <w:sz w:val="30"/>
          <w:szCs w:val="30"/>
        </w:rPr>
        <w:t>租稅上之憲</w:t>
      </w:r>
      <w:r w:rsidRPr="007B5D03">
        <w:rPr>
          <w:rFonts w:hAnsi="標楷體"/>
          <w:sz w:val="30"/>
          <w:szCs w:val="30"/>
        </w:rPr>
        <w:lastRenderedPageBreak/>
        <w:t>法原則。</w:t>
      </w:r>
    </w:p>
    <w:p w:rsidR="00514426" w:rsidRPr="007B5D03" w:rsidRDefault="00514426" w:rsidP="00AF5AD4">
      <w:pPr>
        <w:snapToGrid w:val="0"/>
        <w:spacing w:line="437" w:lineRule="exact"/>
        <w:ind w:left="2251" w:hanging="380"/>
        <w:rPr>
          <w:sz w:val="30"/>
          <w:szCs w:val="30"/>
        </w:rPr>
      </w:pPr>
      <w:r w:rsidRPr="007B5D03">
        <w:rPr>
          <w:rFonts w:hAnsi="標楷體" w:hint="eastAsia"/>
          <w:sz w:val="30"/>
          <w:szCs w:val="30"/>
        </w:rPr>
        <w:t>(2)</w:t>
      </w:r>
      <w:r w:rsidRPr="007B5D03">
        <w:rPr>
          <w:rFonts w:hAnsi="標楷體"/>
          <w:sz w:val="30"/>
          <w:szCs w:val="30"/>
        </w:rPr>
        <w:t>次按所得稅法乃是針對納稅義務人的「可支配的所得」為對象來加以課徵，可支配的所得，乃是作為判斷納稅義務人是否有客觀的及主觀的給</w:t>
      </w:r>
      <w:r w:rsidRPr="007B5D03">
        <w:rPr>
          <w:rFonts w:hAnsi="標楷體"/>
          <w:spacing w:val="-4"/>
          <w:sz w:val="30"/>
          <w:szCs w:val="30"/>
        </w:rPr>
        <w:t>付能力的標準。故必須是個人的可支配的所得，方需要予以課稅。如果是不可支配的所得，則應自課稅所得中扣除。而可支配的所得，可分析如</w:t>
      </w:r>
      <w:r w:rsidRPr="007B5D03">
        <w:rPr>
          <w:rFonts w:hAnsi="標楷體"/>
          <w:sz w:val="30"/>
          <w:szCs w:val="30"/>
        </w:rPr>
        <w:t>下：</w:t>
      </w:r>
    </w:p>
    <w:p w:rsidR="00514426" w:rsidRPr="007B5D03" w:rsidRDefault="002F6BDD" w:rsidP="00FB2D5A">
      <w:pPr>
        <w:snapToGrid w:val="0"/>
        <w:spacing w:line="437" w:lineRule="exact"/>
        <w:ind w:left="2495" w:hanging="794"/>
        <w:rPr>
          <w:sz w:val="26"/>
          <w:szCs w:val="26"/>
        </w:rPr>
      </w:pPr>
      <w:r w:rsidRPr="007B5D03">
        <w:rPr>
          <w:noProof/>
          <w:sz w:val="26"/>
          <w:szCs w:val="26"/>
        </w:rPr>
        <mc:AlternateContent>
          <mc:Choice Requires="wps">
            <w:drawing>
              <wp:anchor distT="0" distB="0" distL="114300" distR="114300" simplePos="0" relativeHeight="251652608" behindDoc="0" locked="0" layoutInCell="1" allowOverlap="1">
                <wp:simplePos x="0" y="0"/>
                <wp:positionH relativeFrom="column">
                  <wp:posOffset>2456815</wp:posOffset>
                </wp:positionH>
                <wp:positionV relativeFrom="paragraph">
                  <wp:posOffset>187325</wp:posOffset>
                </wp:positionV>
                <wp:extent cx="207645" cy="635"/>
                <wp:effectExtent l="0" t="0" r="0" b="0"/>
                <wp:wrapNone/>
                <wp:docPr id="1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8BFCC" id="_x0000_t32" coordsize="21600,21600" o:spt="32" o:oned="t" path="m,l21600,21600e" filled="f">
                <v:path arrowok="t" fillok="f" o:connecttype="none"/>
                <o:lock v:ext="edit" shapetype="t"/>
              </v:shapetype>
              <v:shape id="AutoShape 121" o:spid="_x0000_s1026" type="#_x0000_t32" style="position:absolute;margin-left:193.45pt;margin-top:14.75pt;width:16.3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"/>
            </w:pict>
          </mc:Fallback>
        </mc:AlternateContent>
      </w:r>
      <w:r w:rsidRPr="007B5D03">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2440940</wp:posOffset>
                </wp:positionH>
                <wp:positionV relativeFrom="paragraph">
                  <wp:posOffset>168275</wp:posOffset>
                </wp:positionV>
                <wp:extent cx="5080" cy="574675"/>
                <wp:effectExtent l="0" t="0" r="0" b="0"/>
                <wp:wrapNone/>
                <wp:docPr id="1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74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A6D7A" id="AutoShape 122" o:spid="_x0000_s1026" type="#_x0000_t32" style="position:absolute;margin-left:192.2pt;margin-top:13.25pt;width:.4pt;height:4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s6IwIAAEA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"/>
            </w:pict>
          </mc:Fallback>
        </mc:AlternateContent>
      </w:r>
      <w:r w:rsidR="00514426" w:rsidRPr="007B5D03">
        <w:rPr>
          <w:rFonts w:hAnsi="標楷體"/>
          <w:sz w:val="26"/>
          <w:szCs w:val="26"/>
        </w:rPr>
        <w:t xml:space="preserve">　　　　　　　　　　綜合所得－不同於分離課稅</w:t>
      </w:r>
    </w:p>
    <w:p w:rsidR="00514426" w:rsidRPr="007B5D03" w:rsidRDefault="002F6BDD" w:rsidP="00AF5AD4">
      <w:pPr>
        <w:spacing w:line="437" w:lineRule="exact"/>
        <w:ind w:firstLineChars="700" w:firstLine="1820"/>
        <w:rPr>
          <w:sz w:val="26"/>
          <w:szCs w:val="26"/>
        </w:rPr>
      </w:pPr>
      <w:r w:rsidRPr="007B5D03">
        <w:rPr>
          <w:noProof/>
          <w:sz w:val="26"/>
          <w:szCs w:val="26"/>
        </w:rPr>
        <mc:AlternateContent>
          <mc:Choice Requires="wps">
            <w:drawing>
              <wp:anchor distT="0" distB="0" distL="114300" distR="114300" simplePos="0" relativeHeight="251654656" behindDoc="0" locked="0" layoutInCell="1" allowOverlap="1">
                <wp:simplePos x="0" y="0"/>
                <wp:positionH relativeFrom="column">
                  <wp:posOffset>2447290</wp:posOffset>
                </wp:positionH>
                <wp:positionV relativeFrom="paragraph">
                  <wp:posOffset>469265</wp:posOffset>
                </wp:positionV>
                <wp:extent cx="208280" cy="7620"/>
                <wp:effectExtent l="0" t="0" r="0" b="0"/>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34A9D" id="AutoShape 123" o:spid="_x0000_s1026" type="#_x0000_t32" style="position:absolute;margin-left:192.7pt;margin-top:36.95pt;width:16.4pt;height:.6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"/>
            </w:pict>
          </mc:Fallback>
        </mc:AlternateContent>
      </w:r>
      <w:r w:rsidRPr="007B5D03">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1015365</wp:posOffset>
                </wp:positionH>
                <wp:positionV relativeFrom="paragraph">
                  <wp:posOffset>197485</wp:posOffset>
                </wp:positionV>
                <wp:extent cx="95250" cy="55880"/>
                <wp:effectExtent l="0" t="0" r="0" b="0"/>
                <wp:wrapNone/>
                <wp:docPr id="1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 cy="55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C19C7" id="AutoShape 124" o:spid="_x0000_s1026" type="#_x0000_t32" style="position:absolute;margin-left:79.95pt;margin-top:15.55pt;width:7.5pt;height:4.4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"/>
            </w:pict>
          </mc:Fallback>
        </mc:AlternateContent>
      </w:r>
      <w:r w:rsidRPr="007B5D03">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1010285</wp:posOffset>
                </wp:positionH>
                <wp:positionV relativeFrom="paragraph">
                  <wp:posOffset>227330</wp:posOffset>
                </wp:positionV>
                <wp:extent cx="5715" cy="1026160"/>
                <wp:effectExtent l="0" t="0" r="0" b="0"/>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26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40B97" id="AutoShape 125" o:spid="_x0000_s1026" type="#_x0000_t32" style="position:absolute;margin-left:79.55pt;margin-top:17.9pt;width:.45pt;height:8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"/>
            </w:pict>
          </mc:Fallback>
        </mc:AlternateContent>
      </w:r>
      <w:r w:rsidRPr="007B5D03">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1028065</wp:posOffset>
                </wp:positionH>
                <wp:positionV relativeFrom="paragraph">
                  <wp:posOffset>1278890</wp:posOffset>
                </wp:positionV>
                <wp:extent cx="76200" cy="114300"/>
                <wp:effectExtent l="0" t="0" r="0" b="0"/>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6B6A2" id="AutoShape 126" o:spid="_x0000_s1026" type="#_x0000_t32" style="position:absolute;margin-left:80.95pt;margin-top:100.7pt;width:6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erIgIAAEA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"/>
            </w:pict>
          </mc:Fallback>
        </mc:AlternateContent>
      </w:r>
      <w:r w:rsidR="00514426" w:rsidRPr="007B5D03">
        <w:rPr>
          <w:rFonts w:hAnsi="標楷體"/>
          <w:sz w:val="26"/>
          <w:szCs w:val="26"/>
        </w:rPr>
        <w:t>客觀的給付能力</w:t>
      </w:r>
      <w:r w:rsidR="00514426" w:rsidRPr="007B5D03">
        <w:rPr>
          <w:sz w:val="26"/>
          <w:szCs w:val="26"/>
        </w:rPr>
        <w:t xml:space="preserve">             </w:t>
      </w:r>
      <w:r w:rsidR="00514426" w:rsidRPr="007B5D03">
        <w:rPr>
          <w:rFonts w:hAnsi="標楷體"/>
          <w:sz w:val="26"/>
          <w:szCs w:val="26"/>
        </w:rPr>
        <w:t>（土地交易所得稅）</w:t>
      </w:r>
      <w:r w:rsidR="00514426" w:rsidRPr="007B5D03">
        <w:rPr>
          <w:sz w:val="26"/>
          <w:szCs w:val="26"/>
        </w:rPr>
        <w:br/>
      </w:r>
      <w:r w:rsidR="00514426" w:rsidRPr="007B5D03">
        <w:rPr>
          <w:rFonts w:hAnsi="標楷體"/>
          <w:sz w:val="26"/>
          <w:szCs w:val="26"/>
        </w:rPr>
        <w:t xml:space="preserve">　　　</w:t>
      </w:r>
      <w:r w:rsidR="00514426" w:rsidRPr="007B5D03">
        <w:rPr>
          <w:sz w:val="26"/>
          <w:szCs w:val="26"/>
        </w:rPr>
        <w:t xml:space="preserve"> </w:t>
      </w:r>
      <w:r w:rsidR="00514426" w:rsidRPr="007B5D03">
        <w:rPr>
          <w:rFonts w:hAnsi="標楷體"/>
          <w:sz w:val="26"/>
          <w:szCs w:val="26"/>
        </w:rPr>
        <w:t xml:space="preserve">　</w:t>
      </w:r>
      <w:r w:rsidR="00514426" w:rsidRPr="007B5D03">
        <w:rPr>
          <w:sz w:val="26"/>
          <w:szCs w:val="26"/>
        </w:rPr>
        <w:t xml:space="preserve">                       </w:t>
      </w:r>
      <w:r w:rsidR="00C72B28" w:rsidRPr="007B5D03">
        <w:rPr>
          <w:rFonts w:hint="eastAsia"/>
          <w:sz w:val="26"/>
          <w:szCs w:val="26"/>
        </w:rPr>
        <w:t xml:space="preserve"> </w:t>
      </w:r>
      <w:r w:rsidR="00514426" w:rsidRPr="007B5D03">
        <w:rPr>
          <w:rFonts w:hAnsi="標楷體"/>
          <w:sz w:val="26"/>
          <w:szCs w:val="26"/>
        </w:rPr>
        <w:t>客觀的淨額（所得）原則，即總收入</w:t>
      </w:r>
      <w:r w:rsidR="00514426" w:rsidRPr="007B5D03">
        <w:rPr>
          <w:sz w:val="26"/>
          <w:szCs w:val="26"/>
        </w:rPr>
        <w:br/>
      </w:r>
      <w:r w:rsidR="00514426" w:rsidRPr="007B5D03">
        <w:rPr>
          <w:rFonts w:hAnsi="標楷體"/>
          <w:sz w:val="26"/>
          <w:szCs w:val="26"/>
        </w:rPr>
        <w:t xml:space="preserve">可支配的所得　　　　　　　　</w:t>
      </w:r>
      <w:r w:rsidR="00514426" w:rsidRPr="007B5D03">
        <w:rPr>
          <w:sz w:val="26"/>
          <w:szCs w:val="26"/>
        </w:rPr>
        <w:t xml:space="preserve">    </w:t>
      </w:r>
      <w:r w:rsidR="00C72B28" w:rsidRPr="007B5D03">
        <w:rPr>
          <w:rFonts w:hint="eastAsia"/>
          <w:sz w:val="26"/>
          <w:szCs w:val="26"/>
        </w:rPr>
        <w:t xml:space="preserve"> </w:t>
      </w:r>
      <w:r w:rsidR="00514426" w:rsidRPr="007B5D03">
        <w:rPr>
          <w:rFonts w:hAnsi="標楷體"/>
          <w:sz w:val="26"/>
          <w:szCs w:val="26"/>
        </w:rPr>
        <w:t>－成本費用－損失＝淨額</w:t>
      </w:r>
      <w:r w:rsidR="00514426" w:rsidRPr="007B5D03">
        <w:rPr>
          <w:sz w:val="26"/>
          <w:szCs w:val="26"/>
        </w:rPr>
        <w:br/>
      </w:r>
      <w:r w:rsidR="00514426" w:rsidRPr="007B5D03">
        <w:rPr>
          <w:rFonts w:hAnsi="標楷體"/>
          <w:sz w:val="26"/>
          <w:szCs w:val="26"/>
        </w:rPr>
        <w:t xml:space="preserve">　　　　　　</w:t>
      </w:r>
      <w:r w:rsidR="00514426" w:rsidRPr="007B5D03">
        <w:rPr>
          <w:sz w:val="26"/>
          <w:szCs w:val="26"/>
        </w:rPr>
        <w:t xml:space="preserve"> </w:t>
      </w:r>
      <w:r w:rsidR="00514426" w:rsidRPr="007B5D03">
        <w:rPr>
          <w:rFonts w:hAnsi="標楷體"/>
          <w:sz w:val="26"/>
          <w:szCs w:val="26"/>
        </w:rPr>
        <w:t xml:space="preserve">　　　　　　　　</w:t>
      </w:r>
      <w:r w:rsidR="00514426" w:rsidRPr="007B5D03">
        <w:rPr>
          <w:sz w:val="26"/>
          <w:szCs w:val="26"/>
        </w:rPr>
        <w:t xml:space="preserve">   </w:t>
      </w:r>
      <w:r w:rsidR="00514426" w:rsidRPr="007B5D03">
        <w:rPr>
          <w:rFonts w:hAnsi="標楷體"/>
          <w:sz w:val="26"/>
          <w:szCs w:val="26"/>
        </w:rPr>
        <w:t>（課徵標的）</w:t>
      </w:r>
      <w:r w:rsidR="00514426" w:rsidRPr="007B5D03">
        <w:rPr>
          <w:sz w:val="26"/>
          <w:szCs w:val="26"/>
        </w:rPr>
        <w:br/>
      </w:r>
      <w:r w:rsidR="00514426" w:rsidRPr="007B5D03">
        <w:rPr>
          <w:rFonts w:hAnsi="標楷體"/>
          <w:sz w:val="26"/>
          <w:szCs w:val="26"/>
        </w:rPr>
        <w:t xml:space="preserve">　　　　　　</w:t>
      </w:r>
      <w:r w:rsidR="00514426" w:rsidRPr="007B5D03">
        <w:rPr>
          <w:sz w:val="26"/>
          <w:szCs w:val="26"/>
        </w:rPr>
        <w:t xml:space="preserve">  </w:t>
      </w:r>
      <w:r w:rsidR="00514426" w:rsidRPr="007B5D03">
        <w:rPr>
          <w:rFonts w:hAnsi="標楷體"/>
          <w:sz w:val="26"/>
          <w:szCs w:val="26"/>
        </w:rPr>
        <w:t>主觀的給付能力－納稅義務人扣除其個人生活費用，與</w:t>
      </w:r>
      <w:r w:rsidR="00514426" w:rsidRPr="007B5D03">
        <w:rPr>
          <w:rFonts w:hAnsi="標楷體" w:hint="eastAsia"/>
          <w:sz w:val="26"/>
          <w:szCs w:val="26"/>
        </w:rPr>
        <w:t>家</w:t>
      </w:r>
    </w:p>
    <w:p w:rsidR="00514426" w:rsidRPr="007B5D03" w:rsidRDefault="00514426" w:rsidP="00AF5AD4">
      <w:pPr>
        <w:spacing w:line="437" w:lineRule="exact"/>
        <w:ind w:firstLineChars="700" w:firstLine="1820"/>
        <w:rPr>
          <w:sz w:val="26"/>
          <w:szCs w:val="26"/>
        </w:rPr>
      </w:pPr>
      <w:r w:rsidRPr="007B5D03">
        <w:rPr>
          <w:rFonts w:hAnsi="標楷體"/>
          <w:sz w:val="26"/>
          <w:szCs w:val="26"/>
        </w:rPr>
        <w:t xml:space="preserve">　　　　　　　　庭扶養費用後尚有剩餘者，方需課徵。</w:t>
      </w:r>
    </w:p>
    <w:p w:rsidR="00514426" w:rsidRPr="007B5D03" w:rsidRDefault="00514426" w:rsidP="00FB2D5A">
      <w:pPr>
        <w:spacing w:line="437" w:lineRule="exact"/>
        <w:ind w:left="750" w:hangingChars="250" w:hanging="750"/>
        <w:rPr>
          <w:sz w:val="30"/>
          <w:szCs w:val="30"/>
        </w:rPr>
      </w:pPr>
    </w:p>
    <w:p w:rsidR="00514426" w:rsidRPr="007B5D03" w:rsidRDefault="00514426" w:rsidP="00C72B28">
      <w:pPr>
        <w:snapToGrid w:val="0"/>
        <w:spacing w:line="437" w:lineRule="exact"/>
        <w:ind w:left="2268" w:firstLine="284"/>
        <w:rPr>
          <w:b/>
          <w:sz w:val="30"/>
          <w:szCs w:val="30"/>
        </w:rPr>
      </w:pPr>
      <w:r w:rsidRPr="007B5D03">
        <w:rPr>
          <w:rFonts w:hAnsi="標楷體"/>
          <w:sz w:val="30"/>
          <w:szCs w:val="30"/>
        </w:rPr>
        <w:t>各項收入應先減除為獲得收入所支出之必要</w:t>
      </w:r>
      <w:r w:rsidRPr="007B5D03">
        <w:rPr>
          <w:rFonts w:hAnsi="標楷體"/>
          <w:spacing w:val="-6"/>
          <w:sz w:val="30"/>
          <w:szCs w:val="30"/>
        </w:rPr>
        <w:t>費用及損失，以其餘額為淨額所得額。此即所謂</w:t>
      </w:r>
      <w:r w:rsidRPr="007B5D03">
        <w:rPr>
          <w:rFonts w:hAnsi="標楷體"/>
          <w:sz w:val="30"/>
          <w:szCs w:val="30"/>
        </w:rPr>
        <w:t>「客觀的淨額所得原則」</w:t>
      </w:r>
      <w:r w:rsidRPr="007B5D03">
        <w:rPr>
          <w:rFonts w:hAnsi="標楷體" w:hint="eastAsia"/>
          <w:sz w:val="30"/>
          <w:szCs w:val="30"/>
        </w:rPr>
        <w:t>(</w:t>
      </w:r>
      <w:r w:rsidRPr="007B5D03">
        <w:rPr>
          <w:sz w:val="30"/>
          <w:szCs w:val="30"/>
        </w:rPr>
        <w:t>sog. objectives Nettoprinzip</w:t>
      </w:r>
      <w:r w:rsidRPr="007B5D03">
        <w:rPr>
          <w:rFonts w:hAnsi="標楷體" w:hint="eastAsia"/>
          <w:sz w:val="30"/>
          <w:szCs w:val="30"/>
        </w:rPr>
        <w:t>)</w:t>
      </w:r>
      <w:r w:rsidRPr="007B5D03">
        <w:rPr>
          <w:rFonts w:hAnsi="標楷體"/>
          <w:sz w:val="30"/>
          <w:szCs w:val="30"/>
        </w:rPr>
        <w:t>，表彰客觀的給付能力。在此所謂</w:t>
      </w:r>
      <w:r w:rsidRPr="007B5D03">
        <w:rPr>
          <w:rFonts w:hAnsi="標楷體"/>
          <w:spacing w:val="-4"/>
          <w:sz w:val="30"/>
          <w:szCs w:val="30"/>
        </w:rPr>
        <w:t>必要費用</w:t>
      </w:r>
      <w:r w:rsidRPr="007B5D03">
        <w:rPr>
          <w:rFonts w:hAnsi="標楷體" w:hint="eastAsia"/>
          <w:spacing w:val="-4"/>
          <w:sz w:val="30"/>
          <w:szCs w:val="30"/>
        </w:rPr>
        <w:t>(</w:t>
      </w:r>
      <w:r w:rsidRPr="007B5D03">
        <w:rPr>
          <w:spacing w:val="-4"/>
          <w:sz w:val="30"/>
          <w:szCs w:val="30"/>
        </w:rPr>
        <w:t>necessary expense</w:t>
      </w:r>
      <w:r w:rsidRPr="007B5D03">
        <w:rPr>
          <w:rFonts w:hAnsi="標楷體" w:hint="eastAsia"/>
          <w:spacing w:val="-4"/>
          <w:sz w:val="30"/>
          <w:szCs w:val="30"/>
        </w:rPr>
        <w:t>)</w:t>
      </w:r>
      <w:r w:rsidRPr="007B5D03">
        <w:rPr>
          <w:rFonts w:hAnsi="標楷體"/>
          <w:spacing w:val="-4"/>
          <w:sz w:val="30"/>
          <w:szCs w:val="30"/>
        </w:rPr>
        <w:t>，是指為了取得所得</w:t>
      </w:r>
      <w:r w:rsidRPr="007B5D03">
        <w:rPr>
          <w:rFonts w:hAnsi="標楷體"/>
          <w:spacing w:val="-6"/>
          <w:sz w:val="30"/>
          <w:szCs w:val="30"/>
        </w:rPr>
        <w:t>所必要的支出。承認必要費用的扣除，是為避免</w:t>
      </w:r>
      <w:r w:rsidRPr="007B5D03">
        <w:rPr>
          <w:rFonts w:hAnsi="標楷體"/>
          <w:spacing w:val="-4"/>
          <w:sz w:val="30"/>
          <w:szCs w:val="30"/>
        </w:rPr>
        <w:t>對於投入資本的回收部分加以課稅，以維持原來的資本，擴大再生產的資本主義的經濟的要求。一般而言，必要經費應為通常且必要的經費。有關必要性的認定，並非以關係人的主觀判斷為基準，而毋寧應以客觀的基準作為標準。為正確計算出繼續性</w:t>
      </w:r>
      <w:r w:rsidRPr="007B5D03">
        <w:rPr>
          <w:rFonts w:hAnsi="標楷體"/>
          <w:spacing w:val="-4"/>
          <w:sz w:val="30"/>
          <w:szCs w:val="30"/>
        </w:rPr>
        <w:lastRenderedPageBreak/>
        <w:t>事業的所得，必要費用應與其有助於產生所得的收入相對應，並從該項收入中扣除。</w:t>
      </w:r>
      <w:r w:rsidRPr="007B5D03">
        <w:rPr>
          <w:rFonts w:hAnsi="標楷體"/>
          <w:sz w:val="30"/>
          <w:szCs w:val="30"/>
        </w:rPr>
        <w:t>此即是「費用收入對應原則」或「收入與成本費</w:t>
      </w:r>
      <w:r w:rsidRPr="007B5D03">
        <w:rPr>
          <w:rFonts w:hAnsi="標楷體"/>
          <w:spacing w:val="-6"/>
          <w:sz w:val="30"/>
          <w:szCs w:val="30"/>
        </w:rPr>
        <w:t>用配合原則」（　鈞院釋字第</w:t>
      </w:r>
      <w:r w:rsidRPr="007B5D03">
        <w:rPr>
          <w:spacing w:val="-6"/>
          <w:sz w:val="30"/>
          <w:szCs w:val="30"/>
        </w:rPr>
        <w:t>493</w:t>
      </w:r>
      <w:r w:rsidRPr="007B5D03">
        <w:rPr>
          <w:rFonts w:hAnsi="標楷體"/>
          <w:spacing w:val="-6"/>
          <w:sz w:val="30"/>
          <w:szCs w:val="30"/>
        </w:rPr>
        <w:t>號解釋</w:t>
      </w:r>
      <w:r w:rsidRPr="007B5D03">
        <w:rPr>
          <w:rFonts w:hAnsi="標楷體" w:hint="eastAsia"/>
          <w:spacing w:val="-6"/>
          <w:sz w:val="30"/>
          <w:szCs w:val="30"/>
        </w:rPr>
        <w:t>參照</w:t>
      </w:r>
      <w:r w:rsidRPr="007B5D03">
        <w:rPr>
          <w:rFonts w:hAnsi="標楷體"/>
          <w:spacing w:val="-6"/>
          <w:sz w:val="30"/>
          <w:szCs w:val="30"/>
        </w:rPr>
        <w:t>）。</w:t>
      </w:r>
      <w:r w:rsidRPr="007B5D03">
        <w:rPr>
          <w:rFonts w:hAnsi="標楷體"/>
          <w:spacing w:val="-4"/>
          <w:sz w:val="30"/>
          <w:szCs w:val="30"/>
        </w:rPr>
        <w:t>商業會計法第</w:t>
      </w:r>
      <w:r w:rsidRPr="007B5D03">
        <w:rPr>
          <w:spacing w:val="-4"/>
          <w:sz w:val="30"/>
          <w:szCs w:val="30"/>
        </w:rPr>
        <w:t>60</w:t>
      </w:r>
      <w:r w:rsidRPr="007B5D03">
        <w:rPr>
          <w:rFonts w:hAnsi="標楷體"/>
          <w:spacing w:val="-4"/>
          <w:sz w:val="30"/>
          <w:szCs w:val="30"/>
        </w:rPr>
        <w:t>條亦規定：「營業成本及費用，應與所由獲得之營業收入相配合，同期認列。損</w:t>
      </w:r>
      <w:r w:rsidRPr="007B5D03">
        <w:rPr>
          <w:rFonts w:hAnsi="標楷體"/>
          <w:sz w:val="30"/>
          <w:szCs w:val="30"/>
        </w:rPr>
        <w:t>失應於發生之當期認列。」從事營業或收益活動</w:t>
      </w:r>
      <w:r w:rsidRPr="007B5D03">
        <w:rPr>
          <w:rFonts w:hAnsi="標楷體"/>
          <w:spacing w:val="-4"/>
          <w:sz w:val="30"/>
          <w:szCs w:val="30"/>
        </w:rPr>
        <w:t>必須冒著損失的風險，此為其活動之成本，因此營業損失加以減除才屬於淨所得。又損失減少納稅人的納稅能力，如不准減除，則所得稅對於風險將構成差別待遇。因此，如要維持所得稅對於風險及投資決定的中立性，則應准許減除在收益</w:t>
      </w:r>
      <w:r w:rsidRPr="007B5D03">
        <w:rPr>
          <w:rFonts w:hAnsi="標楷體"/>
          <w:spacing w:val="4"/>
          <w:sz w:val="30"/>
          <w:szCs w:val="30"/>
        </w:rPr>
        <w:t>活動或交易中之損失（附件</w:t>
      </w:r>
      <w:r w:rsidRPr="007B5D03">
        <w:rPr>
          <w:spacing w:val="4"/>
          <w:sz w:val="30"/>
          <w:szCs w:val="30"/>
        </w:rPr>
        <w:t>16</w:t>
      </w:r>
      <w:r w:rsidRPr="007B5D03">
        <w:rPr>
          <w:rFonts w:hAnsi="標楷體"/>
          <w:spacing w:val="4"/>
          <w:sz w:val="30"/>
          <w:szCs w:val="30"/>
        </w:rPr>
        <w:t>，陳清秀，量能</w:t>
      </w:r>
      <w:r w:rsidRPr="007B5D03">
        <w:rPr>
          <w:rFonts w:hAnsi="標楷體"/>
          <w:spacing w:val="-4"/>
          <w:sz w:val="30"/>
          <w:szCs w:val="30"/>
        </w:rPr>
        <w:t>課稅原則在所得稅法上之實踐）。</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(3)</w:t>
      </w:r>
      <w:r w:rsidRPr="007B5D03">
        <w:rPr>
          <w:rFonts w:hAnsi="標楷體"/>
          <w:spacing w:val="-4"/>
          <w:sz w:val="30"/>
          <w:szCs w:val="30"/>
        </w:rPr>
        <w:t>第按所謂客觀營業保障淨所得原則，就毛所得部</w:t>
      </w:r>
      <w:r w:rsidRPr="007B5D03">
        <w:rPr>
          <w:rFonts w:hAnsi="標楷體"/>
          <w:sz w:val="30"/>
          <w:szCs w:val="30"/>
        </w:rPr>
        <w:t>分應減去保障營業存續發展之營業支出而後計</w:t>
      </w:r>
      <w:r w:rsidRPr="007B5D03">
        <w:rPr>
          <w:rFonts w:hAnsi="標楷體"/>
          <w:spacing w:val="-4"/>
          <w:sz w:val="30"/>
          <w:szCs w:val="30"/>
        </w:rPr>
        <w:t>算其營業所得，亦即收入額必須減除成本及必要費用之餘額，始為所得額。所以承認必要費用減除之理由，乃避免對投入資本之回收部分課稅，以維持原有資本以擴大再生產。凡與營業活動具有直接關聯，且為營業施行所必要之支出，始視為必要費用予以減除。換言之，納稅義務人在利用營業基礎所支出者，為確保營業之費用，在可稅所得中，得予減除。營業資產之損失，以特定期供營業使用者為限，亦得減除。為正確表現出客觀之納稅能力，在收入須減除為保障營業所為必要費用支出，如</w:t>
      </w:r>
      <w:r w:rsidRPr="007B5D03">
        <w:rPr>
          <w:rFonts w:hAnsi="標楷體"/>
          <w:spacing w:val="-4"/>
          <w:sz w:val="30"/>
          <w:szCs w:val="30"/>
        </w:rPr>
        <w:lastRenderedPageBreak/>
        <w:t>收入或成本、必要費用不易確知時，有以百分比或定型化公式進行推計課稅之必要（附件</w:t>
      </w:r>
      <w:r w:rsidRPr="007B5D03">
        <w:rPr>
          <w:spacing w:val="-4"/>
          <w:sz w:val="30"/>
          <w:szCs w:val="30"/>
        </w:rPr>
        <w:t>3</w:t>
      </w:r>
      <w:r w:rsidRPr="007B5D03">
        <w:rPr>
          <w:rFonts w:hAnsi="標楷體"/>
          <w:spacing w:val="-4"/>
          <w:sz w:val="30"/>
          <w:szCs w:val="30"/>
        </w:rPr>
        <w:t>，葛克昌，所得稅與憲法，第</w:t>
      </w:r>
      <w:r w:rsidRPr="007B5D03">
        <w:rPr>
          <w:spacing w:val="-4"/>
          <w:sz w:val="30"/>
          <w:szCs w:val="30"/>
        </w:rPr>
        <w:t>89</w:t>
      </w:r>
      <w:r w:rsidRPr="007B5D03">
        <w:rPr>
          <w:rFonts w:hAnsi="標楷體"/>
          <w:spacing w:val="-4"/>
          <w:sz w:val="30"/>
          <w:szCs w:val="30"/>
        </w:rPr>
        <w:t>、</w:t>
      </w:r>
      <w:r w:rsidRPr="007B5D03">
        <w:rPr>
          <w:spacing w:val="-4"/>
          <w:sz w:val="30"/>
          <w:szCs w:val="30"/>
        </w:rPr>
        <w:t>90</w:t>
      </w:r>
      <w:r w:rsidRPr="007B5D03">
        <w:rPr>
          <w:rFonts w:hAnsi="標楷體"/>
          <w:spacing w:val="-4"/>
          <w:sz w:val="30"/>
          <w:szCs w:val="30"/>
        </w:rPr>
        <w:t>頁）。</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(4)</w:t>
      </w:r>
      <w:r w:rsidRPr="007B5D03">
        <w:rPr>
          <w:rFonts w:hAnsi="標楷體"/>
          <w:sz w:val="30"/>
          <w:szCs w:val="30"/>
        </w:rPr>
        <w:t>末按有關一項成本費用是否得認為係為獲得收</w:t>
      </w:r>
      <w:r w:rsidRPr="007B5D03">
        <w:rPr>
          <w:rFonts w:hAnsi="標楷體"/>
          <w:spacing w:val="-4"/>
          <w:sz w:val="30"/>
          <w:szCs w:val="30"/>
        </w:rPr>
        <w:t>入的經濟活動而為支出之成本費用，應以該項支</w:t>
      </w:r>
      <w:r w:rsidRPr="007B5D03">
        <w:rPr>
          <w:rFonts w:hAnsi="標楷體"/>
          <w:sz w:val="30"/>
          <w:szCs w:val="30"/>
        </w:rPr>
        <w:t>出與獲得收入之經濟活動間有無「因果關係」而定，亦即必須具備所謂「業務活動的關</w:t>
      </w:r>
      <w:r w:rsidRPr="007B5D03">
        <w:rPr>
          <w:rFonts w:hAnsi="標楷體" w:hint="eastAsia"/>
          <w:sz w:val="30"/>
          <w:szCs w:val="30"/>
        </w:rPr>
        <w:t>聯</w:t>
      </w:r>
      <w:r w:rsidRPr="007B5D03">
        <w:rPr>
          <w:rFonts w:hAnsi="標楷體"/>
          <w:sz w:val="30"/>
          <w:szCs w:val="30"/>
        </w:rPr>
        <w:t>性」，</w:t>
      </w:r>
      <w:r w:rsidRPr="007B5D03">
        <w:rPr>
          <w:rFonts w:hAnsi="標楷體"/>
          <w:spacing w:val="-4"/>
          <w:sz w:val="30"/>
          <w:szCs w:val="30"/>
        </w:rPr>
        <w:t>或實質上的、經濟上關</w:t>
      </w:r>
      <w:r w:rsidRPr="007B5D03">
        <w:rPr>
          <w:rFonts w:hAnsi="標楷體" w:hint="eastAsia"/>
          <w:spacing w:val="-4"/>
          <w:sz w:val="30"/>
          <w:szCs w:val="30"/>
        </w:rPr>
        <w:t>聯</w:t>
      </w:r>
      <w:r w:rsidRPr="007B5D03">
        <w:rPr>
          <w:rFonts w:hAnsi="標楷體"/>
          <w:spacing w:val="-4"/>
          <w:sz w:val="30"/>
          <w:szCs w:val="30"/>
        </w:rPr>
        <w:t>性，始得認定為營業費</w:t>
      </w:r>
      <w:r w:rsidRPr="007B5D03">
        <w:rPr>
          <w:rFonts w:hAnsi="標楷體"/>
          <w:sz w:val="30"/>
          <w:szCs w:val="30"/>
        </w:rPr>
        <w:t>用或必要費用（</w:t>
      </w:r>
      <w:r w:rsidRPr="007B5D03">
        <w:rPr>
          <w:rFonts w:hAnsi="標楷體"/>
          <w:sz w:val="30"/>
          <w:szCs w:val="30"/>
          <w:shd w:val="clear" w:color="auto" w:fill="FFFFFF"/>
        </w:rPr>
        <w:t>附件</w:t>
      </w:r>
      <w:r w:rsidRPr="007B5D03">
        <w:rPr>
          <w:sz w:val="30"/>
          <w:szCs w:val="30"/>
          <w:shd w:val="clear" w:color="auto" w:fill="FFFFFF"/>
        </w:rPr>
        <w:t>17</w:t>
      </w:r>
      <w:r w:rsidRPr="007B5D03">
        <w:rPr>
          <w:rFonts w:hAnsi="標楷體"/>
          <w:sz w:val="30"/>
          <w:szCs w:val="30"/>
        </w:rPr>
        <w:t>趙彥強，認購權證課稅爭議之研究</w:t>
      </w:r>
      <w:r w:rsidRPr="007B5D03">
        <w:rPr>
          <w:sz w:val="30"/>
          <w:szCs w:val="30"/>
        </w:rPr>
        <w:t>---</w:t>
      </w:r>
      <w:r w:rsidRPr="007B5D03">
        <w:rPr>
          <w:rFonts w:hAnsi="標楷體"/>
          <w:sz w:val="30"/>
          <w:szCs w:val="30"/>
        </w:rPr>
        <w:t>兼評臺北高等行政法院</w:t>
      </w:r>
      <w:r w:rsidRPr="007B5D03">
        <w:rPr>
          <w:sz w:val="30"/>
          <w:szCs w:val="30"/>
        </w:rPr>
        <w:t>94</w:t>
      </w:r>
      <w:r w:rsidRPr="007B5D03">
        <w:rPr>
          <w:rFonts w:hAnsi="標楷體"/>
          <w:sz w:val="30"/>
          <w:szCs w:val="30"/>
        </w:rPr>
        <w:t>年度訴字第</w:t>
      </w:r>
      <w:r w:rsidRPr="007B5D03">
        <w:rPr>
          <w:sz w:val="30"/>
          <w:szCs w:val="30"/>
        </w:rPr>
        <w:t>924</w:t>
      </w:r>
      <w:r w:rsidRPr="007B5D03">
        <w:rPr>
          <w:rFonts w:hAnsi="標楷體"/>
          <w:sz w:val="30"/>
          <w:szCs w:val="30"/>
        </w:rPr>
        <w:t>號判決及最高行政法院</w:t>
      </w:r>
      <w:r w:rsidRPr="007B5D03">
        <w:rPr>
          <w:sz w:val="30"/>
          <w:szCs w:val="30"/>
        </w:rPr>
        <w:t>95</w:t>
      </w:r>
      <w:r w:rsidRPr="007B5D03">
        <w:rPr>
          <w:rFonts w:hAnsi="標楷體"/>
          <w:sz w:val="30"/>
          <w:szCs w:val="30"/>
        </w:rPr>
        <w:t>年度判字第</w:t>
      </w:r>
      <w:r w:rsidRPr="007B5D03">
        <w:rPr>
          <w:sz w:val="30"/>
          <w:szCs w:val="30"/>
        </w:rPr>
        <w:t>2206</w:t>
      </w:r>
      <w:r w:rsidRPr="007B5D03">
        <w:rPr>
          <w:rFonts w:hAnsi="標楷體"/>
          <w:sz w:val="30"/>
          <w:szCs w:val="30"/>
        </w:rPr>
        <w:t>號判決，財稅研究，</w:t>
      </w:r>
      <w:r w:rsidRPr="007B5D03">
        <w:rPr>
          <w:rFonts w:hAnsi="標楷體" w:hint="eastAsia"/>
          <w:sz w:val="30"/>
          <w:szCs w:val="30"/>
        </w:rPr>
        <w:t>第</w:t>
      </w:r>
      <w:r w:rsidRPr="007B5D03">
        <w:rPr>
          <w:sz w:val="30"/>
          <w:szCs w:val="30"/>
        </w:rPr>
        <w:t>39</w:t>
      </w:r>
      <w:r w:rsidRPr="007B5D03">
        <w:rPr>
          <w:rFonts w:hAnsi="標楷體"/>
          <w:sz w:val="30"/>
          <w:szCs w:val="30"/>
        </w:rPr>
        <w:t>卷</w:t>
      </w:r>
      <w:r w:rsidRPr="007B5D03">
        <w:rPr>
          <w:rFonts w:hAnsi="標楷體" w:hint="eastAsia"/>
          <w:sz w:val="30"/>
          <w:szCs w:val="30"/>
        </w:rPr>
        <w:t>第</w:t>
      </w:r>
      <w:r w:rsidRPr="007B5D03">
        <w:rPr>
          <w:sz w:val="30"/>
          <w:szCs w:val="30"/>
        </w:rPr>
        <w:t>5</w:t>
      </w:r>
      <w:r w:rsidRPr="007B5D03">
        <w:rPr>
          <w:rFonts w:hAnsi="標楷體"/>
          <w:sz w:val="30"/>
          <w:szCs w:val="30"/>
        </w:rPr>
        <w:t>期，</w:t>
      </w:r>
      <w:r w:rsidRPr="007B5D03">
        <w:rPr>
          <w:sz w:val="30"/>
          <w:szCs w:val="30"/>
        </w:rPr>
        <w:t>2007</w:t>
      </w:r>
      <w:r w:rsidRPr="007B5D03">
        <w:rPr>
          <w:rFonts w:hAnsi="標楷體"/>
          <w:sz w:val="30"/>
          <w:szCs w:val="30"/>
        </w:rPr>
        <w:t>年</w:t>
      </w:r>
      <w:r w:rsidRPr="007B5D03">
        <w:rPr>
          <w:sz w:val="30"/>
          <w:szCs w:val="30"/>
        </w:rPr>
        <w:t>5</w:t>
      </w:r>
      <w:r w:rsidRPr="007B5D03">
        <w:rPr>
          <w:rFonts w:hAnsi="標楷體"/>
          <w:sz w:val="30"/>
          <w:szCs w:val="30"/>
        </w:rPr>
        <w:t>月，頁</w:t>
      </w:r>
      <w:r w:rsidRPr="007B5D03">
        <w:rPr>
          <w:sz w:val="30"/>
          <w:szCs w:val="30"/>
        </w:rPr>
        <w:t>198</w:t>
      </w:r>
      <w:r w:rsidRPr="007B5D03">
        <w:rPr>
          <w:rFonts w:hAnsi="標楷體"/>
          <w:sz w:val="30"/>
          <w:szCs w:val="30"/>
        </w:rPr>
        <w:t>）。亦即以事業活動為原因所為</w:t>
      </w:r>
      <w:r w:rsidRPr="007B5D03">
        <w:rPr>
          <w:rFonts w:hAnsi="標楷體"/>
          <w:spacing w:val="-4"/>
          <w:sz w:val="30"/>
          <w:szCs w:val="30"/>
        </w:rPr>
        <w:t>支出，才可認為事業支出，此種原因的事業支出</w:t>
      </w:r>
      <w:r w:rsidRPr="007B5D03">
        <w:rPr>
          <w:rFonts w:hAnsi="標楷體"/>
          <w:sz w:val="30"/>
          <w:szCs w:val="30"/>
        </w:rPr>
        <w:t>概念，即德國學說上所謂「原因原則」</w:t>
      </w:r>
      <w:r w:rsidRPr="007B5D03">
        <w:rPr>
          <w:sz w:val="30"/>
          <w:szCs w:val="30"/>
        </w:rPr>
        <w:t xml:space="preserve">(das </w:t>
      </w:r>
      <w:r w:rsidRPr="007B5D03">
        <w:rPr>
          <w:spacing w:val="-4"/>
          <w:sz w:val="30"/>
          <w:szCs w:val="30"/>
        </w:rPr>
        <w:t>Veranlassungsprinzip)</w:t>
      </w:r>
      <w:r w:rsidRPr="007B5D03">
        <w:rPr>
          <w:rFonts w:hAnsi="標楷體"/>
          <w:spacing w:val="-4"/>
          <w:sz w:val="30"/>
          <w:szCs w:val="30"/>
        </w:rPr>
        <w:t>或可稱為因果關係說。根據上述原因原則，收入與費用支出之範圍，乃是以目的為取向的、以獲得所得為目的之經濟活動之結果加以決定。依客觀的淨所得原則，應完全的考量獲得所得的經濟活動之各項風險損失，亦即</w:t>
      </w:r>
      <w:r w:rsidRPr="007B5D03">
        <w:rPr>
          <w:rFonts w:hAnsi="標楷體"/>
          <w:spacing w:val="10"/>
          <w:sz w:val="30"/>
          <w:szCs w:val="30"/>
        </w:rPr>
        <w:t>其承認非自願的支出及強制性的支出費用扣</w:t>
      </w:r>
      <w:r w:rsidRPr="007B5D03">
        <w:rPr>
          <w:rFonts w:hAnsi="標楷體"/>
          <w:spacing w:val="-4"/>
          <w:sz w:val="30"/>
          <w:szCs w:val="30"/>
        </w:rPr>
        <w:t>除，即表示完全考慮到風險範圍。有關獲得所得活動之風險範圍內之損失支出，雖與納稅義務人之意思無關，但因為與業務活動有關，屬於業務活動範圍內之風險費用，原則上應得認列必要費</w:t>
      </w:r>
      <w:r w:rsidRPr="007B5D03">
        <w:rPr>
          <w:rFonts w:hAnsi="標楷體"/>
          <w:spacing w:val="4"/>
          <w:sz w:val="30"/>
          <w:szCs w:val="30"/>
        </w:rPr>
        <w:t>用，納入扣除（</w:t>
      </w:r>
      <w:r w:rsidRPr="007B5D03">
        <w:rPr>
          <w:rFonts w:hAnsi="標楷體"/>
          <w:spacing w:val="4"/>
          <w:sz w:val="30"/>
          <w:szCs w:val="30"/>
          <w:shd w:val="clear" w:color="auto" w:fill="FFFFFF"/>
        </w:rPr>
        <w:t>附件</w:t>
      </w:r>
      <w:r w:rsidRPr="007B5D03">
        <w:rPr>
          <w:spacing w:val="4"/>
          <w:sz w:val="30"/>
          <w:szCs w:val="30"/>
          <w:shd w:val="clear" w:color="auto" w:fill="FFFFFF"/>
        </w:rPr>
        <w:t>18</w:t>
      </w:r>
      <w:r w:rsidRPr="007B5D03">
        <w:rPr>
          <w:rFonts w:hAnsi="標楷體"/>
          <w:spacing w:val="4"/>
          <w:sz w:val="30"/>
          <w:szCs w:val="30"/>
        </w:rPr>
        <w:t>，陳清秀，論客觀的淨</w:t>
      </w:r>
      <w:r w:rsidRPr="007B5D03">
        <w:rPr>
          <w:rFonts w:hAnsi="標楷體"/>
          <w:spacing w:val="-4"/>
          <w:sz w:val="30"/>
          <w:szCs w:val="30"/>
        </w:rPr>
        <w:t>額所得原則</w:t>
      </w:r>
      <w:r w:rsidRPr="007B5D03">
        <w:rPr>
          <w:rFonts w:hAnsi="標楷體"/>
          <w:spacing w:val="-4"/>
          <w:sz w:val="30"/>
          <w:szCs w:val="30"/>
        </w:rPr>
        <w:lastRenderedPageBreak/>
        <w:t>）。</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(5)</w:t>
      </w:r>
      <w:r w:rsidRPr="007B5D03">
        <w:rPr>
          <w:rFonts w:hAnsi="標楷體"/>
          <w:spacing w:val="-4"/>
          <w:sz w:val="30"/>
          <w:szCs w:val="30"/>
        </w:rPr>
        <w:t>查權證交易之損益計算部分，可參考國內財經學</w:t>
      </w:r>
      <w:r w:rsidRPr="007B5D03">
        <w:rPr>
          <w:rFonts w:hAnsi="標楷體"/>
          <w:sz w:val="30"/>
          <w:szCs w:val="30"/>
        </w:rPr>
        <w:t>者李存修教授之研究認為：「券商發行權證所獲取的權利金收入，並非券商之淨獲利」</w:t>
      </w:r>
      <w:r w:rsidRPr="007B5D03">
        <w:rPr>
          <w:rFonts w:hAnsi="標楷體" w:hint="eastAsia"/>
          <w:sz w:val="30"/>
          <w:szCs w:val="30"/>
        </w:rPr>
        <w:t>。</w:t>
      </w:r>
      <w:r w:rsidRPr="007B5D03">
        <w:rPr>
          <w:rFonts w:hAnsi="標楷體"/>
          <w:sz w:val="30"/>
          <w:szCs w:val="30"/>
        </w:rPr>
        <w:t>為瞭解</w:t>
      </w:r>
      <w:r w:rsidRPr="007B5D03">
        <w:rPr>
          <w:rFonts w:hAnsi="標楷體"/>
          <w:spacing w:val="-4"/>
          <w:sz w:val="30"/>
          <w:szCs w:val="30"/>
        </w:rPr>
        <w:t>券商發行權證之實際獲利，應扣除直接成本與間</w:t>
      </w:r>
      <w:r w:rsidRPr="007B5D03">
        <w:rPr>
          <w:rFonts w:hAnsi="標楷體"/>
          <w:sz w:val="30"/>
          <w:szCs w:val="30"/>
        </w:rPr>
        <w:t>接成本，其中「與權證之發行、交易、履約與避</w:t>
      </w:r>
      <w:r w:rsidRPr="007B5D03">
        <w:rPr>
          <w:rFonts w:hAnsi="標楷體"/>
          <w:spacing w:val="-4"/>
          <w:sz w:val="30"/>
          <w:szCs w:val="30"/>
        </w:rPr>
        <w:t>險操作直接相關之成本與費用，稱為直接成本，</w:t>
      </w:r>
      <w:r w:rsidRPr="007B5D03">
        <w:rPr>
          <w:rFonts w:hAnsi="標楷體"/>
          <w:sz w:val="30"/>
          <w:szCs w:val="30"/>
        </w:rPr>
        <w:t>包括發行權證負債價值變動損益、營業證券</w:t>
      </w:r>
      <w:r w:rsidRPr="007B5D03">
        <w:rPr>
          <w:sz w:val="30"/>
          <w:szCs w:val="30"/>
        </w:rPr>
        <w:t>---</w:t>
      </w:r>
      <w:r w:rsidRPr="007B5D03">
        <w:rPr>
          <w:rFonts w:hAnsi="標楷體"/>
          <w:spacing w:val="-4"/>
          <w:sz w:val="30"/>
          <w:szCs w:val="30"/>
        </w:rPr>
        <w:t>避險損益、發行權證再買回價值變動損益、發行權證到期前履約損益、現金股利收入、交易稅與經手費等八項。」「其他應攤提之費用稱為間接</w:t>
      </w:r>
      <w:r w:rsidRPr="007B5D03">
        <w:rPr>
          <w:rFonts w:hAnsi="標楷體"/>
          <w:spacing w:val="-12"/>
          <w:sz w:val="30"/>
          <w:szCs w:val="30"/>
        </w:rPr>
        <w:t>成本，包括權證發行費用、人事費用、其他費用。」</w:t>
      </w:r>
      <w:r w:rsidRPr="007B5D03">
        <w:rPr>
          <w:rFonts w:hAnsi="標楷體"/>
          <w:spacing w:val="-4"/>
          <w:sz w:val="30"/>
          <w:szCs w:val="30"/>
        </w:rPr>
        <w:t>「三、淨獲利　　即券商發行權證實際獲得之利潤，權利金總收入扣除各項成本後之獲利。公式如下：淨獲利＝權利金總收入－直接成本－間接成本。」（附件</w:t>
      </w:r>
      <w:r w:rsidRPr="007B5D03">
        <w:rPr>
          <w:spacing w:val="-4"/>
          <w:sz w:val="30"/>
          <w:szCs w:val="30"/>
        </w:rPr>
        <w:t>19</w:t>
      </w:r>
      <w:r w:rsidRPr="007B5D03">
        <w:rPr>
          <w:rFonts w:hAnsi="標楷體"/>
          <w:spacing w:val="-4"/>
          <w:sz w:val="30"/>
          <w:szCs w:val="30"/>
        </w:rPr>
        <w:t>，</w:t>
      </w:r>
      <w:smartTag w:uri="urn:schemas-microsoft-com:office:smarttags" w:element="PersonName">
        <w:smartTagPr>
          <w:attr w:name="ProductID" w:val="李存修"/>
        </w:smartTagPr>
        <w:r w:rsidRPr="007B5D03">
          <w:rPr>
            <w:rFonts w:hAnsi="標楷體"/>
            <w:spacing w:val="-4"/>
            <w:sz w:val="30"/>
            <w:szCs w:val="30"/>
          </w:rPr>
          <w:t>李存修</w:t>
        </w:r>
      </w:smartTag>
      <w:r w:rsidRPr="007B5D03">
        <w:rPr>
          <w:rFonts w:hAnsi="標楷體"/>
          <w:spacing w:val="-4"/>
          <w:sz w:val="30"/>
          <w:szCs w:val="30"/>
        </w:rPr>
        <w:t>教授主持，證券商發行認購（售）權證之定價策略及各項相關成本分析研究報告，</w:t>
      </w:r>
      <w:r w:rsidRPr="007B5D03">
        <w:rPr>
          <w:spacing w:val="-4"/>
          <w:sz w:val="30"/>
          <w:szCs w:val="30"/>
        </w:rPr>
        <w:t>93</w:t>
      </w:r>
      <w:r w:rsidRPr="007B5D03">
        <w:rPr>
          <w:rFonts w:hAnsi="標楷體"/>
          <w:spacing w:val="-4"/>
          <w:sz w:val="30"/>
          <w:szCs w:val="30"/>
        </w:rPr>
        <w:t>年</w:t>
      </w:r>
      <w:r w:rsidRPr="007B5D03">
        <w:rPr>
          <w:spacing w:val="-4"/>
          <w:sz w:val="30"/>
          <w:szCs w:val="30"/>
        </w:rPr>
        <w:t>8</w:t>
      </w:r>
      <w:r w:rsidRPr="007B5D03">
        <w:rPr>
          <w:rFonts w:hAnsi="標楷體"/>
          <w:spacing w:val="-4"/>
          <w:sz w:val="30"/>
          <w:szCs w:val="30"/>
        </w:rPr>
        <w:t>月，第</w:t>
      </w:r>
      <w:r w:rsidRPr="007B5D03">
        <w:rPr>
          <w:spacing w:val="-4"/>
          <w:sz w:val="30"/>
          <w:szCs w:val="30"/>
        </w:rPr>
        <w:t>14</w:t>
      </w:r>
      <w:r w:rsidRPr="007B5D03">
        <w:rPr>
          <w:rFonts w:hAnsi="標楷體"/>
          <w:spacing w:val="-4"/>
          <w:sz w:val="30"/>
          <w:szCs w:val="30"/>
        </w:rPr>
        <w:t>頁以下）。因此，避險操作之損益如不納入成本費用扣除，則無法</w:t>
      </w:r>
      <w:r w:rsidRPr="007B5D03">
        <w:rPr>
          <w:rFonts w:hAnsi="標楷體"/>
          <w:sz w:val="30"/>
          <w:szCs w:val="30"/>
        </w:rPr>
        <w:t>正確計算發行權證之經濟活動實際上所獲得之</w:t>
      </w:r>
      <w:r w:rsidRPr="007B5D03">
        <w:rPr>
          <w:rFonts w:hAnsi="標楷體"/>
          <w:spacing w:val="-4"/>
          <w:sz w:val="30"/>
          <w:szCs w:val="30"/>
        </w:rPr>
        <w:t>淨利。</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(6)</w:t>
      </w:r>
      <w:r w:rsidRPr="007B5D03">
        <w:rPr>
          <w:rFonts w:hAnsi="標楷體"/>
          <w:spacing w:val="-4"/>
          <w:sz w:val="30"/>
          <w:szCs w:val="30"/>
        </w:rPr>
        <w:t>又查，企業會計為正確把握課稅年度期間損益，要求將收益與產生收益所必要的成本費用，在同</w:t>
      </w:r>
      <w:r w:rsidRPr="007B5D03">
        <w:rPr>
          <w:rFonts w:hAnsi="標楷體"/>
          <w:sz w:val="30"/>
          <w:szCs w:val="30"/>
        </w:rPr>
        <w:t>一年度中列報。此即所謂「收入與成本費用配合</w:t>
      </w:r>
      <w:r w:rsidRPr="007B5D03">
        <w:rPr>
          <w:rFonts w:hAnsi="標楷體"/>
          <w:spacing w:val="10"/>
          <w:sz w:val="30"/>
          <w:szCs w:val="30"/>
        </w:rPr>
        <w:t>原則」</w:t>
      </w:r>
      <w:r w:rsidRPr="007B5D03">
        <w:rPr>
          <w:rFonts w:hAnsi="標楷體" w:hint="eastAsia"/>
          <w:spacing w:val="10"/>
          <w:sz w:val="30"/>
          <w:szCs w:val="30"/>
        </w:rPr>
        <w:t>(</w:t>
      </w:r>
      <w:r w:rsidRPr="007B5D03">
        <w:rPr>
          <w:spacing w:val="10"/>
          <w:sz w:val="30"/>
          <w:szCs w:val="30"/>
        </w:rPr>
        <w:t>principle of matching costs with</w:t>
      </w:r>
      <w:r w:rsidRPr="007B5D03">
        <w:rPr>
          <w:sz w:val="30"/>
          <w:szCs w:val="30"/>
        </w:rPr>
        <w:t xml:space="preserve"> </w:t>
      </w:r>
      <w:r w:rsidRPr="007B5D03">
        <w:rPr>
          <w:spacing w:val="-4"/>
          <w:sz w:val="30"/>
          <w:szCs w:val="30"/>
        </w:rPr>
        <w:t>revenues</w:t>
      </w:r>
      <w:r w:rsidRPr="007B5D03">
        <w:rPr>
          <w:rFonts w:hint="eastAsia"/>
          <w:spacing w:val="-4"/>
          <w:sz w:val="30"/>
          <w:szCs w:val="30"/>
        </w:rPr>
        <w:t>)</w:t>
      </w:r>
      <w:r w:rsidRPr="007B5D03">
        <w:rPr>
          <w:rFonts w:hAnsi="標楷體"/>
          <w:spacing w:val="-4"/>
          <w:sz w:val="30"/>
          <w:szCs w:val="30"/>
        </w:rPr>
        <w:t>，商業會計法第</w:t>
      </w:r>
      <w:r w:rsidRPr="007B5D03">
        <w:rPr>
          <w:spacing w:val="-4"/>
          <w:sz w:val="30"/>
          <w:szCs w:val="30"/>
        </w:rPr>
        <w:t>60</w:t>
      </w:r>
      <w:r w:rsidRPr="007B5D03">
        <w:rPr>
          <w:rFonts w:hAnsi="標楷體"/>
          <w:spacing w:val="-4"/>
          <w:sz w:val="30"/>
          <w:szCs w:val="30"/>
        </w:rPr>
        <w:t>條規定：「營業成本及費用，應與所由獲得之營業收入相配合，同期</w:t>
      </w:r>
      <w:r w:rsidRPr="007B5D03">
        <w:rPr>
          <w:rFonts w:hAnsi="標楷體"/>
          <w:sz w:val="30"/>
          <w:szCs w:val="30"/>
        </w:rPr>
        <w:t>認列。損失應</w:t>
      </w:r>
      <w:r w:rsidRPr="007B5D03">
        <w:rPr>
          <w:rFonts w:hAnsi="標楷體"/>
          <w:sz w:val="30"/>
          <w:szCs w:val="30"/>
        </w:rPr>
        <w:lastRenderedPageBreak/>
        <w:t>於發生之當期認列。」也表明此一意旨。所得稅法第</w:t>
      </w:r>
      <w:r w:rsidRPr="007B5D03">
        <w:rPr>
          <w:sz w:val="30"/>
          <w:szCs w:val="30"/>
        </w:rPr>
        <w:t>24</w:t>
      </w:r>
      <w:r w:rsidRPr="007B5D03">
        <w:rPr>
          <w:rFonts w:hAnsi="標楷體"/>
          <w:sz w:val="30"/>
          <w:szCs w:val="30"/>
        </w:rPr>
        <w:t>條也規定對於營利事業所</w:t>
      </w:r>
      <w:r w:rsidRPr="007B5D03">
        <w:rPr>
          <w:rFonts w:hAnsi="標楷體"/>
          <w:spacing w:val="-4"/>
          <w:sz w:val="30"/>
          <w:szCs w:val="30"/>
        </w:rPr>
        <w:t>得之計算，必須以收入減成本、費用及損失後之</w:t>
      </w:r>
      <w:r w:rsidRPr="007B5D03">
        <w:rPr>
          <w:rFonts w:hAnsi="標楷體"/>
          <w:sz w:val="30"/>
          <w:szCs w:val="30"/>
        </w:rPr>
        <w:t>「純益額」</w:t>
      </w:r>
      <w:r w:rsidRPr="007B5D03">
        <w:rPr>
          <w:rFonts w:hint="eastAsia"/>
          <w:sz w:val="30"/>
          <w:szCs w:val="30"/>
        </w:rPr>
        <w:t>（</w:t>
      </w:r>
      <w:r w:rsidRPr="007B5D03">
        <w:rPr>
          <w:rFonts w:hAnsi="標楷體"/>
          <w:sz w:val="30"/>
          <w:szCs w:val="30"/>
        </w:rPr>
        <w:t>即淨額所得額</w:t>
      </w:r>
      <w:r w:rsidRPr="007B5D03">
        <w:rPr>
          <w:rFonts w:hint="eastAsia"/>
          <w:sz w:val="30"/>
          <w:szCs w:val="30"/>
        </w:rPr>
        <w:t>）</w:t>
      </w:r>
      <w:r w:rsidRPr="007B5D03">
        <w:rPr>
          <w:rFonts w:hAnsi="標楷體"/>
          <w:sz w:val="30"/>
          <w:szCs w:val="30"/>
        </w:rPr>
        <w:t>為課稅標準，此為財務會計之收入成本費用配合原則及所得稅法</w:t>
      </w:r>
      <w:r w:rsidRPr="007B5D03">
        <w:rPr>
          <w:rFonts w:hAnsi="標楷體"/>
          <w:spacing w:val="-4"/>
          <w:sz w:val="30"/>
          <w:szCs w:val="30"/>
        </w:rPr>
        <w:t>量能課稅原則之法條具體規範。該法條體系上位於所得稅法第三章第三節營利事業所得額，為計算營利事業所得的首條，實寓有原則性之意義。蓋租稅課徵最基本原則乃量能課稅，有所得方有納稅能力，否則即對人民財產權本體的根本性剝奪，當為現代法治國、租稅國所摒棄。本件避險交易費用支出，係出於確保履約能力，分散經營損失風險所採取之措施，乃是發行權證交易過程中必要之一環，屬於證券商為取得、確保及維持發行權證收益的費用支出，不僅具有主觀上的動</w:t>
      </w:r>
      <w:r w:rsidRPr="007B5D03">
        <w:rPr>
          <w:rFonts w:hAnsi="標楷體"/>
          <w:sz w:val="30"/>
          <w:szCs w:val="30"/>
        </w:rPr>
        <w:t>機目的，而且也是法令強制要求必要辦理之事</w:t>
      </w:r>
      <w:r w:rsidRPr="007B5D03">
        <w:rPr>
          <w:rFonts w:hAnsi="標楷體"/>
          <w:spacing w:val="-4"/>
          <w:sz w:val="30"/>
          <w:szCs w:val="30"/>
        </w:rPr>
        <w:t>項，屬於必要合理費用性質，准認列費用扣除，始符合收入與成本費用配合原則</w:t>
      </w:r>
      <w:r w:rsidRPr="007B5D03">
        <w:rPr>
          <w:rFonts w:hAnsi="標楷體"/>
          <w:sz w:val="30"/>
          <w:szCs w:val="30"/>
        </w:rPr>
        <w:t>。</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2.</w:t>
      </w:r>
      <w:r w:rsidRPr="007B5D03">
        <w:rPr>
          <w:rFonts w:hAnsi="標楷體"/>
          <w:sz w:val="30"/>
          <w:szCs w:val="30"/>
        </w:rPr>
        <w:t>量能課稅原則拘束立法者之形成自由</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(1)</w:t>
      </w:r>
      <w:r w:rsidRPr="007B5D03">
        <w:rPr>
          <w:rFonts w:hAnsi="標楷體"/>
          <w:spacing w:val="-4"/>
          <w:sz w:val="30"/>
          <w:szCs w:val="30"/>
        </w:rPr>
        <w:t>按量能課稅原則的破壞，必須經由另一個合乎事理的原則，例如需要原則或功績原則</w:t>
      </w:r>
      <w:r w:rsidRPr="007B5D03">
        <w:rPr>
          <w:spacing w:val="-4"/>
          <w:sz w:val="30"/>
          <w:szCs w:val="30"/>
        </w:rPr>
        <w:t>(Bedürfnis-oder Verdienstprinzip)</w:t>
      </w:r>
      <w:r w:rsidRPr="007B5D03">
        <w:rPr>
          <w:rFonts w:hAnsi="標楷體"/>
          <w:spacing w:val="-4"/>
          <w:sz w:val="30"/>
          <w:szCs w:val="30"/>
        </w:rPr>
        <w:t>加以正當化，否則即存在著不正當的體系違反。此種量能課稅原則的違反，必須直接或間接為維護公共利益或簡化稽徵程序的目的，倘若其違反則構成憲法第</w:t>
      </w:r>
      <w:r w:rsidRPr="007B5D03">
        <w:rPr>
          <w:spacing w:val="-4"/>
          <w:sz w:val="30"/>
          <w:szCs w:val="30"/>
        </w:rPr>
        <w:t>7</w:t>
      </w:r>
      <w:r w:rsidRPr="007B5D03">
        <w:rPr>
          <w:rFonts w:hAnsi="標楷體"/>
          <w:spacing w:val="4"/>
          <w:sz w:val="30"/>
          <w:szCs w:val="30"/>
        </w:rPr>
        <w:t>條平等原則的違反（附件</w:t>
      </w:r>
      <w:r w:rsidRPr="007B5D03">
        <w:rPr>
          <w:spacing w:val="4"/>
          <w:sz w:val="30"/>
          <w:szCs w:val="30"/>
        </w:rPr>
        <w:t>11</w:t>
      </w:r>
      <w:r w:rsidRPr="007B5D03">
        <w:rPr>
          <w:rFonts w:hAnsi="標楷體"/>
          <w:spacing w:val="4"/>
          <w:sz w:val="30"/>
          <w:szCs w:val="30"/>
        </w:rPr>
        <w:t>，陳清秀，稅法總</w:t>
      </w:r>
      <w:r w:rsidRPr="007B5D03">
        <w:rPr>
          <w:rFonts w:hAnsi="標楷體"/>
          <w:spacing w:val="-4"/>
          <w:sz w:val="30"/>
          <w:szCs w:val="30"/>
        </w:rPr>
        <w:t>論，第</w:t>
      </w:r>
      <w:r w:rsidRPr="007B5D03">
        <w:rPr>
          <w:spacing w:val="-4"/>
          <w:sz w:val="30"/>
          <w:szCs w:val="30"/>
        </w:rPr>
        <w:t>32</w:t>
      </w:r>
      <w:r w:rsidRPr="007B5D03">
        <w:rPr>
          <w:rFonts w:hAnsi="標楷體"/>
          <w:spacing w:val="-4"/>
          <w:sz w:val="30"/>
          <w:szCs w:val="30"/>
        </w:rPr>
        <w:t>頁）。</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(2)</w:t>
      </w:r>
      <w:r w:rsidRPr="007B5D03">
        <w:rPr>
          <w:rFonts w:hAnsi="標楷體"/>
          <w:spacing w:val="-6"/>
          <w:sz w:val="30"/>
          <w:szCs w:val="30"/>
        </w:rPr>
        <w:t>再按，　鈞院釋字第</w:t>
      </w:r>
      <w:r w:rsidRPr="007B5D03">
        <w:rPr>
          <w:spacing w:val="-6"/>
          <w:sz w:val="30"/>
          <w:szCs w:val="30"/>
        </w:rPr>
        <w:t>218</w:t>
      </w:r>
      <w:r w:rsidRPr="007B5D03">
        <w:rPr>
          <w:rFonts w:hAnsi="標楷體"/>
          <w:spacing w:val="-6"/>
          <w:sz w:val="30"/>
          <w:szCs w:val="30"/>
        </w:rPr>
        <w:t>、</w:t>
      </w:r>
      <w:r w:rsidRPr="007B5D03">
        <w:rPr>
          <w:spacing w:val="-6"/>
          <w:sz w:val="30"/>
          <w:szCs w:val="30"/>
        </w:rPr>
        <w:t>221</w:t>
      </w:r>
      <w:r w:rsidRPr="007B5D03">
        <w:rPr>
          <w:rFonts w:hAnsi="標楷體"/>
          <w:spacing w:val="-6"/>
          <w:sz w:val="30"/>
          <w:szCs w:val="30"/>
        </w:rPr>
        <w:t>、</w:t>
      </w:r>
      <w:r w:rsidRPr="007B5D03">
        <w:rPr>
          <w:spacing w:val="-6"/>
          <w:sz w:val="30"/>
          <w:szCs w:val="30"/>
        </w:rPr>
        <w:t>224</w:t>
      </w:r>
      <w:r w:rsidRPr="007B5D03">
        <w:rPr>
          <w:rFonts w:hAnsi="標楷體"/>
          <w:spacing w:val="-6"/>
          <w:sz w:val="30"/>
          <w:szCs w:val="30"/>
        </w:rPr>
        <w:t>、</w:t>
      </w:r>
      <w:r w:rsidRPr="007B5D03">
        <w:rPr>
          <w:spacing w:val="-6"/>
          <w:sz w:val="30"/>
          <w:szCs w:val="30"/>
        </w:rPr>
        <w:t>248</w:t>
      </w:r>
      <w:r w:rsidRPr="007B5D03">
        <w:rPr>
          <w:rFonts w:hAnsi="標楷體"/>
          <w:spacing w:val="-6"/>
          <w:sz w:val="30"/>
          <w:szCs w:val="30"/>
        </w:rPr>
        <w:t>、</w:t>
      </w:r>
      <w:r w:rsidRPr="007B5D03">
        <w:rPr>
          <w:spacing w:val="-6"/>
          <w:sz w:val="30"/>
          <w:szCs w:val="30"/>
        </w:rPr>
        <w:t>257</w:t>
      </w:r>
      <w:r w:rsidRPr="007B5D03">
        <w:rPr>
          <w:rFonts w:hAnsi="標楷體"/>
          <w:spacing w:val="-6"/>
          <w:sz w:val="30"/>
          <w:szCs w:val="30"/>
        </w:rPr>
        <w:t>、</w:t>
      </w:r>
      <w:r w:rsidRPr="007B5D03">
        <w:rPr>
          <w:spacing w:val="-4"/>
          <w:sz w:val="30"/>
          <w:szCs w:val="30"/>
        </w:rPr>
        <w:lastRenderedPageBreak/>
        <w:t>281</w:t>
      </w:r>
      <w:r w:rsidRPr="007B5D03">
        <w:rPr>
          <w:rFonts w:hAnsi="標楷體"/>
          <w:spacing w:val="-4"/>
          <w:sz w:val="30"/>
          <w:szCs w:val="30"/>
        </w:rPr>
        <w:t>、</w:t>
      </w:r>
      <w:r w:rsidRPr="007B5D03">
        <w:rPr>
          <w:spacing w:val="-4"/>
          <w:sz w:val="30"/>
          <w:szCs w:val="30"/>
        </w:rPr>
        <w:t>327</w:t>
      </w:r>
      <w:r w:rsidRPr="007B5D03">
        <w:rPr>
          <w:rFonts w:hAnsi="標楷體"/>
          <w:spacing w:val="-4"/>
          <w:sz w:val="30"/>
          <w:szCs w:val="30"/>
        </w:rPr>
        <w:t>、</w:t>
      </w:r>
      <w:r w:rsidRPr="007B5D03">
        <w:rPr>
          <w:spacing w:val="-4"/>
          <w:sz w:val="30"/>
          <w:szCs w:val="30"/>
        </w:rPr>
        <w:t>397</w:t>
      </w:r>
      <w:r w:rsidRPr="007B5D03">
        <w:rPr>
          <w:rFonts w:hAnsi="標楷體"/>
          <w:spacing w:val="-4"/>
          <w:sz w:val="30"/>
          <w:szCs w:val="30"/>
        </w:rPr>
        <w:t>、</w:t>
      </w:r>
      <w:r w:rsidRPr="007B5D03">
        <w:rPr>
          <w:spacing w:val="-4"/>
          <w:sz w:val="30"/>
          <w:szCs w:val="30"/>
        </w:rPr>
        <w:t>506</w:t>
      </w:r>
      <w:r w:rsidRPr="007B5D03">
        <w:rPr>
          <w:rFonts w:hAnsi="標楷體"/>
          <w:spacing w:val="-4"/>
          <w:sz w:val="30"/>
          <w:szCs w:val="30"/>
        </w:rPr>
        <w:t>、</w:t>
      </w:r>
      <w:r w:rsidRPr="007B5D03">
        <w:rPr>
          <w:spacing w:val="-4"/>
          <w:sz w:val="30"/>
          <w:szCs w:val="30"/>
        </w:rPr>
        <w:t>607</w:t>
      </w:r>
      <w:r w:rsidRPr="007B5D03">
        <w:rPr>
          <w:rFonts w:hAnsi="標楷體"/>
          <w:spacing w:val="-4"/>
          <w:sz w:val="30"/>
          <w:szCs w:val="30"/>
        </w:rPr>
        <w:t>等號解釋，均提出「租</w:t>
      </w:r>
      <w:r w:rsidRPr="007B5D03">
        <w:rPr>
          <w:rFonts w:hAnsi="標楷體"/>
          <w:sz w:val="30"/>
          <w:szCs w:val="30"/>
        </w:rPr>
        <w:t>稅公平」作為稅法上之憲法原則，學者提出以量</w:t>
      </w:r>
      <w:r w:rsidRPr="007B5D03">
        <w:rPr>
          <w:rFonts w:hAnsi="標楷體"/>
          <w:spacing w:val="-4"/>
          <w:sz w:val="30"/>
          <w:szCs w:val="30"/>
        </w:rPr>
        <w:t>能原則作為租稅合理正當性標準，就一般以財政收入為目的策略，則就租稅負擔觀點而言，即具正當合理性。吾人不得不就各別稅法，依憲法要求，探尋合理正當性，否則憲法上精神，特別是實質憲政國家，在具體之負擔正義即無法落實。德國聯邦憲法法院判決即曾多次指出，立法者單以財政需求或課徵技術上要求，仍不具有稅法所需正當性要求，亦即租稅正當性考量，應優先於財政需求或課徵技術，惟有符合租稅正當性之租稅有多種，吾人加以選擇時，始斟酌財政需求及課徵技術（附件</w:t>
      </w:r>
      <w:r w:rsidRPr="007B5D03">
        <w:rPr>
          <w:spacing w:val="-4"/>
          <w:sz w:val="30"/>
          <w:szCs w:val="30"/>
        </w:rPr>
        <w:t>3</w:t>
      </w:r>
      <w:r w:rsidRPr="007B5D03">
        <w:rPr>
          <w:rFonts w:hAnsi="標楷體"/>
          <w:spacing w:val="-4"/>
          <w:sz w:val="30"/>
          <w:szCs w:val="30"/>
        </w:rPr>
        <w:t>，葛克昌，所得稅與憲法，第</w:t>
      </w:r>
      <w:r w:rsidRPr="007B5D03">
        <w:rPr>
          <w:spacing w:val="-4"/>
          <w:sz w:val="30"/>
          <w:szCs w:val="30"/>
        </w:rPr>
        <w:t>122</w:t>
      </w:r>
      <w:r w:rsidRPr="007B5D03">
        <w:rPr>
          <w:rFonts w:hAnsi="標楷體"/>
          <w:spacing w:val="-4"/>
          <w:sz w:val="30"/>
          <w:szCs w:val="30"/>
        </w:rPr>
        <w:t>至</w:t>
      </w:r>
      <w:r w:rsidRPr="007B5D03">
        <w:rPr>
          <w:spacing w:val="-4"/>
          <w:sz w:val="30"/>
          <w:szCs w:val="30"/>
        </w:rPr>
        <w:t>132</w:t>
      </w:r>
      <w:r w:rsidRPr="007B5D03">
        <w:rPr>
          <w:rFonts w:hAnsi="標楷體"/>
          <w:spacing w:val="-4"/>
          <w:sz w:val="30"/>
          <w:szCs w:val="30"/>
        </w:rPr>
        <w:t>頁）。</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(3)</w:t>
      </w:r>
      <w:r w:rsidRPr="007B5D03">
        <w:rPr>
          <w:rFonts w:hAnsi="標楷體"/>
          <w:sz w:val="30"/>
          <w:szCs w:val="30"/>
        </w:rPr>
        <w:t>是以，所得稅法第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之所以合憲，乃係其</w:t>
      </w:r>
      <w:r w:rsidRPr="007B5D03">
        <w:rPr>
          <w:rFonts w:hAnsi="標楷體"/>
          <w:spacing w:val="-4"/>
          <w:sz w:val="30"/>
          <w:szCs w:val="30"/>
        </w:rPr>
        <w:t>依照需要原則或功績原則予以正當化，亦即在一</w:t>
      </w:r>
      <w:r w:rsidRPr="007B5D03">
        <w:rPr>
          <w:rFonts w:hAnsi="標楷體"/>
          <w:sz w:val="30"/>
          <w:szCs w:val="30"/>
        </w:rPr>
        <w:t>般賺取免稅證券交易所得對應之證券交易損失</w:t>
      </w:r>
      <w:r w:rsidRPr="007B5D03">
        <w:rPr>
          <w:rFonts w:hAnsi="標楷體"/>
          <w:spacing w:val="-4"/>
          <w:sz w:val="30"/>
          <w:szCs w:val="30"/>
        </w:rPr>
        <w:t>不得自應稅收入中減除，立法者為求經濟政策目的而使量能課稅原則退讓，形成客觀淨所得原則之例外。然而該正當化之理由並不得以未有意對</w:t>
      </w:r>
      <w:r w:rsidRPr="007B5D03">
        <w:rPr>
          <w:rFonts w:hAnsi="標楷體"/>
          <w:sz w:val="30"/>
          <w:szCs w:val="30"/>
        </w:rPr>
        <w:t>認購（售）權證案件規範所制</w:t>
      </w:r>
      <w:r w:rsidRPr="007B5D03">
        <w:rPr>
          <w:rFonts w:hAnsi="標楷體" w:hint="eastAsia"/>
          <w:sz w:val="30"/>
          <w:szCs w:val="30"/>
        </w:rPr>
        <w:t>定</w:t>
      </w:r>
      <w:r w:rsidRPr="007B5D03">
        <w:rPr>
          <w:rFonts w:hAnsi="標楷體"/>
          <w:sz w:val="30"/>
          <w:szCs w:val="30"/>
        </w:rPr>
        <w:t>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後段為據，是以</w:t>
      </w:r>
      <w:r w:rsidRPr="007B5D03">
        <w:rPr>
          <w:sz w:val="30"/>
          <w:szCs w:val="30"/>
        </w:rPr>
        <w:t xml:space="preserve">　</w:t>
      </w:r>
      <w:r w:rsidRPr="007B5D03">
        <w:rPr>
          <w:rFonts w:hAnsi="標楷體"/>
          <w:sz w:val="30"/>
          <w:szCs w:val="30"/>
        </w:rPr>
        <w:t>大院縱認為所得稅法第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後段適用於權證之避險交易（聲請人認為不可適用之理由已如前述），則此種解釋</w:t>
      </w:r>
      <w:r w:rsidRPr="007B5D03">
        <w:rPr>
          <w:rFonts w:hAnsi="標楷體" w:hint="eastAsia"/>
          <w:sz w:val="30"/>
          <w:szCs w:val="30"/>
        </w:rPr>
        <w:t>亦</w:t>
      </w:r>
      <w:r w:rsidRPr="007B5D03">
        <w:rPr>
          <w:rFonts w:hAnsi="標楷體"/>
          <w:sz w:val="30"/>
          <w:szCs w:val="30"/>
        </w:rPr>
        <w:t>已違反量能課稅原則，並不能以所得稅法第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後段之租稅政策目的予以正當化，在應稅收入</w:t>
      </w:r>
      <w:r w:rsidRPr="007B5D03">
        <w:rPr>
          <w:rFonts w:hAnsi="標楷體"/>
          <w:spacing w:val="-4"/>
          <w:sz w:val="30"/>
          <w:szCs w:val="30"/>
        </w:rPr>
        <w:t>對應之成本費</w:t>
      </w:r>
      <w:r w:rsidRPr="007B5D03">
        <w:rPr>
          <w:rFonts w:hAnsi="標楷體" w:hint="eastAsia"/>
          <w:spacing w:val="-4"/>
          <w:sz w:val="30"/>
          <w:szCs w:val="30"/>
        </w:rPr>
        <w:t>用、</w:t>
      </w:r>
      <w:r w:rsidRPr="007B5D03">
        <w:rPr>
          <w:rFonts w:hAnsi="標楷體"/>
          <w:spacing w:val="-4"/>
          <w:sz w:val="30"/>
          <w:szCs w:val="30"/>
        </w:rPr>
        <w:t>損</w:t>
      </w:r>
      <w:r w:rsidRPr="007B5D03">
        <w:rPr>
          <w:rFonts w:hAnsi="標楷體" w:hint="eastAsia"/>
          <w:spacing w:val="-4"/>
          <w:sz w:val="30"/>
          <w:szCs w:val="30"/>
        </w:rPr>
        <w:t>失</w:t>
      </w:r>
      <w:r w:rsidRPr="007B5D03">
        <w:rPr>
          <w:rFonts w:hAnsi="標楷體"/>
          <w:spacing w:val="-4"/>
          <w:sz w:val="30"/>
          <w:szCs w:val="30"/>
        </w:rPr>
        <w:t>不得扣減應稅收入之觀點</w:t>
      </w:r>
      <w:r w:rsidRPr="007B5D03">
        <w:rPr>
          <w:rFonts w:hAnsi="標楷體"/>
          <w:spacing w:val="-4"/>
          <w:sz w:val="30"/>
          <w:szCs w:val="30"/>
        </w:rPr>
        <w:lastRenderedPageBreak/>
        <w:t>而論，其並無任何欲達成之公益目的，本無所謂</w:t>
      </w:r>
      <w:r w:rsidRPr="007B5D03">
        <w:rPr>
          <w:rFonts w:hAnsi="標楷體"/>
          <w:sz w:val="30"/>
          <w:szCs w:val="30"/>
        </w:rPr>
        <w:t>立法裁量之可言，自不得以所得稅法第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之規定為立法裁量，藉以合理化財政部</w:t>
      </w:r>
      <w:r w:rsidRPr="007B5D03">
        <w:rPr>
          <w:sz w:val="30"/>
          <w:szCs w:val="30"/>
        </w:rPr>
        <w:t>86</w:t>
      </w:r>
      <w:r w:rsidRPr="007B5D03">
        <w:rPr>
          <w:rFonts w:hAnsi="標楷體"/>
          <w:sz w:val="30"/>
          <w:szCs w:val="30"/>
        </w:rPr>
        <w:t>年函釋。</w:t>
      </w:r>
    </w:p>
    <w:p w:rsidR="00514426" w:rsidRPr="007B5D03" w:rsidRDefault="00514426" w:rsidP="007214A0">
      <w:pPr>
        <w:snapToGrid w:val="0"/>
        <w:spacing w:line="437" w:lineRule="exact"/>
        <w:ind w:left="1984" w:hanging="340"/>
        <w:rPr>
          <w:sz w:val="30"/>
          <w:szCs w:val="30"/>
        </w:rPr>
      </w:pPr>
      <w:r w:rsidRPr="007B5D03">
        <w:rPr>
          <w:rFonts w:ascii="標楷體" w:hAnsi="標楷體"/>
          <w:sz w:val="30"/>
          <w:szCs w:val="30"/>
        </w:rPr>
        <w:t>3.</w:t>
      </w:r>
      <w:r w:rsidRPr="007B5D03">
        <w:rPr>
          <w:rFonts w:hAnsi="標楷體"/>
          <w:sz w:val="30"/>
          <w:szCs w:val="30"/>
        </w:rPr>
        <w:t>客觀淨所得原則僅有在立法者有其他重大公益目的之考量下，始有退讓之可能性</w:t>
      </w:r>
    </w:p>
    <w:p w:rsidR="00514426" w:rsidRPr="007B5D03" w:rsidRDefault="00514426" w:rsidP="00C72B28">
      <w:pPr>
        <w:snapToGrid w:val="0"/>
        <w:spacing w:line="437" w:lineRule="exact"/>
        <w:ind w:left="2251" w:hanging="380"/>
        <w:rPr>
          <w:sz w:val="30"/>
          <w:szCs w:val="30"/>
        </w:rPr>
      </w:pPr>
      <w:r w:rsidRPr="007B5D03">
        <w:rPr>
          <w:rFonts w:hAnsi="標楷體" w:hint="eastAsia"/>
          <w:sz w:val="30"/>
          <w:szCs w:val="30"/>
        </w:rPr>
        <w:t>(1)</w:t>
      </w:r>
      <w:r w:rsidRPr="007B5D03">
        <w:rPr>
          <w:rFonts w:hAnsi="標楷體"/>
          <w:spacing w:val="-4"/>
          <w:sz w:val="30"/>
          <w:szCs w:val="30"/>
        </w:rPr>
        <w:t>量能課稅原則為稅法上之基本決定，原則上對立法者有所拘束，但客觀淨所得原則亦非不准許有例外情事，客觀淨所得原則之例外情事主要是維持整體法律秩序的統一性，不准扣除違反法律禁止規定或違反善良風俗的行為所生之費用，如其他構成刑罰或秩序罰處罰對象行為之支出、逃漏稅行為之支出或稅捐規避、賄賂等支出；另外，基於簡化稽徵程序規定，例如以往德國所得稅法對於公私混合使用之個人工作室（例如個人律師在自己住宅執行律師業務）的費用，不准全部列舉扣除，而僅准予在每年</w:t>
      </w:r>
      <w:r w:rsidRPr="007B5D03">
        <w:rPr>
          <w:spacing w:val="-4"/>
          <w:sz w:val="30"/>
          <w:szCs w:val="30"/>
        </w:rPr>
        <w:t>2,400</w:t>
      </w:r>
      <w:r w:rsidRPr="007B5D03">
        <w:rPr>
          <w:rFonts w:hAnsi="標楷體"/>
          <w:spacing w:val="-4"/>
          <w:sz w:val="30"/>
          <w:szCs w:val="30"/>
        </w:rPr>
        <w:t>馬克的範圍內扣除。其理由是由於個人工作室涉及私人的生活領域，而且容易產生高度複雜的及有爭議的法律狀態，因此為避免法律上爭議，基於簡化稽徵程序的考量，而不准全部列舉扣除，具有正當性；再者如</w:t>
      </w:r>
      <w:r w:rsidRPr="007B5D03">
        <w:rPr>
          <w:spacing w:val="-4"/>
          <w:sz w:val="30"/>
          <w:szCs w:val="30"/>
        </w:rPr>
        <w:t xml:space="preserve">　</w:t>
      </w:r>
      <w:r w:rsidRPr="007B5D03">
        <w:rPr>
          <w:rFonts w:hAnsi="標楷體"/>
          <w:spacing w:val="-4"/>
          <w:sz w:val="30"/>
          <w:szCs w:val="30"/>
        </w:rPr>
        <w:t>鈞院釋字第</w:t>
      </w:r>
      <w:r w:rsidRPr="007B5D03">
        <w:rPr>
          <w:spacing w:val="-4"/>
          <w:sz w:val="30"/>
          <w:szCs w:val="30"/>
        </w:rPr>
        <w:t>493</w:t>
      </w:r>
      <w:r w:rsidRPr="007B5D03">
        <w:rPr>
          <w:rFonts w:hAnsi="標楷體"/>
          <w:spacing w:val="-4"/>
          <w:sz w:val="30"/>
          <w:szCs w:val="30"/>
        </w:rPr>
        <w:t>號</w:t>
      </w:r>
      <w:r w:rsidRPr="007B5D03">
        <w:rPr>
          <w:rFonts w:hAnsi="標楷體" w:hint="eastAsia"/>
          <w:spacing w:val="-4"/>
          <w:sz w:val="30"/>
          <w:szCs w:val="30"/>
        </w:rPr>
        <w:t>解釋</w:t>
      </w:r>
      <w:r w:rsidRPr="007B5D03">
        <w:rPr>
          <w:rFonts w:hAnsi="標楷體"/>
          <w:spacing w:val="-4"/>
          <w:sz w:val="30"/>
          <w:szCs w:val="30"/>
        </w:rPr>
        <w:t>所示，不准列舉減除非課稅所得或免稅所得之必要費用（附件</w:t>
      </w:r>
      <w:r w:rsidRPr="007B5D03">
        <w:rPr>
          <w:spacing w:val="-4"/>
          <w:sz w:val="30"/>
          <w:szCs w:val="30"/>
        </w:rPr>
        <w:t>18</w:t>
      </w:r>
      <w:r w:rsidRPr="007B5D03">
        <w:rPr>
          <w:rFonts w:hAnsi="標楷體"/>
          <w:spacing w:val="-4"/>
          <w:sz w:val="30"/>
          <w:szCs w:val="30"/>
        </w:rPr>
        <w:t>，陳清秀，論客觀的淨額所得原則）</w:t>
      </w:r>
      <w:r w:rsidRPr="007B5D03">
        <w:rPr>
          <w:rFonts w:hAnsi="標楷體"/>
          <w:sz w:val="30"/>
          <w:szCs w:val="30"/>
        </w:rPr>
        <w:t>。</w:t>
      </w:r>
    </w:p>
    <w:p w:rsidR="00514426" w:rsidRPr="007B5D03" w:rsidRDefault="00514426" w:rsidP="003B5098">
      <w:pPr>
        <w:snapToGrid w:val="0"/>
        <w:spacing w:line="437" w:lineRule="exact"/>
        <w:ind w:left="2251" w:hanging="380"/>
        <w:rPr>
          <w:sz w:val="30"/>
          <w:szCs w:val="30"/>
        </w:rPr>
      </w:pPr>
      <w:r w:rsidRPr="007B5D03">
        <w:rPr>
          <w:rFonts w:hAnsi="標楷體" w:hint="eastAsia"/>
          <w:sz w:val="30"/>
          <w:szCs w:val="30"/>
        </w:rPr>
        <w:t>(2)</w:t>
      </w:r>
      <w:r w:rsidRPr="007B5D03">
        <w:rPr>
          <w:rFonts w:hAnsi="標楷體"/>
          <w:spacing w:val="-4"/>
          <w:sz w:val="30"/>
          <w:szCs w:val="30"/>
        </w:rPr>
        <w:t>除上揭客觀淨所得原則之例外，一般而言立法者</w:t>
      </w:r>
      <w:r w:rsidRPr="007B5D03">
        <w:rPr>
          <w:rFonts w:hAnsi="標楷體"/>
          <w:sz w:val="30"/>
          <w:szCs w:val="30"/>
        </w:rPr>
        <w:t>應有遵守量能課稅原則、客觀淨所得原則之必</w:t>
      </w:r>
      <w:r w:rsidRPr="007B5D03">
        <w:rPr>
          <w:rFonts w:hAnsi="標楷體"/>
          <w:spacing w:val="-4"/>
          <w:sz w:val="30"/>
          <w:szCs w:val="30"/>
        </w:rPr>
        <w:t>要。</w:t>
      </w:r>
      <w:r w:rsidRPr="007B5D03">
        <w:rPr>
          <w:rFonts w:hAnsi="標楷體"/>
          <w:spacing w:val="-4"/>
          <w:sz w:val="30"/>
          <w:szCs w:val="30"/>
        </w:rPr>
        <w:lastRenderedPageBreak/>
        <w:t>吾人認為前開客觀淨所得原則之例外是建構在公益目的之考量上，在法益衝突時以比例原則加以調和，故在法益權衡下確立客觀淨所得原則必須退讓之例外。換言之，上開例外係量能課稅原則因公益目的或稽徵經濟而退讓之具體化，所以本件權證課稅是否亦構成量能課稅原則、客觀淨所得原則之例外，而屬於立法者之自由形成空間乙事？仍必須再予精密檢討，絕非如本案最高行政法院確定判決輕鬆一語帶過</w:t>
      </w:r>
      <w:r w:rsidRPr="007B5D03">
        <w:rPr>
          <w:rFonts w:hAnsi="標楷體"/>
          <w:sz w:val="30"/>
          <w:szCs w:val="30"/>
        </w:rPr>
        <w:t>。</w:t>
      </w:r>
    </w:p>
    <w:p w:rsidR="00514426" w:rsidRPr="007B5D03" w:rsidRDefault="00514426" w:rsidP="003B5098">
      <w:pPr>
        <w:snapToGrid w:val="0"/>
        <w:spacing w:line="437" w:lineRule="exact"/>
        <w:ind w:left="2251" w:hanging="380"/>
        <w:rPr>
          <w:sz w:val="30"/>
          <w:szCs w:val="30"/>
        </w:rPr>
      </w:pPr>
      <w:r w:rsidRPr="007B5D03">
        <w:rPr>
          <w:rFonts w:hAnsi="標楷體" w:hint="eastAsia"/>
          <w:sz w:val="30"/>
          <w:szCs w:val="30"/>
        </w:rPr>
        <w:t>(3)</w:t>
      </w:r>
      <w:r w:rsidRPr="007B5D03">
        <w:rPr>
          <w:rFonts w:hAnsi="標楷體"/>
          <w:spacing w:val="-4"/>
          <w:sz w:val="30"/>
          <w:szCs w:val="30"/>
        </w:rPr>
        <w:t>再按，營業成本屬於最重要也最基礎之營業收入減項，其本身即與業務有必要關聯，依量能課稅原則及客觀營業保障淨所得原則，一項收入之成本除事實上真無成本，否則即便納稅義務人無法證明該項收入之成本若干，亦應以推計課稅方式推定成本，不可能以收入（毛所得）全額課稅，乃屬當然。例如財政部</w:t>
      </w:r>
      <w:smartTag w:uri="urn:schemas-microsoft-com:office:smarttags" w:element="chsdate">
        <w:smartTagPr>
          <w:attr w:name="IsROCDate" w:val="False"/>
          <w:attr w:name="IsLunarDate" w:val="False"/>
          <w:attr w:name="Day" w:val="6"/>
          <w:attr w:name="Month" w:val="10"/>
          <w:attr w:name="Year" w:val="1994"/>
        </w:smartTagPr>
        <w:r w:rsidRPr="007B5D03">
          <w:rPr>
            <w:spacing w:val="-4"/>
            <w:sz w:val="30"/>
            <w:szCs w:val="30"/>
          </w:rPr>
          <w:t>94</w:t>
        </w:r>
        <w:r w:rsidRPr="007B5D03">
          <w:rPr>
            <w:rFonts w:hAnsi="標楷體"/>
            <w:spacing w:val="-4"/>
            <w:sz w:val="30"/>
            <w:szCs w:val="30"/>
          </w:rPr>
          <w:t>年</w:t>
        </w:r>
        <w:r w:rsidRPr="007B5D03">
          <w:rPr>
            <w:spacing w:val="-4"/>
            <w:sz w:val="30"/>
            <w:szCs w:val="30"/>
          </w:rPr>
          <w:t>10</w:t>
        </w:r>
        <w:r w:rsidRPr="007B5D03">
          <w:rPr>
            <w:rFonts w:hAnsi="標楷體"/>
            <w:spacing w:val="-4"/>
            <w:sz w:val="30"/>
            <w:szCs w:val="30"/>
          </w:rPr>
          <w:t>月</w:t>
        </w:r>
        <w:r w:rsidRPr="007B5D03">
          <w:rPr>
            <w:spacing w:val="-4"/>
            <w:sz w:val="30"/>
            <w:szCs w:val="30"/>
          </w:rPr>
          <w:t>6</w:t>
        </w:r>
        <w:r w:rsidRPr="007B5D03">
          <w:rPr>
            <w:rFonts w:hAnsi="標楷體"/>
            <w:spacing w:val="-4"/>
            <w:sz w:val="30"/>
            <w:szCs w:val="30"/>
          </w:rPr>
          <w:t>日</w:t>
        </w:r>
      </w:smartTag>
      <w:r w:rsidRPr="007B5D03">
        <w:rPr>
          <w:rFonts w:hAnsi="標楷體"/>
          <w:spacing w:val="-4"/>
          <w:sz w:val="30"/>
          <w:szCs w:val="30"/>
        </w:rPr>
        <w:t>台財稅字第</w:t>
      </w:r>
      <w:r w:rsidRPr="007B5D03">
        <w:rPr>
          <w:spacing w:val="-4"/>
          <w:sz w:val="30"/>
          <w:szCs w:val="30"/>
        </w:rPr>
        <w:t>09404571980</w:t>
      </w:r>
      <w:r w:rsidRPr="007B5D03">
        <w:rPr>
          <w:rFonts w:hAnsi="標楷體"/>
          <w:spacing w:val="-4"/>
          <w:sz w:val="30"/>
          <w:szCs w:val="30"/>
        </w:rPr>
        <w:t>號函：「核釋公司之個人股東以</w:t>
      </w:r>
      <w:r w:rsidRPr="007B5D03">
        <w:rPr>
          <w:rFonts w:hAnsi="標楷體"/>
          <w:spacing w:val="2"/>
          <w:sz w:val="30"/>
          <w:szCs w:val="30"/>
        </w:rPr>
        <w:t>專門技術作價投資之財產交易所得計算規定：一、</w:t>
      </w:r>
      <w:smartTag w:uri="urn:schemas-microsoft-com:office:smarttags" w:element="chsdate">
        <w:smartTagPr>
          <w:attr w:name="IsROCDate" w:val="False"/>
          <w:attr w:name="IsLunarDate" w:val="False"/>
          <w:attr w:name="Day" w:val="31"/>
          <w:attr w:name="Month" w:val="12"/>
          <w:attr w:name="Year" w:val="1992"/>
        </w:smartTagPr>
        <w:r w:rsidRPr="007B5D03">
          <w:rPr>
            <w:spacing w:val="2"/>
            <w:sz w:val="30"/>
            <w:szCs w:val="30"/>
          </w:rPr>
          <w:t>92</w:t>
        </w:r>
        <w:r w:rsidRPr="007B5D03">
          <w:rPr>
            <w:rFonts w:hAnsi="標楷體"/>
            <w:spacing w:val="2"/>
            <w:sz w:val="30"/>
            <w:szCs w:val="30"/>
          </w:rPr>
          <w:t>年</w:t>
        </w:r>
        <w:r w:rsidRPr="007B5D03">
          <w:rPr>
            <w:spacing w:val="2"/>
            <w:sz w:val="30"/>
            <w:szCs w:val="30"/>
          </w:rPr>
          <w:t>12</w:t>
        </w:r>
        <w:r w:rsidRPr="007B5D03">
          <w:rPr>
            <w:rFonts w:hAnsi="標楷體"/>
            <w:spacing w:val="2"/>
            <w:sz w:val="30"/>
            <w:szCs w:val="30"/>
          </w:rPr>
          <w:t>月</w:t>
        </w:r>
        <w:r w:rsidRPr="007B5D03">
          <w:rPr>
            <w:spacing w:val="2"/>
            <w:sz w:val="30"/>
            <w:szCs w:val="30"/>
          </w:rPr>
          <w:t>31</w:t>
        </w:r>
        <w:r w:rsidRPr="007B5D03">
          <w:rPr>
            <w:rFonts w:hAnsi="標楷體"/>
            <w:spacing w:val="2"/>
            <w:sz w:val="30"/>
            <w:szCs w:val="30"/>
          </w:rPr>
          <w:t>日</w:t>
        </w:r>
      </w:smartTag>
      <w:r w:rsidRPr="007B5D03">
        <w:rPr>
          <w:rFonts w:hAnsi="標楷體"/>
          <w:spacing w:val="2"/>
          <w:sz w:val="30"/>
          <w:szCs w:val="30"/>
        </w:rPr>
        <w:t>以前以專門技術作價投資</w:t>
      </w:r>
      <w:r w:rsidRPr="007B5D03">
        <w:rPr>
          <w:rFonts w:hAnsi="標楷體"/>
          <w:spacing w:val="-4"/>
          <w:sz w:val="30"/>
          <w:szCs w:val="30"/>
        </w:rPr>
        <w:t>之案件，該專門技術財產交易所得之計算，應依本部</w:t>
      </w:r>
      <w:smartTag w:uri="urn:schemas-microsoft-com:office:smarttags" w:element="chsdate">
        <w:smartTagPr>
          <w:attr w:name="IsROCDate" w:val="False"/>
          <w:attr w:name="IsLunarDate" w:val="False"/>
          <w:attr w:name="Day" w:val="12"/>
          <w:attr w:name="Month" w:val="9"/>
          <w:attr w:name="Year" w:val="1975"/>
        </w:smartTagPr>
        <w:r w:rsidRPr="007B5D03">
          <w:rPr>
            <w:spacing w:val="-4"/>
            <w:sz w:val="30"/>
            <w:szCs w:val="30"/>
          </w:rPr>
          <w:t>75</w:t>
        </w:r>
        <w:r w:rsidRPr="007B5D03">
          <w:rPr>
            <w:rFonts w:hAnsi="標楷體"/>
            <w:spacing w:val="-4"/>
            <w:sz w:val="30"/>
            <w:szCs w:val="30"/>
          </w:rPr>
          <w:t>年</w:t>
        </w:r>
        <w:r w:rsidRPr="007B5D03">
          <w:rPr>
            <w:spacing w:val="-4"/>
            <w:sz w:val="30"/>
            <w:szCs w:val="30"/>
          </w:rPr>
          <w:t>9</w:t>
        </w:r>
        <w:r w:rsidRPr="007B5D03">
          <w:rPr>
            <w:rFonts w:hAnsi="標楷體"/>
            <w:spacing w:val="-4"/>
            <w:sz w:val="30"/>
            <w:szCs w:val="30"/>
          </w:rPr>
          <w:t>月</w:t>
        </w:r>
        <w:r w:rsidRPr="007B5D03">
          <w:rPr>
            <w:spacing w:val="-4"/>
            <w:sz w:val="30"/>
            <w:szCs w:val="30"/>
          </w:rPr>
          <w:t>12</w:t>
        </w:r>
        <w:r w:rsidRPr="007B5D03">
          <w:rPr>
            <w:rFonts w:hAnsi="標楷體"/>
            <w:spacing w:val="-4"/>
            <w:sz w:val="30"/>
            <w:szCs w:val="30"/>
          </w:rPr>
          <w:t>日</w:t>
        </w:r>
      </w:smartTag>
      <w:r w:rsidRPr="007B5D03">
        <w:rPr>
          <w:rFonts w:hAnsi="標楷體"/>
          <w:spacing w:val="-4"/>
          <w:sz w:val="30"/>
          <w:szCs w:val="30"/>
        </w:rPr>
        <w:t>台財稅第</w:t>
      </w:r>
      <w:r w:rsidRPr="007B5D03">
        <w:rPr>
          <w:spacing w:val="-4"/>
          <w:sz w:val="30"/>
          <w:szCs w:val="30"/>
        </w:rPr>
        <w:t>7564235</w:t>
      </w:r>
      <w:r w:rsidRPr="007B5D03">
        <w:rPr>
          <w:rFonts w:hAnsi="標楷體"/>
          <w:spacing w:val="-4"/>
          <w:sz w:val="30"/>
          <w:szCs w:val="30"/>
        </w:rPr>
        <w:t>號函規定辦理；至該專門技術之成本及必要費用，納稅義</w:t>
      </w:r>
      <w:r w:rsidRPr="007B5D03">
        <w:rPr>
          <w:rFonts w:hAnsi="標楷體"/>
          <w:sz w:val="30"/>
          <w:szCs w:val="30"/>
        </w:rPr>
        <w:t>務人未申報或未能提出成本、費用之證明文件者，得按股票面額之</w:t>
      </w:r>
      <w:r w:rsidRPr="007B5D03">
        <w:rPr>
          <w:sz w:val="30"/>
          <w:szCs w:val="30"/>
        </w:rPr>
        <w:t> 30 </w:t>
      </w:r>
      <w:r w:rsidRPr="007B5D03">
        <w:rPr>
          <w:rFonts w:hAnsi="標楷體"/>
          <w:sz w:val="30"/>
          <w:szCs w:val="30"/>
        </w:rPr>
        <w:t>％計算。二、</w:t>
      </w:r>
      <w:smartTag w:uri="urn:schemas-microsoft-com:office:smarttags" w:element="chsdate">
        <w:smartTagPr>
          <w:attr w:name="IsROCDate" w:val="False"/>
          <w:attr w:name="IsLunarDate" w:val="False"/>
          <w:attr w:name="Day" w:val="1"/>
          <w:attr w:name="Month" w:val="1"/>
          <w:attr w:name="Year" w:val="1993"/>
        </w:smartTagPr>
        <w:r w:rsidRPr="007B5D03">
          <w:rPr>
            <w:sz w:val="30"/>
            <w:szCs w:val="30"/>
          </w:rPr>
          <w:t>93</w:t>
        </w:r>
        <w:r w:rsidRPr="007B5D03">
          <w:rPr>
            <w:rFonts w:hAnsi="標楷體"/>
            <w:sz w:val="30"/>
            <w:szCs w:val="30"/>
          </w:rPr>
          <w:t>年</w:t>
        </w:r>
        <w:r w:rsidRPr="007B5D03">
          <w:rPr>
            <w:sz w:val="30"/>
            <w:szCs w:val="30"/>
          </w:rPr>
          <w:t>1</w:t>
        </w:r>
        <w:r w:rsidRPr="007B5D03">
          <w:rPr>
            <w:rFonts w:hAnsi="標楷體"/>
            <w:sz w:val="30"/>
            <w:szCs w:val="30"/>
          </w:rPr>
          <w:t>月</w:t>
        </w:r>
        <w:r w:rsidRPr="007B5D03">
          <w:rPr>
            <w:spacing w:val="4"/>
            <w:sz w:val="30"/>
            <w:szCs w:val="30"/>
          </w:rPr>
          <w:t>1</w:t>
        </w:r>
        <w:r w:rsidRPr="007B5D03">
          <w:rPr>
            <w:rFonts w:hAnsi="標楷體"/>
            <w:spacing w:val="4"/>
            <w:sz w:val="30"/>
            <w:szCs w:val="30"/>
          </w:rPr>
          <w:t>日</w:t>
        </w:r>
      </w:smartTag>
      <w:r w:rsidRPr="007B5D03">
        <w:rPr>
          <w:rFonts w:hAnsi="標楷體"/>
          <w:spacing w:val="4"/>
          <w:sz w:val="30"/>
          <w:szCs w:val="30"/>
        </w:rPr>
        <w:t>起以專門技術作價投資之案件，依本部</w:t>
      </w:r>
      <w:smartTag w:uri="urn:schemas-microsoft-com:office:smarttags" w:element="chsdate">
        <w:smartTagPr>
          <w:attr w:name="IsROCDate" w:val="False"/>
          <w:attr w:name="IsLunarDate" w:val="False"/>
          <w:attr w:name="Day" w:val="1"/>
          <w:attr w:name="Month" w:val="10"/>
          <w:attr w:name="Year" w:val="1992"/>
        </w:smartTagPr>
        <w:r w:rsidRPr="007B5D03">
          <w:rPr>
            <w:spacing w:val="4"/>
            <w:sz w:val="30"/>
            <w:szCs w:val="30"/>
          </w:rPr>
          <w:t>92</w:t>
        </w:r>
        <w:r w:rsidRPr="007B5D03">
          <w:rPr>
            <w:rFonts w:hAnsi="標楷體"/>
            <w:spacing w:val="-4"/>
            <w:sz w:val="30"/>
            <w:szCs w:val="30"/>
          </w:rPr>
          <w:t>年</w:t>
        </w:r>
        <w:r w:rsidRPr="007B5D03">
          <w:rPr>
            <w:spacing w:val="-4"/>
            <w:sz w:val="30"/>
            <w:szCs w:val="30"/>
          </w:rPr>
          <w:t>10</w:t>
        </w:r>
        <w:r w:rsidRPr="007B5D03">
          <w:rPr>
            <w:rFonts w:hAnsi="標楷體"/>
            <w:spacing w:val="-4"/>
            <w:sz w:val="30"/>
            <w:szCs w:val="30"/>
          </w:rPr>
          <w:t>月</w:t>
        </w:r>
        <w:r w:rsidRPr="007B5D03">
          <w:rPr>
            <w:spacing w:val="-4"/>
            <w:sz w:val="30"/>
            <w:szCs w:val="30"/>
          </w:rPr>
          <w:t>1</w:t>
        </w:r>
        <w:r w:rsidRPr="007B5D03">
          <w:rPr>
            <w:rFonts w:hAnsi="標楷體"/>
            <w:spacing w:val="-4"/>
            <w:sz w:val="30"/>
            <w:szCs w:val="30"/>
          </w:rPr>
          <w:t>日</w:t>
        </w:r>
      </w:smartTag>
      <w:r w:rsidRPr="007B5D03">
        <w:rPr>
          <w:rFonts w:hAnsi="標楷體"/>
          <w:spacing w:val="-4"/>
          <w:sz w:val="30"/>
          <w:szCs w:val="30"/>
        </w:rPr>
        <w:t>台財稅字第</w:t>
      </w:r>
      <w:r w:rsidRPr="007B5D03">
        <w:rPr>
          <w:spacing w:val="-4"/>
          <w:sz w:val="30"/>
          <w:szCs w:val="30"/>
        </w:rPr>
        <w:t>0920455312</w:t>
      </w:r>
      <w:r w:rsidRPr="007B5D03">
        <w:rPr>
          <w:rFonts w:hAnsi="標楷體"/>
          <w:spacing w:val="-4"/>
          <w:sz w:val="30"/>
          <w:szCs w:val="30"/>
        </w:rPr>
        <w:t>號令規定計算該專門技術之</w:t>
      </w:r>
      <w:r w:rsidRPr="007B5D03">
        <w:rPr>
          <w:rFonts w:hAnsi="標楷體"/>
          <w:spacing w:val="-4"/>
          <w:sz w:val="30"/>
          <w:szCs w:val="30"/>
        </w:rPr>
        <w:lastRenderedPageBreak/>
        <w:t>財產交易所得時，其屬未申報案件或未能提出成本、費用之證明文件者，該專門技術之成本及必要費用，得按作價抵充出資股款</w:t>
      </w:r>
      <w:r w:rsidRPr="007B5D03">
        <w:rPr>
          <w:rFonts w:hAnsi="標楷體"/>
          <w:sz w:val="30"/>
          <w:szCs w:val="30"/>
        </w:rPr>
        <w:t>之</w:t>
      </w:r>
      <w:r w:rsidRPr="007B5D03">
        <w:rPr>
          <w:sz w:val="30"/>
          <w:szCs w:val="30"/>
        </w:rPr>
        <w:t> 30 </w:t>
      </w:r>
      <w:r w:rsidRPr="007B5D03">
        <w:rPr>
          <w:rFonts w:hAnsi="標楷體"/>
          <w:sz w:val="30"/>
          <w:szCs w:val="30"/>
        </w:rPr>
        <w:t>％計算。」所以在無法證明取得成本時，屬</w:t>
      </w:r>
      <w:smartTag w:uri="urn:schemas-microsoft-com:office:smarttags" w:element="chsdate">
        <w:smartTagPr>
          <w:attr w:name="IsROCDate" w:val="False"/>
          <w:attr w:name="IsLunarDate" w:val="False"/>
          <w:attr w:name="Day" w:val="31"/>
          <w:attr w:name="Month" w:val="12"/>
          <w:attr w:name="Year" w:val="1992"/>
        </w:smartTagPr>
        <w:r w:rsidRPr="007B5D03">
          <w:rPr>
            <w:sz w:val="30"/>
            <w:szCs w:val="30"/>
          </w:rPr>
          <w:t>92</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以前的技術作價案件，取得成本為股票面額之</w:t>
      </w:r>
      <w:r w:rsidRPr="007B5D03">
        <w:rPr>
          <w:sz w:val="30"/>
          <w:szCs w:val="30"/>
        </w:rPr>
        <w:t>30</w:t>
      </w:r>
      <w:r w:rsidRPr="007B5D03">
        <w:rPr>
          <w:rFonts w:hAnsi="標楷體"/>
          <w:sz w:val="30"/>
          <w:szCs w:val="30"/>
        </w:rPr>
        <w:t>％，屬</w:t>
      </w:r>
      <w:smartTag w:uri="urn:schemas-microsoft-com:office:smarttags" w:element="chsdate">
        <w:smartTagPr>
          <w:attr w:name="IsROCDate" w:val="False"/>
          <w:attr w:name="IsLunarDate" w:val="False"/>
          <w:attr w:name="Day" w:val="1"/>
          <w:attr w:name="Month" w:val="1"/>
          <w:attr w:name="Year" w:val="1993"/>
        </w:smartTagPr>
        <w:r w:rsidRPr="007B5D03">
          <w:rPr>
            <w:sz w:val="30"/>
            <w:szCs w:val="30"/>
          </w:rPr>
          <w:t>93</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7B5D03">
          <w:rPr>
            <w:rFonts w:hAnsi="標楷體"/>
            <w:sz w:val="30"/>
            <w:szCs w:val="30"/>
          </w:rPr>
          <w:t>日</w:t>
        </w:r>
      </w:smartTag>
      <w:r w:rsidRPr="007B5D03">
        <w:rPr>
          <w:rFonts w:hAnsi="標楷體"/>
          <w:sz w:val="30"/>
          <w:szCs w:val="30"/>
        </w:rPr>
        <w:t>後的</w:t>
      </w:r>
      <w:r w:rsidRPr="007B5D03">
        <w:rPr>
          <w:rFonts w:hAnsi="標楷體"/>
          <w:spacing w:val="-4"/>
          <w:sz w:val="30"/>
          <w:szCs w:val="30"/>
        </w:rPr>
        <w:t>技術作價案件，其取得成本為抵充股款的</w:t>
      </w:r>
      <w:r w:rsidRPr="007B5D03">
        <w:rPr>
          <w:spacing w:val="-4"/>
          <w:sz w:val="30"/>
          <w:szCs w:val="30"/>
        </w:rPr>
        <w:t>30</w:t>
      </w:r>
      <w:r w:rsidRPr="007B5D03">
        <w:rPr>
          <w:rFonts w:hAnsi="標楷體"/>
          <w:spacing w:val="-4"/>
          <w:sz w:val="30"/>
          <w:szCs w:val="30"/>
        </w:rPr>
        <w:t>％，</w:t>
      </w:r>
      <w:r w:rsidRPr="007B5D03">
        <w:rPr>
          <w:rFonts w:hAnsi="標楷體"/>
          <w:sz w:val="30"/>
          <w:szCs w:val="30"/>
        </w:rPr>
        <w:t>最高行政法院</w:t>
      </w:r>
      <w:r w:rsidRPr="007B5D03">
        <w:rPr>
          <w:sz w:val="30"/>
          <w:szCs w:val="30"/>
        </w:rPr>
        <w:t>96</w:t>
      </w:r>
      <w:r w:rsidRPr="007B5D03">
        <w:rPr>
          <w:rFonts w:hAnsi="標楷體"/>
          <w:sz w:val="30"/>
          <w:szCs w:val="30"/>
        </w:rPr>
        <w:t>年度判字第</w:t>
      </w:r>
      <w:r w:rsidRPr="007B5D03">
        <w:rPr>
          <w:sz w:val="30"/>
          <w:szCs w:val="30"/>
        </w:rPr>
        <w:t>406</w:t>
      </w:r>
      <w:r w:rsidRPr="007B5D03">
        <w:rPr>
          <w:rFonts w:hAnsi="標楷體"/>
          <w:sz w:val="30"/>
          <w:szCs w:val="30"/>
        </w:rPr>
        <w:t>號判決（附件</w:t>
      </w:r>
      <w:r w:rsidRPr="007B5D03">
        <w:rPr>
          <w:spacing w:val="-4"/>
          <w:sz w:val="30"/>
          <w:szCs w:val="30"/>
        </w:rPr>
        <w:t>20</w:t>
      </w:r>
      <w:r w:rsidRPr="007B5D03">
        <w:rPr>
          <w:rFonts w:hAnsi="標楷體"/>
          <w:spacing w:val="-4"/>
          <w:sz w:val="30"/>
          <w:szCs w:val="30"/>
        </w:rPr>
        <w:t>）認為：「最後當上訴人不能證明上開成本費用之支出時，被上訴人是否有強制其設算之義務產生，及其設算方式為何之爭議，則本院認為：</w:t>
      </w:r>
      <w:r w:rsidRPr="007B5D03">
        <w:rPr>
          <w:spacing w:val="-4"/>
          <w:sz w:val="30"/>
          <w:szCs w:val="30"/>
        </w:rPr>
        <w:t>(1)</w:t>
      </w:r>
      <w:r w:rsidRPr="007B5D03">
        <w:rPr>
          <w:rFonts w:hAnsi="標楷體"/>
          <w:spacing w:val="-4"/>
          <w:sz w:val="30"/>
          <w:szCs w:val="30"/>
        </w:rPr>
        <w:t>此點雖然所得稅法沒有通案性之規定，但依相關之法規命令或行政規則與以往之行政先例，原則上認為稅捐稽徵機關有此義務。但因社會變遷而發生的新交易案型中，如果行政機關未能適時</w:t>
      </w:r>
      <w:r w:rsidRPr="007B5D03">
        <w:rPr>
          <w:rFonts w:hAnsi="標楷體" w:hint="eastAsia"/>
          <w:sz w:val="30"/>
          <w:szCs w:val="30"/>
        </w:rPr>
        <w:t>訂</w:t>
      </w:r>
      <w:r w:rsidRPr="007B5D03">
        <w:rPr>
          <w:rFonts w:hAnsi="標楷體"/>
          <w:sz w:val="30"/>
          <w:szCs w:val="30"/>
        </w:rPr>
        <w:t>定此等設算準則，在實務上應命行政機</w:t>
      </w:r>
      <w:r w:rsidRPr="007B5D03">
        <w:rPr>
          <w:rFonts w:hAnsi="標楷體" w:hint="eastAsia"/>
          <w:sz w:val="30"/>
          <w:szCs w:val="30"/>
        </w:rPr>
        <w:t>關訂</w:t>
      </w:r>
      <w:r w:rsidRPr="007B5D03">
        <w:rPr>
          <w:rFonts w:hAnsi="標楷體"/>
          <w:spacing w:val="-4"/>
          <w:sz w:val="30"/>
          <w:szCs w:val="30"/>
        </w:rPr>
        <w:t>定，再為本案之審理。</w:t>
      </w:r>
      <w:r w:rsidRPr="007B5D03">
        <w:rPr>
          <w:spacing w:val="-4"/>
          <w:sz w:val="30"/>
          <w:szCs w:val="30"/>
        </w:rPr>
        <w:t>(2)</w:t>
      </w:r>
      <w:r w:rsidRPr="007B5D03">
        <w:rPr>
          <w:rFonts w:hAnsi="標楷體"/>
          <w:spacing w:val="-4"/>
          <w:sz w:val="30"/>
          <w:szCs w:val="30"/>
        </w:rPr>
        <w:t>另外目前稅捐稽徵機關所</w:t>
      </w:r>
      <w:r w:rsidRPr="007B5D03">
        <w:rPr>
          <w:rFonts w:hAnsi="標楷體" w:hint="eastAsia"/>
          <w:spacing w:val="-4"/>
          <w:sz w:val="30"/>
          <w:szCs w:val="30"/>
        </w:rPr>
        <w:t>訂</w:t>
      </w:r>
      <w:r w:rsidRPr="007B5D03">
        <w:rPr>
          <w:rFonts w:hAnsi="標楷體"/>
          <w:spacing w:val="-4"/>
          <w:sz w:val="30"/>
          <w:szCs w:val="30"/>
        </w:rPr>
        <w:t>定之準則均過於齊一、僵化，未能斟酌個案之差異性，在立法論上，宜以通案式之抽象準則劃定固定範圍，但留給承</w:t>
      </w:r>
      <w:r w:rsidRPr="007B5D03">
        <w:rPr>
          <w:rFonts w:hAnsi="標楷體" w:hint="eastAsia"/>
          <w:spacing w:val="-4"/>
          <w:sz w:val="30"/>
          <w:szCs w:val="30"/>
        </w:rPr>
        <w:t>辦</w:t>
      </w:r>
      <w:r w:rsidRPr="007B5D03">
        <w:rPr>
          <w:rFonts w:hAnsi="標楷體"/>
          <w:spacing w:val="-4"/>
          <w:sz w:val="30"/>
          <w:szCs w:val="30"/>
        </w:rPr>
        <w:t>公務員個案調整之機會，此等設算規則方屬適當。</w:t>
      </w:r>
      <w:r w:rsidRPr="007B5D03">
        <w:rPr>
          <w:spacing w:val="-4"/>
          <w:sz w:val="30"/>
          <w:szCs w:val="30"/>
        </w:rPr>
        <w:t>(3)</w:t>
      </w:r>
      <w:r w:rsidRPr="007B5D03">
        <w:rPr>
          <w:rFonts w:hAnsi="標楷體"/>
          <w:spacing w:val="-4"/>
          <w:sz w:val="30"/>
          <w:szCs w:val="30"/>
        </w:rPr>
        <w:t>而針對類似本案</w:t>
      </w:r>
      <w:r w:rsidRPr="007B5D03">
        <w:rPr>
          <w:rFonts w:hAnsi="標楷體"/>
          <w:sz w:val="30"/>
          <w:szCs w:val="30"/>
        </w:rPr>
        <w:t>事實，以技術換得股份之案例，財政部曾於</w:t>
      </w:r>
      <w:smartTag w:uri="urn:schemas-microsoft-com:office:smarttags" w:element="chsdate">
        <w:smartTagPr>
          <w:attr w:name="IsROCDate" w:val="False"/>
          <w:attr w:name="IsLunarDate" w:val="False"/>
          <w:attr w:name="Day" w:val="6"/>
          <w:attr w:name="Month" w:val="10"/>
          <w:attr w:name="Year" w:val="1994"/>
        </w:smartTagPr>
        <w:r w:rsidRPr="007B5D03">
          <w:rPr>
            <w:sz w:val="30"/>
            <w:szCs w:val="30"/>
          </w:rPr>
          <w:t>94</w:t>
        </w:r>
        <w:r w:rsidRPr="007B5D03">
          <w:rPr>
            <w:rFonts w:hAnsi="標楷體"/>
            <w:spacing w:val="8"/>
            <w:sz w:val="30"/>
            <w:szCs w:val="30"/>
          </w:rPr>
          <w:t>年</w:t>
        </w:r>
        <w:r w:rsidRPr="007B5D03">
          <w:rPr>
            <w:spacing w:val="8"/>
            <w:sz w:val="30"/>
            <w:szCs w:val="30"/>
          </w:rPr>
          <w:t>10</w:t>
        </w:r>
        <w:r w:rsidRPr="007B5D03">
          <w:rPr>
            <w:rFonts w:hAnsi="標楷體"/>
            <w:spacing w:val="8"/>
            <w:sz w:val="30"/>
            <w:szCs w:val="30"/>
          </w:rPr>
          <w:t>月</w:t>
        </w:r>
        <w:r w:rsidRPr="007B5D03">
          <w:rPr>
            <w:spacing w:val="8"/>
            <w:sz w:val="30"/>
            <w:szCs w:val="30"/>
          </w:rPr>
          <w:t>6</w:t>
        </w:r>
        <w:r w:rsidRPr="007B5D03">
          <w:rPr>
            <w:rFonts w:hAnsi="標楷體"/>
            <w:spacing w:val="8"/>
            <w:sz w:val="30"/>
            <w:szCs w:val="30"/>
          </w:rPr>
          <w:t>日</w:t>
        </w:r>
      </w:smartTag>
      <w:r w:rsidRPr="007B5D03">
        <w:rPr>
          <w:rFonts w:hAnsi="標楷體"/>
          <w:spacing w:val="8"/>
          <w:sz w:val="30"/>
          <w:szCs w:val="30"/>
        </w:rPr>
        <w:t>作成台財稅</w:t>
      </w:r>
      <w:r w:rsidRPr="007B5D03">
        <w:rPr>
          <w:rFonts w:hAnsi="標楷體" w:hint="eastAsia"/>
          <w:spacing w:val="8"/>
          <w:sz w:val="30"/>
          <w:szCs w:val="30"/>
        </w:rPr>
        <w:t>字</w:t>
      </w:r>
      <w:r w:rsidRPr="007B5D03">
        <w:rPr>
          <w:rFonts w:hAnsi="標楷體"/>
          <w:spacing w:val="8"/>
          <w:sz w:val="30"/>
          <w:szCs w:val="30"/>
        </w:rPr>
        <w:t>第</w:t>
      </w:r>
      <w:r w:rsidRPr="007B5D03">
        <w:rPr>
          <w:spacing w:val="8"/>
          <w:sz w:val="30"/>
          <w:szCs w:val="30"/>
        </w:rPr>
        <w:t>09404571980</w:t>
      </w:r>
      <w:r w:rsidRPr="007B5D03">
        <w:rPr>
          <w:rFonts w:hAnsi="標楷體"/>
          <w:spacing w:val="8"/>
          <w:sz w:val="30"/>
          <w:szCs w:val="30"/>
        </w:rPr>
        <w:t>號</w:t>
      </w:r>
      <w:r w:rsidRPr="007B5D03">
        <w:rPr>
          <w:rFonts w:hAnsi="標楷體"/>
          <w:spacing w:val="-4"/>
          <w:sz w:val="30"/>
          <w:szCs w:val="30"/>
        </w:rPr>
        <w:t>函，其函釋意旨已指明：專門技術之成本及必要費用，納稅義務人未申報或未能提出成本、費用之證明文件者，得按股票面額之</w:t>
      </w:r>
      <w:r w:rsidRPr="007B5D03">
        <w:rPr>
          <w:spacing w:val="-4"/>
          <w:sz w:val="30"/>
          <w:szCs w:val="30"/>
        </w:rPr>
        <w:t>30%</w:t>
      </w:r>
      <w:r w:rsidRPr="007B5D03">
        <w:rPr>
          <w:rFonts w:hAnsi="標楷體"/>
          <w:spacing w:val="-4"/>
          <w:sz w:val="30"/>
          <w:szCs w:val="30"/>
        </w:rPr>
        <w:t>計算。」足見在技術作價案例中，亦不能認為</w:t>
      </w:r>
      <w:r w:rsidRPr="007B5D03">
        <w:rPr>
          <w:rFonts w:hAnsi="標楷體"/>
          <w:spacing w:val="-4"/>
          <w:sz w:val="30"/>
          <w:szCs w:val="30"/>
        </w:rPr>
        <w:lastRenderedPageBreak/>
        <w:t>技術人無償取得股票而全額加以課稅，即便納稅義務人無法證明取得成本，稽徵機關亦必須以推計課稅方式扣除其取得成本，此乃本於客觀營業保障淨所得原則所當然。</w:t>
      </w:r>
    </w:p>
    <w:p w:rsidR="00514426" w:rsidRPr="007B5D03" w:rsidRDefault="00514426" w:rsidP="003B5098">
      <w:pPr>
        <w:snapToGrid w:val="0"/>
        <w:spacing w:line="437" w:lineRule="exact"/>
        <w:ind w:left="2251" w:hanging="380"/>
        <w:rPr>
          <w:sz w:val="30"/>
          <w:szCs w:val="30"/>
        </w:rPr>
      </w:pPr>
      <w:r w:rsidRPr="007B5D03">
        <w:rPr>
          <w:rFonts w:hAnsi="標楷體" w:hint="eastAsia"/>
          <w:sz w:val="30"/>
          <w:szCs w:val="30"/>
        </w:rPr>
        <w:t>(4)</w:t>
      </w:r>
      <w:r w:rsidRPr="007B5D03">
        <w:rPr>
          <w:rFonts w:hAnsi="標楷體"/>
          <w:sz w:val="30"/>
          <w:szCs w:val="30"/>
        </w:rPr>
        <w:t>在</w:t>
      </w:r>
      <w:r w:rsidRPr="007B5D03">
        <w:rPr>
          <w:rFonts w:hAnsi="標楷體"/>
          <w:spacing w:val="-4"/>
          <w:sz w:val="30"/>
          <w:szCs w:val="30"/>
        </w:rPr>
        <w:t>權證</w:t>
      </w:r>
      <w:r w:rsidRPr="007B5D03">
        <w:rPr>
          <w:rFonts w:hAnsi="標楷體"/>
          <w:sz w:val="30"/>
          <w:szCs w:val="30"/>
        </w:rPr>
        <w:t>課稅案件之爭議中，是否立法者真有意以所得稅法第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作為量能課稅原則之例外？學者陳清秀認為有關一項成本費用是否得認為</w:t>
      </w:r>
      <w:r w:rsidRPr="007B5D03">
        <w:rPr>
          <w:rFonts w:hAnsi="標楷體"/>
          <w:spacing w:val="10"/>
          <w:sz w:val="30"/>
          <w:szCs w:val="30"/>
        </w:rPr>
        <w:t>係為獲得收入的經濟活動而為支出之成本費</w:t>
      </w:r>
      <w:r w:rsidRPr="007B5D03">
        <w:rPr>
          <w:rFonts w:hAnsi="標楷體"/>
          <w:spacing w:val="-4"/>
          <w:sz w:val="30"/>
          <w:szCs w:val="30"/>
        </w:rPr>
        <w:t>用，應依據實質課稅原則，以經濟觀察法加以判斷，亦即該項支出與獲得收入之經濟活動間有無實質上的、經濟上關</w:t>
      </w:r>
      <w:r w:rsidRPr="007B5D03">
        <w:rPr>
          <w:rFonts w:hAnsi="標楷體" w:hint="eastAsia"/>
          <w:spacing w:val="-4"/>
          <w:sz w:val="30"/>
          <w:szCs w:val="30"/>
        </w:rPr>
        <w:t>聯</w:t>
      </w:r>
      <w:r w:rsidRPr="007B5D03">
        <w:rPr>
          <w:rFonts w:hAnsi="標楷體"/>
          <w:spacing w:val="-4"/>
          <w:sz w:val="30"/>
          <w:szCs w:val="30"/>
        </w:rPr>
        <w:t>性而定。準此見解，避險交易損失依據其經濟實質，應為發行權證活動業務所為避免風險之成本費用，其證券交易損失屬於發行權證之業務風險範圍內所發生者，依據前述風險負擔應認列必要費用之法理，應准予列報必要費用扣除。故以整體觀察法較能掌握發行權證之經濟活動之內涵，並按照其實質淨額所得課稅，也較為符合量能課稅原則，其貫徹收入與成</w:t>
      </w:r>
      <w:r w:rsidRPr="007B5D03">
        <w:rPr>
          <w:rFonts w:hAnsi="標楷體"/>
          <w:sz w:val="30"/>
          <w:szCs w:val="30"/>
        </w:rPr>
        <w:t>本費用配合原則，以實現客觀淨額所得課稅原</w:t>
      </w:r>
      <w:r w:rsidRPr="007B5D03">
        <w:rPr>
          <w:rFonts w:hAnsi="標楷體"/>
          <w:spacing w:val="-4"/>
          <w:sz w:val="30"/>
          <w:szCs w:val="30"/>
        </w:rPr>
        <w:t>則，應屬於較符合事件本質的合理性的觀點。在</w:t>
      </w:r>
      <w:r w:rsidRPr="007B5D03">
        <w:rPr>
          <w:rFonts w:hAnsi="標楷體"/>
          <w:sz w:val="30"/>
          <w:szCs w:val="30"/>
        </w:rPr>
        <w:t>此涉及所得稅法第</w:t>
      </w:r>
      <w:r w:rsidRPr="007B5D03">
        <w:rPr>
          <w:sz w:val="30"/>
          <w:szCs w:val="30"/>
        </w:rPr>
        <w:t>24</w:t>
      </w:r>
      <w:r w:rsidRPr="007B5D03">
        <w:rPr>
          <w:rFonts w:hAnsi="標楷體"/>
          <w:sz w:val="30"/>
          <w:szCs w:val="30"/>
        </w:rPr>
        <w:t>條之客觀的淨額所得原則</w:t>
      </w:r>
      <w:r w:rsidRPr="007B5D03">
        <w:rPr>
          <w:rFonts w:hAnsi="標楷體"/>
          <w:spacing w:val="-4"/>
          <w:sz w:val="30"/>
          <w:szCs w:val="30"/>
        </w:rPr>
        <w:t>與第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免稅交易損失不准扣除規定發生規範衝突，應如何適用之問題，本文認為在此類有疑義之案件，應取向於量能課稅原則，因此應優</w:t>
      </w:r>
      <w:r w:rsidRPr="007B5D03">
        <w:rPr>
          <w:rFonts w:hAnsi="標楷體"/>
          <w:spacing w:val="10"/>
          <w:sz w:val="30"/>
          <w:szCs w:val="30"/>
        </w:rPr>
        <w:t>先適用所得稅法第</w:t>
      </w:r>
      <w:r w:rsidRPr="007B5D03">
        <w:rPr>
          <w:spacing w:val="10"/>
          <w:sz w:val="30"/>
          <w:szCs w:val="30"/>
        </w:rPr>
        <w:t>24</w:t>
      </w:r>
      <w:r w:rsidRPr="007B5D03">
        <w:rPr>
          <w:rFonts w:hAnsi="標楷體"/>
          <w:spacing w:val="10"/>
          <w:sz w:val="30"/>
          <w:szCs w:val="30"/>
        </w:rPr>
        <w:t>條之客觀的淨額所得原</w:t>
      </w:r>
      <w:r w:rsidRPr="007B5D03">
        <w:rPr>
          <w:rFonts w:hAnsi="標楷體"/>
          <w:spacing w:val="-4"/>
          <w:sz w:val="30"/>
          <w:szCs w:val="30"/>
        </w:rPr>
        <w:t>則，而不適用第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規定，亦即在發行權證納稅人所</w:t>
      </w:r>
      <w:r w:rsidRPr="007B5D03">
        <w:rPr>
          <w:rFonts w:hAnsi="標楷體"/>
          <w:spacing w:val="-4"/>
          <w:sz w:val="30"/>
          <w:szCs w:val="30"/>
        </w:rPr>
        <w:lastRenderedPageBreak/>
        <w:t>為避險證券交易的類型情形，應就所得</w:t>
      </w:r>
      <w:r w:rsidRPr="007B5D03">
        <w:rPr>
          <w:rFonts w:hAnsi="標楷體"/>
          <w:spacing w:val="4"/>
          <w:sz w:val="30"/>
          <w:szCs w:val="30"/>
        </w:rPr>
        <w:t>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規定的適用範圍進行目的性限縮，排除不適用之（附件</w:t>
      </w:r>
      <w:r w:rsidRPr="007B5D03">
        <w:rPr>
          <w:spacing w:val="4"/>
          <w:sz w:val="30"/>
          <w:szCs w:val="30"/>
        </w:rPr>
        <w:t>18</w:t>
      </w:r>
      <w:r w:rsidRPr="007B5D03">
        <w:rPr>
          <w:rFonts w:hAnsi="標楷體"/>
          <w:spacing w:val="4"/>
          <w:sz w:val="30"/>
          <w:szCs w:val="30"/>
        </w:rPr>
        <w:t>，陳清秀，論客觀</w:t>
      </w:r>
      <w:r w:rsidRPr="007B5D03">
        <w:rPr>
          <w:rFonts w:hAnsi="標楷體"/>
          <w:spacing w:val="-4"/>
          <w:sz w:val="30"/>
          <w:szCs w:val="30"/>
        </w:rPr>
        <w:t>的淨額所得原則）。</w:t>
      </w:r>
    </w:p>
    <w:p w:rsidR="00514426" w:rsidRPr="007B5D03" w:rsidRDefault="00514426" w:rsidP="001202AD">
      <w:pPr>
        <w:snapToGrid w:val="0"/>
        <w:spacing w:line="437" w:lineRule="exact"/>
        <w:ind w:left="2251" w:hanging="380"/>
        <w:rPr>
          <w:sz w:val="30"/>
          <w:szCs w:val="30"/>
        </w:rPr>
      </w:pPr>
      <w:r w:rsidRPr="007B5D03">
        <w:rPr>
          <w:rFonts w:hAnsi="標楷體" w:hint="eastAsia"/>
          <w:sz w:val="30"/>
          <w:szCs w:val="30"/>
        </w:rPr>
        <w:t>(5)</w:t>
      </w:r>
      <w:r w:rsidRPr="007B5D03">
        <w:rPr>
          <w:rFonts w:hAnsi="標楷體"/>
          <w:sz w:val="30"/>
          <w:szCs w:val="30"/>
        </w:rPr>
        <w:t>末按「演變式的體系違反」是指那種由社會的、</w:t>
      </w:r>
      <w:r w:rsidRPr="007B5D03">
        <w:rPr>
          <w:rFonts w:hAnsi="標楷體"/>
          <w:spacing w:val="-4"/>
          <w:sz w:val="30"/>
          <w:szCs w:val="30"/>
        </w:rPr>
        <w:t>經濟的、科技的變遷，所產生的新事務所引起之矛盾。這些事務由於並未為當時立法者所預見，而未被規範，這種立法者在制</w:t>
      </w:r>
      <w:r w:rsidRPr="007B5D03">
        <w:rPr>
          <w:rFonts w:hAnsi="標楷體" w:hint="eastAsia"/>
          <w:spacing w:val="-4"/>
          <w:sz w:val="30"/>
          <w:szCs w:val="30"/>
        </w:rPr>
        <w:t>定</w:t>
      </w:r>
      <w:r w:rsidRPr="007B5D03">
        <w:rPr>
          <w:rFonts w:hAnsi="標楷體"/>
          <w:spacing w:val="-4"/>
          <w:sz w:val="30"/>
          <w:szCs w:val="30"/>
        </w:rPr>
        <w:t>法律時未出現的生活事實，在規範上需要不被滿足時，即會構成法律漏洞。此種事後法律體系違反，仍構成平等</w:t>
      </w:r>
      <w:r w:rsidRPr="007B5D03">
        <w:rPr>
          <w:rFonts w:hAnsi="標楷體"/>
          <w:spacing w:val="-8"/>
          <w:sz w:val="30"/>
          <w:szCs w:val="30"/>
        </w:rPr>
        <w:t>原則之違背，必須進行適當之法律補充（附件</w:t>
      </w:r>
      <w:r w:rsidRPr="007B5D03">
        <w:rPr>
          <w:spacing w:val="-8"/>
          <w:sz w:val="30"/>
          <w:szCs w:val="30"/>
        </w:rPr>
        <w:t>9</w:t>
      </w:r>
      <w:r w:rsidRPr="007B5D03">
        <w:rPr>
          <w:rFonts w:hAnsi="標楷體"/>
          <w:spacing w:val="-8"/>
          <w:sz w:val="30"/>
          <w:szCs w:val="30"/>
        </w:rPr>
        <w:t>，</w:t>
      </w:r>
      <w:r w:rsidRPr="007B5D03">
        <w:rPr>
          <w:rFonts w:hAnsi="標楷體"/>
          <w:spacing w:val="4"/>
          <w:sz w:val="30"/>
          <w:szCs w:val="30"/>
        </w:rPr>
        <w:t>黃茂榮，法學方法與現代民法，第</w:t>
      </w:r>
      <w:r w:rsidRPr="007B5D03">
        <w:rPr>
          <w:spacing w:val="4"/>
          <w:sz w:val="30"/>
          <w:szCs w:val="30"/>
        </w:rPr>
        <w:t>385</w:t>
      </w:r>
      <w:r w:rsidRPr="007B5D03">
        <w:rPr>
          <w:rFonts w:hAnsi="標楷體"/>
          <w:spacing w:val="4"/>
          <w:sz w:val="30"/>
          <w:szCs w:val="30"/>
        </w:rPr>
        <w:t>至</w:t>
      </w:r>
      <w:r w:rsidRPr="007B5D03">
        <w:rPr>
          <w:spacing w:val="4"/>
          <w:sz w:val="30"/>
          <w:szCs w:val="30"/>
        </w:rPr>
        <w:t>387</w:t>
      </w:r>
      <w:r w:rsidRPr="007B5D03">
        <w:rPr>
          <w:rFonts w:hAnsi="標楷體"/>
          <w:spacing w:val="-4"/>
          <w:sz w:val="30"/>
          <w:szCs w:val="30"/>
        </w:rPr>
        <w:t>頁）。所得稅法第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停徵證券交易所得稅以及免稅損失不得減除之規定，據稱主要係因立法院考量延續獎勵投資條例時代，為健全資本市場之發展，停徵證券交易所得稅之政策，加上證券交易所得稅稽徵困難、股票族強力反對以及幾次復徵失敗的慘痛教訓等原因，始在所得稅法增</w:t>
      </w:r>
      <w:r w:rsidRPr="007B5D03">
        <w:rPr>
          <w:rFonts w:hAnsi="標楷體"/>
          <w:sz w:val="30"/>
          <w:szCs w:val="30"/>
        </w:rPr>
        <w:t>訂停徵之法源依據，此一例外規定應作嚴格解</w:t>
      </w:r>
      <w:r w:rsidRPr="007B5D03">
        <w:rPr>
          <w:rFonts w:hAnsi="標楷體"/>
          <w:spacing w:val="-4"/>
          <w:sz w:val="30"/>
          <w:szCs w:val="30"/>
        </w:rPr>
        <w:t>釋，不論其適用對人民或國庫有利或不利。所得稅法第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停徵證所稅之例外規定是為健全資本市場發展之目的（　鈞院釋字第</w:t>
      </w:r>
      <w:r w:rsidRPr="007B5D03">
        <w:rPr>
          <w:spacing w:val="-4"/>
          <w:sz w:val="30"/>
          <w:szCs w:val="30"/>
        </w:rPr>
        <w:t>565</w:t>
      </w:r>
      <w:r w:rsidRPr="007B5D03">
        <w:rPr>
          <w:rFonts w:hAnsi="標楷體"/>
          <w:spacing w:val="-4"/>
          <w:sz w:val="30"/>
          <w:szCs w:val="30"/>
        </w:rPr>
        <w:t>號解釋參照），就權證課稅的時點而言，認購權證此種</w:t>
      </w:r>
      <w:r w:rsidRPr="007B5D03">
        <w:rPr>
          <w:rFonts w:hAnsi="標楷體"/>
          <w:spacing w:val="4"/>
          <w:sz w:val="30"/>
          <w:szCs w:val="30"/>
        </w:rPr>
        <w:t>金融商品的創新乃至於獲得准許發行已是民國</w:t>
      </w:r>
      <w:r w:rsidRPr="007B5D03">
        <w:rPr>
          <w:spacing w:val="4"/>
          <w:sz w:val="30"/>
          <w:szCs w:val="30"/>
        </w:rPr>
        <w:t>86</w:t>
      </w:r>
      <w:r w:rsidRPr="007B5D03">
        <w:rPr>
          <w:rFonts w:hAnsi="標楷體"/>
          <w:spacing w:val="4"/>
          <w:sz w:val="30"/>
          <w:szCs w:val="30"/>
        </w:rPr>
        <w:t>年，也就是所得稅法第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增訂</w:t>
      </w:r>
      <w:r w:rsidRPr="007B5D03">
        <w:rPr>
          <w:spacing w:val="4"/>
          <w:sz w:val="30"/>
          <w:szCs w:val="30"/>
        </w:rPr>
        <w:t>8</w:t>
      </w:r>
      <w:r w:rsidRPr="007B5D03">
        <w:rPr>
          <w:rFonts w:hAnsi="標楷體"/>
          <w:spacing w:val="4"/>
          <w:sz w:val="30"/>
          <w:szCs w:val="30"/>
        </w:rPr>
        <w:t>年之</w:t>
      </w:r>
      <w:r w:rsidRPr="007B5D03">
        <w:rPr>
          <w:rFonts w:hAnsi="標楷體"/>
          <w:spacing w:val="-4"/>
          <w:sz w:val="30"/>
          <w:szCs w:val="30"/>
        </w:rPr>
        <w:t>後的事。故而自所得稅法第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規定稅上免計證券交易損益乃係基</w:t>
      </w:r>
      <w:r w:rsidRPr="007B5D03">
        <w:rPr>
          <w:rFonts w:hAnsi="標楷體"/>
          <w:spacing w:val="-4"/>
          <w:sz w:val="30"/>
          <w:szCs w:val="30"/>
        </w:rPr>
        <w:lastRenderedPageBreak/>
        <w:t>於股票市場之規範，在立法者之主觀認識（歷史解釋）及自客觀意義認識其立法目的而言，立法者並未料想到未來發展出之衍生性金融商品，然而此一新金融商品之發展對社會經濟影響卻是與日俱增，當有規範上之需要，此即屬於演變式之體系違反，如以既有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加以規範，不僅所得稅法第</w:t>
      </w:r>
      <w:r w:rsidRPr="007B5D03">
        <w:rPr>
          <w:spacing w:val="-4"/>
          <w:sz w:val="30"/>
          <w:szCs w:val="30"/>
        </w:rPr>
        <w:t>4</w:t>
      </w:r>
      <w:r w:rsidRPr="007B5D03">
        <w:rPr>
          <w:rFonts w:hAnsi="標楷體"/>
          <w:spacing w:val="-4"/>
          <w:sz w:val="30"/>
          <w:szCs w:val="30"/>
        </w:rPr>
        <w:t>條</w:t>
      </w:r>
      <w:r w:rsidRPr="007B5D03">
        <w:rPr>
          <w:rFonts w:hAnsi="標楷體"/>
          <w:spacing w:val="10"/>
          <w:sz w:val="30"/>
          <w:szCs w:val="30"/>
        </w:rPr>
        <w:t>之</w:t>
      </w:r>
      <w:r w:rsidRPr="007B5D03">
        <w:rPr>
          <w:spacing w:val="10"/>
          <w:sz w:val="30"/>
          <w:szCs w:val="30"/>
        </w:rPr>
        <w:t>1</w:t>
      </w:r>
      <w:r w:rsidRPr="007B5D03">
        <w:rPr>
          <w:rFonts w:hAnsi="標楷體"/>
          <w:spacing w:val="10"/>
          <w:sz w:val="30"/>
          <w:szCs w:val="30"/>
        </w:rPr>
        <w:t>之規定應以例外規定從嚴解釋之原則認</w:t>
      </w:r>
      <w:r w:rsidRPr="007B5D03">
        <w:rPr>
          <w:rFonts w:hAnsi="標楷體"/>
          <w:spacing w:val="-4"/>
          <w:sz w:val="30"/>
          <w:szCs w:val="30"/>
        </w:rPr>
        <w:t>定，其意旨僅限於對免稅收入之成本費用部分，在適用上已不包含權證交易，詳如前述。</w:t>
      </w:r>
    </w:p>
    <w:p w:rsidR="00514426" w:rsidRPr="007B5D03" w:rsidRDefault="00514426" w:rsidP="001202AD">
      <w:pPr>
        <w:snapToGrid w:val="0"/>
        <w:spacing w:line="437" w:lineRule="exact"/>
        <w:ind w:left="2251" w:hanging="380"/>
        <w:rPr>
          <w:sz w:val="30"/>
          <w:szCs w:val="30"/>
        </w:rPr>
      </w:pPr>
      <w:r w:rsidRPr="007B5D03">
        <w:rPr>
          <w:rFonts w:hAnsi="標楷體" w:hint="eastAsia"/>
          <w:sz w:val="30"/>
          <w:szCs w:val="30"/>
        </w:rPr>
        <w:t>(6)</w:t>
      </w:r>
      <w:r w:rsidRPr="007B5D03">
        <w:rPr>
          <w:rFonts w:hAnsi="標楷體"/>
          <w:spacing w:val="4"/>
          <w:sz w:val="30"/>
          <w:szCs w:val="30"/>
        </w:rPr>
        <w:t>是以權證交易非立法者於制</w:t>
      </w:r>
      <w:r w:rsidRPr="007B5D03">
        <w:rPr>
          <w:rFonts w:hAnsi="標楷體" w:hint="eastAsia"/>
          <w:spacing w:val="4"/>
          <w:sz w:val="30"/>
          <w:szCs w:val="30"/>
        </w:rPr>
        <w:t>定</w:t>
      </w:r>
      <w:r w:rsidRPr="007B5D03">
        <w:rPr>
          <w:rFonts w:hAnsi="標楷體"/>
          <w:spacing w:val="4"/>
          <w:sz w:val="30"/>
          <w:szCs w:val="30"/>
        </w:rPr>
        <w:t>所得稅法第</w:t>
      </w:r>
      <w:r w:rsidRPr="007B5D03">
        <w:rPr>
          <w:spacing w:val="4"/>
          <w:sz w:val="30"/>
          <w:szCs w:val="30"/>
        </w:rPr>
        <w:t>4</w:t>
      </w:r>
      <w:r w:rsidRPr="007B5D03">
        <w:rPr>
          <w:rFonts w:hAnsi="標楷體"/>
          <w:spacing w:val="4"/>
          <w:sz w:val="30"/>
          <w:szCs w:val="30"/>
        </w:rPr>
        <w:t>條</w:t>
      </w:r>
      <w:r w:rsidRPr="007B5D03">
        <w:rPr>
          <w:rFonts w:hAnsi="標楷體"/>
          <w:sz w:val="30"/>
          <w:szCs w:val="30"/>
        </w:rPr>
        <w:t>之</w:t>
      </w:r>
      <w:r w:rsidRPr="007B5D03">
        <w:rPr>
          <w:sz w:val="30"/>
          <w:szCs w:val="30"/>
        </w:rPr>
        <w:t>1</w:t>
      </w:r>
      <w:r w:rsidRPr="007B5D03">
        <w:rPr>
          <w:rFonts w:hAnsi="標楷體"/>
          <w:sz w:val="30"/>
          <w:szCs w:val="30"/>
        </w:rPr>
        <w:t>時，即已預料到有此種與一般證券交易型態迥異之金融商品，所得稅法第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之立法目</w:t>
      </w:r>
      <w:r w:rsidRPr="007B5D03">
        <w:rPr>
          <w:rFonts w:hAnsi="標楷體"/>
          <w:spacing w:val="-4"/>
          <w:sz w:val="30"/>
          <w:szCs w:val="30"/>
        </w:rPr>
        <w:t>的僅在對於免稅所得所對應之費</w:t>
      </w:r>
      <w:r w:rsidRPr="007B5D03">
        <w:rPr>
          <w:rFonts w:hAnsi="標楷體" w:hint="eastAsia"/>
          <w:spacing w:val="-4"/>
          <w:sz w:val="30"/>
          <w:szCs w:val="30"/>
        </w:rPr>
        <w:t>用、</w:t>
      </w:r>
      <w:r w:rsidRPr="007B5D03">
        <w:rPr>
          <w:rFonts w:hAnsi="標楷體"/>
          <w:spacing w:val="-4"/>
          <w:sz w:val="30"/>
          <w:szCs w:val="30"/>
        </w:rPr>
        <w:t>損</w:t>
      </w:r>
      <w:r w:rsidRPr="007B5D03">
        <w:rPr>
          <w:rFonts w:hAnsi="標楷體" w:hint="eastAsia"/>
          <w:spacing w:val="-4"/>
          <w:sz w:val="30"/>
          <w:szCs w:val="30"/>
        </w:rPr>
        <w:t>失</w:t>
      </w:r>
      <w:r w:rsidRPr="007B5D03">
        <w:rPr>
          <w:rFonts w:hAnsi="標楷體"/>
          <w:spacing w:val="-4"/>
          <w:sz w:val="30"/>
          <w:szCs w:val="30"/>
        </w:rPr>
        <w:t>不得自應稅收入扣減，其構成前述不准列舉減除非課稅</w:t>
      </w:r>
      <w:r w:rsidRPr="007B5D03">
        <w:rPr>
          <w:rFonts w:hAnsi="標楷體"/>
          <w:sz w:val="30"/>
          <w:szCs w:val="30"/>
        </w:rPr>
        <w:t>所得或免稅所得之必要費用之客觀淨所得原則</w:t>
      </w:r>
      <w:r w:rsidRPr="007B5D03">
        <w:rPr>
          <w:rFonts w:hAnsi="標楷體"/>
          <w:spacing w:val="-4"/>
          <w:sz w:val="30"/>
          <w:szCs w:val="30"/>
        </w:rPr>
        <w:t>例外情形，除此而外，並無就應稅收入對應之避險損失亦否准扣減應稅收入之規範意旨。從而，</w:t>
      </w:r>
      <w:r w:rsidRPr="007B5D03">
        <w:rPr>
          <w:rFonts w:hAnsi="標楷體"/>
          <w:sz w:val="30"/>
          <w:szCs w:val="30"/>
        </w:rPr>
        <w:t>財政部</w:t>
      </w:r>
      <w:r w:rsidRPr="007B5D03">
        <w:rPr>
          <w:sz w:val="30"/>
          <w:szCs w:val="30"/>
        </w:rPr>
        <w:t>86</w:t>
      </w:r>
      <w:r w:rsidRPr="007B5D03">
        <w:rPr>
          <w:rFonts w:hAnsi="標楷體"/>
          <w:sz w:val="30"/>
          <w:szCs w:val="30"/>
        </w:rPr>
        <w:t>年函釋認為權證避險交易損失部分應</w:t>
      </w:r>
      <w:r w:rsidRPr="007B5D03">
        <w:rPr>
          <w:rFonts w:hAnsi="標楷體"/>
          <w:spacing w:val="-4"/>
          <w:sz w:val="30"/>
          <w:szCs w:val="30"/>
        </w:rPr>
        <w:t>適用所得稅法第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之規定，此絕非有一正</w:t>
      </w:r>
      <w:r w:rsidRPr="007B5D03">
        <w:rPr>
          <w:rFonts w:hAnsi="標楷體"/>
          <w:sz w:val="30"/>
          <w:szCs w:val="30"/>
        </w:rPr>
        <w:t>當公益目的或稽徵經濟原則可排除客觀淨所得</w:t>
      </w:r>
      <w:r w:rsidRPr="007B5D03">
        <w:rPr>
          <w:rFonts w:hAnsi="標楷體"/>
          <w:spacing w:val="-4"/>
          <w:sz w:val="30"/>
          <w:szCs w:val="30"/>
        </w:rPr>
        <w:t>原則之適用。惟查最高行政法院確定判決未詳細審究所得稅法第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究竟有何規範目的，逕</w:t>
      </w:r>
      <w:r w:rsidRPr="007B5D03">
        <w:rPr>
          <w:rFonts w:hAnsi="標楷體"/>
          <w:sz w:val="30"/>
          <w:szCs w:val="30"/>
        </w:rPr>
        <w:t>行認為立法者對於何項費用應予認列有其形成</w:t>
      </w:r>
      <w:r w:rsidRPr="007B5D03">
        <w:rPr>
          <w:rFonts w:hAnsi="標楷體"/>
          <w:spacing w:val="-4"/>
          <w:sz w:val="30"/>
          <w:szCs w:val="30"/>
        </w:rPr>
        <w:t>空間，忽略量能課稅之違反必須要有比其更堅強之公益目的，始能構成量能課稅原則、客觀淨所得原則之</w:t>
      </w:r>
      <w:r w:rsidRPr="007B5D03">
        <w:rPr>
          <w:rFonts w:hAnsi="標楷體"/>
          <w:spacing w:val="-4"/>
          <w:sz w:val="30"/>
          <w:szCs w:val="30"/>
        </w:rPr>
        <w:lastRenderedPageBreak/>
        <w:t>例外。敢問所得稅法第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能夠找</w:t>
      </w:r>
      <w:r w:rsidRPr="007B5D03">
        <w:rPr>
          <w:rFonts w:hAnsi="標楷體"/>
          <w:sz w:val="30"/>
          <w:szCs w:val="30"/>
        </w:rPr>
        <w:t>出應稅收入對應之成本費用不准認列之規範目的乎？毋寧是立法者基於促進投資目的而獎勵證券交易所得免稅，惟基於所得稅法第</w:t>
      </w:r>
      <w:r w:rsidRPr="007B5D03">
        <w:rPr>
          <w:sz w:val="30"/>
          <w:szCs w:val="30"/>
        </w:rPr>
        <w:t>24</w:t>
      </w:r>
      <w:r w:rsidRPr="007B5D03">
        <w:rPr>
          <w:rFonts w:hAnsi="標楷體"/>
          <w:sz w:val="30"/>
          <w:szCs w:val="30"/>
        </w:rPr>
        <w:t>條之配合原則規定，於後段增加免稅收入對應之費</w:t>
      </w:r>
      <w:r w:rsidRPr="007B5D03">
        <w:rPr>
          <w:rFonts w:hAnsi="標楷體" w:hint="eastAsia"/>
          <w:spacing w:val="-4"/>
          <w:sz w:val="30"/>
          <w:szCs w:val="30"/>
        </w:rPr>
        <w:t>用、</w:t>
      </w:r>
      <w:r w:rsidRPr="007B5D03">
        <w:rPr>
          <w:rFonts w:hAnsi="標楷體"/>
          <w:spacing w:val="-4"/>
          <w:sz w:val="30"/>
          <w:szCs w:val="30"/>
        </w:rPr>
        <w:t>損</w:t>
      </w:r>
      <w:r w:rsidRPr="007B5D03">
        <w:rPr>
          <w:rFonts w:hAnsi="標楷體" w:hint="eastAsia"/>
          <w:spacing w:val="-4"/>
          <w:sz w:val="30"/>
          <w:szCs w:val="30"/>
        </w:rPr>
        <w:t>失</w:t>
      </w:r>
      <w:r w:rsidRPr="007B5D03">
        <w:rPr>
          <w:rFonts w:hAnsi="標楷體"/>
          <w:spacing w:val="-4"/>
          <w:sz w:val="30"/>
          <w:szCs w:val="30"/>
        </w:rPr>
        <w:t>不得自應稅收入中扣除，豈有反而要求</w:t>
      </w:r>
      <w:r w:rsidRPr="007B5D03">
        <w:rPr>
          <w:rFonts w:hAnsi="標楷體"/>
          <w:sz w:val="30"/>
          <w:szCs w:val="30"/>
        </w:rPr>
        <w:t>屬應稅收入成本費用之避險損失不得自權利金</w:t>
      </w:r>
      <w:r w:rsidRPr="007B5D03">
        <w:rPr>
          <w:rFonts w:hAnsi="標楷體"/>
          <w:spacing w:val="-4"/>
          <w:sz w:val="30"/>
          <w:szCs w:val="30"/>
        </w:rPr>
        <w:t>中扣除，造成阻礙金融投資市場發展之副作用？</w:t>
      </w:r>
      <w:r w:rsidRPr="007B5D03">
        <w:rPr>
          <w:rFonts w:hAnsi="標楷體"/>
          <w:sz w:val="30"/>
          <w:szCs w:val="30"/>
        </w:rPr>
        <w:t>是財政部</w:t>
      </w:r>
      <w:r w:rsidRPr="007B5D03">
        <w:rPr>
          <w:sz w:val="30"/>
          <w:szCs w:val="30"/>
        </w:rPr>
        <w:t>86</w:t>
      </w:r>
      <w:r w:rsidRPr="007B5D03">
        <w:rPr>
          <w:rFonts w:hAnsi="標楷體"/>
          <w:sz w:val="30"/>
          <w:szCs w:val="30"/>
        </w:rPr>
        <w:t>年函釋並尋無任何公益目的可作為</w:t>
      </w:r>
      <w:r w:rsidRPr="007B5D03">
        <w:rPr>
          <w:rFonts w:hAnsi="標楷體"/>
          <w:spacing w:val="-4"/>
          <w:sz w:val="30"/>
          <w:szCs w:val="30"/>
        </w:rPr>
        <w:t>違反量能課稅原則、客觀淨所得原則之正當化依</w:t>
      </w:r>
      <w:r w:rsidRPr="007B5D03">
        <w:rPr>
          <w:rFonts w:hAnsi="標楷體"/>
          <w:sz w:val="30"/>
          <w:szCs w:val="30"/>
        </w:rPr>
        <w:t>據。</w:t>
      </w:r>
    </w:p>
    <w:p w:rsidR="00514426" w:rsidRPr="007B5D03" w:rsidRDefault="00514426" w:rsidP="001202AD">
      <w:pPr>
        <w:snapToGrid w:val="0"/>
        <w:spacing w:line="437" w:lineRule="exact"/>
        <w:ind w:left="2251" w:hanging="380"/>
        <w:rPr>
          <w:sz w:val="30"/>
          <w:szCs w:val="30"/>
        </w:rPr>
      </w:pPr>
      <w:r w:rsidRPr="007B5D03">
        <w:rPr>
          <w:rFonts w:hAnsi="標楷體" w:hint="eastAsia"/>
          <w:sz w:val="30"/>
          <w:szCs w:val="30"/>
        </w:rPr>
        <w:t>(7)</w:t>
      </w:r>
      <w:r w:rsidRPr="007B5D03">
        <w:rPr>
          <w:rFonts w:hAnsi="標楷體"/>
          <w:spacing w:val="-4"/>
          <w:sz w:val="30"/>
          <w:szCs w:val="30"/>
        </w:rPr>
        <w:t>詎料，本案確定判決以如受捐贈收入、補償費收入、利息收入及認購權證之權利金收入等，其收入性質本無成本費用，或費用金額相對微小，形</w:t>
      </w:r>
      <w:r w:rsidRPr="007B5D03">
        <w:rPr>
          <w:rFonts w:hAnsi="標楷體"/>
          <w:sz w:val="30"/>
          <w:szCs w:val="30"/>
        </w:rPr>
        <w:t>成收入與所得金額相近或對毛收入課稅之結果云云，支持適用財政部</w:t>
      </w:r>
      <w:r w:rsidRPr="007B5D03">
        <w:rPr>
          <w:sz w:val="30"/>
          <w:szCs w:val="30"/>
        </w:rPr>
        <w:t>86</w:t>
      </w:r>
      <w:r w:rsidRPr="007B5D03">
        <w:rPr>
          <w:rFonts w:hAnsi="標楷體"/>
          <w:sz w:val="30"/>
          <w:szCs w:val="30"/>
        </w:rPr>
        <w:t>年函釋結果雖造成權</w:t>
      </w:r>
      <w:r w:rsidRPr="007B5D03">
        <w:rPr>
          <w:rFonts w:hAnsi="標楷體"/>
          <w:spacing w:val="-4"/>
          <w:sz w:val="30"/>
          <w:szCs w:val="30"/>
        </w:rPr>
        <w:t>利金毛所得課稅現象，仍無違法、違憲，然而此</w:t>
      </w:r>
      <w:r w:rsidRPr="007B5D03">
        <w:rPr>
          <w:rFonts w:hAnsi="標楷體"/>
          <w:sz w:val="30"/>
          <w:szCs w:val="30"/>
        </w:rPr>
        <w:t>一見解顯將本質上無成本費用之捐贈收入一併</w:t>
      </w:r>
      <w:r w:rsidRPr="007B5D03">
        <w:rPr>
          <w:rFonts w:hAnsi="標楷體"/>
          <w:spacing w:val="-4"/>
          <w:sz w:val="30"/>
          <w:szCs w:val="30"/>
        </w:rPr>
        <w:t>納入討論，已不足取；又補償費收入得扣減取得</w:t>
      </w:r>
      <w:r w:rsidRPr="007B5D03">
        <w:rPr>
          <w:rFonts w:hAnsi="標楷體"/>
          <w:sz w:val="30"/>
          <w:szCs w:val="30"/>
        </w:rPr>
        <w:t>成本，此觀</w:t>
      </w:r>
      <w:r w:rsidRPr="007B5D03">
        <w:rPr>
          <w:sz w:val="30"/>
          <w:szCs w:val="30"/>
        </w:rPr>
        <w:t xml:space="preserve">　</w:t>
      </w:r>
      <w:r w:rsidRPr="007B5D03">
        <w:rPr>
          <w:rFonts w:hAnsi="標楷體"/>
          <w:sz w:val="30"/>
          <w:szCs w:val="30"/>
        </w:rPr>
        <w:t>鈞院</w:t>
      </w:r>
      <w:r w:rsidRPr="007B5D03">
        <w:rPr>
          <w:rFonts w:hAnsi="標楷體" w:hint="eastAsia"/>
          <w:sz w:val="30"/>
          <w:szCs w:val="30"/>
        </w:rPr>
        <w:t>釋字</w:t>
      </w:r>
      <w:r w:rsidRPr="007B5D03">
        <w:rPr>
          <w:rFonts w:hAnsi="標楷體"/>
          <w:sz w:val="30"/>
          <w:szCs w:val="30"/>
        </w:rPr>
        <w:t>第</w:t>
      </w:r>
      <w:r w:rsidRPr="007B5D03">
        <w:rPr>
          <w:sz w:val="30"/>
          <w:szCs w:val="30"/>
        </w:rPr>
        <w:t>607</w:t>
      </w:r>
      <w:r w:rsidRPr="007B5D03">
        <w:rPr>
          <w:rFonts w:hAnsi="標楷體"/>
          <w:sz w:val="30"/>
          <w:szCs w:val="30"/>
        </w:rPr>
        <w:t>號解釋合憲之財政部</w:t>
      </w:r>
      <w:smartTag w:uri="urn:schemas-microsoft-com:office:smarttags" w:element="chsdate">
        <w:smartTagPr>
          <w:attr w:name="IsROCDate" w:val="False"/>
          <w:attr w:name="IsLunarDate" w:val="False"/>
          <w:attr w:name="Day" w:val="16"/>
          <w:attr w:name="Month" w:val="8"/>
          <w:attr w:name="Year" w:val="1984"/>
        </w:smartTagPr>
        <w:r w:rsidRPr="007B5D03">
          <w:rPr>
            <w:sz w:val="30"/>
            <w:szCs w:val="30"/>
          </w:rPr>
          <w:t>84</w:t>
        </w:r>
        <w:r w:rsidRPr="007B5D03">
          <w:rPr>
            <w:rFonts w:hAnsi="標楷體"/>
            <w:sz w:val="30"/>
            <w:szCs w:val="30"/>
          </w:rPr>
          <w:t>年</w:t>
        </w:r>
        <w:r w:rsidRPr="007B5D03">
          <w:rPr>
            <w:sz w:val="30"/>
            <w:szCs w:val="30"/>
          </w:rPr>
          <w:t>8</w:t>
        </w:r>
        <w:r w:rsidRPr="007B5D03">
          <w:rPr>
            <w:rFonts w:hAnsi="標楷體"/>
            <w:sz w:val="30"/>
            <w:szCs w:val="30"/>
          </w:rPr>
          <w:t>月</w:t>
        </w:r>
        <w:r w:rsidRPr="007B5D03">
          <w:rPr>
            <w:sz w:val="30"/>
            <w:szCs w:val="30"/>
          </w:rPr>
          <w:t>16</w:t>
        </w:r>
        <w:r w:rsidRPr="007B5D03">
          <w:rPr>
            <w:rFonts w:hAnsi="標楷體"/>
            <w:sz w:val="30"/>
            <w:szCs w:val="30"/>
          </w:rPr>
          <w:t>日</w:t>
        </w:r>
      </w:smartTag>
      <w:r w:rsidRPr="007B5D03">
        <w:rPr>
          <w:rFonts w:hAnsi="標楷體"/>
          <w:sz w:val="30"/>
          <w:szCs w:val="30"/>
        </w:rPr>
        <w:t>台財稅第</w:t>
      </w:r>
      <w:r w:rsidRPr="007B5D03">
        <w:rPr>
          <w:sz w:val="30"/>
          <w:szCs w:val="30"/>
        </w:rPr>
        <w:t>841641639</w:t>
      </w:r>
      <w:r w:rsidRPr="007B5D03">
        <w:rPr>
          <w:rFonts w:hAnsi="標楷體"/>
          <w:sz w:val="30"/>
          <w:szCs w:val="30"/>
        </w:rPr>
        <w:t>號函「營</w:t>
      </w:r>
      <w:r w:rsidRPr="007B5D03">
        <w:rPr>
          <w:rFonts w:hAnsi="標楷體"/>
          <w:spacing w:val="-4"/>
          <w:sz w:val="30"/>
          <w:szCs w:val="30"/>
        </w:rPr>
        <w:t>利事業因政府舉辦公共工程或市地重劃，依拆遷</w:t>
      </w:r>
      <w:r w:rsidRPr="007B5D03">
        <w:rPr>
          <w:rFonts w:hAnsi="標楷體"/>
          <w:sz w:val="30"/>
          <w:szCs w:val="30"/>
        </w:rPr>
        <w:t>補償辦法規定領取之各項補償費應列為其他收入，其必要成本及相關費用准予一併核實認定」</w:t>
      </w:r>
      <w:r w:rsidRPr="007B5D03">
        <w:rPr>
          <w:rFonts w:hAnsi="標楷體"/>
          <w:spacing w:val="-4"/>
          <w:sz w:val="30"/>
          <w:szCs w:val="30"/>
        </w:rPr>
        <w:t>自明，並無本質上真有成本而不准認列之立法規</w:t>
      </w:r>
      <w:r w:rsidRPr="007B5D03">
        <w:rPr>
          <w:rFonts w:hAnsi="標楷體"/>
          <w:sz w:val="30"/>
          <w:szCs w:val="30"/>
        </w:rPr>
        <w:t>定，是以本案確定判決用以支持財政部</w:t>
      </w:r>
      <w:r w:rsidRPr="007B5D03">
        <w:rPr>
          <w:sz w:val="30"/>
          <w:szCs w:val="30"/>
        </w:rPr>
        <w:t>86</w:t>
      </w:r>
      <w:r w:rsidRPr="007B5D03">
        <w:rPr>
          <w:rFonts w:hAnsi="標楷體"/>
          <w:sz w:val="30"/>
          <w:szCs w:val="30"/>
        </w:rPr>
        <w:t>年函釋之論據，當屬無稽，亦見其違反量能課稅原則、客觀營業保障淨</w:t>
      </w:r>
      <w:r w:rsidRPr="007B5D03">
        <w:rPr>
          <w:rFonts w:hAnsi="標楷體"/>
          <w:sz w:val="30"/>
          <w:szCs w:val="30"/>
        </w:rPr>
        <w:lastRenderedPageBreak/>
        <w:t>所得原則。</w:t>
      </w:r>
    </w:p>
    <w:p w:rsidR="00514426" w:rsidRPr="007B5D03" w:rsidRDefault="00514426" w:rsidP="001202AD">
      <w:pPr>
        <w:snapToGrid w:val="0"/>
        <w:spacing w:line="437" w:lineRule="exact"/>
        <w:ind w:left="2251" w:hanging="380"/>
        <w:rPr>
          <w:sz w:val="30"/>
          <w:szCs w:val="30"/>
        </w:rPr>
      </w:pPr>
      <w:r w:rsidRPr="007B5D03">
        <w:rPr>
          <w:rFonts w:hAnsi="標楷體" w:hint="eastAsia"/>
          <w:sz w:val="30"/>
          <w:szCs w:val="30"/>
        </w:rPr>
        <w:t>(8)</w:t>
      </w:r>
      <w:r w:rsidRPr="007B5D03">
        <w:rPr>
          <w:rFonts w:hAnsi="標楷體"/>
          <w:spacing w:val="-4"/>
          <w:sz w:val="30"/>
          <w:szCs w:val="30"/>
        </w:rPr>
        <w:t>附帶一言者，如承認避險交易損失得自權利金中扣除時，是否有租稅規避情事，而構成客觀淨所</w:t>
      </w:r>
      <w:r w:rsidRPr="007B5D03">
        <w:rPr>
          <w:rFonts w:hAnsi="標楷體"/>
          <w:sz w:val="30"/>
          <w:szCs w:val="30"/>
        </w:rPr>
        <w:t>得原則之例外？避險交易既然屬於證券主管機</w:t>
      </w:r>
      <w:r w:rsidRPr="007B5D03">
        <w:rPr>
          <w:rFonts w:hAnsi="標楷體"/>
          <w:spacing w:val="-4"/>
          <w:sz w:val="30"/>
          <w:szCs w:val="30"/>
        </w:rPr>
        <w:t>關所發布之法令強行規定要求，並非得任由券商為一般以獲利為目的之證券交易操作，矧且避險</w:t>
      </w:r>
      <w:r w:rsidRPr="007B5D03">
        <w:rPr>
          <w:rFonts w:hAnsi="標楷體"/>
          <w:sz w:val="30"/>
          <w:szCs w:val="30"/>
        </w:rPr>
        <w:t>交易亦須顧慮投資人於到期時請求交付標的股</w:t>
      </w:r>
      <w:r w:rsidRPr="007B5D03">
        <w:rPr>
          <w:rFonts w:hAnsi="標楷體"/>
          <w:spacing w:val="-4"/>
          <w:sz w:val="30"/>
          <w:szCs w:val="30"/>
        </w:rPr>
        <w:t>票，亦不可能不維持一定數量之標的股票，故在事實上亦不太可能發生藉避險操作之名，行證券交易獲利之實。且其避險措施方案係在國際通行避險標準（國際通用之避險交易公式</w:t>
      </w:r>
      <w:r w:rsidRPr="007B5D03">
        <w:rPr>
          <w:spacing w:val="-4"/>
          <w:sz w:val="30"/>
          <w:szCs w:val="30"/>
        </w:rPr>
        <w:t xml:space="preserve">(Black and </w:t>
      </w:r>
      <w:r w:rsidRPr="007B5D03">
        <w:rPr>
          <w:sz w:val="30"/>
          <w:szCs w:val="30"/>
        </w:rPr>
        <w:t>Scholes Model )</w:t>
      </w:r>
      <w:r w:rsidRPr="007B5D03">
        <w:rPr>
          <w:rFonts w:hAnsi="標楷體"/>
          <w:sz w:val="30"/>
          <w:szCs w:val="30"/>
        </w:rPr>
        <w:t>及避險交易實務</w:t>
      </w:r>
      <w:r w:rsidRPr="007B5D03">
        <w:rPr>
          <w:sz w:val="30"/>
          <w:szCs w:val="30"/>
        </w:rPr>
        <w:t>(delta hedge)</w:t>
      </w:r>
      <w:r w:rsidRPr="007B5D03">
        <w:rPr>
          <w:rFonts w:hAnsi="標楷體"/>
          <w:sz w:val="30"/>
          <w:szCs w:val="30"/>
        </w:rPr>
        <w:t>）之範圍內為之，並經證券主管機關核准後始得辦</w:t>
      </w:r>
      <w:r w:rsidRPr="007B5D03">
        <w:rPr>
          <w:rFonts w:hAnsi="標楷體"/>
          <w:spacing w:val="-4"/>
          <w:sz w:val="30"/>
          <w:szCs w:val="30"/>
        </w:rPr>
        <w:t>理，並非可由證券商任意浮濫為之，因此，從經</w:t>
      </w:r>
      <w:r w:rsidRPr="007B5D03">
        <w:rPr>
          <w:rFonts w:hAnsi="標楷體"/>
          <w:sz w:val="30"/>
          <w:szCs w:val="30"/>
        </w:rPr>
        <w:t>濟上觀點而論，也具有經濟上之合理性與必要</w:t>
      </w:r>
      <w:r w:rsidRPr="007B5D03">
        <w:rPr>
          <w:rFonts w:hAnsi="標楷體"/>
          <w:spacing w:val="-4"/>
          <w:sz w:val="30"/>
          <w:szCs w:val="30"/>
        </w:rPr>
        <w:t>性，並不必擔心發生稅捐規避之流弊。</w:t>
      </w:r>
    </w:p>
    <w:p w:rsidR="00514426" w:rsidRPr="007B5D03" w:rsidRDefault="00514426" w:rsidP="004300CA">
      <w:pPr>
        <w:snapToGrid w:val="0"/>
        <w:spacing w:line="437" w:lineRule="exact"/>
        <w:ind w:left="2268" w:firstLine="329"/>
        <w:rPr>
          <w:sz w:val="30"/>
          <w:szCs w:val="30"/>
        </w:rPr>
      </w:pPr>
      <w:r w:rsidRPr="007B5D03">
        <w:rPr>
          <w:rFonts w:hAnsi="標楷體"/>
          <w:sz w:val="30"/>
          <w:szCs w:val="30"/>
        </w:rPr>
        <w:t>倘若仍擔心證券商透過避險交易損失費用之扣除，有可能發生浮濫規避稅捐情事，亦即如</w:t>
      </w:r>
      <w:r w:rsidRPr="007B5D03">
        <w:rPr>
          <w:rFonts w:hAnsi="標楷體"/>
          <w:spacing w:val="4"/>
          <w:sz w:val="30"/>
          <w:szCs w:val="30"/>
        </w:rPr>
        <w:t>考量「發行人雖設立避險專戶，惟其自營部門</w:t>
      </w:r>
      <w:r w:rsidRPr="007B5D03">
        <w:rPr>
          <w:rFonts w:hAnsi="標楷體"/>
          <w:sz w:val="30"/>
          <w:szCs w:val="30"/>
        </w:rPr>
        <w:t>仍可買賣與避險標的相同之有價證券或期貨；為避免發行人透過交易安排，將自營部門依法不可扣除之證券交易損失或期貨交易損失，轉</w:t>
      </w:r>
      <w:r w:rsidRPr="007B5D03">
        <w:rPr>
          <w:rFonts w:hAnsi="標楷體"/>
          <w:spacing w:val="4"/>
          <w:sz w:val="30"/>
          <w:szCs w:val="30"/>
        </w:rPr>
        <w:t>換為認購（售）權證避險交易之損失而得以減除」之稅捐規避情事，亦可透過稽徵機關進行</w:t>
      </w:r>
      <w:r w:rsidRPr="007B5D03">
        <w:rPr>
          <w:rFonts w:hAnsi="標楷體"/>
          <w:sz w:val="30"/>
          <w:szCs w:val="30"/>
        </w:rPr>
        <w:t>查核勾稽以核實確認屬於避險交易之損失，始准扣除。又在本案中，因為當時法令規定，從事認購權證之證券</w:t>
      </w:r>
      <w:r w:rsidRPr="007B5D03">
        <w:rPr>
          <w:rFonts w:hAnsi="標楷體"/>
          <w:sz w:val="30"/>
          <w:szCs w:val="30"/>
        </w:rPr>
        <w:lastRenderedPageBreak/>
        <w:t>商，其自營部門在發行認購權證之期間，不得買賣標的股票，故在發行認購權證之始，所有自營部門之股票都要結轉至認購權證發行部門。所以本來不會發生二部門間費用帳目不清之問題。此外，縱然認為有稅捐規避之顧慮，亦可參考修正所得稅法第</w:t>
      </w:r>
      <w:r w:rsidRPr="007B5D03">
        <w:rPr>
          <w:sz w:val="30"/>
          <w:szCs w:val="30"/>
        </w:rPr>
        <w:t xml:space="preserve"> 24 </w:t>
      </w:r>
      <w:r w:rsidRPr="007B5D03">
        <w:rPr>
          <w:rFonts w:hAnsi="標楷體"/>
          <w:sz w:val="30"/>
          <w:szCs w:val="30"/>
        </w:rPr>
        <w:t>條之</w:t>
      </w:r>
      <w:r w:rsidRPr="007B5D03">
        <w:rPr>
          <w:sz w:val="30"/>
          <w:szCs w:val="30"/>
        </w:rPr>
        <w:t>2</w:t>
      </w:r>
      <w:r w:rsidRPr="007B5D03">
        <w:rPr>
          <w:rFonts w:hAnsi="標楷體"/>
          <w:sz w:val="30"/>
          <w:szCs w:val="30"/>
        </w:rPr>
        <w:t>第</w:t>
      </w:r>
      <w:r w:rsidRPr="007B5D03">
        <w:rPr>
          <w:sz w:val="30"/>
          <w:szCs w:val="30"/>
        </w:rPr>
        <w:t>1</w:t>
      </w:r>
      <w:r w:rsidRPr="007B5D03">
        <w:rPr>
          <w:rFonts w:hAnsi="標楷體"/>
          <w:sz w:val="30"/>
          <w:szCs w:val="30"/>
        </w:rPr>
        <w:t>項但書規定：「但基於風險管理而買</w:t>
      </w:r>
      <w:r w:rsidRPr="007B5D03">
        <w:rPr>
          <w:rFonts w:hAnsi="標楷體"/>
          <w:spacing w:val="4"/>
          <w:sz w:val="30"/>
          <w:szCs w:val="30"/>
        </w:rPr>
        <w:t>賣經目的事業主管機關核可之認購（售）權證</w:t>
      </w:r>
      <w:r w:rsidRPr="007B5D03">
        <w:rPr>
          <w:rFonts w:hAnsi="標楷體"/>
          <w:sz w:val="30"/>
          <w:szCs w:val="30"/>
        </w:rPr>
        <w:t>與標的有價證券之交易損失及買賣依期貨交易稅條例課徵期貨交易稅之期貨之交易損失，超</w:t>
      </w:r>
      <w:r w:rsidRPr="007B5D03">
        <w:rPr>
          <w:rFonts w:hAnsi="標楷體"/>
          <w:spacing w:val="4"/>
          <w:sz w:val="30"/>
          <w:szCs w:val="30"/>
        </w:rPr>
        <w:t>過發行認購（售）權證權利金收入減除各項相</w:t>
      </w:r>
      <w:r w:rsidRPr="007B5D03">
        <w:rPr>
          <w:rFonts w:hAnsi="標楷體"/>
          <w:sz w:val="30"/>
          <w:szCs w:val="30"/>
        </w:rPr>
        <w:t>關發行成本與費用後之餘額部分，不得減除。」對於避險交易損失的扣除加以總額管制，即足以達到目的。而不得因噎廢食，完全禁止避險交易損失作為費用扣除。故以整體觀察較能掌握發行權證之經濟活動之內涵，並按照其實質</w:t>
      </w:r>
      <w:r w:rsidRPr="007B5D03">
        <w:rPr>
          <w:rFonts w:hAnsi="標楷體"/>
          <w:spacing w:val="8"/>
          <w:sz w:val="30"/>
          <w:szCs w:val="30"/>
        </w:rPr>
        <w:t>淨額所得課稅，以實現客觀淨額所得課稅原</w:t>
      </w:r>
      <w:r w:rsidRPr="007B5D03">
        <w:rPr>
          <w:rFonts w:hAnsi="標楷體"/>
          <w:sz w:val="30"/>
          <w:szCs w:val="30"/>
        </w:rPr>
        <w:t>則，應屬於較符合事件本質的合理性的觀點（</w:t>
      </w:r>
      <w:r w:rsidRPr="007B5D03">
        <w:rPr>
          <w:rFonts w:hAnsi="標楷體"/>
          <w:sz w:val="30"/>
          <w:szCs w:val="30"/>
          <w:shd w:val="clear" w:color="auto" w:fill="FFFFFF"/>
        </w:rPr>
        <w:t>附件</w:t>
      </w:r>
      <w:r w:rsidRPr="007B5D03">
        <w:rPr>
          <w:sz w:val="30"/>
          <w:szCs w:val="30"/>
          <w:shd w:val="clear" w:color="auto" w:fill="FFFFFF"/>
        </w:rPr>
        <w:t>21</w:t>
      </w:r>
      <w:r w:rsidRPr="007B5D03">
        <w:rPr>
          <w:rFonts w:hAnsi="標楷體" w:hint="eastAsia"/>
          <w:sz w:val="30"/>
          <w:szCs w:val="30"/>
        </w:rPr>
        <w:t>，</w:t>
      </w:r>
      <w:r w:rsidRPr="007B5D03">
        <w:rPr>
          <w:rFonts w:hAnsi="標楷體"/>
          <w:sz w:val="30"/>
          <w:szCs w:val="30"/>
        </w:rPr>
        <w:t>黃士洲，權證官司二審敗訴簡評</w:t>
      </w:r>
      <w:r w:rsidRPr="007B5D03">
        <w:rPr>
          <w:sz w:val="30"/>
          <w:szCs w:val="30"/>
        </w:rPr>
        <w:t>---</w:t>
      </w:r>
      <w:r w:rsidRPr="007B5D03">
        <w:rPr>
          <w:rFonts w:hAnsi="標楷體"/>
          <w:sz w:val="30"/>
          <w:szCs w:val="30"/>
        </w:rPr>
        <w:t>最高行政法院</w:t>
      </w:r>
      <w:r w:rsidRPr="007B5D03">
        <w:rPr>
          <w:sz w:val="30"/>
          <w:szCs w:val="30"/>
        </w:rPr>
        <w:t>95</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2206</w:t>
      </w:r>
      <w:r w:rsidRPr="007B5D03">
        <w:rPr>
          <w:rFonts w:hAnsi="標楷體"/>
          <w:sz w:val="30"/>
          <w:szCs w:val="30"/>
        </w:rPr>
        <w:t>號判決評析，稅務旬刊，</w:t>
      </w:r>
      <w:r w:rsidRPr="007B5D03">
        <w:rPr>
          <w:rFonts w:hAnsi="標楷體" w:hint="eastAsia"/>
          <w:sz w:val="30"/>
          <w:szCs w:val="30"/>
        </w:rPr>
        <w:t>第</w:t>
      </w:r>
      <w:r w:rsidRPr="007B5D03">
        <w:rPr>
          <w:sz w:val="30"/>
          <w:szCs w:val="30"/>
        </w:rPr>
        <w:t>1994</w:t>
      </w:r>
      <w:r w:rsidRPr="007B5D03">
        <w:rPr>
          <w:rFonts w:hAnsi="標楷體"/>
          <w:sz w:val="30"/>
          <w:szCs w:val="30"/>
        </w:rPr>
        <w:t>期，</w:t>
      </w:r>
      <w:r w:rsidRPr="007B5D03">
        <w:rPr>
          <w:sz w:val="30"/>
          <w:szCs w:val="30"/>
        </w:rPr>
        <w:t>2007</w:t>
      </w:r>
      <w:r w:rsidRPr="007B5D03">
        <w:rPr>
          <w:rFonts w:hAnsi="標楷體"/>
          <w:sz w:val="30"/>
          <w:szCs w:val="30"/>
        </w:rPr>
        <w:t>年</w:t>
      </w:r>
      <w:r w:rsidRPr="007B5D03">
        <w:rPr>
          <w:sz w:val="30"/>
          <w:szCs w:val="30"/>
        </w:rPr>
        <w:t>2</w:t>
      </w:r>
      <w:r w:rsidRPr="007B5D03">
        <w:rPr>
          <w:rFonts w:hAnsi="標楷體"/>
          <w:sz w:val="30"/>
          <w:szCs w:val="30"/>
        </w:rPr>
        <w:t>月，頁</w:t>
      </w:r>
      <w:r w:rsidRPr="007B5D03">
        <w:rPr>
          <w:sz w:val="30"/>
          <w:szCs w:val="30"/>
        </w:rPr>
        <w:t>7</w:t>
      </w:r>
      <w:r w:rsidRPr="007B5D03">
        <w:rPr>
          <w:rFonts w:hAnsi="標楷體"/>
          <w:sz w:val="30"/>
          <w:szCs w:val="30"/>
        </w:rPr>
        <w:t>以下）。</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4.財</w:t>
      </w:r>
      <w:r w:rsidRPr="007B5D03">
        <w:rPr>
          <w:rFonts w:hAnsi="標楷體"/>
          <w:sz w:val="30"/>
          <w:szCs w:val="30"/>
        </w:rPr>
        <w:t>政部</w:t>
      </w:r>
      <w:r w:rsidRPr="007B5D03">
        <w:rPr>
          <w:sz w:val="30"/>
          <w:szCs w:val="30"/>
        </w:rPr>
        <w:t>86</w:t>
      </w:r>
      <w:r w:rsidRPr="007B5D03">
        <w:rPr>
          <w:rFonts w:hAnsi="標楷體"/>
          <w:sz w:val="30"/>
          <w:szCs w:val="30"/>
        </w:rPr>
        <w:t>年函釋未遵守合憲性解釋選取適當之解釋，有違量能課稅原則、租稅公平原則</w:t>
      </w:r>
    </w:p>
    <w:p w:rsidR="00514426" w:rsidRPr="007B5D03" w:rsidRDefault="00514426" w:rsidP="00FB2D5A">
      <w:pPr>
        <w:snapToGrid w:val="0"/>
        <w:spacing w:line="437" w:lineRule="exact"/>
        <w:ind w:left="2041" w:firstLine="318"/>
        <w:rPr>
          <w:sz w:val="30"/>
          <w:szCs w:val="30"/>
        </w:rPr>
      </w:pPr>
      <w:r w:rsidRPr="007B5D03">
        <w:rPr>
          <w:rFonts w:hAnsi="標楷體"/>
          <w:spacing w:val="-4"/>
          <w:sz w:val="30"/>
          <w:szCs w:val="30"/>
        </w:rPr>
        <w:t>當法律解釋有二個以上可能性者，應選擇不違反</w:t>
      </w:r>
      <w:r w:rsidRPr="007B5D03">
        <w:rPr>
          <w:rFonts w:hAnsi="標楷體"/>
          <w:sz w:val="30"/>
          <w:szCs w:val="30"/>
        </w:rPr>
        <w:t>憲法之解釋，此即為法學方法中之合憲性解釋原</w:t>
      </w:r>
      <w:r w:rsidRPr="007B5D03">
        <w:rPr>
          <w:rFonts w:hAnsi="標楷體"/>
          <w:spacing w:val="-4"/>
          <w:sz w:val="30"/>
          <w:szCs w:val="30"/>
        </w:rPr>
        <w:t>則，依前揭</w:t>
      </w:r>
      <w:r w:rsidRPr="007B5D03">
        <w:rPr>
          <w:spacing w:val="-4"/>
          <w:sz w:val="30"/>
          <w:szCs w:val="30"/>
        </w:rPr>
        <w:t xml:space="preserve">　</w:t>
      </w:r>
      <w:r w:rsidRPr="007B5D03">
        <w:rPr>
          <w:rFonts w:hAnsi="標楷體"/>
          <w:spacing w:val="-4"/>
          <w:sz w:val="30"/>
          <w:szCs w:val="30"/>
        </w:rPr>
        <w:t>鈞院釋字第</w:t>
      </w:r>
      <w:r w:rsidRPr="007B5D03">
        <w:rPr>
          <w:spacing w:val="-4"/>
          <w:sz w:val="30"/>
          <w:szCs w:val="30"/>
        </w:rPr>
        <w:t>635</w:t>
      </w:r>
      <w:r w:rsidRPr="007B5D03">
        <w:rPr>
          <w:rFonts w:hAnsi="標楷體"/>
          <w:spacing w:val="-4"/>
          <w:sz w:val="30"/>
          <w:szCs w:val="30"/>
        </w:rPr>
        <w:t>號解釋理由書意旨，如違反一般法律解釋原則</w:t>
      </w:r>
      <w:r w:rsidRPr="007B5D03">
        <w:rPr>
          <w:rFonts w:hAnsi="標楷體" w:hint="eastAsia"/>
          <w:spacing w:val="-4"/>
          <w:sz w:val="30"/>
          <w:szCs w:val="30"/>
        </w:rPr>
        <w:t>，</w:t>
      </w:r>
      <w:r w:rsidRPr="007B5D03">
        <w:rPr>
          <w:rFonts w:hAnsi="標楷體"/>
          <w:spacing w:val="-4"/>
          <w:sz w:val="30"/>
          <w:szCs w:val="30"/>
        </w:rPr>
        <w:t>難謂與租稅法律主義、租</w:t>
      </w:r>
      <w:r w:rsidRPr="007B5D03">
        <w:rPr>
          <w:rFonts w:hAnsi="標楷體"/>
          <w:spacing w:val="-4"/>
          <w:sz w:val="30"/>
          <w:szCs w:val="30"/>
        </w:rPr>
        <w:lastRenderedPageBreak/>
        <w:t>稅公平原則相符。退步而言，如認為所得稅法第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之可能解釋有二時（聲請人認為所得稅法第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可能文義僅有一種，如前所述），一係合併前後段為整體構成要件，亦即證券交易收入免稅，故相對應之證券交易損失亦不得自應稅收入扣除，至於應稅收入對應之成本費用即非其規範之範圍；二係以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後段孤立作為一</w:t>
      </w:r>
      <w:r w:rsidRPr="007B5D03">
        <w:rPr>
          <w:rFonts w:hAnsi="標楷體"/>
          <w:sz w:val="30"/>
          <w:szCs w:val="30"/>
        </w:rPr>
        <w:t>有效構成要件，證券交易損失均不得扣除應稅收</w:t>
      </w:r>
      <w:r w:rsidRPr="007B5D03">
        <w:rPr>
          <w:rFonts w:hAnsi="標楷體"/>
          <w:spacing w:val="-4"/>
          <w:sz w:val="30"/>
          <w:szCs w:val="30"/>
        </w:rPr>
        <w:t>入，無論其是否為應稅收入之成本費用。由於後者之解釋有上開違反量能課稅原則、客觀營業保障淨所得原則，在合憲性解釋原則下，僅得選擇前者作為所得稅法第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之唯一解釋。本案確定判決</w:t>
      </w:r>
      <w:r w:rsidRPr="007B5D03">
        <w:rPr>
          <w:rFonts w:hAnsi="標楷體"/>
          <w:sz w:val="30"/>
          <w:szCs w:val="30"/>
        </w:rPr>
        <w:t>誤認所得稅法第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之適用範圍，對財政部</w:t>
      </w:r>
      <w:r w:rsidRPr="007B5D03">
        <w:rPr>
          <w:sz w:val="30"/>
          <w:szCs w:val="30"/>
        </w:rPr>
        <w:t>86</w:t>
      </w:r>
      <w:r w:rsidRPr="007B5D03">
        <w:rPr>
          <w:rFonts w:hAnsi="標楷體"/>
          <w:sz w:val="30"/>
          <w:szCs w:val="30"/>
        </w:rPr>
        <w:t>年函釋對毛所得課稅及剔除必要營業成本之違</w:t>
      </w:r>
      <w:r w:rsidRPr="007B5D03">
        <w:rPr>
          <w:rFonts w:hAnsi="標楷體"/>
          <w:spacing w:val="-4"/>
          <w:sz w:val="30"/>
          <w:szCs w:val="30"/>
        </w:rPr>
        <w:t>憲狀態，竟以立法形成自由為詞，不思以合憲性解釋方法妥適解釋所得稅法第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，其理由當不足以維持財政部</w:t>
      </w:r>
      <w:r w:rsidRPr="007B5D03">
        <w:rPr>
          <w:spacing w:val="-4"/>
          <w:sz w:val="30"/>
          <w:szCs w:val="30"/>
        </w:rPr>
        <w:t>86</w:t>
      </w:r>
      <w:r w:rsidRPr="007B5D03">
        <w:rPr>
          <w:rFonts w:hAnsi="標楷體"/>
          <w:spacing w:val="-4"/>
          <w:sz w:val="30"/>
          <w:szCs w:val="30"/>
        </w:rPr>
        <w:t>年函釋之合憲、合法性，亦可見財政部於作成</w:t>
      </w:r>
      <w:r w:rsidRPr="007B5D03">
        <w:rPr>
          <w:spacing w:val="-4"/>
          <w:sz w:val="30"/>
          <w:szCs w:val="30"/>
        </w:rPr>
        <w:t>86</w:t>
      </w:r>
      <w:r w:rsidRPr="007B5D03">
        <w:rPr>
          <w:rFonts w:hAnsi="標楷體"/>
          <w:spacing w:val="-4"/>
          <w:sz w:val="30"/>
          <w:szCs w:val="30"/>
        </w:rPr>
        <w:t>年函釋時，未本於憲法精神進行解釋，要難謂與憲政秩序相符。</w:t>
      </w:r>
    </w:p>
    <w:p w:rsidR="00514426" w:rsidRPr="007B5D03" w:rsidRDefault="00514426" w:rsidP="001A29FC">
      <w:pPr>
        <w:snapToGrid w:val="0"/>
        <w:spacing w:line="437" w:lineRule="exact"/>
        <w:ind w:left="1587" w:hanging="907"/>
        <w:rPr>
          <w:sz w:val="30"/>
          <w:szCs w:val="30"/>
        </w:rPr>
      </w:pPr>
      <w:r w:rsidRPr="007B5D03">
        <w:rPr>
          <w:rFonts w:hAnsi="標楷體"/>
          <w:sz w:val="30"/>
          <w:szCs w:val="30"/>
        </w:rPr>
        <w:t>（四）</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年函釋未依平等原則解釋所得稅法，有違</w:t>
      </w:r>
      <w:r w:rsidRPr="007B5D03">
        <w:rPr>
          <w:rFonts w:hAnsi="標楷體"/>
          <w:sz w:val="30"/>
          <w:szCs w:val="30"/>
        </w:rPr>
        <w:t>一般法律解釋原則及割裂適用法律，況</w:t>
      </w:r>
      <w:r w:rsidRPr="007B5D03">
        <w:rPr>
          <w:rFonts w:hAnsi="標楷體" w:hint="eastAsia"/>
          <w:sz w:val="30"/>
          <w:szCs w:val="30"/>
        </w:rPr>
        <w:t>且</w:t>
      </w:r>
      <w:r w:rsidRPr="007B5D03">
        <w:rPr>
          <w:rFonts w:hAnsi="標楷體"/>
          <w:sz w:val="30"/>
          <w:szCs w:val="30"/>
        </w:rPr>
        <w:t>財政部</w:t>
      </w:r>
      <w:r w:rsidRPr="007B5D03">
        <w:rPr>
          <w:sz w:val="30"/>
          <w:szCs w:val="30"/>
        </w:rPr>
        <w:t>86</w:t>
      </w:r>
      <w:r w:rsidRPr="007B5D03">
        <w:rPr>
          <w:rFonts w:hAnsi="標楷體"/>
          <w:sz w:val="30"/>
          <w:szCs w:val="30"/>
        </w:rPr>
        <w:t>年函釋亦非得以財稅差別而在本質上給予權證避險損失差別待遇，否則有違平等原則</w:t>
      </w:r>
    </w:p>
    <w:p w:rsidR="00514426" w:rsidRPr="007B5D03" w:rsidRDefault="00514426" w:rsidP="00FB2D5A">
      <w:pPr>
        <w:snapToGrid w:val="0"/>
        <w:spacing w:line="437" w:lineRule="exact"/>
        <w:ind w:left="2030" w:hanging="340"/>
        <w:rPr>
          <w:rFonts w:hAnsi="標楷體" w:hint="eastAsia"/>
          <w:sz w:val="30"/>
          <w:szCs w:val="30"/>
        </w:rPr>
      </w:pPr>
      <w:r w:rsidRPr="007B5D03">
        <w:rPr>
          <w:rFonts w:ascii="標楷體" w:hAnsi="標楷體"/>
          <w:sz w:val="30"/>
          <w:szCs w:val="30"/>
        </w:rPr>
        <w:t>1.平</w:t>
      </w:r>
      <w:r w:rsidRPr="007B5D03">
        <w:rPr>
          <w:rFonts w:hAnsi="標楷體"/>
          <w:sz w:val="30"/>
          <w:szCs w:val="30"/>
        </w:rPr>
        <w:t>等原則之內涵及違憲檢驗方法</w:t>
      </w:r>
    </w:p>
    <w:p w:rsidR="00514426" w:rsidRPr="007B5D03" w:rsidRDefault="00514426" w:rsidP="001A29FC">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按「至八十四年八月十六日台財稅第八四一六四一六三九號函說明二所引用之七十九年四月七</w:t>
      </w:r>
      <w:r w:rsidRPr="007B5D03">
        <w:rPr>
          <w:rFonts w:hAnsi="標楷體"/>
          <w:sz w:val="30"/>
          <w:szCs w:val="30"/>
        </w:rPr>
        <w:lastRenderedPageBreak/>
        <w:t>日台財稅第七八</w:t>
      </w:r>
      <w:r w:rsidRPr="007B5D03">
        <w:rPr>
          <w:rFonts w:ascii="標楷體" w:hAnsi="標楷體" w:hint="eastAsia"/>
          <w:sz w:val="30"/>
          <w:szCs w:val="30"/>
        </w:rPr>
        <w:t>０</w:t>
      </w:r>
      <w:r w:rsidRPr="007B5D03">
        <w:rPr>
          <w:rFonts w:hAnsi="標楷體"/>
          <w:sz w:val="30"/>
          <w:szCs w:val="30"/>
        </w:rPr>
        <w:t>四三二七七二號函</w:t>
      </w:r>
      <w:r w:rsidRPr="007B5D03">
        <w:rPr>
          <w:rFonts w:hAnsi="標楷體" w:hint="eastAsia"/>
          <w:sz w:val="30"/>
          <w:szCs w:val="30"/>
        </w:rPr>
        <w:t>『</w:t>
      </w:r>
      <w:r w:rsidRPr="007B5D03">
        <w:rPr>
          <w:rFonts w:hAnsi="標楷體"/>
          <w:sz w:val="30"/>
          <w:szCs w:val="30"/>
        </w:rPr>
        <w:t>因政府舉</w:t>
      </w:r>
      <w:r w:rsidRPr="007B5D03">
        <w:rPr>
          <w:rFonts w:hAnsi="標楷體"/>
          <w:spacing w:val="-4"/>
          <w:sz w:val="30"/>
          <w:szCs w:val="30"/>
        </w:rPr>
        <w:t>辦公共工程或市地重劃而徵收土地，依拆遷補償</w:t>
      </w:r>
      <w:r w:rsidRPr="007B5D03">
        <w:rPr>
          <w:rFonts w:hAnsi="標楷體"/>
          <w:sz w:val="30"/>
          <w:szCs w:val="30"/>
        </w:rPr>
        <w:t>辦法規定發給之建築改良物或農作改良物補償</w:t>
      </w:r>
      <w:r w:rsidRPr="007B5D03">
        <w:rPr>
          <w:rFonts w:hAnsi="標楷體"/>
          <w:spacing w:val="-4"/>
          <w:sz w:val="30"/>
          <w:szCs w:val="30"/>
        </w:rPr>
        <w:t>費、自行拆遷獎勵金及人口搬遷補助費，核屬損</w:t>
      </w:r>
      <w:r w:rsidRPr="007B5D03">
        <w:rPr>
          <w:rFonts w:hAnsi="標楷體"/>
          <w:sz w:val="30"/>
          <w:szCs w:val="30"/>
        </w:rPr>
        <w:t>害補償，應准免納所得稅</w:t>
      </w:r>
      <w:r w:rsidRPr="007B5D03">
        <w:rPr>
          <w:rFonts w:hAnsi="標楷體" w:hint="eastAsia"/>
          <w:sz w:val="30"/>
          <w:szCs w:val="30"/>
        </w:rPr>
        <w:t>』</w:t>
      </w:r>
      <w:r w:rsidRPr="007B5D03">
        <w:rPr>
          <w:rFonts w:hAnsi="標楷體"/>
          <w:sz w:val="30"/>
          <w:szCs w:val="30"/>
        </w:rPr>
        <w:t>，對個人與營利事業</w:t>
      </w:r>
      <w:r w:rsidRPr="007B5D03">
        <w:rPr>
          <w:rFonts w:hAnsi="標楷體"/>
          <w:spacing w:val="-4"/>
          <w:sz w:val="30"/>
          <w:szCs w:val="30"/>
        </w:rPr>
        <w:t>所領取之地上物拆遷補償費，如何繳納所得稅，為不同之處理</w:t>
      </w:r>
      <w:r w:rsidRPr="007B5D03">
        <w:rPr>
          <w:spacing w:val="-4"/>
          <w:sz w:val="30"/>
          <w:szCs w:val="30"/>
        </w:rPr>
        <w:t>……</w:t>
      </w:r>
      <w:r w:rsidRPr="007B5D03">
        <w:rPr>
          <w:rFonts w:hAnsi="標楷體"/>
          <w:spacing w:val="-4"/>
          <w:sz w:val="30"/>
          <w:szCs w:val="30"/>
        </w:rPr>
        <w:t>，乃因個人與營利事業二者之稅率、所得結構、課稅基礎、應否設帳及得否攤提折舊等均有不同，稽徵機關對於個人領取之地上物拆遷補償費，依職權就其拆遷成本採取不同之認定方式，而非將個人拆遷補償費認定為非所得，亦非對個人拆遷補償費給予法律所未規定之免稅優惠，並未針對相同規範對象給予不合理之差別待遇，核與憲法第七條規定之平等原則尚無</w:t>
      </w:r>
      <w:r w:rsidRPr="007B5D03">
        <w:rPr>
          <w:rFonts w:hAnsi="標楷體"/>
          <w:spacing w:val="-8"/>
          <w:sz w:val="30"/>
          <w:szCs w:val="30"/>
        </w:rPr>
        <w:t>不符。」、「七十八年十月三十日修正公布之土地</w:t>
      </w:r>
      <w:r w:rsidRPr="007B5D03">
        <w:rPr>
          <w:rFonts w:hAnsi="標楷體"/>
          <w:spacing w:val="-4"/>
          <w:sz w:val="30"/>
          <w:szCs w:val="30"/>
        </w:rPr>
        <w:t>稅法第三十九條之二第一項爰明定：</w:t>
      </w:r>
      <w:r w:rsidRPr="007B5D03">
        <w:rPr>
          <w:rFonts w:hAnsi="標楷體" w:hint="eastAsia"/>
          <w:spacing w:val="-4"/>
          <w:sz w:val="30"/>
          <w:szCs w:val="30"/>
        </w:rPr>
        <w:t>『</w:t>
      </w:r>
      <w:r w:rsidRPr="007B5D03">
        <w:rPr>
          <w:rFonts w:hAnsi="標楷體"/>
          <w:spacing w:val="-4"/>
          <w:sz w:val="30"/>
          <w:szCs w:val="30"/>
        </w:rPr>
        <w:t>農業用地在依法作農業使用時，移轉與自行耕作之農民繼續耕作者，免徵土地增值稅。</w:t>
      </w:r>
      <w:r w:rsidRPr="007B5D03">
        <w:rPr>
          <w:rFonts w:hAnsi="標楷體" w:hint="eastAsia"/>
          <w:spacing w:val="-4"/>
          <w:sz w:val="30"/>
          <w:szCs w:val="30"/>
        </w:rPr>
        <w:t>』</w:t>
      </w:r>
      <w:r w:rsidRPr="007B5D03">
        <w:rPr>
          <w:rFonts w:hAnsi="標楷體"/>
          <w:spacing w:val="-4"/>
          <w:sz w:val="30"/>
          <w:szCs w:val="30"/>
        </w:rPr>
        <w:t>可知此係就自行耕作之農民取得農業用地者，予以免徵土地增值稅之獎勵。此乃立法者為確保農業之永續發展，</w:t>
      </w:r>
      <w:r w:rsidRPr="007B5D03">
        <w:rPr>
          <w:rFonts w:hAnsi="標楷體"/>
          <w:sz w:val="30"/>
          <w:szCs w:val="30"/>
        </w:rPr>
        <w:t>促進農地合理利用與調整農業產業結構所為之</w:t>
      </w:r>
      <w:r w:rsidRPr="007B5D03">
        <w:rPr>
          <w:rFonts w:hAnsi="標楷體"/>
          <w:spacing w:val="-4"/>
          <w:sz w:val="30"/>
          <w:szCs w:val="30"/>
        </w:rPr>
        <w:t>租稅優惠措施，其租稅優惠之目的甚為明確，亦</w:t>
      </w:r>
      <w:r w:rsidRPr="007B5D03">
        <w:rPr>
          <w:rFonts w:hAnsi="標楷體"/>
          <w:sz w:val="30"/>
          <w:szCs w:val="30"/>
        </w:rPr>
        <w:t>有助於實現憲法第一百四十三條第四項規定之</w:t>
      </w:r>
      <w:r w:rsidRPr="007B5D03">
        <w:rPr>
          <w:rFonts w:hAnsi="標楷體"/>
          <w:spacing w:val="-4"/>
          <w:sz w:val="30"/>
          <w:szCs w:val="30"/>
        </w:rPr>
        <w:t>意旨。立法者就自行耕作之農民取得農業用地，與非自行耕作者取得農業用地間，為租稅之差別對待，具有正當理由，與目的之達成並有合理關</w:t>
      </w:r>
      <w:r w:rsidRPr="007B5D03">
        <w:rPr>
          <w:rFonts w:hAnsi="標楷體"/>
          <w:spacing w:val="-4"/>
          <w:sz w:val="30"/>
          <w:szCs w:val="30"/>
        </w:rPr>
        <w:lastRenderedPageBreak/>
        <w:t>聯，符合憲法平等原則之要求。」</w:t>
      </w:r>
      <w:r w:rsidRPr="007B5D03">
        <w:rPr>
          <w:spacing w:val="-4"/>
          <w:sz w:val="30"/>
          <w:szCs w:val="30"/>
        </w:rPr>
        <w:t xml:space="preserve">　</w:t>
      </w:r>
      <w:r w:rsidRPr="007B5D03">
        <w:rPr>
          <w:rFonts w:hAnsi="標楷體"/>
          <w:spacing w:val="-4"/>
          <w:sz w:val="30"/>
          <w:szCs w:val="30"/>
        </w:rPr>
        <w:t>鈞院分別著有釋字第</w:t>
      </w:r>
      <w:r w:rsidRPr="007B5D03">
        <w:rPr>
          <w:spacing w:val="-4"/>
          <w:sz w:val="30"/>
          <w:szCs w:val="30"/>
        </w:rPr>
        <w:t>607</w:t>
      </w:r>
      <w:r w:rsidRPr="007B5D03">
        <w:rPr>
          <w:rFonts w:hAnsi="標楷體"/>
          <w:spacing w:val="-4"/>
          <w:sz w:val="30"/>
          <w:szCs w:val="30"/>
        </w:rPr>
        <w:t>號解釋理由書、釋字第</w:t>
      </w:r>
      <w:r w:rsidRPr="007B5D03">
        <w:rPr>
          <w:spacing w:val="-4"/>
          <w:sz w:val="30"/>
          <w:szCs w:val="30"/>
        </w:rPr>
        <w:t>635</w:t>
      </w:r>
      <w:r w:rsidRPr="007B5D03">
        <w:rPr>
          <w:rFonts w:hAnsi="標楷體"/>
          <w:spacing w:val="-4"/>
          <w:sz w:val="30"/>
          <w:szCs w:val="30"/>
        </w:rPr>
        <w:t>號解釋</w:t>
      </w:r>
      <w:r w:rsidRPr="007B5D03">
        <w:rPr>
          <w:rFonts w:hAnsi="標楷體"/>
          <w:sz w:val="30"/>
          <w:szCs w:val="30"/>
        </w:rPr>
        <w:t>理由書在案可考，可知平等原則之檢驗標準有</w:t>
      </w:r>
      <w:r w:rsidRPr="007B5D03">
        <w:rPr>
          <w:rFonts w:hAnsi="標楷體"/>
          <w:spacing w:val="-4"/>
          <w:sz w:val="30"/>
          <w:szCs w:val="30"/>
        </w:rPr>
        <w:t>二，一係合目的性之審查基準，二係符合事物本質或者說是體系正義之審查基準，前者乃針對規範目的之審查，後者則依照法律體系所訂定之事務本質（基本價值決定），予以判斷是否屬同一事物之不合理差別待遇。</w:t>
      </w:r>
    </w:p>
    <w:p w:rsidR="00514426" w:rsidRPr="007B5D03" w:rsidRDefault="00053B2A" w:rsidP="00053B2A">
      <w:pPr>
        <w:snapToGrid w:val="0"/>
        <w:spacing w:line="437" w:lineRule="exact"/>
        <w:ind w:left="2342" w:hanging="357"/>
        <w:rPr>
          <w:rFonts w:hint="eastAsia"/>
          <w:sz w:val="30"/>
          <w:szCs w:val="30"/>
        </w:rPr>
      </w:pPr>
      <w:r w:rsidRPr="007B5D03">
        <w:rPr>
          <w:rFonts w:hAnsi="標楷體" w:hint="eastAsia"/>
          <w:sz w:val="30"/>
          <w:szCs w:val="30"/>
        </w:rPr>
        <w:t>(2)</w:t>
      </w:r>
      <w:r w:rsidR="00514426" w:rsidRPr="007B5D03">
        <w:rPr>
          <w:rFonts w:hAnsi="標楷體"/>
          <w:sz w:val="30"/>
          <w:szCs w:val="30"/>
        </w:rPr>
        <w:t>學者指出，在判斷平等原則之流程上，先判斷系爭法規範有無存在差別待遇之問題，亦即比較二者間是否具有可相提並論性；第二要確定差別待遇之目的，判斷其係追求實質平等的目的或無涉實質平等的政策目的；第三係追求實質平等之合目的性審查，合理關</w:t>
      </w:r>
      <w:r w:rsidR="00514426" w:rsidRPr="007B5D03">
        <w:rPr>
          <w:rFonts w:hAnsi="標楷體" w:hint="eastAsia"/>
          <w:sz w:val="30"/>
          <w:szCs w:val="30"/>
        </w:rPr>
        <w:t>聯</w:t>
      </w:r>
      <w:r w:rsidR="00514426" w:rsidRPr="007B5D03">
        <w:rPr>
          <w:rFonts w:hAnsi="標楷體"/>
          <w:sz w:val="30"/>
          <w:szCs w:val="30"/>
        </w:rPr>
        <w:t>性之審查；第四係追求無實質平等之政策目的，必須從嚴審查（附件</w:t>
      </w:r>
      <w:r w:rsidR="00514426" w:rsidRPr="007B5D03">
        <w:rPr>
          <w:sz w:val="30"/>
          <w:szCs w:val="30"/>
        </w:rPr>
        <w:t>22</w:t>
      </w:r>
      <w:r w:rsidR="00514426" w:rsidRPr="007B5D03">
        <w:rPr>
          <w:rFonts w:hAnsi="標楷體"/>
          <w:sz w:val="30"/>
          <w:szCs w:val="30"/>
        </w:rPr>
        <w:t>，許宗力，從憲法解釋看待平等原則與違憲審查，收錄於中央研究院舉辦第二</w:t>
      </w:r>
      <w:r w:rsidR="00514426" w:rsidRPr="007B5D03">
        <w:rPr>
          <w:rFonts w:hAnsi="標楷體"/>
          <w:spacing w:val="4"/>
          <w:sz w:val="30"/>
          <w:szCs w:val="30"/>
        </w:rPr>
        <w:t>屆「憲法解釋之理論與實務」學術研討會，會</w:t>
      </w:r>
      <w:r w:rsidR="00514426" w:rsidRPr="007B5D03">
        <w:rPr>
          <w:rFonts w:hAnsi="標楷體"/>
          <w:spacing w:val="-4"/>
          <w:sz w:val="30"/>
          <w:szCs w:val="30"/>
        </w:rPr>
        <w:t>議論文（一），民國八十八年，第</w:t>
      </w:r>
      <w:r w:rsidR="00514426" w:rsidRPr="007B5D03">
        <w:rPr>
          <w:spacing w:val="-4"/>
          <w:sz w:val="30"/>
          <w:szCs w:val="30"/>
        </w:rPr>
        <w:t>85</w:t>
      </w:r>
      <w:r w:rsidR="00514426" w:rsidRPr="007B5D03">
        <w:rPr>
          <w:rFonts w:hAnsi="標楷體"/>
          <w:spacing w:val="-4"/>
          <w:sz w:val="30"/>
          <w:szCs w:val="30"/>
        </w:rPr>
        <w:t>頁以下）</w:t>
      </w:r>
      <w:r w:rsidR="00514426" w:rsidRPr="007B5D03">
        <w:rPr>
          <w:rFonts w:hAnsi="標楷體" w:hint="eastAsia"/>
          <w:spacing w:val="-4"/>
          <w:sz w:val="30"/>
          <w:szCs w:val="30"/>
        </w:rPr>
        <w:t>。</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2.</w:t>
      </w:r>
      <w:r w:rsidRPr="007B5D03">
        <w:rPr>
          <w:rFonts w:ascii="標楷體" w:hAnsi="標楷體"/>
          <w:spacing w:val="-4"/>
          <w:sz w:val="30"/>
          <w:szCs w:val="30"/>
        </w:rPr>
        <w:t>從</w:t>
      </w:r>
      <w:r w:rsidRPr="007B5D03">
        <w:rPr>
          <w:rFonts w:hAnsi="標楷體"/>
          <w:spacing w:val="-4"/>
          <w:sz w:val="30"/>
          <w:szCs w:val="30"/>
        </w:rPr>
        <w:t>一法律事實、法律行為避免矛盾評價，對於權證</w:t>
      </w:r>
      <w:r w:rsidRPr="007B5D03">
        <w:rPr>
          <w:rFonts w:hAnsi="標楷體"/>
          <w:sz w:val="30"/>
          <w:szCs w:val="30"/>
        </w:rPr>
        <w:t>交易之權利金成本（避險交易損失）不准扣除，有違體系正義、平等原則，財政部</w:t>
      </w:r>
      <w:r w:rsidRPr="007B5D03">
        <w:rPr>
          <w:sz w:val="30"/>
          <w:szCs w:val="30"/>
        </w:rPr>
        <w:t>86</w:t>
      </w:r>
      <w:r w:rsidRPr="007B5D03">
        <w:rPr>
          <w:rFonts w:hAnsi="標楷體"/>
          <w:sz w:val="30"/>
          <w:szCs w:val="30"/>
        </w:rPr>
        <w:t>年函釋並未依適當法律解釋方法解釋所得稅法第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，亦有違租稅法律主義及租稅公平原則</w:t>
      </w:r>
    </w:p>
    <w:p w:rsidR="00514426" w:rsidRPr="007B5D03" w:rsidRDefault="00514426" w:rsidP="00053B2A">
      <w:pPr>
        <w:snapToGrid w:val="0"/>
        <w:spacing w:line="437" w:lineRule="exact"/>
        <w:ind w:left="2342" w:hanging="357"/>
        <w:rPr>
          <w:b/>
          <w:sz w:val="30"/>
          <w:szCs w:val="30"/>
        </w:rPr>
      </w:pPr>
      <w:r w:rsidRPr="007B5D03">
        <w:rPr>
          <w:rFonts w:hAnsi="標楷體" w:hint="eastAsia"/>
          <w:sz w:val="30"/>
          <w:szCs w:val="30"/>
        </w:rPr>
        <w:t>(1)</w:t>
      </w:r>
      <w:r w:rsidRPr="007B5D03">
        <w:rPr>
          <w:rFonts w:hAnsi="標楷體"/>
          <w:sz w:val="30"/>
          <w:szCs w:val="30"/>
        </w:rPr>
        <w:t>如前述一個法律行為不得歧異評價之法學方法</w:t>
      </w:r>
      <w:r w:rsidRPr="007B5D03">
        <w:rPr>
          <w:rFonts w:hAnsi="標楷體"/>
          <w:spacing w:val="-4"/>
          <w:sz w:val="30"/>
          <w:szCs w:val="30"/>
        </w:rPr>
        <w:t>觀點，本於體系貫徹法律價值之觀點，對一個法</w:t>
      </w:r>
      <w:r w:rsidRPr="007B5D03">
        <w:rPr>
          <w:rFonts w:hAnsi="標楷體"/>
          <w:spacing w:val="-4"/>
          <w:sz w:val="30"/>
          <w:szCs w:val="30"/>
        </w:rPr>
        <w:lastRenderedPageBreak/>
        <w:t>律事實作成無矛盾之法律評價，其本身即為實現正義原則，從憲法上之原則而論，即是平等原則</w:t>
      </w:r>
      <w:r w:rsidRPr="007B5D03">
        <w:rPr>
          <w:rFonts w:hAnsi="標楷體"/>
          <w:sz w:val="30"/>
          <w:szCs w:val="30"/>
        </w:rPr>
        <w:t>之展現。</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(2)</w:t>
      </w:r>
      <w:r w:rsidRPr="007B5D03">
        <w:rPr>
          <w:rFonts w:hAnsi="標楷體"/>
          <w:sz w:val="30"/>
          <w:szCs w:val="30"/>
        </w:rPr>
        <w:t>一個法律事實如果同時滿足二個法律規定之構</w:t>
      </w:r>
      <w:r w:rsidRPr="007B5D03">
        <w:rPr>
          <w:rFonts w:hAnsi="標楷體"/>
          <w:spacing w:val="-4"/>
          <w:sz w:val="30"/>
          <w:szCs w:val="30"/>
        </w:rPr>
        <w:t>成要件時，此際應如何進行法律適用？由於權證交易應屬一個整體法律事實、法律行為，是以適</w:t>
      </w:r>
      <w:r w:rsidRPr="007B5D03">
        <w:rPr>
          <w:rFonts w:hAnsi="標楷體"/>
          <w:sz w:val="30"/>
          <w:szCs w:val="30"/>
        </w:rPr>
        <w:t>用所得稅法第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項之規範收入成本配合</w:t>
      </w:r>
      <w:r w:rsidRPr="007B5D03">
        <w:rPr>
          <w:rFonts w:hAnsi="標楷體"/>
          <w:spacing w:val="-4"/>
          <w:sz w:val="30"/>
          <w:szCs w:val="30"/>
        </w:rPr>
        <w:t>原則，即權利金收入當可扣除避險交易成本，而所得稅法第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規定證券交易損失不得扣除應稅收入，如在權證交易案中同時適用所得稅法</w:t>
      </w:r>
      <w:r w:rsidRPr="007B5D03">
        <w:rPr>
          <w:rFonts w:hAnsi="標楷體"/>
          <w:sz w:val="30"/>
          <w:szCs w:val="30"/>
        </w:rPr>
        <w:t>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項，將會產生不能並</w:t>
      </w:r>
      <w:r w:rsidRPr="007B5D03">
        <w:rPr>
          <w:rFonts w:hAnsi="標楷體"/>
          <w:spacing w:val="-4"/>
          <w:sz w:val="30"/>
          <w:szCs w:val="30"/>
        </w:rPr>
        <w:t>存之法律效果，此際就必須討論哪一條規定必須退讓。從前面討論之所得稅法第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規範意旨及其正確解釋而論，應不包括權證避險交易之規範，本無規範競合問題，設若真有競合問題，</w:t>
      </w:r>
      <w:r w:rsidRPr="007B5D03">
        <w:rPr>
          <w:rFonts w:hAnsi="標楷體"/>
          <w:sz w:val="30"/>
          <w:szCs w:val="30"/>
        </w:rPr>
        <w:t>就應進一步探討何者為特別規定？良以所得稅</w:t>
      </w:r>
      <w:r w:rsidRPr="007B5D03">
        <w:rPr>
          <w:rFonts w:hAnsi="標楷體"/>
          <w:spacing w:val="2"/>
          <w:sz w:val="30"/>
          <w:szCs w:val="30"/>
        </w:rPr>
        <w:t>法第</w:t>
      </w:r>
      <w:r w:rsidRPr="007B5D03">
        <w:rPr>
          <w:spacing w:val="2"/>
          <w:sz w:val="30"/>
          <w:szCs w:val="30"/>
        </w:rPr>
        <w:t>4</w:t>
      </w:r>
      <w:r w:rsidRPr="007B5D03">
        <w:rPr>
          <w:rFonts w:hAnsi="標楷體"/>
          <w:spacing w:val="2"/>
          <w:sz w:val="30"/>
          <w:szCs w:val="30"/>
        </w:rPr>
        <w:t>條之</w:t>
      </w:r>
      <w:r w:rsidRPr="007B5D03">
        <w:rPr>
          <w:spacing w:val="2"/>
          <w:sz w:val="30"/>
          <w:szCs w:val="30"/>
        </w:rPr>
        <w:t>1</w:t>
      </w:r>
      <w:r w:rsidRPr="007B5D03">
        <w:rPr>
          <w:rFonts w:hAnsi="標楷體"/>
          <w:spacing w:val="2"/>
          <w:sz w:val="30"/>
          <w:szCs w:val="30"/>
        </w:rPr>
        <w:t>在應稅收入對應之成本費用問題上，顯然無明示其係所得稅法第</w:t>
      </w:r>
      <w:r w:rsidRPr="007B5D03">
        <w:rPr>
          <w:spacing w:val="2"/>
          <w:sz w:val="30"/>
          <w:szCs w:val="30"/>
        </w:rPr>
        <w:t>24</w:t>
      </w:r>
      <w:r w:rsidRPr="007B5D03">
        <w:rPr>
          <w:rFonts w:hAnsi="標楷體"/>
          <w:spacing w:val="2"/>
          <w:sz w:val="30"/>
          <w:szCs w:val="30"/>
        </w:rPr>
        <w:t>條第</w:t>
      </w:r>
      <w:r w:rsidRPr="007B5D03">
        <w:rPr>
          <w:spacing w:val="2"/>
          <w:sz w:val="30"/>
          <w:szCs w:val="30"/>
        </w:rPr>
        <w:t>1</w:t>
      </w:r>
      <w:r w:rsidRPr="007B5D03">
        <w:rPr>
          <w:rFonts w:hAnsi="標楷體"/>
          <w:spacing w:val="2"/>
          <w:sz w:val="30"/>
          <w:szCs w:val="30"/>
        </w:rPr>
        <w:t>項之</w:t>
      </w:r>
      <w:r w:rsidRPr="007B5D03">
        <w:rPr>
          <w:rFonts w:hAnsi="標楷體"/>
          <w:spacing w:val="-4"/>
          <w:sz w:val="30"/>
          <w:szCs w:val="30"/>
        </w:rPr>
        <w:t>特別規定，故自評價整體權證交易僅能有一個法律評價之觀點，自不能僅以避險證券交易損失單</w:t>
      </w:r>
      <w:r w:rsidRPr="007B5D03">
        <w:rPr>
          <w:rFonts w:hAnsi="標楷體"/>
          <w:sz w:val="30"/>
          <w:szCs w:val="30"/>
        </w:rPr>
        <w:t>獨評價，而係以所得稅法第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項規定加</w:t>
      </w:r>
      <w:r w:rsidRPr="007B5D03">
        <w:rPr>
          <w:rFonts w:hAnsi="標楷體"/>
          <w:spacing w:val="-4"/>
          <w:sz w:val="30"/>
          <w:szCs w:val="30"/>
        </w:rPr>
        <w:t>以整體評價，方為正辦。</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(3)</w:t>
      </w:r>
      <w:r w:rsidRPr="007B5D03">
        <w:rPr>
          <w:rFonts w:hAnsi="標楷體"/>
          <w:sz w:val="30"/>
          <w:szCs w:val="30"/>
        </w:rPr>
        <w:t>承上，</w:t>
      </w:r>
      <w:r w:rsidRPr="007B5D03">
        <w:rPr>
          <w:rFonts w:hAnsi="標楷體"/>
          <w:spacing w:val="-4"/>
          <w:sz w:val="30"/>
          <w:szCs w:val="30"/>
        </w:rPr>
        <w:t>財政部</w:t>
      </w:r>
      <w:r w:rsidRPr="007B5D03">
        <w:rPr>
          <w:sz w:val="30"/>
          <w:szCs w:val="30"/>
        </w:rPr>
        <w:t>86</w:t>
      </w:r>
      <w:r w:rsidRPr="007B5D03">
        <w:rPr>
          <w:rFonts w:hAnsi="標楷體"/>
          <w:sz w:val="30"/>
          <w:szCs w:val="30"/>
        </w:rPr>
        <w:t>年函釋即是僅以所得稅法第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後段「證券交易損失亦不得自所得額中減除」之規定孤立解釋，先未整體解釋所得稅法第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適用範圍係以免稅收入對應之成本費用</w:t>
      </w:r>
      <w:r w:rsidRPr="007B5D03">
        <w:rPr>
          <w:rFonts w:hAnsi="標楷體"/>
          <w:spacing w:val="-4"/>
          <w:sz w:val="30"/>
          <w:szCs w:val="30"/>
        </w:rPr>
        <w:lastRenderedPageBreak/>
        <w:t>為前提，又未顧慮此一解釋造成同一法律事實不同評價之狀態，復未檢討所得稅法第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何</w:t>
      </w:r>
      <w:r w:rsidRPr="007B5D03">
        <w:rPr>
          <w:rFonts w:hAnsi="標楷體"/>
          <w:sz w:val="30"/>
          <w:szCs w:val="30"/>
        </w:rPr>
        <w:t>以在本案中形成對第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項之特別規定，</w:t>
      </w:r>
      <w:r w:rsidRPr="007B5D03">
        <w:rPr>
          <w:rFonts w:hAnsi="標楷體"/>
          <w:spacing w:val="-4"/>
          <w:sz w:val="30"/>
          <w:szCs w:val="30"/>
        </w:rPr>
        <w:t>實有未依法律妥適解釋並有違反法律意旨，當有</w:t>
      </w:r>
      <w:r w:rsidRPr="007B5D03">
        <w:rPr>
          <w:rFonts w:hAnsi="標楷體"/>
          <w:sz w:val="30"/>
          <w:szCs w:val="30"/>
        </w:rPr>
        <w:t>違反體系正義、稅捐正義、平等原則。</w:t>
      </w:r>
    </w:p>
    <w:p w:rsidR="00514426" w:rsidRPr="007B5D03" w:rsidRDefault="00514426" w:rsidP="00053B2A">
      <w:pPr>
        <w:snapToGrid w:val="0"/>
        <w:spacing w:line="437" w:lineRule="exact"/>
        <w:ind w:left="1974" w:hanging="284"/>
        <w:rPr>
          <w:sz w:val="30"/>
          <w:szCs w:val="30"/>
        </w:rPr>
      </w:pPr>
      <w:r w:rsidRPr="007B5D03">
        <w:rPr>
          <w:rFonts w:ascii="標楷體" w:hAnsi="標楷體"/>
          <w:sz w:val="30"/>
          <w:szCs w:val="30"/>
        </w:rPr>
        <w:t>3.財</w:t>
      </w:r>
      <w:r w:rsidRPr="007B5D03">
        <w:rPr>
          <w:rFonts w:hAnsi="標楷體"/>
          <w:sz w:val="30"/>
          <w:szCs w:val="30"/>
        </w:rPr>
        <w:t>政部</w:t>
      </w:r>
      <w:r w:rsidRPr="007B5D03">
        <w:rPr>
          <w:sz w:val="30"/>
          <w:szCs w:val="30"/>
        </w:rPr>
        <w:t>86</w:t>
      </w:r>
      <w:r w:rsidRPr="007B5D03">
        <w:rPr>
          <w:rFonts w:hAnsi="標楷體"/>
          <w:sz w:val="30"/>
          <w:szCs w:val="30"/>
        </w:rPr>
        <w:t>年函釋未依體系正義進行適當之法律補充</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立法者在制定所得稅法第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時，未能預見權證商品之出現，縱所得稅法第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後段之</w:t>
      </w:r>
      <w:r w:rsidRPr="007B5D03">
        <w:rPr>
          <w:rFonts w:hAnsi="標楷體"/>
          <w:spacing w:val="-4"/>
          <w:sz w:val="30"/>
          <w:szCs w:val="30"/>
        </w:rPr>
        <w:t>文義可單獨適用於權證避險交易損失，亦有形成演變式體系違反之法律漏洞，本於上開認識，行為時法令對於權證交易實未有妥適規範，且所得</w:t>
      </w:r>
      <w:r w:rsidRPr="007B5D03">
        <w:rPr>
          <w:rFonts w:hAnsi="標楷體"/>
          <w:sz w:val="30"/>
          <w:szCs w:val="30"/>
        </w:rPr>
        <w:t>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並不構成法律依據，此際即有賴財稅主管機關或法院本於憲法及法律意旨進行適當之法律補充，始符合體系正義。</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(2)</w:t>
      </w:r>
      <w:r w:rsidRPr="007B5D03">
        <w:rPr>
          <w:rFonts w:hAnsi="標楷體"/>
          <w:spacing w:val="4"/>
          <w:sz w:val="30"/>
          <w:szCs w:val="30"/>
        </w:rPr>
        <w:t>惟查財政部</w:t>
      </w:r>
      <w:r w:rsidRPr="007B5D03">
        <w:rPr>
          <w:spacing w:val="4"/>
          <w:sz w:val="30"/>
          <w:szCs w:val="30"/>
        </w:rPr>
        <w:t>86</w:t>
      </w:r>
      <w:r w:rsidRPr="007B5D03">
        <w:rPr>
          <w:rFonts w:hAnsi="標楷體"/>
          <w:spacing w:val="4"/>
          <w:sz w:val="30"/>
          <w:szCs w:val="30"/>
        </w:rPr>
        <w:t>年函釋對權證交易拆解為數行</w:t>
      </w:r>
      <w:r w:rsidRPr="007B5D03">
        <w:rPr>
          <w:rFonts w:hAnsi="標楷體"/>
          <w:spacing w:val="-4"/>
          <w:sz w:val="30"/>
          <w:szCs w:val="30"/>
        </w:rPr>
        <w:t>為，並對其中避險交易認屬證券交易行為，誤認立法者對權證交易已有意識加以規範，引用所得</w:t>
      </w:r>
      <w:r w:rsidRPr="007B5D03">
        <w:rPr>
          <w:rFonts w:hAnsi="標楷體"/>
          <w:sz w:val="30"/>
          <w:szCs w:val="30"/>
        </w:rPr>
        <w:t>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作為法律依據，誠已誤認無法律</w:t>
      </w:r>
      <w:r w:rsidRPr="007B5D03">
        <w:rPr>
          <w:rFonts w:hAnsi="標楷體"/>
          <w:spacing w:val="-4"/>
          <w:sz w:val="30"/>
          <w:szCs w:val="30"/>
        </w:rPr>
        <w:t>漏洞在先，所為解釋之妥當性自有所疑。縱然以</w:t>
      </w: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後段文義孤立觀察時，似乎</w:t>
      </w:r>
      <w:r w:rsidRPr="007B5D03">
        <w:rPr>
          <w:rFonts w:hAnsi="標楷體"/>
          <w:spacing w:val="-4"/>
          <w:sz w:val="30"/>
          <w:szCs w:val="30"/>
        </w:rPr>
        <w:t>對所有證券交易損失均不得扣除應稅收入，但基於對不同案件為不同處理之要求，對於所得稅法</w:t>
      </w:r>
      <w:r w:rsidRPr="007B5D03">
        <w:rPr>
          <w:rFonts w:hAnsi="標楷體"/>
          <w:sz w:val="30"/>
          <w:szCs w:val="30"/>
        </w:rPr>
        <w:t>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亦有作成限縮解釋或目的性限縮之必要，但正本清源之道在於，所得稅法第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之構成要件係針對免稅證券交易收入對應之</w:t>
      </w:r>
      <w:r w:rsidRPr="007B5D03">
        <w:rPr>
          <w:rFonts w:hAnsi="標楷體"/>
          <w:sz w:val="30"/>
          <w:szCs w:val="30"/>
        </w:rPr>
        <w:lastRenderedPageBreak/>
        <w:t>成</w:t>
      </w:r>
      <w:r w:rsidRPr="007B5D03">
        <w:rPr>
          <w:rFonts w:hAnsi="標楷體"/>
          <w:spacing w:val="-4"/>
          <w:sz w:val="30"/>
          <w:szCs w:val="30"/>
        </w:rPr>
        <w:t>本費用不得扣減應稅收入，至於對於應稅權利金收入之避險交易損失，絕不是屬於所得稅法第</w:t>
      </w:r>
      <w:r w:rsidRPr="007B5D03">
        <w:rPr>
          <w:spacing w:val="-4"/>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規範範圍。如真顧慮所得稅法第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pacing w:val="-4"/>
          <w:sz w:val="30"/>
          <w:szCs w:val="30"/>
        </w:rPr>
        <w:t>後段之可能文義包含避險交易時，亦應依照平等原則、體系正義作成適當之補充，從而，財政部</w:t>
      </w:r>
      <w:r w:rsidRPr="007B5D03">
        <w:rPr>
          <w:sz w:val="30"/>
          <w:szCs w:val="30"/>
        </w:rPr>
        <w:t>86</w:t>
      </w:r>
      <w:r w:rsidRPr="007B5D03">
        <w:rPr>
          <w:rFonts w:hAnsi="標楷體"/>
          <w:sz w:val="30"/>
          <w:szCs w:val="30"/>
        </w:rPr>
        <w:t>年函釋未作適當處理，當有違反平等原則之疑慮。</w:t>
      </w:r>
    </w:p>
    <w:p w:rsidR="00514426" w:rsidRPr="007B5D03" w:rsidRDefault="00514426" w:rsidP="00053B2A">
      <w:pPr>
        <w:snapToGrid w:val="0"/>
        <w:spacing w:line="437" w:lineRule="exact"/>
        <w:ind w:left="1974" w:hanging="284"/>
        <w:rPr>
          <w:b/>
          <w:sz w:val="30"/>
          <w:szCs w:val="30"/>
        </w:rPr>
      </w:pPr>
      <w:r w:rsidRPr="007B5D03">
        <w:rPr>
          <w:rFonts w:ascii="標楷體" w:hAnsi="標楷體"/>
          <w:sz w:val="30"/>
          <w:szCs w:val="30"/>
        </w:rPr>
        <w:t>4.財</w:t>
      </w:r>
      <w:r w:rsidRPr="007B5D03">
        <w:rPr>
          <w:rFonts w:hAnsi="標楷體"/>
          <w:sz w:val="30"/>
          <w:szCs w:val="30"/>
        </w:rPr>
        <w:t>政部</w:t>
      </w:r>
      <w:r w:rsidRPr="007B5D03">
        <w:rPr>
          <w:sz w:val="30"/>
          <w:szCs w:val="30"/>
        </w:rPr>
        <w:t>86</w:t>
      </w:r>
      <w:r w:rsidRPr="007B5D03">
        <w:rPr>
          <w:rFonts w:hAnsi="標楷體"/>
          <w:sz w:val="30"/>
          <w:szCs w:val="30"/>
        </w:rPr>
        <w:t>年函釋非得基於財稅差異而給予差別待遇</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按「Ａ、按現行所得稅法在營利事業所得稅之課</w:t>
      </w:r>
      <w:r w:rsidRPr="007B5D03">
        <w:rPr>
          <w:rFonts w:hAnsi="標楷體"/>
          <w:spacing w:val="-4"/>
          <w:sz w:val="30"/>
          <w:szCs w:val="30"/>
        </w:rPr>
        <w:t>徵上，其稅基之計算，是建立在財務會計上，只有在所得稅法令有特別規定時（例如交際費支出</w:t>
      </w:r>
      <w:r w:rsidRPr="007B5D03">
        <w:rPr>
          <w:rFonts w:hAnsi="標楷體"/>
          <w:sz w:val="30"/>
          <w:szCs w:val="30"/>
        </w:rPr>
        <w:t>在財務會計上雖予承認，但在稅法上有限額限</w:t>
      </w:r>
      <w:r w:rsidRPr="007B5D03">
        <w:rPr>
          <w:rFonts w:hAnsi="標楷體"/>
          <w:spacing w:val="-4"/>
          <w:sz w:val="30"/>
          <w:szCs w:val="30"/>
        </w:rPr>
        <w:t>制，因此必須剔除超限部分，如此一來會造成稅基增加之結果）才進行</w:t>
      </w:r>
      <w:r w:rsidRPr="007B5D03">
        <w:rPr>
          <w:rFonts w:hAnsi="標楷體" w:hint="eastAsia"/>
          <w:spacing w:val="-4"/>
          <w:sz w:val="30"/>
          <w:szCs w:val="30"/>
        </w:rPr>
        <w:t>『</w:t>
      </w:r>
      <w:r w:rsidRPr="007B5D03">
        <w:rPr>
          <w:rFonts w:hAnsi="標楷體"/>
          <w:spacing w:val="-4"/>
          <w:sz w:val="30"/>
          <w:szCs w:val="30"/>
        </w:rPr>
        <w:t>帳外調整</w:t>
      </w:r>
      <w:r w:rsidRPr="007B5D03">
        <w:rPr>
          <w:rFonts w:hAnsi="標楷體" w:hint="eastAsia"/>
          <w:spacing w:val="-4"/>
          <w:sz w:val="30"/>
          <w:szCs w:val="30"/>
        </w:rPr>
        <w:t>』</w:t>
      </w:r>
      <w:r w:rsidRPr="007B5D03">
        <w:rPr>
          <w:rFonts w:hAnsi="標楷體"/>
          <w:spacing w:val="-4"/>
          <w:sz w:val="30"/>
          <w:szCs w:val="30"/>
        </w:rPr>
        <w:t>，故稅捐稽徵實務上常言及</w:t>
      </w:r>
      <w:r w:rsidRPr="007B5D03">
        <w:rPr>
          <w:rFonts w:hAnsi="標楷體" w:hint="eastAsia"/>
          <w:spacing w:val="-4"/>
          <w:sz w:val="30"/>
          <w:szCs w:val="30"/>
        </w:rPr>
        <w:t>『</w:t>
      </w:r>
      <w:r w:rsidRPr="007B5D03">
        <w:rPr>
          <w:rFonts w:hAnsi="標楷體"/>
          <w:spacing w:val="-4"/>
          <w:sz w:val="30"/>
          <w:szCs w:val="30"/>
        </w:rPr>
        <w:t>稅上或財上</w:t>
      </w:r>
      <w:r w:rsidRPr="007B5D03">
        <w:rPr>
          <w:rFonts w:hAnsi="標楷體" w:hint="eastAsia"/>
          <w:spacing w:val="-4"/>
          <w:sz w:val="30"/>
          <w:szCs w:val="30"/>
        </w:rPr>
        <w:t>』</w:t>
      </w:r>
      <w:r w:rsidRPr="007B5D03">
        <w:rPr>
          <w:rFonts w:hAnsi="標楷體"/>
          <w:spacing w:val="-4"/>
          <w:sz w:val="30"/>
          <w:szCs w:val="30"/>
        </w:rPr>
        <w:t>間之調整，其道理即在於此，而其相關之法規範有：</w:t>
      </w:r>
      <w:r w:rsidRPr="007B5D03">
        <w:rPr>
          <w:rFonts w:hAnsi="標楷體" w:hint="eastAsia"/>
          <w:spacing w:val="-4"/>
          <w:sz w:val="30"/>
          <w:szCs w:val="30"/>
        </w:rPr>
        <w:t>1</w:t>
      </w:r>
      <w:r w:rsidRPr="007B5D03">
        <w:rPr>
          <w:rFonts w:hAnsi="標楷體"/>
          <w:spacing w:val="-4"/>
          <w:sz w:val="30"/>
          <w:szCs w:val="30"/>
        </w:rPr>
        <w:t>、商業會計法第一條第一項：商業會計事務之處理依本法之規定。</w:t>
      </w:r>
      <w:r w:rsidRPr="007B5D03">
        <w:rPr>
          <w:rFonts w:hAnsi="標楷體" w:hint="eastAsia"/>
          <w:spacing w:val="-4"/>
          <w:sz w:val="30"/>
          <w:szCs w:val="30"/>
        </w:rPr>
        <w:t>2</w:t>
      </w:r>
      <w:r w:rsidRPr="007B5D03">
        <w:rPr>
          <w:rFonts w:hAnsi="標楷體"/>
          <w:spacing w:val="-4"/>
          <w:sz w:val="30"/>
          <w:szCs w:val="30"/>
        </w:rPr>
        <w:t>、商業會計法第二條第一項：本法所稱之商業謂以營利為目的之事業，其範圍依商業登記法、公司法及其他法律之規定。</w:t>
      </w:r>
      <w:r w:rsidRPr="007B5D03">
        <w:rPr>
          <w:rFonts w:hAnsi="標楷體" w:hint="eastAsia"/>
          <w:spacing w:val="-4"/>
          <w:sz w:val="30"/>
          <w:szCs w:val="30"/>
        </w:rPr>
        <w:t>3</w:t>
      </w:r>
      <w:r w:rsidRPr="007B5D03">
        <w:rPr>
          <w:rFonts w:hAnsi="標楷體"/>
          <w:spacing w:val="-4"/>
          <w:sz w:val="30"/>
          <w:szCs w:val="30"/>
        </w:rPr>
        <w:t>、營利事業所得稅查核準則第二條第二項：營利事業之會計事項，應參照商業會計法及財務會計準則公報等據實記載，產生其財務報表。至辦理所得稅結</w:t>
      </w:r>
      <w:r w:rsidRPr="007B5D03">
        <w:rPr>
          <w:rFonts w:hAnsi="標楷體"/>
          <w:sz w:val="30"/>
          <w:szCs w:val="30"/>
        </w:rPr>
        <w:t>算申報或核課所得稅時，其帳載事項與所得稅</w:t>
      </w:r>
      <w:r w:rsidRPr="007B5D03">
        <w:rPr>
          <w:rFonts w:hAnsi="標楷體"/>
          <w:spacing w:val="-4"/>
          <w:sz w:val="30"/>
          <w:szCs w:val="30"/>
        </w:rPr>
        <w:t>法、所得稅法施行細則、促進產業升級條例、促進產業升級</w:t>
      </w:r>
      <w:r w:rsidRPr="007B5D03">
        <w:rPr>
          <w:rFonts w:hAnsi="標楷體"/>
          <w:spacing w:val="-4"/>
          <w:sz w:val="30"/>
          <w:szCs w:val="30"/>
        </w:rPr>
        <w:lastRenderedPageBreak/>
        <w:t>條例施行細則、中小企業發展條例，本準則暨有關法令之規定未符者，均應於申報書內自行調整之。</w:t>
      </w:r>
      <w:r w:rsidRPr="007B5D03">
        <w:rPr>
          <w:rFonts w:hAnsi="標楷體" w:hint="eastAsia"/>
          <w:spacing w:val="-4"/>
          <w:sz w:val="30"/>
          <w:szCs w:val="30"/>
        </w:rPr>
        <w:t>4</w:t>
      </w:r>
      <w:r w:rsidRPr="007B5D03">
        <w:rPr>
          <w:rFonts w:hAnsi="標楷體"/>
          <w:spacing w:val="-4"/>
          <w:sz w:val="30"/>
          <w:szCs w:val="30"/>
        </w:rPr>
        <w:t>、商業會計處理準則第二條：商業會計事務之處理，應依本法、本準則及有關法令辦理；其未規定者，依照一般公認會計原則辦理。Ｂ、在此法理基礎下，現行營利事業所得稅結算申報書上，其左側之</w:t>
      </w:r>
      <w:r w:rsidRPr="007B5D03">
        <w:rPr>
          <w:rFonts w:hAnsi="標楷體" w:hint="eastAsia"/>
          <w:spacing w:val="-4"/>
          <w:sz w:val="30"/>
          <w:szCs w:val="30"/>
        </w:rPr>
        <w:t>『</w:t>
      </w:r>
      <w:r w:rsidRPr="007B5D03">
        <w:rPr>
          <w:rFonts w:hAnsi="標楷體"/>
          <w:spacing w:val="-4"/>
          <w:sz w:val="30"/>
          <w:szCs w:val="30"/>
        </w:rPr>
        <w:t>帳載結算金額</w:t>
      </w:r>
      <w:r w:rsidRPr="007B5D03">
        <w:rPr>
          <w:rFonts w:hAnsi="標楷體" w:hint="eastAsia"/>
          <w:spacing w:val="-4"/>
          <w:sz w:val="30"/>
          <w:szCs w:val="30"/>
        </w:rPr>
        <w:t>』</w:t>
      </w:r>
      <w:r w:rsidRPr="007B5D03">
        <w:rPr>
          <w:rFonts w:hAnsi="標楷體"/>
          <w:spacing w:val="-4"/>
          <w:sz w:val="30"/>
          <w:szCs w:val="30"/>
        </w:rPr>
        <w:t>乃是財務會計下之稅前盈餘，右側之</w:t>
      </w:r>
      <w:r w:rsidRPr="007B5D03">
        <w:rPr>
          <w:rFonts w:hAnsi="標楷體" w:hint="eastAsia"/>
          <w:spacing w:val="-4"/>
          <w:sz w:val="30"/>
          <w:szCs w:val="30"/>
        </w:rPr>
        <w:t>『</w:t>
      </w:r>
      <w:r w:rsidRPr="007B5D03">
        <w:rPr>
          <w:rFonts w:hAnsi="標楷體"/>
          <w:spacing w:val="-4"/>
          <w:sz w:val="30"/>
          <w:szCs w:val="30"/>
        </w:rPr>
        <w:t>自行依法調整後金額</w:t>
      </w:r>
      <w:r w:rsidRPr="007B5D03">
        <w:rPr>
          <w:rFonts w:hAnsi="標楷體" w:hint="eastAsia"/>
          <w:spacing w:val="-4"/>
          <w:sz w:val="30"/>
          <w:szCs w:val="30"/>
        </w:rPr>
        <w:t>』</w:t>
      </w:r>
      <w:r w:rsidRPr="007B5D03">
        <w:rPr>
          <w:rFonts w:hAnsi="標楷體"/>
          <w:spacing w:val="-4"/>
          <w:sz w:val="30"/>
          <w:szCs w:val="30"/>
        </w:rPr>
        <w:t>則是依稅法</w:t>
      </w:r>
      <w:r w:rsidRPr="007B5D03">
        <w:rPr>
          <w:rFonts w:hAnsi="標楷體" w:hint="eastAsia"/>
          <w:spacing w:val="-4"/>
          <w:sz w:val="30"/>
          <w:szCs w:val="30"/>
        </w:rPr>
        <w:t>『</w:t>
      </w:r>
      <w:r w:rsidRPr="007B5D03">
        <w:rPr>
          <w:rFonts w:hAnsi="標楷體"/>
          <w:spacing w:val="-4"/>
          <w:sz w:val="30"/>
          <w:szCs w:val="30"/>
        </w:rPr>
        <w:t>帳外調整</w:t>
      </w:r>
      <w:r w:rsidRPr="007B5D03">
        <w:rPr>
          <w:rFonts w:hAnsi="標楷體" w:hint="eastAsia"/>
          <w:spacing w:val="-4"/>
          <w:sz w:val="30"/>
          <w:szCs w:val="30"/>
        </w:rPr>
        <w:t>』</w:t>
      </w:r>
      <w:r w:rsidRPr="007B5D03">
        <w:rPr>
          <w:rFonts w:hAnsi="標楷體"/>
          <w:spacing w:val="-4"/>
          <w:sz w:val="30"/>
          <w:szCs w:val="30"/>
        </w:rPr>
        <w:t>後之課稅所</w:t>
      </w:r>
      <w:r w:rsidRPr="007B5D03">
        <w:rPr>
          <w:rFonts w:hAnsi="標楷體"/>
          <w:sz w:val="30"/>
          <w:szCs w:val="30"/>
        </w:rPr>
        <w:t>得稅基。」此有臺北高等行政法院</w:t>
      </w:r>
      <w:r w:rsidRPr="007B5D03">
        <w:rPr>
          <w:sz w:val="30"/>
          <w:szCs w:val="30"/>
        </w:rPr>
        <w:t>92</w:t>
      </w:r>
      <w:r w:rsidRPr="007B5D03">
        <w:rPr>
          <w:rFonts w:hAnsi="標楷體"/>
          <w:sz w:val="30"/>
          <w:szCs w:val="30"/>
        </w:rPr>
        <w:t>年度訴字</w:t>
      </w:r>
      <w:r w:rsidRPr="007B5D03">
        <w:rPr>
          <w:rFonts w:hAnsi="標楷體"/>
          <w:spacing w:val="-4"/>
          <w:sz w:val="30"/>
          <w:szCs w:val="30"/>
        </w:rPr>
        <w:t>第</w:t>
      </w:r>
      <w:r w:rsidRPr="007B5D03">
        <w:rPr>
          <w:spacing w:val="-4"/>
          <w:sz w:val="30"/>
          <w:szCs w:val="30"/>
        </w:rPr>
        <w:t>4555</w:t>
      </w:r>
      <w:r w:rsidRPr="007B5D03">
        <w:rPr>
          <w:rFonts w:hAnsi="標楷體"/>
          <w:spacing w:val="-4"/>
          <w:sz w:val="30"/>
          <w:szCs w:val="30"/>
        </w:rPr>
        <w:t>號判決可稽（附件</w:t>
      </w:r>
      <w:r w:rsidRPr="007B5D03">
        <w:rPr>
          <w:spacing w:val="-4"/>
          <w:sz w:val="30"/>
          <w:szCs w:val="30"/>
        </w:rPr>
        <w:t>23</w:t>
      </w:r>
      <w:r w:rsidRPr="007B5D03">
        <w:rPr>
          <w:rFonts w:hAnsi="標楷體"/>
          <w:spacing w:val="-4"/>
          <w:sz w:val="30"/>
          <w:szCs w:val="30"/>
        </w:rPr>
        <w:t>）</w:t>
      </w:r>
      <w:r w:rsidRPr="007B5D03">
        <w:rPr>
          <w:rFonts w:hAnsi="標楷體"/>
          <w:sz w:val="30"/>
          <w:szCs w:val="30"/>
        </w:rPr>
        <w:t>。</w:t>
      </w:r>
    </w:p>
    <w:p w:rsidR="00514426" w:rsidRPr="007B5D03" w:rsidRDefault="00514426" w:rsidP="00053B2A">
      <w:pPr>
        <w:snapToGrid w:val="0"/>
        <w:spacing w:line="437" w:lineRule="exact"/>
        <w:ind w:left="2342" w:hanging="357"/>
        <w:rPr>
          <w:sz w:val="30"/>
          <w:szCs w:val="30"/>
        </w:rPr>
      </w:pPr>
      <w:r w:rsidRPr="007B5D03">
        <w:rPr>
          <w:rFonts w:hAnsi="標楷體" w:hint="eastAsia"/>
          <w:sz w:val="30"/>
          <w:szCs w:val="30"/>
        </w:rPr>
        <w:t>(2)</w:t>
      </w:r>
      <w:r w:rsidRPr="007B5D03">
        <w:rPr>
          <w:rFonts w:hAnsi="標楷體"/>
          <w:sz w:val="30"/>
          <w:szCs w:val="30"/>
        </w:rPr>
        <w:t>是所謂財稅差異係指在所得稅法等法律或法規</w:t>
      </w:r>
      <w:r w:rsidRPr="007B5D03">
        <w:rPr>
          <w:rFonts w:hAnsi="標楷體"/>
          <w:spacing w:val="-4"/>
          <w:sz w:val="30"/>
          <w:szCs w:val="30"/>
        </w:rPr>
        <w:t>命令有相關規定下，才與財務會計異其處理，類型上包括永久性差異與暫時性差異。其中「永久性差異」</w:t>
      </w:r>
      <w:r w:rsidRPr="007B5D03">
        <w:rPr>
          <w:spacing w:val="-4"/>
          <w:sz w:val="30"/>
          <w:szCs w:val="30"/>
        </w:rPr>
        <w:t>100</w:t>
      </w:r>
      <w:r w:rsidRPr="007B5D03">
        <w:rPr>
          <w:rFonts w:hAnsi="標楷體"/>
          <w:spacing w:val="-4"/>
          <w:sz w:val="30"/>
          <w:szCs w:val="30"/>
        </w:rPr>
        <w:t>元，乃是指「財務會計」認列之交際費，其中之</w:t>
      </w:r>
      <w:r w:rsidRPr="007B5D03">
        <w:rPr>
          <w:spacing w:val="-4"/>
          <w:sz w:val="30"/>
          <w:szCs w:val="30"/>
        </w:rPr>
        <w:t>100</w:t>
      </w:r>
      <w:r w:rsidRPr="007B5D03">
        <w:rPr>
          <w:rFonts w:hAnsi="標楷體"/>
          <w:spacing w:val="-4"/>
          <w:sz w:val="30"/>
          <w:szCs w:val="30"/>
        </w:rPr>
        <w:t>元超過了稅法所定之限額，而遭剔除，因此納稅義務人多出了</w:t>
      </w:r>
      <w:r w:rsidRPr="007B5D03">
        <w:rPr>
          <w:spacing w:val="-4"/>
          <w:sz w:val="30"/>
          <w:szCs w:val="30"/>
        </w:rPr>
        <w:t>100</w:t>
      </w:r>
      <w:r w:rsidRPr="007B5D03">
        <w:rPr>
          <w:rFonts w:hAnsi="標楷體"/>
          <w:spacing w:val="-4"/>
          <w:sz w:val="30"/>
          <w:szCs w:val="30"/>
        </w:rPr>
        <w:t>元之盈餘。此項費用遭剔除，對其往後之財務也不生任何影響，因此為「永久性差異」；其中之「暫時性差異」</w:t>
      </w:r>
      <w:r w:rsidRPr="007B5D03">
        <w:rPr>
          <w:spacing w:val="-4"/>
          <w:sz w:val="30"/>
          <w:szCs w:val="30"/>
        </w:rPr>
        <w:t>100</w:t>
      </w:r>
      <w:r w:rsidRPr="007B5D03">
        <w:rPr>
          <w:rFonts w:hAnsi="標楷體"/>
          <w:spacing w:val="-4"/>
          <w:sz w:val="30"/>
          <w:szCs w:val="30"/>
        </w:rPr>
        <w:t>元，乃是指「財務會計」規定之「固定資產攤提年限」較「稅務會計」規定之「固定資</w:t>
      </w:r>
      <w:r w:rsidRPr="007B5D03">
        <w:rPr>
          <w:rFonts w:hAnsi="標楷體"/>
          <w:spacing w:val="-8"/>
          <w:sz w:val="30"/>
          <w:szCs w:val="30"/>
        </w:rPr>
        <w:t>產攤提年限」為短（每一年度攤提之金額較高），</w:t>
      </w:r>
      <w:r w:rsidRPr="007B5D03">
        <w:rPr>
          <w:rFonts w:hAnsi="標楷體"/>
          <w:sz w:val="30"/>
          <w:szCs w:val="30"/>
        </w:rPr>
        <w:t>因此當年度攤提折舊之金額有</w:t>
      </w:r>
      <w:r w:rsidRPr="007B5D03">
        <w:rPr>
          <w:sz w:val="30"/>
          <w:szCs w:val="30"/>
        </w:rPr>
        <w:t>100</w:t>
      </w:r>
      <w:r w:rsidRPr="007B5D03">
        <w:rPr>
          <w:rFonts w:hAnsi="標楷體"/>
          <w:sz w:val="30"/>
          <w:szCs w:val="30"/>
        </w:rPr>
        <w:t>元在稅務會</w:t>
      </w:r>
      <w:r w:rsidRPr="007B5D03">
        <w:rPr>
          <w:rFonts w:hAnsi="標楷體"/>
          <w:spacing w:val="-4"/>
          <w:sz w:val="30"/>
          <w:szCs w:val="30"/>
        </w:rPr>
        <w:t>計不予承認，因此納稅義務人在當年度多出了</w:t>
      </w:r>
      <w:r w:rsidRPr="007B5D03">
        <w:rPr>
          <w:spacing w:val="-4"/>
          <w:sz w:val="30"/>
          <w:szCs w:val="30"/>
        </w:rPr>
        <w:t>100</w:t>
      </w:r>
      <w:r w:rsidRPr="007B5D03">
        <w:rPr>
          <w:rFonts w:hAnsi="標楷體"/>
          <w:spacing w:val="-4"/>
          <w:sz w:val="30"/>
          <w:szCs w:val="30"/>
        </w:rPr>
        <w:t>元之盈餘，但是此項攤提之費用雖在本年度不被認列，但在往後年度仍可認列，因此對應於</w:t>
      </w:r>
      <w:r w:rsidRPr="007B5D03">
        <w:rPr>
          <w:rFonts w:hAnsi="標楷體"/>
          <w:sz w:val="30"/>
          <w:szCs w:val="30"/>
        </w:rPr>
        <w:t>此筆費用而</w:t>
      </w:r>
      <w:r w:rsidRPr="007B5D03">
        <w:rPr>
          <w:rFonts w:hAnsi="標楷體"/>
          <w:sz w:val="30"/>
          <w:szCs w:val="30"/>
        </w:rPr>
        <w:lastRenderedPageBreak/>
        <w:t>繳納之所得稅負在將來仍可享受少</w:t>
      </w:r>
      <w:r w:rsidRPr="007B5D03">
        <w:rPr>
          <w:rFonts w:hAnsi="標楷體"/>
          <w:spacing w:val="-4"/>
          <w:sz w:val="30"/>
          <w:szCs w:val="30"/>
        </w:rPr>
        <w:t>繳之利益，所以列為「暫時性差異」</w:t>
      </w:r>
      <w:r w:rsidRPr="007B5D03">
        <w:rPr>
          <w:rFonts w:hAnsi="標楷體"/>
          <w:sz w:val="30"/>
          <w:szCs w:val="30"/>
        </w:rPr>
        <w:t>。</w:t>
      </w:r>
    </w:p>
    <w:p w:rsidR="00514426" w:rsidRPr="007B5D03" w:rsidRDefault="00514426" w:rsidP="00C97614">
      <w:pPr>
        <w:snapToGrid w:val="0"/>
        <w:spacing w:line="437" w:lineRule="exact"/>
        <w:ind w:left="2342" w:hanging="357"/>
        <w:rPr>
          <w:sz w:val="30"/>
          <w:szCs w:val="30"/>
        </w:rPr>
      </w:pPr>
      <w:r w:rsidRPr="007B5D03">
        <w:rPr>
          <w:rFonts w:hAnsi="標楷體" w:hint="eastAsia"/>
          <w:sz w:val="30"/>
          <w:szCs w:val="30"/>
        </w:rPr>
        <w:t>(3)</w:t>
      </w:r>
      <w:r w:rsidRPr="007B5D03">
        <w:rPr>
          <w:rFonts w:hAnsi="標楷體"/>
          <w:sz w:val="30"/>
          <w:szCs w:val="30"/>
        </w:rPr>
        <w:t>從而永久性差異與暫時性差異係以對稅</w:t>
      </w:r>
      <w:r w:rsidRPr="007B5D03">
        <w:rPr>
          <w:rFonts w:hAnsi="標楷體" w:hint="eastAsia"/>
          <w:sz w:val="30"/>
          <w:szCs w:val="30"/>
        </w:rPr>
        <w:t>負</w:t>
      </w:r>
      <w:r w:rsidRPr="007B5D03">
        <w:rPr>
          <w:rFonts w:hAnsi="標楷體"/>
          <w:sz w:val="30"/>
          <w:szCs w:val="30"/>
        </w:rPr>
        <w:t>效果</w:t>
      </w:r>
      <w:r w:rsidRPr="007B5D03">
        <w:rPr>
          <w:rFonts w:hAnsi="標楷體"/>
          <w:spacing w:val="-4"/>
          <w:sz w:val="30"/>
          <w:szCs w:val="30"/>
        </w:rPr>
        <w:t>之影響而論，對於暫時性差異最終對納稅義務人並無特別不利益，立法者似乎有著更多租稅政策考量之空間，然而對於永久性差異之影響，必須尋求一個正當化之基礎，不論是基於立法之公益目的（亦即合目的性）之觀點，抑或基於事物本質之差異而予以差別待遇。自永久性財稅差異之規定而論，通常基於該等費用之認列已超過必要</w:t>
      </w:r>
      <w:r w:rsidRPr="007B5D03">
        <w:rPr>
          <w:rFonts w:hAnsi="標楷體"/>
          <w:spacing w:val="4"/>
          <w:sz w:val="30"/>
          <w:szCs w:val="30"/>
        </w:rPr>
        <w:t>費用認列之要件，始給予剔除（如交際費超限</w:t>
      </w:r>
      <w:r w:rsidRPr="007B5D03">
        <w:rPr>
          <w:rFonts w:hAnsi="標楷體"/>
          <w:spacing w:val="-4"/>
          <w:sz w:val="30"/>
          <w:szCs w:val="30"/>
        </w:rPr>
        <w:t>時，違反必要費用認列之相當性原則，本非必要費用，可參考附件</w:t>
      </w:r>
      <w:r w:rsidRPr="007B5D03">
        <w:rPr>
          <w:spacing w:val="-4"/>
          <w:sz w:val="30"/>
          <w:szCs w:val="30"/>
        </w:rPr>
        <w:t>18</w:t>
      </w:r>
      <w:r w:rsidRPr="007B5D03">
        <w:rPr>
          <w:rFonts w:hAnsi="標楷體"/>
          <w:spacing w:val="-4"/>
          <w:sz w:val="30"/>
          <w:szCs w:val="30"/>
        </w:rPr>
        <w:t>，陳清秀，論客觀的淨額所得原則），或者立法者本於公益目的所為之財稅差異特別處理（例如一般賺取免稅證券交易所</w:t>
      </w:r>
      <w:r w:rsidRPr="007B5D03">
        <w:rPr>
          <w:rFonts w:hAnsi="標楷體"/>
          <w:sz w:val="30"/>
          <w:szCs w:val="30"/>
        </w:rPr>
        <w:t>得行為所發生之證券交易損失不得扣減應稅收</w:t>
      </w:r>
      <w:r w:rsidRPr="007B5D03">
        <w:rPr>
          <w:rFonts w:hAnsi="標楷體"/>
          <w:spacing w:val="-4"/>
          <w:sz w:val="30"/>
          <w:szCs w:val="30"/>
        </w:rPr>
        <w:t>入），其立法形成空間應如同前述量能課稅原則在例外情形下退讓相同。</w:t>
      </w:r>
    </w:p>
    <w:p w:rsidR="00514426" w:rsidRPr="007B5D03" w:rsidRDefault="00514426" w:rsidP="00C97614">
      <w:pPr>
        <w:snapToGrid w:val="0"/>
        <w:spacing w:line="437" w:lineRule="exact"/>
        <w:ind w:left="2342" w:hanging="357"/>
        <w:rPr>
          <w:sz w:val="30"/>
          <w:szCs w:val="30"/>
        </w:rPr>
      </w:pPr>
      <w:r w:rsidRPr="007B5D03">
        <w:rPr>
          <w:rFonts w:hAnsi="標楷體" w:hint="eastAsia"/>
          <w:sz w:val="30"/>
          <w:szCs w:val="30"/>
        </w:rPr>
        <w:t>(4)</w:t>
      </w:r>
      <w:r w:rsidRPr="007B5D03">
        <w:rPr>
          <w:rFonts w:hAnsi="標楷體"/>
          <w:sz w:val="30"/>
          <w:szCs w:val="30"/>
        </w:rPr>
        <w:t>自所得稅法第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規範目的而論，其為促進</w:t>
      </w:r>
      <w:r w:rsidRPr="007B5D03">
        <w:rPr>
          <w:rFonts w:hAnsi="標楷體"/>
          <w:spacing w:val="-4"/>
          <w:sz w:val="30"/>
          <w:szCs w:val="30"/>
        </w:rPr>
        <w:t>投資市場活絡，復為符合租稅公平及配合原則，乃規定證券交易損失不得自應稅收入中扣減，然而財政部</w:t>
      </w:r>
      <w:r w:rsidRPr="007B5D03">
        <w:rPr>
          <w:spacing w:val="-4"/>
          <w:sz w:val="30"/>
          <w:szCs w:val="30"/>
        </w:rPr>
        <w:t>86</w:t>
      </w:r>
      <w:r w:rsidRPr="007B5D03">
        <w:rPr>
          <w:rFonts w:hAnsi="標楷體"/>
          <w:spacing w:val="-4"/>
          <w:sz w:val="30"/>
          <w:szCs w:val="30"/>
        </w:rPr>
        <w:t>年函釋對其誤解而認定權證避險交易損失不得自應稅權利金收入中扣除，其僅係誤</w:t>
      </w:r>
      <w:r w:rsidRPr="007B5D03">
        <w:rPr>
          <w:rFonts w:hAnsi="標楷體"/>
          <w:sz w:val="30"/>
          <w:szCs w:val="30"/>
        </w:rPr>
        <w:t>解權證交易課稅關係之定性所為錯誤之課稅處</w:t>
      </w:r>
      <w:r w:rsidRPr="007B5D03">
        <w:rPr>
          <w:rFonts w:hAnsi="標楷體"/>
          <w:spacing w:val="-4"/>
          <w:sz w:val="30"/>
          <w:szCs w:val="30"/>
        </w:rPr>
        <w:t>置，並非已確認權證避險交易損失與其他應稅收入對應之成本有何本質上不同，即該函釋並非從</w:t>
      </w:r>
      <w:r w:rsidRPr="007B5D03">
        <w:rPr>
          <w:rFonts w:hAnsi="標楷體"/>
          <w:spacing w:val="-4"/>
          <w:sz w:val="30"/>
          <w:szCs w:val="30"/>
        </w:rPr>
        <w:lastRenderedPageBreak/>
        <w:t>體系正義觀點追求實質上平等，且亦非符合所得稅法第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之立法目的（詳如前述），亦無符合目的性可言，從而依上開檢驗標準，如</w:t>
      </w:r>
      <w:r w:rsidRPr="007B5D03">
        <w:rPr>
          <w:spacing w:val="-4"/>
          <w:sz w:val="30"/>
          <w:szCs w:val="30"/>
        </w:rPr>
        <w:t xml:space="preserve">　</w:t>
      </w:r>
      <w:r w:rsidRPr="007B5D03">
        <w:rPr>
          <w:rFonts w:hAnsi="標楷體"/>
          <w:spacing w:val="-4"/>
          <w:sz w:val="30"/>
          <w:szCs w:val="30"/>
        </w:rPr>
        <w:t>大院未能獲致財政部</w:t>
      </w:r>
      <w:r w:rsidRPr="007B5D03">
        <w:rPr>
          <w:spacing w:val="-4"/>
          <w:sz w:val="30"/>
          <w:szCs w:val="30"/>
        </w:rPr>
        <w:t>86</w:t>
      </w:r>
      <w:r w:rsidRPr="007B5D03">
        <w:rPr>
          <w:rFonts w:hAnsi="標楷體"/>
          <w:spacing w:val="-4"/>
          <w:sz w:val="30"/>
          <w:szCs w:val="30"/>
        </w:rPr>
        <w:t>年函釋確係符合所得稅法第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之應有法律解釋原則之確信，實應從嚴審查，並對之宣告違反平等原則。</w:t>
      </w:r>
    </w:p>
    <w:p w:rsidR="00514426" w:rsidRPr="007B5D03" w:rsidRDefault="00514426" w:rsidP="00C97614">
      <w:pPr>
        <w:snapToGrid w:val="0"/>
        <w:spacing w:line="437" w:lineRule="exact"/>
        <w:ind w:left="1974" w:hanging="284"/>
        <w:rPr>
          <w:sz w:val="30"/>
          <w:szCs w:val="30"/>
        </w:rPr>
      </w:pPr>
      <w:r w:rsidRPr="007B5D03">
        <w:rPr>
          <w:rFonts w:ascii="標楷體" w:hAnsi="標楷體"/>
          <w:sz w:val="30"/>
          <w:szCs w:val="30"/>
        </w:rPr>
        <w:t>5.財</w:t>
      </w:r>
      <w:r w:rsidRPr="007B5D03">
        <w:rPr>
          <w:rFonts w:hAnsi="標楷體"/>
          <w:sz w:val="30"/>
          <w:szCs w:val="30"/>
        </w:rPr>
        <w:t>政部</w:t>
      </w:r>
      <w:r w:rsidRPr="007B5D03">
        <w:rPr>
          <w:sz w:val="30"/>
          <w:szCs w:val="30"/>
        </w:rPr>
        <w:t>86</w:t>
      </w:r>
      <w:r w:rsidRPr="007B5D03">
        <w:rPr>
          <w:rFonts w:hAnsi="標楷體"/>
          <w:sz w:val="30"/>
          <w:szCs w:val="30"/>
        </w:rPr>
        <w:t>年函釋有違　鈞院釋字第</w:t>
      </w:r>
      <w:r w:rsidRPr="007B5D03">
        <w:rPr>
          <w:sz w:val="30"/>
          <w:szCs w:val="30"/>
        </w:rPr>
        <w:t>385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割裂適用禁止原則，亦與平等原則有所齟齬</w:t>
      </w:r>
    </w:p>
    <w:p w:rsidR="00514426" w:rsidRPr="007B5D03" w:rsidRDefault="00514426" w:rsidP="00C97614">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按　鈞院釋字第</w:t>
      </w:r>
      <w:r w:rsidRPr="007B5D03">
        <w:rPr>
          <w:sz w:val="30"/>
          <w:szCs w:val="30"/>
        </w:rPr>
        <w:t>385</w:t>
      </w:r>
      <w:r w:rsidRPr="007B5D03">
        <w:rPr>
          <w:rFonts w:hAnsi="標楷體"/>
          <w:sz w:val="30"/>
          <w:szCs w:val="30"/>
        </w:rPr>
        <w:t>號解釋理由書略謂：「憲法</w:t>
      </w:r>
      <w:r w:rsidRPr="007B5D03">
        <w:rPr>
          <w:rFonts w:hAnsi="標楷體"/>
          <w:spacing w:val="-4"/>
          <w:sz w:val="30"/>
          <w:szCs w:val="30"/>
        </w:rPr>
        <w:t>第十九條規定人民有依法律納稅之義務，固係指人民有依據法律所定之納稅主體、稅目、稅率、納稅方法及納稅期間等項而負納稅義務之意，然課人民以繳納租稅之法律，於適用時，該法律所定之事項若權利義務相關連者，本於法律適用之</w:t>
      </w:r>
      <w:r w:rsidRPr="007B5D03">
        <w:rPr>
          <w:rFonts w:hAnsi="標楷體"/>
          <w:sz w:val="30"/>
          <w:szCs w:val="30"/>
        </w:rPr>
        <w:t>整體性及權利義務之平衡，當不得任意割裂適</w:t>
      </w:r>
      <w:r w:rsidRPr="007B5D03">
        <w:rPr>
          <w:rFonts w:hAnsi="標楷體"/>
          <w:spacing w:val="-4"/>
          <w:sz w:val="30"/>
          <w:szCs w:val="30"/>
        </w:rPr>
        <w:t>用。</w:t>
      </w:r>
      <w:smartTag w:uri="urn:schemas-microsoft-com:office:smarttags" w:element="chsdate">
        <w:smartTagPr>
          <w:attr w:name="IsROCDate" w:val="True"/>
          <w:attr w:name="IsLunarDate" w:val="False"/>
          <w:attr w:name="Day" w:val="26"/>
          <w:attr w:name="Month" w:val="1"/>
          <w:attr w:name="Year" w:val="1987"/>
        </w:smartTagPr>
        <w:r w:rsidRPr="007B5D03">
          <w:rPr>
            <w:rFonts w:hAnsi="標楷體"/>
            <w:spacing w:val="-4"/>
            <w:sz w:val="30"/>
            <w:szCs w:val="30"/>
          </w:rPr>
          <w:t>中華民國七十六年一月二十六日</w:t>
        </w:r>
      </w:smartTag>
      <w:r w:rsidRPr="007B5D03">
        <w:rPr>
          <w:rFonts w:hAnsi="標楷體"/>
          <w:spacing w:val="-4"/>
          <w:sz w:val="30"/>
          <w:szCs w:val="30"/>
        </w:rPr>
        <w:t>修正公布之獎勵投資條例第三條核准獎勵之外國公司，依同</w:t>
      </w:r>
      <w:r w:rsidRPr="007B5D03">
        <w:rPr>
          <w:rFonts w:hAnsi="標楷體"/>
          <w:sz w:val="30"/>
          <w:szCs w:val="30"/>
        </w:rPr>
        <w:t>條例第十六條第三項規定，其所設分公司之所</w:t>
      </w:r>
      <w:r w:rsidRPr="007B5D03">
        <w:rPr>
          <w:rFonts w:hAnsi="標楷體"/>
          <w:spacing w:val="-4"/>
          <w:sz w:val="30"/>
          <w:szCs w:val="30"/>
        </w:rPr>
        <w:t>得，於繳納營利事業所得後，將其稅後盈餘給付</w:t>
      </w:r>
      <w:r w:rsidRPr="007B5D03">
        <w:rPr>
          <w:rFonts w:hAnsi="標楷體"/>
          <w:sz w:val="30"/>
          <w:szCs w:val="30"/>
        </w:rPr>
        <w:t>總公司時，應按其給付額扣繳百分之二十所得</w:t>
      </w:r>
      <w:r w:rsidRPr="007B5D03">
        <w:rPr>
          <w:rFonts w:hAnsi="標楷體"/>
          <w:spacing w:val="-4"/>
          <w:sz w:val="30"/>
          <w:szCs w:val="30"/>
        </w:rPr>
        <w:t>稅，立法意旨係因外國公司在我國境內之分公司既享受租稅減免之優惠，則其稅後盈餘欲給付總公司時，自應負擔上述所得稅扣繳義務，否則，</w:t>
      </w:r>
      <w:r w:rsidRPr="007B5D03">
        <w:rPr>
          <w:rFonts w:hAnsi="標楷體"/>
          <w:sz w:val="30"/>
          <w:szCs w:val="30"/>
        </w:rPr>
        <w:t>外國公司即得以成立分公司之方式規避我國稅負。故兩者係相互關連之規定，要不得割裂適</w:t>
      </w:r>
      <w:r w:rsidRPr="007B5D03">
        <w:rPr>
          <w:rFonts w:hAnsi="標楷體"/>
          <w:spacing w:val="-4"/>
          <w:sz w:val="30"/>
          <w:szCs w:val="30"/>
        </w:rPr>
        <w:t>用。茲前述獎勵投資條例雖於七十九年</w:t>
      </w:r>
      <w:r w:rsidRPr="007B5D03">
        <w:rPr>
          <w:rFonts w:hAnsi="標楷體" w:hint="eastAsia"/>
          <w:spacing w:val="-4"/>
          <w:sz w:val="30"/>
          <w:szCs w:val="30"/>
        </w:rPr>
        <w:t>十</w:t>
      </w:r>
      <w:r w:rsidRPr="007B5D03">
        <w:rPr>
          <w:rFonts w:hAnsi="標楷體"/>
          <w:spacing w:val="-4"/>
          <w:sz w:val="30"/>
          <w:szCs w:val="30"/>
        </w:rPr>
        <w:t>二月三十一日施行</w:t>
      </w:r>
      <w:r w:rsidRPr="007B5D03">
        <w:rPr>
          <w:rFonts w:hAnsi="標楷體"/>
          <w:spacing w:val="-4"/>
          <w:sz w:val="30"/>
          <w:szCs w:val="30"/>
        </w:rPr>
        <w:lastRenderedPageBreak/>
        <w:t>期間屆滿而失效，惟在該條例施行期間內核准之案件（五年或四年免稅），就該個案言，尚不因該條例施行期間屆滿而失效，仍繼續適用該條例予以獎勵，俾保障投資人之權益。是</w:t>
      </w:r>
      <w:r w:rsidRPr="007B5D03">
        <w:rPr>
          <w:rFonts w:hAnsi="標楷體"/>
          <w:sz w:val="30"/>
          <w:szCs w:val="30"/>
        </w:rPr>
        <w:t>經核准獎勵投資之外國公司於獎勵投資條例</w:t>
      </w:r>
      <w:r w:rsidRPr="007B5D03">
        <w:rPr>
          <w:rFonts w:hAnsi="標楷體" w:hint="eastAsia"/>
          <w:sz w:val="30"/>
          <w:szCs w:val="30"/>
        </w:rPr>
        <w:t>施</w:t>
      </w:r>
      <w:r w:rsidRPr="007B5D03">
        <w:rPr>
          <w:rFonts w:hAnsi="標楷體"/>
          <w:spacing w:val="-4"/>
          <w:sz w:val="30"/>
          <w:szCs w:val="30"/>
        </w:rPr>
        <w:t>行期間屆滿後，既仍得享受免稅優惠，其與此相關連之總公司稅負，自應併依同條例第十六條第三項扣繳所得稅，方符原立法意旨。」該解釋所謂權利義務相關連是基於同一法律事實（亦即外國公司營利事業所得稅），法律給予相對應之二個規定，如一規定適用時另一規定也必須加以適用。從抽象上而言，割裂適用禁止原則乃為求法律適用整體性與權利義務之平衡，亦即此屬於體系正義之展現，對於同一法律事實得並存之法律效果應予一併適用，對於同一法律事實規範之不並存的法律效果則必須予以調和，有關財政部</w:t>
      </w:r>
      <w:r w:rsidRPr="007B5D03">
        <w:rPr>
          <w:spacing w:val="4"/>
          <w:sz w:val="30"/>
          <w:szCs w:val="30"/>
        </w:rPr>
        <w:t>86</w:t>
      </w:r>
      <w:r w:rsidRPr="007B5D03">
        <w:rPr>
          <w:rFonts w:hAnsi="標楷體"/>
          <w:spacing w:val="4"/>
          <w:sz w:val="30"/>
          <w:szCs w:val="30"/>
        </w:rPr>
        <w:t>年函釋對權證交易稅上規範競合處理之謬</w:t>
      </w:r>
      <w:r w:rsidRPr="007B5D03">
        <w:rPr>
          <w:rFonts w:hAnsi="標楷體"/>
          <w:spacing w:val="-4"/>
          <w:sz w:val="30"/>
          <w:szCs w:val="30"/>
        </w:rPr>
        <w:t>誤，已如上述。</w:t>
      </w:r>
    </w:p>
    <w:p w:rsidR="00514426" w:rsidRPr="007B5D03" w:rsidRDefault="00514426" w:rsidP="002408DD">
      <w:pPr>
        <w:snapToGrid w:val="0"/>
        <w:spacing w:line="437" w:lineRule="exact"/>
        <w:ind w:left="2342" w:hanging="357"/>
        <w:rPr>
          <w:sz w:val="30"/>
          <w:szCs w:val="30"/>
        </w:rPr>
      </w:pPr>
      <w:r w:rsidRPr="007B5D03">
        <w:rPr>
          <w:rFonts w:hAnsi="標楷體" w:hint="eastAsia"/>
          <w:sz w:val="30"/>
          <w:szCs w:val="30"/>
        </w:rPr>
        <w:t>(2)</w:t>
      </w:r>
      <w:r w:rsidRPr="007B5D03">
        <w:rPr>
          <w:rFonts w:hAnsi="標楷體"/>
          <w:spacing w:val="-4"/>
          <w:sz w:val="30"/>
          <w:szCs w:val="30"/>
        </w:rPr>
        <w:t>另從應稅收入既然應予課稅，相對應之成本費用</w:t>
      </w:r>
      <w:r w:rsidRPr="007B5D03">
        <w:rPr>
          <w:rFonts w:hAnsi="標楷體"/>
          <w:sz w:val="30"/>
          <w:szCs w:val="30"/>
        </w:rPr>
        <w:t>自得</w:t>
      </w:r>
      <w:r w:rsidRPr="007B5D03">
        <w:rPr>
          <w:rFonts w:hAnsi="標楷體"/>
          <w:spacing w:val="-4"/>
          <w:sz w:val="30"/>
          <w:szCs w:val="30"/>
        </w:rPr>
        <w:t>予以</w:t>
      </w:r>
      <w:r w:rsidRPr="007B5D03">
        <w:rPr>
          <w:rFonts w:hAnsi="標楷體"/>
          <w:sz w:val="30"/>
          <w:szCs w:val="30"/>
        </w:rPr>
        <w:t>扣減，此乃行為時所得稅法第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項所給予之配套措施，財政部</w:t>
      </w:r>
      <w:r w:rsidRPr="007B5D03">
        <w:rPr>
          <w:sz w:val="30"/>
          <w:szCs w:val="30"/>
        </w:rPr>
        <w:t>86</w:t>
      </w:r>
      <w:r w:rsidRPr="007B5D03">
        <w:rPr>
          <w:rFonts w:hAnsi="標楷體"/>
          <w:sz w:val="30"/>
          <w:szCs w:val="30"/>
        </w:rPr>
        <w:t>年函釋立基於所得稅法第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後段之規定，將原屬於免</w:t>
      </w:r>
      <w:r w:rsidRPr="007B5D03">
        <w:rPr>
          <w:rFonts w:hAnsi="標楷體"/>
          <w:spacing w:val="6"/>
          <w:sz w:val="30"/>
          <w:szCs w:val="30"/>
        </w:rPr>
        <w:t>稅收入對應之費損不得自應稅收入扣減之規</w:t>
      </w:r>
      <w:r w:rsidRPr="007B5D03">
        <w:rPr>
          <w:rFonts w:hAnsi="標楷體"/>
          <w:spacing w:val="-4"/>
          <w:sz w:val="30"/>
          <w:szCs w:val="30"/>
        </w:rPr>
        <w:t>定，使證券交易損失單獨成為絕對不可扣減應稅收入，先將一法律行為割裂為二個以上之法律行</w:t>
      </w:r>
      <w:r w:rsidRPr="007B5D03">
        <w:rPr>
          <w:rFonts w:hAnsi="標楷體"/>
          <w:sz w:val="30"/>
          <w:szCs w:val="30"/>
        </w:rPr>
        <w:t>為，並排除原應適用之所得稅法第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w:t>
      </w:r>
      <w:r w:rsidRPr="007B5D03">
        <w:rPr>
          <w:rFonts w:hAnsi="標楷體"/>
          <w:spacing w:val="-4"/>
          <w:sz w:val="30"/>
          <w:szCs w:val="30"/>
        </w:rPr>
        <w:t>規定，反而適用針對免稅收入對應之成本費用之</w:t>
      </w:r>
      <w:r w:rsidRPr="007B5D03">
        <w:rPr>
          <w:rFonts w:hAnsi="標楷體"/>
          <w:spacing w:val="-4"/>
          <w:sz w:val="30"/>
          <w:szCs w:val="30"/>
        </w:rPr>
        <w:lastRenderedPageBreak/>
        <w:t>規定，對聲請人等發行權證人形成權利義務之不平衡，不符合法律適用之整體性，違背體系正義之要求。簡言之，財政部</w:t>
      </w:r>
      <w:r w:rsidRPr="007B5D03">
        <w:rPr>
          <w:spacing w:val="-4"/>
          <w:sz w:val="30"/>
          <w:szCs w:val="30"/>
        </w:rPr>
        <w:t>86</w:t>
      </w:r>
      <w:r w:rsidRPr="007B5D03">
        <w:rPr>
          <w:rFonts w:hAnsi="標楷體"/>
          <w:spacing w:val="-4"/>
          <w:sz w:val="30"/>
          <w:szCs w:val="30"/>
        </w:rPr>
        <w:t>年函釋對權證發行收取之權利金認屬應稅收入，卻對權利金對應之避險交易損失認屬不得扣減應稅收入，對同一法律事實之整體法律規定予以割裂適用，有違　鈞院釋字第</w:t>
      </w:r>
      <w:r w:rsidRPr="007B5D03">
        <w:rPr>
          <w:spacing w:val="-4"/>
          <w:sz w:val="30"/>
          <w:szCs w:val="30"/>
        </w:rPr>
        <w:t>385</w:t>
      </w:r>
      <w:r w:rsidRPr="007B5D03">
        <w:rPr>
          <w:rFonts w:hAnsi="標楷體"/>
          <w:spacing w:val="-4"/>
          <w:sz w:val="30"/>
          <w:szCs w:val="30"/>
        </w:rPr>
        <w:t>號</w:t>
      </w:r>
      <w:r w:rsidRPr="007B5D03">
        <w:rPr>
          <w:rFonts w:hAnsi="標楷體" w:hint="eastAsia"/>
          <w:spacing w:val="-4"/>
          <w:sz w:val="30"/>
          <w:szCs w:val="30"/>
        </w:rPr>
        <w:t>解釋</w:t>
      </w:r>
      <w:r w:rsidRPr="007B5D03">
        <w:rPr>
          <w:rFonts w:hAnsi="標楷體"/>
          <w:spacing w:val="-4"/>
          <w:sz w:val="30"/>
          <w:szCs w:val="30"/>
        </w:rPr>
        <w:t>意旨，至為明顯。</w:t>
      </w:r>
    </w:p>
    <w:p w:rsidR="00514426" w:rsidRPr="007B5D03" w:rsidRDefault="00514426" w:rsidP="002408DD">
      <w:pPr>
        <w:snapToGrid w:val="0"/>
        <w:spacing w:line="437" w:lineRule="exact"/>
        <w:ind w:left="1974" w:hanging="284"/>
        <w:rPr>
          <w:sz w:val="30"/>
          <w:szCs w:val="30"/>
        </w:rPr>
      </w:pPr>
      <w:r w:rsidRPr="007B5D03">
        <w:rPr>
          <w:rFonts w:ascii="標楷體" w:hAnsi="標楷體"/>
          <w:sz w:val="30"/>
          <w:szCs w:val="30"/>
        </w:rPr>
        <w:t>6.允</w:t>
      </w:r>
      <w:r w:rsidRPr="007B5D03">
        <w:rPr>
          <w:rFonts w:hAnsi="標楷體"/>
          <w:sz w:val="30"/>
          <w:szCs w:val="30"/>
        </w:rPr>
        <w:t>許權證避險損失不適用所得稅法第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，乃</w:t>
      </w:r>
      <w:r w:rsidRPr="007B5D03">
        <w:rPr>
          <w:rFonts w:hAnsi="標楷體"/>
          <w:spacing w:val="-4"/>
          <w:sz w:val="30"/>
          <w:szCs w:val="30"/>
        </w:rPr>
        <w:t>係為符合其交易本質所為之法律評價，並無產生與</w:t>
      </w:r>
      <w:r w:rsidRPr="007B5D03">
        <w:rPr>
          <w:rFonts w:hAnsi="標楷體"/>
          <w:sz w:val="30"/>
          <w:szCs w:val="30"/>
        </w:rPr>
        <w:t>其他證券交易之差別待遇</w:t>
      </w:r>
    </w:p>
    <w:p w:rsidR="00514426" w:rsidRPr="007B5D03" w:rsidRDefault="00514426" w:rsidP="002408DD">
      <w:pPr>
        <w:snapToGrid w:val="0"/>
        <w:spacing w:line="437" w:lineRule="exact"/>
        <w:ind w:left="2342" w:hanging="357"/>
        <w:rPr>
          <w:sz w:val="30"/>
          <w:szCs w:val="30"/>
        </w:rPr>
      </w:pPr>
      <w:r w:rsidRPr="007B5D03">
        <w:rPr>
          <w:rFonts w:hAnsi="標楷體" w:hint="eastAsia"/>
          <w:sz w:val="30"/>
          <w:szCs w:val="30"/>
        </w:rPr>
        <w:t>(1)</w:t>
      </w:r>
      <w:r w:rsidRPr="007B5D03">
        <w:rPr>
          <w:rFonts w:hAnsi="標楷體"/>
          <w:spacing w:val="2"/>
          <w:sz w:val="30"/>
          <w:szCs w:val="30"/>
        </w:rPr>
        <w:t>按</w:t>
      </w:r>
      <w:r w:rsidRPr="007B5D03">
        <w:rPr>
          <w:rFonts w:hAnsi="標楷體"/>
          <w:sz w:val="30"/>
          <w:szCs w:val="30"/>
        </w:rPr>
        <w:t>行政院在</w:t>
      </w:r>
      <w:r w:rsidRPr="007B5D03">
        <w:rPr>
          <w:sz w:val="30"/>
          <w:szCs w:val="30"/>
        </w:rPr>
        <w:t>96</w:t>
      </w:r>
      <w:r w:rsidRPr="007B5D03">
        <w:rPr>
          <w:rFonts w:hAnsi="標楷體"/>
          <w:sz w:val="30"/>
          <w:szCs w:val="30"/>
        </w:rPr>
        <w:t>年提案增訂所得稅法第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第</w:t>
      </w:r>
      <w:r w:rsidRPr="007B5D03">
        <w:rPr>
          <w:sz w:val="30"/>
          <w:szCs w:val="30"/>
        </w:rPr>
        <w:t>1</w:t>
      </w:r>
      <w:r w:rsidRPr="007B5D03">
        <w:rPr>
          <w:rFonts w:hAnsi="標楷體"/>
          <w:sz w:val="30"/>
          <w:szCs w:val="30"/>
        </w:rPr>
        <w:t>項</w:t>
      </w:r>
      <w:r w:rsidRPr="007B5D03">
        <w:rPr>
          <w:rFonts w:hAnsi="標楷體"/>
          <w:spacing w:val="-4"/>
          <w:sz w:val="30"/>
          <w:szCs w:val="30"/>
        </w:rPr>
        <w:t>本文</w:t>
      </w:r>
      <w:r w:rsidRPr="007B5D03">
        <w:rPr>
          <w:rFonts w:hAnsi="標楷體"/>
          <w:sz w:val="30"/>
          <w:szCs w:val="30"/>
        </w:rPr>
        <w:t>規定承認應作為費用扣除：「經目的事業</w:t>
      </w:r>
      <w:r w:rsidRPr="007B5D03">
        <w:rPr>
          <w:rFonts w:hAnsi="標楷體"/>
          <w:spacing w:val="-4"/>
          <w:sz w:val="30"/>
          <w:szCs w:val="30"/>
        </w:rPr>
        <w:t>主管機關</w:t>
      </w:r>
      <w:r w:rsidRPr="007B5D03">
        <w:rPr>
          <w:rFonts w:hAnsi="標楷體"/>
          <w:sz w:val="30"/>
          <w:szCs w:val="30"/>
        </w:rPr>
        <w:t>核准發行認購（售）權證者，發行人發行認購（售）權證，於該權證發行日至到期</w:t>
      </w:r>
      <w:r w:rsidRPr="007B5D03">
        <w:rPr>
          <w:rFonts w:hAnsi="標楷體"/>
          <w:spacing w:val="-4"/>
          <w:sz w:val="30"/>
          <w:szCs w:val="30"/>
        </w:rPr>
        <w:t>日期間，基於風險管理而買賣經目的事業主管機</w:t>
      </w:r>
      <w:r w:rsidRPr="007B5D03">
        <w:rPr>
          <w:rFonts w:hAnsi="標楷體"/>
          <w:sz w:val="30"/>
          <w:szCs w:val="30"/>
        </w:rPr>
        <w:t>關核可之有價證券及衍生性金融商品之交易所得或損失，應併計發行認購（售）權證之損益課稅，不適用第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及第</w:t>
      </w:r>
      <w:r w:rsidRPr="007B5D03">
        <w:rPr>
          <w:sz w:val="30"/>
          <w:szCs w:val="30"/>
        </w:rPr>
        <w:t>4</w:t>
      </w:r>
      <w:r w:rsidRPr="007B5D03">
        <w:rPr>
          <w:rFonts w:hAnsi="標楷體"/>
          <w:sz w:val="30"/>
          <w:szCs w:val="30"/>
        </w:rPr>
        <w:t>條之</w:t>
      </w:r>
      <w:r w:rsidRPr="007B5D03">
        <w:rPr>
          <w:sz w:val="30"/>
          <w:szCs w:val="30"/>
        </w:rPr>
        <w:t>2</w:t>
      </w:r>
      <w:r w:rsidRPr="007B5D03">
        <w:rPr>
          <w:rFonts w:hAnsi="標楷體"/>
          <w:sz w:val="30"/>
          <w:szCs w:val="30"/>
        </w:rPr>
        <w:t>規定。」明確表達修法前不讓權證交易之相關避險損失併計權證發行損益課稅之函釋係錯誤見解。並於</w:t>
      </w:r>
      <w:smartTag w:uri="urn:schemas-microsoft-com:office:smarttags" w:element="chsdate">
        <w:smartTagPr>
          <w:attr w:name="IsROCDate" w:val="False"/>
          <w:attr w:name="IsLunarDate" w:val="False"/>
          <w:attr w:name="Day" w:val="15"/>
          <w:attr w:name="Month" w:val="6"/>
          <w:attr w:name="Year" w:val="1996"/>
        </w:smartTagPr>
        <w:r w:rsidRPr="007B5D03">
          <w:rPr>
            <w:sz w:val="30"/>
            <w:szCs w:val="30"/>
          </w:rPr>
          <w:t>96</w:t>
        </w:r>
        <w:r w:rsidRPr="007B5D03">
          <w:rPr>
            <w:rFonts w:hAnsi="標楷體"/>
            <w:sz w:val="30"/>
            <w:szCs w:val="30"/>
          </w:rPr>
          <w:t>年</w:t>
        </w:r>
        <w:smartTag w:uri="urn:schemas-microsoft-com:office:smarttags" w:element="chsdate">
          <w:smartTagPr>
            <w:attr w:name="IsROCDate" w:val="False"/>
            <w:attr w:name="IsLunarDate" w:val="False"/>
            <w:attr w:name="Day" w:val="15"/>
            <w:attr w:name="Month" w:val="6"/>
            <w:attr w:name="Year" w:val="2007"/>
          </w:smartTagPr>
          <w:r w:rsidRPr="007B5D03">
            <w:rPr>
              <w:sz w:val="30"/>
              <w:szCs w:val="30"/>
            </w:rPr>
            <w:t>6</w:t>
          </w:r>
          <w:r w:rsidRPr="007B5D03">
            <w:rPr>
              <w:rFonts w:hAnsi="標楷體"/>
              <w:sz w:val="30"/>
              <w:szCs w:val="30"/>
            </w:rPr>
            <w:t>月</w:t>
          </w:r>
          <w:r w:rsidRPr="007B5D03">
            <w:rPr>
              <w:sz w:val="30"/>
              <w:szCs w:val="30"/>
            </w:rPr>
            <w:t>15</w:t>
          </w:r>
          <w:r w:rsidRPr="007B5D03">
            <w:rPr>
              <w:rFonts w:hAnsi="標楷體"/>
              <w:sz w:val="30"/>
              <w:szCs w:val="30"/>
            </w:rPr>
            <w:t>日</w:t>
          </w:r>
        </w:smartTag>
      </w:smartTag>
      <w:r w:rsidRPr="007B5D03">
        <w:rPr>
          <w:rFonts w:hAnsi="標楷體"/>
          <w:sz w:val="30"/>
          <w:szCs w:val="30"/>
        </w:rPr>
        <w:t>經立法院通過，</w:t>
      </w:r>
      <w:smartTag w:uri="urn:schemas-microsoft-com:office:smarttags" w:element="chsdate">
        <w:smartTagPr>
          <w:attr w:name="IsROCDate" w:val="False"/>
          <w:attr w:name="IsLunarDate" w:val="False"/>
          <w:attr w:name="Day" w:val="11"/>
          <w:attr w:name="Month" w:val="7"/>
          <w:attr w:name="Year" w:val="2011"/>
        </w:smartTagPr>
        <w:r w:rsidRPr="007B5D03">
          <w:rPr>
            <w:sz w:val="30"/>
            <w:szCs w:val="30"/>
          </w:rPr>
          <w:t>7</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施行。依本條立法體系位於所得稅法第</w:t>
      </w:r>
      <w:r w:rsidRPr="007B5D03">
        <w:rPr>
          <w:sz w:val="30"/>
          <w:szCs w:val="30"/>
        </w:rPr>
        <w:t>24</w:t>
      </w:r>
      <w:r w:rsidRPr="007B5D03">
        <w:rPr>
          <w:rFonts w:hAnsi="標楷體"/>
          <w:sz w:val="30"/>
          <w:szCs w:val="30"/>
        </w:rPr>
        <w:t>條客觀淨額</w:t>
      </w:r>
      <w:r w:rsidRPr="007B5D03">
        <w:rPr>
          <w:rFonts w:hAnsi="標楷體"/>
          <w:spacing w:val="-4"/>
          <w:sz w:val="30"/>
          <w:szCs w:val="30"/>
        </w:rPr>
        <w:t>所得原則之後，顯係補充上述原則之立法。證諸聲請人一再重申，權證發行者相關之避險交易損</w:t>
      </w:r>
      <w:r w:rsidRPr="007B5D03">
        <w:rPr>
          <w:rFonts w:hAnsi="標楷體"/>
          <w:sz w:val="30"/>
          <w:szCs w:val="30"/>
        </w:rPr>
        <w:t>失實應優先適用所得稅法第</w:t>
      </w:r>
      <w:r w:rsidRPr="007B5D03">
        <w:rPr>
          <w:sz w:val="30"/>
          <w:szCs w:val="30"/>
        </w:rPr>
        <w:t>24</w:t>
      </w:r>
      <w:r w:rsidRPr="007B5D03">
        <w:rPr>
          <w:rFonts w:hAnsi="標楷體"/>
          <w:sz w:val="30"/>
          <w:szCs w:val="30"/>
        </w:rPr>
        <w:t>條規定，而排除所得稅法第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規定之適用，乃係符合稅法</w:t>
      </w:r>
      <w:r w:rsidRPr="007B5D03">
        <w:rPr>
          <w:rFonts w:hAnsi="標楷體"/>
          <w:spacing w:val="-4"/>
          <w:sz w:val="30"/>
          <w:szCs w:val="30"/>
        </w:rPr>
        <w:lastRenderedPageBreak/>
        <w:t>精神的當然解釋之論據獲得立法確認。雖然立法院在增修上述條文時，並未規定得追溯既往，但該立法確認客觀淨所得原則，並釐清新法非屬租稅優惠規定，對於修正前權證課稅案件自具有解釋上之指標意義。</w:t>
      </w:r>
    </w:p>
    <w:p w:rsidR="00514426" w:rsidRPr="007B5D03" w:rsidRDefault="00514426" w:rsidP="002408DD">
      <w:pPr>
        <w:snapToGrid w:val="0"/>
        <w:spacing w:line="437" w:lineRule="exact"/>
        <w:ind w:left="2342" w:hanging="357"/>
        <w:rPr>
          <w:sz w:val="30"/>
          <w:szCs w:val="30"/>
        </w:rPr>
      </w:pPr>
      <w:r w:rsidRPr="007B5D03">
        <w:rPr>
          <w:rFonts w:hAnsi="標楷體" w:hint="eastAsia"/>
          <w:sz w:val="30"/>
          <w:szCs w:val="30"/>
        </w:rPr>
        <w:t>(2)</w:t>
      </w:r>
      <w:r w:rsidRPr="007B5D03">
        <w:rPr>
          <w:rFonts w:hAnsi="標楷體"/>
          <w:spacing w:val="-4"/>
          <w:sz w:val="30"/>
          <w:szCs w:val="30"/>
        </w:rPr>
        <w:t>再按自法律制</w:t>
      </w:r>
      <w:r w:rsidRPr="007B5D03">
        <w:rPr>
          <w:rFonts w:hAnsi="標楷體" w:hint="eastAsia"/>
          <w:spacing w:val="-4"/>
          <w:sz w:val="30"/>
          <w:szCs w:val="30"/>
        </w:rPr>
        <w:t>定</w:t>
      </w:r>
      <w:r w:rsidRPr="007B5D03">
        <w:rPr>
          <w:rFonts w:hAnsi="標楷體"/>
          <w:spacing w:val="-4"/>
          <w:sz w:val="30"/>
          <w:szCs w:val="30"/>
        </w:rPr>
        <w:t>過程進行歷史解釋之觀察，立法</w:t>
      </w:r>
      <w:r w:rsidRPr="007B5D03">
        <w:rPr>
          <w:rFonts w:hAnsi="標楷體"/>
          <w:spacing w:val="-8"/>
          <w:sz w:val="30"/>
          <w:szCs w:val="30"/>
        </w:rPr>
        <w:t>委員蔡豪等人提案之立法理由指出：「認購（售）</w:t>
      </w:r>
      <w:r w:rsidRPr="007B5D03">
        <w:rPr>
          <w:rFonts w:hAnsi="標楷體"/>
          <w:spacing w:val="-4"/>
          <w:sz w:val="30"/>
          <w:szCs w:val="30"/>
        </w:rPr>
        <w:t>權證發行人，因從事避險操作而於認購（售）權</w:t>
      </w:r>
      <w:r w:rsidRPr="007B5D03">
        <w:rPr>
          <w:rFonts w:hAnsi="標楷體"/>
          <w:sz w:val="30"/>
          <w:szCs w:val="30"/>
        </w:rPr>
        <w:t>證發行日至到期日期間買賣經目的事業主管機</w:t>
      </w:r>
      <w:r w:rsidRPr="007B5D03">
        <w:rPr>
          <w:rFonts w:hAnsi="標楷體"/>
          <w:spacing w:val="-4"/>
          <w:sz w:val="30"/>
          <w:szCs w:val="30"/>
        </w:rPr>
        <w:t>關核可之有價證券及衍生性金融商品，係發行認購（售）權證之重要配套措施，且為發行權證所衍生之交易所得或損失，應併計發行認購（售）權證損益課稅之規定，並自目的事業主管機關首次核准發行之日起適用，以維課稅一致並期公平合理。」（</w:t>
      </w:r>
      <w:r w:rsidRPr="007B5D03">
        <w:rPr>
          <w:rFonts w:hAnsi="標楷體"/>
          <w:spacing w:val="-4"/>
          <w:sz w:val="30"/>
          <w:szCs w:val="30"/>
          <w:shd w:val="clear" w:color="auto" w:fill="FFFFFF"/>
        </w:rPr>
        <w:t>附件</w:t>
      </w:r>
      <w:r w:rsidRPr="007B5D03">
        <w:rPr>
          <w:spacing w:val="-4"/>
          <w:sz w:val="30"/>
          <w:szCs w:val="30"/>
          <w:shd w:val="clear" w:color="auto" w:fill="FFFFFF"/>
        </w:rPr>
        <w:t>24</w:t>
      </w:r>
      <w:r w:rsidRPr="007B5D03">
        <w:rPr>
          <w:rFonts w:hAnsi="標楷體"/>
          <w:spacing w:val="-4"/>
          <w:sz w:val="30"/>
          <w:szCs w:val="30"/>
        </w:rPr>
        <w:t>）其中也注意到避險交易所發生之損失，應作為發行權證之成本費用扣除，以符合課稅公平合理之原則。而前財政部長林全於</w:t>
      </w:r>
      <w:smartTag w:uri="urn:schemas-microsoft-com:office:smarttags" w:element="chsdate">
        <w:smartTagPr>
          <w:attr w:name="IsROCDate" w:val="False"/>
          <w:attr w:name="IsLunarDate" w:val="False"/>
          <w:attr w:name="Day" w:val="8"/>
          <w:attr w:name="Month" w:val="5"/>
          <w:attr w:name="Year" w:val="1992"/>
        </w:smartTagPr>
        <w:r w:rsidRPr="007B5D03">
          <w:rPr>
            <w:spacing w:val="-4"/>
            <w:sz w:val="30"/>
            <w:szCs w:val="30"/>
          </w:rPr>
          <w:t>92</w:t>
        </w:r>
        <w:r w:rsidRPr="007B5D03">
          <w:rPr>
            <w:rFonts w:hAnsi="標楷體"/>
            <w:spacing w:val="-4"/>
            <w:sz w:val="30"/>
            <w:szCs w:val="30"/>
          </w:rPr>
          <w:t>年</w:t>
        </w:r>
        <w:r w:rsidRPr="007B5D03">
          <w:rPr>
            <w:spacing w:val="-4"/>
            <w:sz w:val="30"/>
            <w:szCs w:val="30"/>
          </w:rPr>
          <w:t>5</w:t>
        </w:r>
        <w:r w:rsidRPr="007B5D03">
          <w:rPr>
            <w:rFonts w:hAnsi="標楷體"/>
            <w:spacing w:val="-4"/>
            <w:sz w:val="30"/>
            <w:szCs w:val="30"/>
          </w:rPr>
          <w:t>月</w:t>
        </w:r>
        <w:r w:rsidRPr="007B5D03">
          <w:rPr>
            <w:spacing w:val="-4"/>
            <w:sz w:val="30"/>
            <w:szCs w:val="30"/>
          </w:rPr>
          <w:t>8</w:t>
        </w:r>
        <w:r w:rsidRPr="007B5D03">
          <w:rPr>
            <w:rFonts w:hAnsi="標楷體"/>
            <w:spacing w:val="-4"/>
            <w:sz w:val="30"/>
            <w:szCs w:val="30"/>
          </w:rPr>
          <w:t>日</w:t>
        </w:r>
      </w:smartTag>
      <w:r w:rsidRPr="007B5D03">
        <w:rPr>
          <w:rFonts w:hAnsi="標楷體"/>
          <w:spacing w:val="-4"/>
          <w:sz w:val="30"/>
          <w:szCs w:val="30"/>
        </w:rPr>
        <w:t>立法院財政委員會會議上也表示：「基於認購（售）權證發行人，因從事避險操作而於認購（售）權證存續期間買賣經目的事業主管機關核可之有價證券及衍生性金融商品，係發行認購（售）權證之重要配套措施，且為發行權證所衍生之交易，為符合收入與成本費用配合原則及合理計算發行人發行認購（售）權證之損益</w:t>
      </w:r>
      <w:r w:rsidRPr="007B5D03">
        <w:rPr>
          <w:rFonts w:hAnsi="標楷體"/>
          <w:sz w:val="30"/>
          <w:szCs w:val="30"/>
        </w:rPr>
        <w:t>計算，本次委員會提案修正所得稅法第</w:t>
      </w:r>
      <w:r w:rsidRPr="007B5D03">
        <w:rPr>
          <w:sz w:val="30"/>
          <w:szCs w:val="30"/>
        </w:rPr>
        <w:t>24</w:t>
      </w:r>
      <w:r w:rsidRPr="007B5D03">
        <w:rPr>
          <w:rFonts w:hAnsi="標楷體"/>
          <w:sz w:val="30"/>
          <w:szCs w:val="30"/>
        </w:rPr>
        <w:t>條之</w:t>
      </w:r>
      <w:r w:rsidRPr="007B5D03">
        <w:rPr>
          <w:sz w:val="30"/>
          <w:szCs w:val="30"/>
        </w:rPr>
        <w:t>1</w:t>
      </w:r>
      <w:r w:rsidRPr="007B5D03">
        <w:rPr>
          <w:rFonts w:hAnsi="標楷體"/>
          <w:sz w:val="30"/>
          <w:szCs w:val="30"/>
        </w:rPr>
        <w:t>，明定認購（售）權證發行人，買賣上開有價</w:t>
      </w:r>
      <w:r w:rsidRPr="007B5D03">
        <w:rPr>
          <w:rFonts w:hAnsi="標楷體"/>
          <w:spacing w:val="-4"/>
          <w:sz w:val="30"/>
          <w:szCs w:val="30"/>
        </w:rPr>
        <w:lastRenderedPageBreak/>
        <w:t>證券及衍生性金融商品之交易所得或損失，應併計發行認購（售）權證之損益課稅，不適用第</w:t>
      </w:r>
      <w:r w:rsidRPr="007B5D03">
        <w:rPr>
          <w:rFonts w:hAnsi="標楷體" w:hint="eastAsia"/>
          <w:spacing w:val="-4"/>
          <w:sz w:val="30"/>
          <w:szCs w:val="30"/>
        </w:rPr>
        <w:t>4</w:t>
      </w:r>
      <w:r w:rsidRPr="007B5D03">
        <w:rPr>
          <w:rFonts w:hAnsi="標楷體"/>
          <w:spacing w:val="2"/>
          <w:sz w:val="30"/>
          <w:szCs w:val="30"/>
        </w:rPr>
        <w:t>條之</w:t>
      </w:r>
      <w:r w:rsidRPr="007B5D03">
        <w:rPr>
          <w:rFonts w:hAnsi="標楷體" w:hint="eastAsia"/>
          <w:spacing w:val="2"/>
          <w:sz w:val="30"/>
          <w:szCs w:val="30"/>
        </w:rPr>
        <w:t>1</w:t>
      </w:r>
      <w:r w:rsidRPr="007B5D03">
        <w:rPr>
          <w:rFonts w:hAnsi="標楷體"/>
          <w:spacing w:val="2"/>
          <w:sz w:val="30"/>
          <w:szCs w:val="30"/>
        </w:rPr>
        <w:t>及第</w:t>
      </w:r>
      <w:r w:rsidRPr="007B5D03">
        <w:rPr>
          <w:rFonts w:hAnsi="標楷體" w:hint="eastAsia"/>
          <w:spacing w:val="2"/>
          <w:sz w:val="30"/>
          <w:szCs w:val="30"/>
        </w:rPr>
        <w:t>4</w:t>
      </w:r>
      <w:r w:rsidRPr="007B5D03">
        <w:rPr>
          <w:rFonts w:hAnsi="標楷體"/>
          <w:spacing w:val="2"/>
          <w:sz w:val="30"/>
          <w:szCs w:val="30"/>
        </w:rPr>
        <w:t>條之</w:t>
      </w:r>
      <w:r w:rsidRPr="007B5D03">
        <w:rPr>
          <w:rFonts w:hAnsi="標楷體" w:hint="eastAsia"/>
          <w:spacing w:val="2"/>
          <w:sz w:val="30"/>
          <w:szCs w:val="30"/>
        </w:rPr>
        <w:t>2</w:t>
      </w:r>
      <w:r w:rsidRPr="007B5D03">
        <w:rPr>
          <w:rFonts w:hAnsi="標楷體"/>
          <w:spacing w:val="2"/>
          <w:sz w:val="30"/>
          <w:szCs w:val="30"/>
        </w:rPr>
        <w:t>規定，使課稅更為公平合</w:t>
      </w:r>
      <w:r w:rsidRPr="007B5D03">
        <w:rPr>
          <w:rFonts w:hAnsi="標楷體"/>
          <w:spacing w:val="-4"/>
          <w:sz w:val="30"/>
          <w:szCs w:val="30"/>
        </w:rPr>
        <w:t>理，本部敬</w:t>
      </w:r>
      <w:r w:rsidRPr="007B5D03">
        <w:rPr>
          <w:rFonts w:hAnsi="標楷體" w:hint="eastAsia"/>
          <w:spacing w:val="-4"/>
          <w:sz w:val="30"/>
          <w:szCs w:val="30"/>
        </w:rPr>
        <w:t>表</w:t>
      </w:r>
      <w:r w:rsidRPr="007B5D03">
        <w:rPr>
          <w:rFonts w:hAnsi="標楷體"/>
          <w:spacing w:val="-4"/>
          <w:sz w:val="30"/>
          <w:szCs w:val="30"/>
        </w:rPr>
        <w:t>支持與贊同。」（參見附件</w:t>
      </w:r>
      <w:r w:rsidRPr="007B5D03">
        <w:rPr>
          <w:spacing w:val="-4"/>
          <w:sz w:val="30"/>
          <w:szCs w:val="30"/>
        </w:rPr>
        <w:t>25</w:t>
      </w:r>
      <w:r w:rsidRPr="007B5D03">
        <w:rPr>
          <w:rFonts w:hAnsi="標楷體"/>
          <w:spacing w:val="-4"/>
          <w:sz w:val="30"/>
          <w:szCs w:val="30"/>
        </w:rPr>
        <w:t>），</w:t>
      </w:r>
      <w:r w:rsidRPr="007B5D03">
        <w:rPr>
          <w:rFonts w:hAnsi="標楷體"/>
          <w:spacing w:val="10"/>
          <w:sz w:val="30"/>
          <w:szCs w:val="30"/>
        </w:rPr>
        <w:t>亦承認避險交易損失應與發行權證收入相配</w:t>
      </w:r>
      <w:r w:rsidRPr="007B5D03">
        <w:rPr>
          <w:rFonts w:hAnsi="標楷體"/>
          <w:spacing w:val="-4"/>
          <w:sz w:val="30"/>
          <w:szCs w:val="30"/>
        </w:rPr>
        <w:t>合，自所得中減除，較為公平合理。</w:t>
      </w:r>
    </w:p>
    <w:p w:rsidR="00514426" w:rsidRPr="007B5D03" w:rsidRDefault="00514426" w:rsidP="00FD3D40">
      <w:pPr>
        <w:snapToGrid w:val="0"/>
        <w:spacing w:line="437" w:lineRule="exact"/>
        <w:ind w:left="2342" w:hanging="357"/>
        <w:rPr>
          <w:sz w:val="30"/>
          <w:szCs w:val="30"/>
        </w:rPr>
      </w:pPr>
      <w:r w:rsidRPr="007B5D03">
        <w:rPr>
          <w:rFonts w:hAnsi="標楷體" w:hint="eastAsia"/>
          <w:sz w:val="30"/>
          <w:szCs w:val="30"/>
        </w:rPr>
        <w:t>(3)</w:t>
      </w:r>
      <w:r w:rsidRPr="007B5D03">
        <w:rPr>
          <w:rFonts w:hAnsi="標楷體"/>
          <w:spacing w:val="10"/>
          <w:sz w:val="30"/>
          <w:szCs w:val="30"/>
        </w:rPr>
        <w:t>查一般證券交易行為係人民本於自由意志決</w:t>
      </w:r>
      <w:r w:rsidRPr="007B5D03">
        <w:rPr>
          <w:rFonts w:hAnsi="標楷體"/>
          <w:spacing w:val="-4"/>
          <w:sz w:val="30"/>
          <w:szCs w:val="30"/>
        </w:rPr>
        <w:t>定，從事以獲得收入所得為目的之經濟活動，其所得免稅，因此基於收入與成本費用配合原則，</w:t>
      </w:r>
      <w:r w:rsidRPr="007B5D03">
        <w:rPr>
          <w:rFonts w:hAnsi="標楷體"/>
          <w:sz w:val="30"/>
          <w:szCs w:val="30"/>
        </w:rPr>
        <w:t>相對的發生費用損失也不准自其他課稅所得中</w:t>
      </w:r>
      <w:r w:rsidRPr="007B5D03">
        <w:rPr>
          <w:rFonts w:hAnsi="標楷體"/>
          <w:spacing w:val="-4"/>
          <w:sz w:val="30"/>
          <w:szCs w:val="30"/>
        </w:rPr>
        <w:t>減除。反之，發行權證交易而進行之避險行為，乃是法規強行規定要求，納稅人並無意思決定自由，加上其係以「避險」（減少損失）為目的，其避險交易只是「從屬性」之手段，最終目的乃是為獲得發行權證收益（權利金收入）為目的，因此避險交易並非以獲得證券交易「所得」為目的，且避險行為通常均會產生損失，此與一般證券交易活動係以獲得證券交易所得之目的，明顯不同。就此根據</w:t>
      </w:r>
      <w:smartTag w:uri="urn:schemas-microsoft-com:office:smarttags" w:element="PersonName">
        <w:smartTagPr>
          <w:attr w:name="ProductID" w:val="李存修"/>
        </w:smartTagPr>
        <w:r w:rsidRPr="007B5D03">
          <w:rPr>
            <w:rFonts w:hAnsi="標楷體"/>
            <w:spacing w:val="-4"/>
            <w:sz w:val="30"/>
            <w:szCs w:val="30"/>
          </w:rPr>
          <w:t>李存修</w:t>
        </w:r>
      </w:smartTag>
      <w:r w:rsidRPr="007B5D03">
        <w:rPr>
          <w:rFonts w:hAnsi="標楷體"/>
          <w:spacing w:val="-4"/>
          <w:sz w:val="30"/>
          <w:szCs w:val="30"/>
        </w:rPr>
        <w:t>教授之研究報告，全國發行權證之券商多年來從事避險交易之統計，絕大多數均呈現虧損結果，可以證明。亦即避險交易</w:t>
      </w:r>
      <w:r w:rsidRPr="007B5D03">
        <w:rPr>
          <w:rFonts w:hAnsi="標楷體"/>
          <w:sz w:val="30"/>
          <w:szCs w:val="30"/>
        </w:rPr>
        <w:t>行為乃是發行權證之券商為獲得發行權證收入</w:t>
      </w:r>
      <w:r w:rsidRPr="007B5D03">
        <w:rPr>
          <w:rFonts w:hAnsi="標楷體"/>
          <w:spacing w:val="-4"/>
          <w:sz w:val="30"/>
          <w:szCs w:val="30"/>
        </w:rPr>
        <w:t>所得之目的而投入之成本費用交易性質，因此其避險行為所生之「形式上為證券之交易損失」，</w:t>
      </w:r>
      <w:r w:rsidRPr="007B5D03">
        <w:rPr>
          <w:rFonts w:hAnsi="標楷體"/>
          <w:spacing w:val="10"/>
          <w:sz w:val="30"/>
          <w:szCs w:val="30"/>
        </w:rPr>
        <w:t>性質上應歸屬於發行權證收入之成本費用性</w:t>
      </w:r>
      <w:r w:rsidRPr="007B5D03">
        <w:rPr>
          <w:rFonts w:hAnsi="標楷體"/>
          <w:spacing w:val="-4"/>
          <w:sz w:val="30"/>
          <w:szCs w:val="30"/>
        </w:rPr>
        <w:t>質，而不應歸屬於一般證券交易損失性質，不應適</w:t>
      </w:r>
      <w:r w:rsidRPr="007B5D03">
        <w:rPr>
          <w:rFonts w:hAnsi="標楷體"/>
          <w:spacing w:val="-4"/>
          <w:sz w:val="30"/>
          <w:szCs w:val="30"/>
        </w:rPr>
        <w:lastRenderedPageBreak/>
        <w:t>用所得稅法第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規定。</w:t>
      </w:r>
    </w:p>
    <w:p w:rsidR="00514426" w:rsidRPr="007B5D03" w:rsidRDefault="00514426" w:rsidP="00FD3D40">
      <w:pPr>
        <w:snapToGrid w:val="0"/>
        <w:spacing w:line="437" w:lineRule="exact"/>
        <w:ind w:left="2342" w:hanging="357"/>
        <w:rPr>
          <w:sz w:val="30"/>
          <w:szCs w:val="30"/>
        </w:rPr>
      </w:pPr>
      <w:r w:rsidRPr="007B5D03">
        <w:rPr>
          <w:rFonts w:hAnsi="標楷體" w:hint="eastAsia"/>
          <w:sz w:val="30"/>
          <w:szCs w:val="30"/>
        </w:rPr>
        <w:t>(4)</w:t>
      </w:r>
      <w:r w:rsidRPr="007B5D03">
        <w:rPr>
          <w:rFonts w:hAnsi="標楷體"/>
          <w:sz w:val="30"/>
          <w:szCs w:val="30"/>
        </w:rPr>
        <w:t>是故，如果認購（售）權證中避險交易部分真應</w:t>
      </w:r>
      <w:r w:rsidRPr="007B5D03">
        <w:rPr>
          <w:rFonts w:hAnsi="標楷體"/>
          <w:spacing w:val="-4"/>
          <w:sz w:val="30"/>
          <w:szCs w:val="30"/>
        </w:rPr>
        <w:t>以證券交易作稅上處理，新法之規定豈非又造成差別待遇？蓋立法者不得恣意為差別待遇，必須</w:t>
      </w:r>
      <w:r w:rsidRPr="007B5D03">
        <w:rPr>
          <w:rFonts w:hAnsi="標楷體"/>
          <w:sz w:val="30"/>
          <w:szCs w:val="30"/>
        </w:rPr>
        <w:t>本於事物本質或公益目的之正當理由為合理差</w:t>
      </w:r>
      <w:r w:rsidRPr="007B5D03">
        <w:rPr>
          <w:rFonts w:hAnsi="標楷體"/>
          <w:spacing w:val="-4"/>
          <w:sz w:val="30"/>
          <w:szCs w:val="30"/>
        </w:rPr>
        <w:t>別待遇，新法所顯示之立法意旨係權證交易之避</w:t>
      </w:r>
      <w:r w:rsidRPr="007B5D03">
        <w:rPr>
          <w:rFonts w:hAnsi="標楷體"/>
          <w:sz w:val="30"/>
          <w:szCs w:val="30"/>
        </w:rPr>
        <w:t>險成本扣除應稅權利金收入屬於配合原則之規</w:t>
      </w:r>
      <w:r w:rsidRPr="007B5D03">
        <w:rPr>
          <w:rFonts w:hAnsi="標楷體"/>
          <w:spacing w:val="-4"/>
          <w:sz w:val="30"/>
          <w:szCs w:val="30"/>
        </w:rPr>
        <w:t>定，是以立法者亦明示其並非可割裂評價為證券交易之本質，故屬於對不同事物為不同處遇之差別規範，並不違反平等原則。是以財政部</w:t>
      </w:r>
      <w:r w:rsidRPr="007B5D03">
        <w:rPr>
          <w:spacing w:val="-4"/>
          <w:sz w:val="30"/>
          <w:szCs w:val="30"/>
        </w:rPr>
        <w:t>86</w:t>
      </w:r>
      <w:r w:rsidRPr="007B5D03">
        <w:rPr>
          <w:rFonts w:hAnsi="標楷體"/>
          <w:spacing w:val="-4"/>
          <w:sz w:val="30"/>
          <w:szCs w:val="30"/>
        </w:rPr>
        <w:t>年函釋顧慮所得稅法第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對於權證交易課稅之處理，似有以為對權證交易避險損失之特別處理，對其他證券交易為差別待遇之疑慮，應屬多餘。</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7.財</w:t>
      </w:r>
      <w:r w:rsidRPr="007B5D03">
        <w:rPr>
          <w:rFonts w:hAnsi="標楷體"/>
          <w:sz w:val="30"/>
          <w:szCs w:val="30"/>
        </w:rPr>
        <w:t>政部</w:t>
      </w:r>
      <w:r w:rsidRPr="007B5D03">
        <w:rPr>
          <w:sz w:val="30"/>
          <w:szCs w:val="30"/>
        </w:rPr>
        <w:t>86</w:t>
      </w:r>
      <w:r w:rsidRPr="007B5D03">
        <w:rPr>
          <w:rFonts w:hAnsi="標楷體"/>
          <w:sz w:val="30"/>
          <w:szCs w:val="30"/>
        </w:rPr>
        <w:t>年函釋與財政部</w:t>
      </w:r>
      <w:r w:rsidRPr="007B5D03">
        <w:rPr>
          <w:sz w:val="30"/>
          <w:szCs w:val="30"/>
        </w:rPr>
        <w:t>83</w:t>
      </w:r>
      <w:r w:rsidRPr="007B5D03">
        <w:rPr>
          <w:rFonts w:hAnsi="標楷體"/>
          <w:sz w:val="30"/>
          <w:szCs w:val="30"/>
        </w:rPr>
        <w:t>年函釋</w:t>
      </w:r>
      <w:r w:rsidRPr="007B5D03">
        <w:rPr>
          <w:rFonts w:hAnsi="標楷體" w:hint="eastAsia"/>
          <w:sz w:val="30"/>
          <w:szCs w:val="30"/>
        </w:rPr>
        <w:t>（</w:t>
      </w:r>
      <w:r w:rsidRPr="007B5D03">
        <w:rPr>
          <w:rFonts w:hAnsi="標楷體"/>
          <w:sz w:val="30"/>
          <w:szCs w:val="30"/>
        </w:rPr>
        <w:t>財政部</w:t>
      </w:r>
      <w:smartTag w:uri="urn:schemas-microsoft-com:office:smarttags" w:element="chsdate">
        <w:smartTagPr>
          <w:attr w:name="IsROCDate" w:val="False"/>
          <w:attr w:name="IsLunarDate" w:val="False"/>
          <w:attr w:name="Day" w:val="8"/>
          <w:attr w:name="Month" w:val="2"/>
          <w:attr w:name="Year" w:val="1983"/>
        </w:smartTagPr>
        <w:r w:rsidRPr="007B5D03">
          <w:rPr>
            <w:sz w:val="30"/>
            <w:szCs w:val="30"/>
          </w:rPr>
          <w:t>83</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8</w:t>
        </w:r>
        <w:r w:rsidRPr="007B5D03">
          <w:rPr>
            <w:rFonts w:hAnsi="標楷體"/>
            <w:sz w:val="30"/>
            <w:szCs w:val="30"/>
          </w:rPr>
          <w:t>日</w:t>
        </w:r>
      </w:smartTag>
      <w:r w:rsidRPr="007B5D03">
        <w:rPr>
          <w:rFonts w:hAnsi="標楷體"/>
          <w:sz w:val="30"/>
          <w:szCs w:val="30"/>
        </w:rPr>
        <w:t>台財稅第</w:t>
      </w:r>
      <w:r w:rsidRPr="007B5D03">
        <w:rPr>
          <w:sz w:val="30"/>
          <w:szCs w:val="30"/>
        </w:rPr>
        <w:t>831582472</w:t>
      </w:r>
      <w:r w:rsidRPr="007B5D03">
        <w:rPr>
          <w:rFonts w:hAnsi="標楷體"/>
          <w:sz w:val="30"/>
          <w:szCs w:val="30"/>
        </w:rPr>
        <w:t>號函</w:t>
      </w:r>
      <w:r w:rsidRPr="007B5D03">
        <w:rPr>
          <w:rFonts w:hAnsi="標楷體" w:hint="eastAsia"/>
          <w:sz w:val="30"/>
          <w:szCs w:val="30"/>
        </w:rPr>
        <w:t>）</w:t>
      </w:r>
      <w:r w:rsidRPr="007B5D03">
        <w:rPr>
          <w:rFonts w:hAnsi="標楷體"/>
          <w:sz w:val="30"/>
          <w:szCs w:val="30"/>
        </w:rPr>
        <w:t>就同屬配合原則之情形予以差別對待，並非有堅強之公益目的，自有違反平等原則之情</w:t>
      </w:r>
    </w:p>
    <w:p w:rsidR="00514426" w:rsidRPr="007B5D03" w:rsidRDefault="00514426" w:rsidP="00FD3D40">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按財政部</w:t>
      </w:r>
      <w:smartTag w:uri="urn:schemas-microsoft-com:office:smarttags" w:element="chsdate">
        <w:smartTagPr>
          <w:attr w:name="IsROCDate" w:val="False"/>
          <w:attr w:name="IsLunarDate" w:val="False"/>
          <w:attr w:name="Day" w:val="8"/>
          <w:attr w:name="Month" w:val="2"/>
          <w:attr w:name="Year" w:val="1983"/>
        </w:smartTagPr>
        <w:r w:rsidRPr="007B5D03">
          <w:rPr>
            <w:sz w:val="30"/>
            <w:szCs w:val="30"/>
          </w:rPr>
          <w:t>83</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8</w:t>
        </w:r>
        <w:r w:rsidRPr="007B5D03">
          <w:rPr>
            <w:rFonts w:hAnsi="標楷體"/>
            <w:sz w:val="30"/>
            <w:szCs w:val="30"/>
          </w:rPr>
          <w:t>日</w:t>
        </w:r>
      </w:smartTag>
      <w:r w:rsidRPr="007B5D03">
        <w:rPr>
          <w:rFonts w:hAnsi="標楷體"/>
          <w:sz w:val="30"/>
          <w:szCs w:val="30"/>
        </w:rPr>
        <w:t>台財稅第</w:t>
      </w:r>
      <w:r w:rsidRPr="007B5D03">
        <w:rPr>
          <w:sz w:val="30"/>
          <w:szCs w:val="30"/>
        </w:rPr>
        <w:t>831582472</w:t>
      </w:r>
      <w:r w:rsidRPr="007B5D03">
        <w:rPr>
          <w:rFonts w:hAnsi="標楷體"/>
          <w:sz w:val="30"/>
          <w:szCs w:val="30"/>
        </w:rPr>
        <w:t>號函：「三、以</w:t>
      </w:r>
      <w:r w:rsidRPr="007B5D03">
        <w:rPr>
          <w:sz w:val="30"/>
          <w:szCs w:val="30"/>
        </w:rPr>
        <w:t>有價證券</w:t>
      </w:r>
      <w:r w:rsidRPr="007B5D03">
        <w:rPr>
          <w:rFonts w:hAnsi="標楷體"/>
          <w:sz w:val="30"/>
          <w:szCs w:val="30"/>
        </w:rPr>
        <w:t>買賣為專業之營利事業，</w:t>
      </w:r>
      <w:r w:rsidRPr="007B5D03">
        <w:rPr>
          <w:rFonts w:hAnsi="標楷體"/>
          <w:spacing w:val="-4"/>
          <w:sz w:val="30"/>
          <w:szCs w:val="30"/>
        </w:rPr>
        <w:t>其營業費用及借款利息，除可合理明確歸屬者得個別歸屬認列外，應按核定有價證券出售收入、投資收益、債券利息收入及其他營業收入比例，計算有價證券出售部分應分攤之費用及利息，自有價證券出售收入項下減除」，其經由</w:t>
      </w:r>
      <w:r w:rsidRPr="007B5D03">
        <w:rPr>
          <w:spacing w:val="-4"/>
          <w:sz w:val="30"/>
          <w:szCs w:val="30"/>
        </w:rPr>
        <w:t xml:space="preserve">　</w:t>
      </w:r>
      <w:r w:rsidRPr="007B5D03">
        <w:rPr>
          <w:rFonts w:hAnsi="標楷體"/>
          <w:spacing w:val="-4"/>
          <w:sz w:val="30"/>
          <w:szCs w:val="30"/>
        </w:rPr>
        <w:t>鈞院釋</w:t>
      </w:r>
      <w:r w:rsidRPr="007B5D03">
        <w:rPr>
          <w:rFonts w:hAnsi="標楷體"/>
          <w:sz w:val="30"/>
          <w:szCs w:val="30"/>
        </w:rPr>
        <w:t>字第</w:t>
      </w:r>
      <w:r w:rsidRPr="007B5D03">
        <w:rPr>
          <w:sz w:val="30"/>
          <w:szCs w:val="30"/>
        </w:rPr>
        <w:t>493</w:t>
      </w:r>
      <w:r w:rsidRPr="007B5D03">
        <w:rPr>
          <w:rFonts w:hAnsi="標楷體"/>
          <w:sz w:val="30"/>
          <w:szCs w:val="30"/>
        </w:rPr>
        <w:t>號解釋乃依所得稅法第</w:t>
      </w:r>
      <w:r w:rsidRPr="007B5D03">
        <w:rPr>
          <w:sz w:val="30"/>
          <w:szCs w:val="30"/>
        </w:rPr>
        <w:t>24</w:t>
      </w:r>
      <w:r w:rsidRPr="007B5D03">
        <w:rPr>
          <w:rFonts w:hAnsi="標楷體"/>
          <w:sz w:val="30"/>
          <w:szCs w:val="30"/>
        </w:rPr>
        <w:t>條之配合原</w:t>
      </w:r>
      <w:r w:rsidRPr="007B5D03">
        <w:rPr>
          <w:rFonts w:hAnsi="標楷體"/>
          <w:spacing w:val="-4"/>
          <w:sz w:val="30"/>
          <w:szCs w:val="30"/>
        </w:rPr>
        <w:lastRenderedPageBreak/>
        <w:t>則規定肯認該函釋之合憲性，亦即可合理明確歸</w:t>
      </w:r>
      <w:r w:rsidRPr="007B5D03">
        <w:rPr>
          <w:rFonts w:hAnsi="標楷體"/>
          <w:spacing w:val="10"/>
          <w:sz w:val="30"/>
          <w:szCs w:val="30"/>
        </w:rPr>
        <w:t>屬於應稅收入及免稅收入之費用即應個別歸</w:t>
      </w:r>
      <w:r w:rsidRPr="007B5D03">
        <w:rPr>
          <w:rFonts w:hAnsi="標楷體"/>
          <w:spacing w:val="-4"/>
          <w:sz w:val="30"/>
          <w:szCs w:val="30"/>
        </w:rPr>
        <w:t>屬，此乃配合原則之意旨。</w:t>
      </w:r>
    </w:p>
    <w:p w:rsidR="00514426" w:rsidRPr="007B5D03" w:rsidRDefault="00514426" w:rsidP="00FD3D40">
      <w:pPr>
        <w:snapToGrid w:val="0"/>
        <w:spacing w:line="437" w:lineRule="exact"/>
        <w:ind w:left="2342" w:hanging="357"/>
        <w:rPr>
          <w:sz w:val="30"/>
          <w:szCs w:val="30"/>
        </w:rPr>
      </w:pPr>
      <w:r w:rsidRPr="007B5D03">
        <w:rPr>
          <w:rFonts w:hAnsi="標楷體" w:hint="eastAsia"/>
          <w:sz w:val="30"/>
          <w:szCs w:val="30"/>
        </w:rPr>
        <w:t>(2)</w:t>
      </w:r>
      <w:r w:rsidRPr="007B5D03">
        <w:rPr>
          <w:rFonts w:hAnsi="標楷體"/>
          <w:sz w:val="30"/>
          <w:szCs w:val="30"/>
        </w:rPr>
        <w:t>惟財政部</w:t>
      </w:r>
      <w:r w:rsidRPr="007B5D03">
        <w:rPr>
          <w:sz w:val="30"/>
          <w:szCs w:val="30"/>
        </w:rPr>
        <w:t>86</w:t>
      </w:r>
      <w:r w:rsidRPr="007B5D03">
        <w:rPr>
          <w:rFonts w:hAnsi="標楷體"/>
          <w:sz w:val="30"/>
          <w:szCs w:val="30"/>
        </w:rPr>
        <w:t>年函釋對於同屬配合原則應適用之情形，採取與</w:t>
      </w:r>
      <w:r w:rsidRPr="007B5D03">
        <w:rPr>
          <w:rFonts w:hAnsi="標楷體"/>
          <w:spacing w:val="-4"/>
          <w:sz w:val="30"/>
          <w:szCs w:val="30"/>
        </w:rPr>
        <w:t>財政部</w:t>
      </w:r>
      <w:r w:rsidRPr="007B5D03">
        <w:rPr>
          <w:sz w:val="30"/>
          <w:szCs w:val="30"/>
        </w:rPr>
        <w:t>83</w:t>
      </w:r>
      <w:r w:rsidRPr="007B5D03">
        <w:rPr>
          <w:rFonts w:hAnsi="標楷體"/>
          <w:sz w:val="30"/>
          <w:szCs w:val="30"/>
        </w:rPr>
        <w:t>年函釋相異之處遇，權證避險損失在事物本質上係可明確歸屬應稅收</w:t>
      </w:r>
      <w:r w:rsidRPr="007B5D03">
        <w:rPr>
          <w:rFonts w:hAnsi="標楷體"/>
          <w:spacing w:val="-4"/>
          <w:sz w:val="30"/>
          <w:szCs w:val="30"/>
        </w:rPr>
        <w:t>入成本費用，卻不准依證券買賣為專業之營利事業之一般費用認列標準，將可明確歸屬應稅收入之成本費用併計於應稅收入，又財政部</w:t>
      </w:r>
      <w:r w:rsidRPr="007B5D03">
        <w:rPr>
          <w:spacing w:val="-4"/>
          <w:sz w:val="30"/>
          <w:szCs w:val="30"/>
        </w:rPr>
        <w:t>86</w:t>
      </w:r>
      <w:r w:rsidRPr="007B5D03">
        <w:rPr>
          <w:rFonts w:hAnsi="標楷體"/>
          <w:spacing w:val="-4"/>
          <w:sz w:val="30"/>
          <w:szCs w:val="30"/>
        </w:rPr>
        <w:t>年函釋並無配合原則之正當公益目的已如前述，在此亦有財政部</w:t>
      </w:r>
      <w:r w:rsidRPr="007B5D03">
        <w:rPr>
          <w:spacing w:val="-4"/>
          <w:sz w:val="30"/>
          <w:szCs w:val="30"/>
        </w:rPr>
        <w:t>86</w:t>
      </w:r>
      <w:r w:rsidRPr="007B5D03">
        <w:rPr>
          <w:rFonts w:hAnsi="標楷體"/>
          <w:spacing w:val="-4"/>
          <w:sz w:val="30"/>
          <w:szCs w:val="30"/>
        </w:rPr>
        <w:t>年函釋與財政部</w:t>
      </w:r>
      <w:r w:rsidRPr="007B5D03">
        <w:rPr>
          <w:spacing w:val="-4"/>
          <w:sz w:val="30"/>
          <w:szCs w:val="30"/>
        </w:rPr>
        <w:t>83</w:t>
      </w:r>
      <w:r w:rsidRPr="007B5D03">
        <w:rPr>
          <w:rFonts w:hAnsi="標楷體"/>
          <w:spacing w:val="-4"/>
          <w:sz w:val="30"/>
          <w:szCs w:val="30"/>
        </w:rPr>
        <w:t>年函釋相較所顯示之不合理差別待遇。</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8.財</w:t>
      </w:r>
      <w:r w:rsidRPr="007B5D03">
        <w:rPr>
          <w:rFonts w:hAnsi="標楷體"/>
          <w:sz w:val="30"/>
          <w:szCs w:val="30"/>
        </w:rPr>
        <w:t>政部</w:t>
      </w:r>
      <w:r w:rsidRPr="007B5D03">
        <w:rPr>
          <w:sz w:val="30"/>
          <w:szCs w:val="30"/>
        </w:rPr>
        <w:t>86</w:t>
      </w:r>
      <w:r w:rsidRPr="007B5D03">
        <w:rPr>
          <w:rFonts w:hAnsi="標楷體"/>
          <w:sz w:val="30"/>
          <w:szCs w:val="30"/>
        </w:rPr>
        <w:t>年函釋對國內外券商有產生無正當理由之差別待遇</w:t>
      </w:r>
    </w:p>
    <w:p w:rsidR="00514426" w:rsidRPr="007B5D03" w:rsidRDefault="00514426" w:rsidP="00FB2D5A">
      <w:pPr>
        <w:snapToGrid w:val="0"/>
        <w:spacing w:line="437" w:lineRule="exact"/>
        <w:ind w:left="2041" w:firstLine="318"/>
        <w:rPr>
          <w:sz w:val="30"/>
          <w:szCs w:val="30"/>
        </w:rPr>
      </w:pPr>
      <w:r w:rsidRPr="007B5D03">
        <w:rPr>
          <w:rFonts w:hAnsi="標楷體"/>
          <w:sz w:val="30"/>
          <w:szCs w:val="30"/>
        </w:rPr>
        <w:t>財政部</w:t>
      </w:r>
      <w:r w:rsidRPr="007B5D03">
        <w:rPr>
          <w:sz w:val="30"/>
          <w:szCs w:val="30"/>
        </w:rPr>
        <w:t>86</w:t>
      </w:r>
      <w:r w:rsidRPr="007B5D03">
        <w:rPr>
          <w:rFonts w:hAnsi="標楷體"/>
          <w:sz w:val="30"/>
          <w:szCs w:val="30"/>
        </w:rPr>
        <w:t>年函釋適用之結果，於國內券商核課其權證交易所得，因不准扣除權證交易之避險成</w:t>
      </w:r>
      <w:r w:rsidRPr="007B5D03">
        <w:rPr>
          <w:rFonts w:hAnsi="標楷體"/>
          <w:spacing w:val="-4"/>
          <w:sz w:val="30"/>
          <w:szCs w:val="30"/>
        </w:rPr>
        <w:t>本，僅得減除少量之權證銷售管理費用，導致幾近是對其毛收入課稅，券商實質稅負約占權證發行權利金收入</w:t>
      </w:r>
      <w:r w:rsidRPr="007B5D03">
        <w:rPr>
          <w:spacing w:val="-4"/>
          <w:sz w:val="30"/>
          <w:szCs w:val="30"/>
        </w:rPr>
        <w:t>25%(</w:t>
      </w:r>
      <w:r w:rsidRPr="007B5D03">
        <w:rPr>
          <w:rFonts w:hAnsi="標楷體"/>
          <w:spacing w:val="-4"/>
          <w:sz w:val="30"/>
          <w:szCs w:val="30"/>
        </w:rPr>
        <w:t>毛收</w:t>
      </w:r>
      <w:r w:rsidRPr="007B5D03">
        <w:rPr>
          <w:rFonts w:ascii="標楷體" w:hAnsi="標楷體"/>
          <w:spacing w:val="-4"/>
          <w:sz w:val="30"/>
          <w:szCs w:val="30"/>
        </w:rPr>
        <w:t>入</w:t>
      </w:r>
      <w:r w:rsidRPr="007B5D03">
        <w:rPr>
          <w:rFonts w:ascii="標楷體" w:hAnsi="標楷體" w:hint="eastAsia"/>
          <w:spacing w:val="-4"/>
          <w:sz w:val="30"/>
          <w:szCs w:val="30"/>
        </w:rPr>
        <w:t>×</w:t>
      </w:r>
      <w:r w:rsidRPr="007B5D03">
        <w:rPr>
          <w:spacing w:val="-4"/>
          <w:sz w:val="30"/>
          <w:szCs w:val="30"/>
        </w:rPr>
        <w:t>25%)</w:t>
      </w:r>
      <w:r w:rsidRPr="007B5D03">
        <w:rPr>
          <w:rFonts w:hAnsi="標楷體"/>
          <w:spacing w:val="-4"/>
          <w:sz w:val="30"/>
          <w:szCs w:val="30"/>
        </w:rPr>
        <w:t>，卻對從事相同權證交</w:t>
      </w:r>
      <w:r w:rsidRPr="007B5D03">
        <w:rPr>
          <w:rFonts w:hAnsi="標楷體"/>
          <w:sz w:val="30"/>
          <w:szCs w:val="30"/>
        </w:rPr>
        <w:t>易之外資券商，准其適用所得稅法第</w:t>
      </w:r>
      <w:r w:rsidRPr="007B5D03">
        <w:rPr>
          <w:sz w:val="30"/>
          <w:szCs w:val="30"/>
        </w:rPr>
        <w:t>25</w:t>
      </w:r>
      <w:r w:rsidRPr="007B5D03">
        <w:rPr>
          <w:rFonts w:hAnsi="標楷體"/>
          <w:sz w:val="30"/>
          <w:szCs w:val="30"/>
        </w:rPr>
        <w:t>條，依其</w:t>
      </w:r>
      <w:r w:rsidRPr="007B5D03">
        <w:rPr>
          <w:rFonts w:hAnsi="標楷體"/>
          <w:spacing w:val="-4"/>
          <w:sz w:val="30"/>
          <w:szCs w:val="30"/>
        </w:rPr>
        <w:t>收入之</w:t>
      </w:r>
      <w:r w:rsidRPr="007B5D03">
        <w:rPr>
          <w:spacing w:val="-4"/>
          <w:sz w:val="30"/>
          <w:szCs w:val="30"/>
        </w:rPr>
        <w:t>15%</w:t>
      </w:r>
      <w:r w:rsidRPr="007B5D03">
        <w:rPr>
          <w:rFonts w:hAnsi="標楷體"/>
          <w:spacing w:val="-4"/>
          <w:sz w:val="30"/>
          <w:szCs w:val="30"/>
        </w:rPr>
        <w:t>核課所得稅，致外資券商僅須負擔權證交易毛收入</w:t>
      </w:r>
      <w:r w:rsidRPr="007B5D03">
        <w:rPr>
          <w:spacing w:val="-4"/>
          <w:sz w:val="30"/>
          <w:szCs w:val="30"/>
        </w:rPr>
        <w:t>3.75%(</w:t>
      </w:r>
      <w:r w:rsidRPr="007B5D03">
        <w:rPr>
          <w:rFonts w:hAnsi="標楷體"/>
          <w:spacing w:val="-4"/>
          <w:sz w:val="30"/>
          <w:szCs w:val="30"/>
        </w:rPr>
        <w:t>收</w:t>
      </w:r>
      <w:r w:rsidRPr="007B5D03">
        <w:rPr>
          <w:rFonts w:ascii="標楷體" w:hAnsi="標楷體"/>
          <w:spacing w:val="-4"/>
          <w:sz w:val="30"/>
          <w:szCs w:val="30"/>
        </w:rPr>
        <w:t>入</w:t>
      </w:r>
      <w:r w:rsidRPr="007B5D03">
        <w:rPr>
          <w:rFonts w:ascii="標楷體" w:hAnsi="標楷體" w:hint="eastAsia"/>
          <w:spacing w:val="-4"/>
          <w:sz w:val="30"/>
          <w:szCs w:val="30"/>
        </w:rPr>
        <w:t>×</w:t>
      </w:r>
      <w:r w:rsidRPr="007B5D03">
        <w:rPr>
          <w:spacing w:val="-4"/>
          <w:sz w:val="30"/>
          <w:szCs w:val="30"/>
        </w:rPr>
        <w:t>15</w:t>
      </w:r>
      <w:r w:rsidRPr="007B5D03">
        <w:rPr>
          <w:rFonts w:ascii="標楷體" w:hAnsi="標楷體"/>
          <w:spacing w:val="-4"/>
          <w:sz w:val="30"/>
          <w:szCs w:val="30"/>
        </w:rPr>
        <w:t>%</w:t>
      </w:r>
      <w:r w:rsidRPr="007B5D03">
        <w:rPr>
          <w:rFonts w:ascii="標楷體" w:hAnsi="標楷體" w:hint="eastAsia"/>
          <w:spacing w:val="-4"/>
          <w:sz w:val="30"/>
          <w:szCs w:val="30"/>
        </w:rPr>
        <w:t>×</w:t>
      </w:r>
      <w:r w:rsidRPr="007B5D03">
        <w:rPr>
          <w:spacing w:val="-4"/>
          <w:sz w:val="30"/>
          <w:szCs w:val="30"/>
        </w:rPr>
        <w:t>25%)</w:t>
      </w:r>
      <w:r w:rsidRPr="007B5D03">
        <w:rPr>
          <w:rFonts w:hAnsi="標楷體"/>
          <w:spacing w:val="-4"/>
          <w:sz w:val="30"/>
          <w:szCs w:val="30"/>
        </w:rPr>
        <w:t>。亦即，對於權</w:t>
      </w:r>
      <w:r w:rsidRPr="007B5D03">
        <w:rPr>
          <w:rFonts w:hAnsi="標楷體"/>
          <w:sz w:val="30"/>
          <w:szCs w:val="30"/>
        </w:rPr>
        <w:t>證交易國內內資券商之稅負竟僅是國內之外資券商的</w:t>
      </w:r>
      <w:r w:rsidRPr="007B5D03">
        <w:rPr>
          <w:sz w:val="30"/>
          <w:szCs w:val="30"/>
        </w:rPr>
        <w:t>6.67</w:t>
      </w:r>
      <w:r w:rsidRPr="007B5D03">
        <w:rPr>
          <w:rFonts w:hAnsi="標楷體"/>
          <w:sz w:val="30"/>
          <w:szCs w:val="30"/>
        </w:rPr>
        <w:t>倍</w:t>
      </w:r>
      <w:r w:rsidRPr="007B5D03">
        <w:rPr>
          <w:sz w:val="30"/>
          <w:szCs w:val="30"/>
        </w:rPr>
        <w:t>(25%/3.75%)</w:t>
      </w:r>
      <w:r w:rsidRPr="007B5D03">
        <w:rPr>
          <w:rFonts w:hAnsi="標楷體"/>
          <w:sz w:val="30"/>
          <w:szCs w:val="30"/>
        </w:rPr>
        <w:t>。對於性質相同之權證交</w:t>
      </w:r>
      <w:r w:rsidRPr="007B5D03">
        <w:rPr>
          <w:rFonts w:hAnsi="標楷體"/>
          <w:spacing w:val="-4"/>
          <w:sz w:val="30"/>
          <w:szCs w:val="30"/>
        </w:rPr>
        <w:t>易，外資與內資券商竟負擔顯不相稱之稅負，此種差別待遇顯不符分配正義，衡諸於稅捐正義，財稅主</w:t>
      </w:r>
      <w:r w:rsidRPr="007B5D03">
        <w:rPr>
          <w:rFonts w:hAnsi="標楷體"/>
          <w:spacing w:val="-4"/>
          <w:sz w:val="30"/>
          <w:szCs w:val="30"/>
        </w:rPr>
        <w:lastRenderedPageBreak/>
        <w:t>管機關既無法律依據，亦無合理正當理由特別優惠於外資券商，相較於對內資券商卻課予特別租稅負擔，違反稅制競爭中立性原則，損害公平競爭環境，不利於我國本土產業之發展，顯已侵害人民受憲法保障之平等權，違反憲法第</w:t>
      </w:r>
      <w:r w:rsidRPr="007B5D03">
        <w:rPr>
          <w:spacing w:val="-4"/>
          <w:sz w:val="30"/>
          <w:szCs w:val="30"/>
        </w:rPr>
        <w:t>7</w:t>
      </w:r>
      <w:r w:rsidRPr="007B5D03">
        <w:rPr>
          <w:rFonts w:hAnsi="標楷體"/>
          <w:spacing w:val="-4"/>
          <w:sz w:val="30"/>
          <w:szCs w:val="30"/>
        </w:rPr>
        <w:t>條平等原則。</w:t>
      </w:r>
    </w:p>
    <w:p w:rsidR="00514426" w:rsidRPr="007B5D03" w:rsidRDefault="00514426" w:rsidP="00CA3388">
      <w:pPr>
        <w:snapToGrid w:val="0"/>
        <w:spacing w:line="437" w:lineRule="exact"/>
        <w:ind w:left="1587" w:hanging="907"/>
        <w:rPr>
          <w:sz w:val="30"/>
          <w:szCs w:val="30"/>
        </w:rPr>
      </w:pPr>
      <w:r w:rsidRPr="007B5D03">
        <w:rPr>
          <w:rFonts w:hAnsi="標楷體"/>
          <w:sz w:val="30"/>
          <w:szCs w:val="30"/>
        </w:rPr>
        <w:t>（五）</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年函釋並無法有助於其行政目的，且對券</w:t>
      </w:r>
      <w:r w:rsidRPr="007B5D03">
        <w:rPr>
          <w:rFonts w:hAnsi="標楷體"/>
          <w:sz w:val="30"/>
          <w:szCs w:val="30"/>
        </w:rPr>
        <w:t>商形成過於苛刻之課稅結果，有違比例原則</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1.比</w:t>
      </w:r>
      <w:r w:rsidRPr="007B5D03">
        <w:rPr>
          <w:rFonts w:hAnsi="標楷體"/>
          <w:sz w:val="30"/>
          <w:szCs w:val="30"/>
        </w:rPr>
        <w:t>例原則之意涵</w:t>
      </w:r>
    </w:p>
    <w:p w:rsidR="00514426" w:rsidRPr="007B5D03" w:rsidRDefault="00514426" w:rsidP="00CA3388">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按憲法第</w:t>
      </w:r>
      <w:r w:rsidRPr="007B5D03">
        <w:rPr>
          <w:sz w:val="30"/>
          <w:szCs w:val="30"/>
        </w:rPr>
        <w:t>23</w:t>
      </w:r>
      <w:r w:rsidRPr="007B5D03">
        <w:rPr>
          <w:rFonts w:hAnsi="標楷體"/>
          <w:sz w:val="30"/>
          <w:szCs w:val="30"/>
        </w:rPr>
        <w:t>條規定：「以上各條列舉之自由權</w:t>
      </w:r>
      <w:r w:rsidRPr="007B5D03">
        <w:rPr>
          <w:rFonts w:hAnsi="標楷體"/>
          <w:spacing w:val="-4"/>
          <w:sz w:val="30"/>
          <w:szCs w:val="30"/>
        </w:rPr>
        <w:t>利，除為防止妨礙他人自由、避免緊急危難、維持社會秩序、或增進公共利益所必要者外，不得</w:t>
      </w:r>
      <w:r w:rsidRPr="007B5D03">
        <w:rPr>
          <w:rFonts w:hAnsi="標楷體"/>
          <w:spacing w:val="-8"/>
          <w:sz w:val="30"/>
          <w:szCs w:val="30"/>
        </w:rPr>
        <w:t>以法律限制之。」故限制人民權利自由應基於「防</w:t>
      </w:r>
      <w:r w:rsidRPr="007B5D03">
        <w:rPr>
          <w:rFonts w:hAnsi="標楷體"/>
          <w:sz w:val="30"/>
          <w:szCs w:val="30"/>
        </w:rPr>
        <w:t>止妨礙他人自由、避免緊急危難、維持社會秩</w:t>
      </w:r>
      <w:r w:rsidRPr="007B5D03">
        <w:rPr>
          <w:rFonts w:hAnsi="標楷體"/>
          <w:spacing w:val="-4"/>
          <w:sz w:val="30"/>
          <w:szCs w:val="30"/>
        </w:rPr>
        <w:t>序、或增進公共利益」之目的，此即手段必須有助於目的之達成之適合性原則，在必要限度內限制人民自由權利，所稱之「必要」包括最小侵害性及合比例性，故我國學者及</w:t>
      </w:r>
      <w:r w:rsidRPr="007B5D03">
        <w:rPr>
          <w:spacing w:val="-4"/>
          <w:sz w:val="30"/>
          <w:szCs w:val="30"/>
        </w:rPr>
        <w:t xml:space="preserve">　</w:t>
      </w:r>
      <w:r w:rsidRPr="007B5D03">
        <w:rPr>
          <w:rFonts w:hAnsi="標楷體"/>
          <w:spacing w:val="-4"/>
          <w:sz w:val="30"/>
          <w:szCs w:val="30"/>
        </w:rPr>
        <w:t>鈞院解釋大多將憲法第</w:t>
      </w:r>
      <w:r w:rsidRPr="007B5D03">
        <w:rPr>
          <w:spacing w:val="-4"/>
          <w:sz w:val="30"/>
          <w:szCs w:val="30"/>
        </w:rPr>
        <w:t>23</w:t>
      </w:r>
      <w:r w:rsidRPr="007B5D03">
        <w:rPr>
          <w:rFonts w:hAnsi="標楷體"/>
          <w:spacing w:val="-4"/>
          <w:sz w:val="30"/>
          <w:szCs w:val="30"/>
        </w:rPr>
        <w:t>條作為比例原則之規範，適合性原則</w:t>
      </w:r>
      <w:r w:rsidRPr="007B5D03">
        <w:rPr>
          <w:rFonts w:hAnsi="標楷體"/>
          <w:spacing w:val="10"/>
          <w:sz w:val="30"/>
          <w:szCs w:val="30"/>
        </w:rPr>
        <w:t>要求限制人權之手段必須適合公益目的之達</w:t>
      </w:r>
      <w:r w:rsidRPr="007B5D03">
        <w:rPr>
          <w:rFonts w:hAnsi="標楷體"/>
          <w:spacing w:val="-4"/>
          <w:sz w:val="30"/>
          <w:szCs w:val="30"/>
        </w:rPr>
        <w:t>成；其次，必要原則要求所有符合適合性原則之限制人權手段中，只能選擇其中對人權限制最小的手段，故又稱為最小侵害原則或不得已原則；最後，狹義比例原則要求不能用犧牲過大人民私</w:t>
      </w:r>
      <w:r w:rsidRPr="007B5D03">
        <w:rPr>
          <w:rFonts w:hAnsi="標楷體"/>
          <w:sz w:val="30"/>
          <w:szCs w:val="30"/>
        </w:rPr>
        <w:t>益之手段，追求一個較小的公益（附件</w:t>
      </w:r>
      <w:r w:rsidRPr="007B5D03">
        <w:rPr>
          <w:sz w:val="30"/>
          <w:szCs w:val="30"/>
        </w:rPr>
        <w:t>26</w:t>
      </w:r>
      <w:r w:rsidRPr="007B5D03">
        <w:rPr>
          <w:rFonts w:hAnsi="標楷體"/>
          <w:sz w:val="30"/>
          <w:szCs w:val="30"/>
        </w:rPr>
        <w:t>，許</w:t>
      </w:r>
      <w:r w:rsidRPr="007B5D03">
        <w:rPr>
          <w:rFonts w:hAnsi="標楷體"/>
          <w:spacing w:val="-4"/>
          <w:sz w:val="30"/>
          <w:szCs w:val="30"/>
        </w:rPr>
        <w:t>宗力，比例原則與法規違憲審查，收錄於「戰鬥的法律人」，第</w:t>
      </w:r>
      <w:r w:rsidRPr="007B5D03">
        <w:rPr>
          <w:spacing w:val="-4"/>
          <w:sz w:val="30"/>
          <w:szCs w:val="30"/>
        </w:rPr>
        <w:t>214</w:t>
      </w:r>
      <w:r w:rsidRPr="007B5D03">
        <w:rPr>
          <w:rFonts w:hAnsi="標楷體"/>
          <w:spacing w:val="-4"/>
          <w:sz w:val="30"/>
          <w:szCs w:val="30"/>
        </w:rPr>
        <w:t>、</w:t>
      </w:r>
      <w:r w:rsidRPr="007B5D03">
        <w:rPr>
          <w:spacing w:val="-4"/>
          <w:sz w:val="30"/>
          <w:szCs w:val="30"/>
        </w:rPr>
        <w:t>215</w:t>
      </w:r>
      <w:r w:rsidRPr="007B5D03">
        <w:rPr>
          <w:rFonts w:hAnsi="標楷體"/>
          <w:spacing w:val="-4"/>
          <w:sz w:val="30"/>
          <w:szCs w:val="30"/>
        </w:rPr>
        <w:t>頁）。</w:t>
      </w:r>
    </w:p>
    <w:p w:rsidR="00514426" w:rsidRPr="007B5D03" w:rsidRDefault="00514426" w:rsidP="00E75D34">
      <w:pPr>
        <w:snapToGrid w:val="0"/>
        <w:spacing w:line="437" w:lineRule="exact"/>
        <w:ind w:left="2342" w:hanging="357"/>
        <w:rPr>
          <w:sz w:val="30"/>
          <w:szCs w:val="30"/>
        </w:rPr>
      </w:pPr>
      <w:r w:rsidRPr="007B5D03">
        <w:rPr>
          <w:rFonts w:hAnsi="標楷體" w:hint="eastAsia"/>
          <w:sz w:val="30"/>
          <w:szCs w:val="30"/>
        </w:rPr>
        <w:lastRenderedPageBreak/>
        <w:t>(2)</w:t>
      </w:r>
      <w:r w:rsidRPr="007B5D03">
        <w:rPr>
          <w:rFonts w:hAnsi="標楷體"/>
          <w:sz w:val="30"/>
          <w:szCs w:val="30"/>
        </w:rPr>
        <w:t>次按行政程序法第</w:t>
      </w:r>
      <w:r w:rsidRPr="007B5D03">
        <w:rPr>
          <w:sz w:val="30"/>
          <w:szCs w:val="30"/>
        </w:rPr>
        <w:t>7</w:t>
      </w:r>
      <w:r w:rsidRPr="007B5D03">
        <w:rPr>
          <w:rFonts w:hAnsi="標楷體"/>
          <w:sz w:val="30"/>
          <w:szCs w:val="30"/>
        </w:rPr>
        <w:t>條將上開憲法第</w:t>
      </w:r>
      <w:r w:rsidRPr="007B5D03">
        <w:rPr>
          <w:sz w:val="30"/>
          <w:szCs w:val="30"/>
        </w:rPr>
        <w:t>23</w:t>
      </w:r>
      <w:r w:rsidRPr="007B5D03">
        <w:rPr>
          <w:rFonts w:hAnsi="標楷體"/>
          <w:sz w:val="30"/>
          <w:szCs w:val="30"/>
        </w:rPr>
        <w:t>條比例原則予以更具體化規定：「行政行為，應依下列原則為之︰一、採取之方法應有助於目的之達</w:t>
      </w:r>
      <w:r w:rsidRPr="007B5D03">
        <w:rPr>
          <w:rFonts w:hAnsi="標楷體"/>
          <w:spacing w:val="-4"/>
          <w:sz w:val="30"/>
          <w:szCs w:val="30"/>
        </w:rPr>
        <w:t>成。二、有多種同樣能達成目的之方法時，應選擇對人民權益損害最少者。三、採取之方法所造</w:t>
      </w:r>
      <w:r w:rsidRPr="007B5D03">
        <w:rPr>
          <w:rFonts w:hAnsi="標楷體"/>
          <w:sz w:val="30"/>
          <w:szCs w:val="30"/>
        </w:rPr>
        <w:t>成之損害不得與欲達成目的之利益顯失均衡。」第一款即為適合性原則，第二款為必要原則（最小侵害原則），第三款為狹義比例原則。</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2.財</w:t>
      </w:r>
      <w:r w:rsidRPr="007B5D03">
        <w:rPr>
          <w:rFonts w:hAnsi="標楷體"/>
          <w:sz w:val="30"/>
          <w:szCs w:val="30"/>
        </w:rPr>
        <w:t>政部</w:t>
      </w:r>
      <w:r w:rsidRPr="007B5D03">
        <w:rPr>
          <w:sz w:val="30"/>
          <w:szCs w:val="30"/>
        </w:rPr>
        <w:t>86</w:t>
      </w:r>
      <w:r w:rsidRPr="007B5D03">
        <w:rPr>
          <w:rFonts w:hAnsi="標楷體"/>
          <w:sz w:val="30"/>
          <w:szCs w:val="30"/>
        </w:rPr>
        <w:t>年函釋無助於所得稅法第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規範目的之達成，不符合適合性原則</w:t>
      </w:r>
    </w:p>
    <w:p w:rsidR="00514426" w:rsidRPr="007B5D03" w:rsidRDefault="00514426" w:rsidP="00FB2D5A">
      <w:pPr>
        <w:snapToGrid w:val="0"/>
        <w:spacing w:line="437" w:lineRule="exact"/>
        <w:ind w:left="2041" w:firstLine="318"/>
        <w:rPr>
          <w:sz w:val="30"/>
          <w:szCs w:val="30"/>
        </w:rPr>
      </w:pPr>
      <w:r w:rsidRPr="007B5D03">
        <w:rPr>
          <w:rFonts w:hAnsi="標楷體"/>
          <w:sz w:val="30"/>
          <w:szCs w:val="30"/>
        </w:rPr>
        <w:t>財政部</w:t>
      </w:r>
      <w:r w:rsidRPr="007B5D03">
        <w:rPr>
          <w:sz w:val="30"/>
          <w:szCs w:val="30"/>
        </w:rPr>
        <w:t>86</w:t>
      </w:r>
      <w:r w:rsidRPr="007B5D03">
        <w:rPr>
          <w:rFonts w:hAnsi="標楷體"/>
          <w:sz w:val="30"/>
          <w:szCs w:val="30"/>
        </w:rPr>
        <w:t>年函釋其主要意旨係為依照所得稅法第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之規定，針對避險交易部分切割出來適用所得稅法第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之規定。然而其超出所得稅法第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之文義及規範目的已如前述，從適合</w:t>
      </w:r>
      <w:r w:rsidRPr="007B5D03">
        <w:rPr>
          <w:rFonts w:hAnsi="標楷體"/>
          <w:spacing w:val="-4"/>
          <w:sz w:val="30"/>
          <w:szCs w:val="30"/>
        </w:rPr>
        <w:t>性原則之角度而言，此種行政作為亦無從達成所得</w:t>
      </w:r>
      <w:r w:rsidRPr="007B5D03">
        <w:rPr>
          <w:rFonts w:hAnsi="標楷體"/>
          <w:sz w:val="30"/>
          <w:szCs w:val="30"/>
        </w:rPr>
        <w:t>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之規範目的，且自財政部</w:t>
      </w:r>
      <w:r w:rsidRPr="007B5D03">
        <w:rPr>
          <w:sz w:val="30"/>
          <w:szCs w:val="30"/>
        </w:rPr>
        <w:t>86</w:t>
      </w:r>
      <w:r w:rsidRPr="007B5D03">
        <w:rPr>
          <w:rFonts w:hAnsi="標楷體"/>
          <w:sz w:val="30"/>
          <w:szCs w:val="30"/>
        </w:rPr>
        <w:t>年函</w:t>
      </w:r>
      <w:r w:rsidRPr="007B5D03">
        <w:rPr>
          <w:rFonts w:hAnsi="標楷體"/>
          <w:spacing w:val="-4"/>
          <w:sz w:val="30"/>
          <w:szCs w:val="30"/>
        </w:rPr>
        <w:t>釋之規範意旨，可能找不出除為達成所得稅法第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規範目的外之其他公益上目的，從而可以確</w:t>
      </w:r>
      <w:r w:rsidRPr="007B5D03">
        <w:rPr>
          <w:rFonts w:hAnsi="標楷體"/>
          <w:sz w:val="30"/>
          <w:szCs w:val="30"/>
        </w:rPr>
        <w:t>認財政部</w:t>
      </w:r>
      <w:r w:rsidRPr="007B5D03">
        <w:rPr>
          <w:sz w:val="30"/>
          <w:szCs w:val="30"/>
        </w:rPr>
        <w:t>86</w:t>
      </w:r>
      <w:r w:rsidRPr="007B5D03">
        <w:rPr>
          <w:rFonts w:hAnsi="標楷體"/>
          <w:sz w:val="30"/>
          <w:szCs w:val="30"/>
        </w:rPr>
        <w:t>年函釋與適合性原則不符。</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3.財</w:t>
      </w:r>
      <w:r w:rsidRPr="007B5D03">
        <w:rPr>
          <w:rFonts w:hAnsi="標楷體"/>
          <w:sz w:val="30"/>
          <w:szCs w:val="30"/>
        </w:rPr>
        <w:t>政部</w:t>
      </w:r>
      <w:r w:rsidRPr="007B5D03">
        <w:rPr>
          <w:sz w:val="30"/>
          <w:szCs w:val="30"/>
        </w:rPr>
        <w:t>86</w:t>
      </w:r>
      <w:r w:rsidRPr="007B5D03">
        <w:rPr>
          <w:rFonts w:hAnsi="標楷體"/>
          <w:sz w:val="30"/>
          <w:szCs w:val="30"/>
        </w:rPr>
        <w:t>年函釋課稅之結果將造成對聲請人權證利益之嚴重限制，有違狹義比例原則</w:t>
      </w:r>
    </w:p>
    <w:p w:rsidR="00514426" w:rsidRPr="007B5D03" w:rsidRDefault="00514426" w:rsidP="00E75D34">
      <w:pPr>
        <w:snapToGrid w:val="0"/>
        <w:spacing w:line="437" w:lineRule="exact"/>
        <w:ind w:left="2342" w:hanging="357"/>
        <w:rPr>
          <w:sz w:val="30"/>
          <w:szCs w:val="30"/>
        </w:rPr>
      </w:pPr>
      <w:r w:rsidRPr="007B5D03">
        <w:rPr>
          <w:rFonts w:hAnsi="標楷體" w:hint="eastAsia"/>
          <w:sz w:val="30"/>
          <w:szCs w:val="30"/>
        </w:rPr>
        <w:t>(1)</w:t>
      </w:r>
      <w:r w:rsidRPr="007B5D03">
        <w:rPr>
          <w:rFonts w:hAnsi="標楷體"/>
          <w:sz w:val="30"/>
          <w:szCs w:val="30"/>
        </w:rPr>
        <w:t>憲法第</w:t>
      </w:r>
      <w:r w:rsidRPr="007B5D03">
        <w:rPr>
          <w:sz w:val="30"/>
          <w:szCs w:val="30"/>
        </w:rPr>
        <w:t>23</w:t>
      </w:r>
      <w:r w:rsidRPr="007B5D03">
        <w:rPr>
          <w:rFonts w:hAnsi="標楷體"/>
          <w:sz w:val="30"/>
          <w:szCs w:val="30"/>
        </w:rPr>
        <w:t>條之比例原則包括適合性原則、最小</w:t>
      </w:r>
      <w:r w:rsidRPr="007B5D03">
        <w:rPr>
          <w:rFonts w:hAnsi="標楷體"/>
          <w:spacing w:val="-4"/>
          <w:sz w:val="30"/>
          <w:szCs w:val="30"/>
        </w:rPr>
        <w:t>侵害原則及狹義比例原則。所稱狹義比例原則係手段不得與欲追求之目的不成比例，德國聯邦憲法法院提出一公式「愈如何，則愈如何」的比較性命題，亦即手段侵害愈嚴重，其正當化之理由</w:t>
      </w:r>
      <w:r w:rsidRPr="007B5D03">
        <w:rPr>
          <w:rFonts w:hAnsi="標楷體"/>
          <w:spacing w:val="-4"/>
          <w:sz w:val="30"/>
          <w:szCs w:val="30"/>
        </w:rPr>
        <w:lastRenderedPageBreak/>
        <w:t>便必須愈重要。其衡量因素包括基本權本身之抽象價值、受侵害之具體程度、公益之重要性、公</w:t>
      </w:r>
      <w:r w:rsidRPr="007B5D03">
        <w:rPr>
          <w:rFonts w:hAnsi="標楷體"/>
          <w:sz w:val="30"/>
          <w:szCs w:val="30"/>
        </w:rPr>
        <w:t>益所面臨之迫切性、相關副作用（附件</w:t>
      </w:r>
      <w:r w:rsidRPr="007B5D03">
        <w:rPr>
          <w:sz w:val="30"/>
          <w:szCs w:val="30"/>
        </w:rPr>
        <w:t>27</w:t>
      </w:r>
      <w:r w:rsidRPr="007B5D03">
        <w:rPr>
          <w:rFonts w:hAnsi="標楷體"/>
          <w:sz w:val="30"/>
          <w:szCs w:val="30"/>
        </w:rPr>
        <w:t>，盛</w:t>
      </w:r>
      <w:r w:rsidRPr="007B5D03">
        <w:rPr>
          <w:rFonts w:hAnsi="標楷體"/>
          <w:spacing w:val="-4"/>
          <w:sz w:val="30"/>
          <w:szCs w:val="30"/>
        </w:rPr>
        <w:t>子龍</w:t>
      </w:r>
      <w:r w:rsidRPr="007B5D03">
        <w:rPr>
          <w:rFonts w:hAnsi="標楷體"/>
          <w:spacing w:val="-4"/>
          <w:sz w:val="30"/>
          <w:szCs w:val="30"/>
          <w:lang w:val="de-DE"/>
        </w:rPr>
        <w:t>，</w:t>
      </w:r>
      <w:r w:rsidRPr="007B5D03">
        <w:rPr>
          <w:rFonts w:hAnsi="標楷體"/>
          <w:spacing w:val="-4"/>
          <w:sz w:val="30"/>
          <w:szCs w:val="30"/>
        </w:rPr>
        <w:t>比例原則作為規範違憲審查之準則</w:t>
      </w:r>
      <w:r w:rsidRPr="007B5D03">
        <w:rPr>
          <w:spacing w:val="-4"/>
          <w:sz w:val="30"/>
          <w:szCs w:val="30"/>
          <w:lang w:val="de-DE"/>
        </w:rPr>
        <w:t>—</w:t>
      </w:r>
      <w:r w:rsidRPr="007B5D03">
        <w:rPr>
          <w:rFonts w:hAnsi="標楷體"/>
          <w:spacing w:val="-4"/>
          <w:sz w:val="30"/>
          <w:szCs w:val="30"/>
        </w:rPr>
        <w:t>西德</w:t>
      </w:r>
      <w:r w:rsidRPr="007B5D03">
        <w:rPr>
          <w:rFonts w:hAnsi="標楷體"/>
          <w:sz w:val="30"/>
          <w:szCs w:val="30"/>
        </w:rPr>
        <w:t>聯邦憲法法院判決及學說之研究</w:t>
      </w:r>
      <w:r w:rsidRPr="007B5D03">
        <w:rPr>
          <w:rFonts w:hAnsi="標楷體"/>
          <w:sz w:val="30"/>
          <w:szCs w:val="30"/>
          <w:lang w:val="de-DE"/>
        </w:rPr>
        <w:t>，</w:t>
      </w:r>
      <w:r w:rsidRPr="007B5D03">
        <w:rPr>
          <w:rFonts w:hAnsi="標楷體" w:hint="eastAsia"/>
          <w:sz w:val="30"/>
          <w:szCs w:val="30"/>
        </w:rPr>
        <w:t>78</w:t>
      </w:r>
      <w:r w:rsidRPr="007B5D03">
        <w:rPr>
          <w:rFonts w:hAnsi="標楷體"/>
          <w:sz w:val="30"/>
          <w:szCs w:val="30"/>
        </w:rPr>
        <w:t>年台大法</w:t>
      </w:r>
      <w:r w:rsidRPr="007B5D03">
        <w:rPr>
          <w:rFonts w:hAnsi="標楷體"/>
          <w:spacing w:val="-6"/>
          <w:sz w:val="30"/>
          <w:szCs w:val="30"/>
        </w:rPr>
        <w:t>研所碩士論文，第</w:t>
      </w:r>
      <w:r w:rsidRPr="007B5D03">
        <w:rPr>
          <w:spacing w:val="-6"/>
          <w:sz w:val="30"/>
          <w:szCs w:val="30"/>
        </w:rPr>
        <w:t>133</w:t>
      </w:r>
      <w:r w:rsidRPr="007B5D03">
        <w:rPr>
          <w:rFonts w:hAnsi="標楷體"/>
          <w:spacing w:val="-6"/>
          <w:sz w:val="30"/>
          <w:szCs w:val="30"/>
        </w:rPr>
        <w:t>至</w:t>
      </w:r>
      <w:r w:rsidRPr="007B5D03">
        <w:rPr>
          <w:spacing w:val="-6"/>
          <w:sz w:val="30"/>
          <w:szCs w:val="30"/>
        </w:rPr>
        <w:t>143</w:t>
      </w:r>
      <w:r w:rsidRPr="007B5D03">
        <w:rPr>
          <w:rFonts w:hAnsi="標楷體"/>
          <w:spacing w:val="-6"/>
          <w:sz w:val="30"/>
          <w:szCs w:val="30"/>
        </w:rPr>
        <w:t>頁）。財政部</w:t>
      </w:r>
      <w:r w:rsidRPr="007B5D03">
        <w:rPr>
          <w:spacing w:val="-6"/>
          <w:sz w:val="30"/>
          <w:szCs w:val="30"/>
        </w:rPr>
        <w:t>86</w:t>
      </w:r>
      <w:r w:rsidRPr="007B5D03">
        <w:rPr>
          <w:rFonts w:hAnsi="標楷體"/>
          <w:spacing w:val="-6"/>
          <w:sz w:val="30"/>
          <w:szCs w:val="30"/>
        </w:rPr>
        <w:t>年</w:t>
      </w:r>
      <w:r w:rsidRPr="007B5D03">
        <w:rPr>
          <w:rFonts w:hAnsi="標楷體"/>
          <w:spacing w:val="-4"/>
          <w:sz w:val="30"/>
          <w:szCs w:val="30"/>
        </w:rPr>
        <w:t>函釋自上開因素衡量時，均有手段與目的顯失均衡之現象，且其並非追求比量能課稅原則更堅強之公益。</w:t>
      </w:r>
    </w:p>
    <w:p w:rsidR="00514426" w:rsidRPr="007B5D03" w:rsidRDefault="00514426" w:rsidP="00021189">
      <w:pPr>
        <w:snapToGrid w:val="0"/>
        <w:spacing w:line="437" w:lineRule="exact"/>
        <w:ind w:left="2342" w:hanging="357"/>
        <w:rPr>
          <w:sz w:val="30"/>
          <w:szCs w:val="30"/>
        </w:rPr>
      </w:pPr>
      <w:r w:rsidRPr="007B5D03">
        <w:rPr>
          <w:rFonts w:hAnsi="標楷體" w:hint="eastAsia"/>
          <w:sz w:val="30"/>
          <w:szCs w:val="30"/>
        </w:rPr>
        <w:t>(2)</w:t>
      </w:r>
      <w:r w:rsidRPr="007B5D03">
        <w:rPr>
          <w:rFonts w:hAnsi="標楷體"/>
          <w:sz w:val="30"/>
          <w:szCs w:val="30"/>
        </w:rPr>
        <w:t>次按稅捐的課徵是對所有權不同階段表彰的經</w:t>
      </w:r>
      <w:r w:rsidRPr="007B5D03">
        <w:rPr>
          <w:rFonts w:hAnsi="標楷體"/>
          <w:spacing w:val="-4"/>
          <w:sz w:val="30"/>
          <w:szCs w:val="30"/>
        </w:rPr>
        <w:t>濟給付能力加以掌握，稅捐課徵理論上不及財產所有權本體，而係對所有權之收益參與分配，故</w:t>
      </w:r>
      <w:r w:rsidRPr="007B5D03">
        <w:rPr>
          <w:rFonts w:hAnsi="標楷體"/>
          <w:sz w:val="30"/>
          <w:szCs w:val="30"/>
        </w:rPr>
        <w:t>現行稅法主要就是針對財產所有權的變動加以</w:t>
      </w:r>
      <w:r w:rsidRPr="007B5D03">
        <w:rPr>
          <w:rFonts w:hAnsi="標楷體"/>
          <w:spacing w:val="-4"/>
          <w:sz w:val="30"/>
          <w:szCs w:val="30"/>
        </w:rPr>
        <w:t>課稅，亦即對於所得階段與支出階段加以課稅。所得階段課稅是就一定期間內所有權增長，及個人財產增加為負擔對象，換言之，所得稅是國家對財產增長參與分配。（附件</w:t>
      </w:r>
      <w:r w:rsidRPr="007B5D03">
        <w:rPr>
          <w:spacing w:val="-4"/>
          <w:sz w:val="30"/>
          <w:szCs w:val="30"/>
        </w:rPr>
        <w:t>3</w:t>
      </w:r>
      <w:r w:rsidRPr="007B5D03">
        <w:rPr>
          <w:rFonts w:hAnsi="標楷體"/>
          <w:spacing w:val="-4"/>
          <w:sz w:val="30"/>
          <w:szCs w:val="30"/>
        </w:rPr>
        <w:t>，葛克昌，所得稅法與憲法，第</w:t>
      </w:r>
      <w:r w:rsidRPr="007B5D03">
        <w:rPr>
          <w:spacing w:val="-4"/>
          <w:sz w:val="30"/>
          <w:szCs w:val="30"/>
        </w:rPr>
        <w:t>11-12</w:t>
      </w:r>
      <w:r w:rsidRPr="007B5D03">
        <w:rPr>
          <w:rFonts w:hAnsi="標楷體"/>
          <w:spacing w:val="-4"/>
          <w:sz w:val="30"/>
          <w:szCs w:val="30"/>
        </w:rPr>
        <w:t>頁），故在於依其一定期</w:t>
      </w:r>
      <w:r w:rsidRPr="007B5D03">
        <w:rPr>
          <w:rFonts w:hAnsi="標楷體"/>
          <w:sz w:val="30"/>
          <w:szCs w:val="30"/>
        </w:rPr>
        <w:t>間內所有權增長所生之私人利用性在私有財產</w:t>
      </w:r>
      <w:r w:rsidRPr="007B5D03">
        <w:rPr>
          <w:rFonts w:hAnsi="標楷體"/>
          <w:spacing w:val="-4"/>
          <w:sz w:val="30"/>
          <w:szCs w:val="30"/>
        </w:rPr>
        <w:t>受憲法之制度性保障下，國家只能透過法律規定之課徵稅捐，分享人民對經濟財產之使用、收益及處分之經濟成果，且其應有適當比例，不得侵犯經濟財產本體，否則即違反比例原則。</w:t>
      </w:r>
    </w:p>
    <w:p w:rsidR="00514426" w:rsidRPr="007B5D03" w:rsidRDefault="00514426" w:rsidP="00021189">
      <w:pPr>
        <w:snapToGrid w:val="0"/>
        <w:spacing w:line="437" w:lineRule="exact"/>
        <w:ind w:left="2342" w:hanging="357"/>
        <w:rPr>
          <w:sz w:val="30"/>
          <w:szCs w:val="30"/>
        </w:rPr>
      </w:pPr>
      <w:r w:rsidRPr="007B5D03">
        <w:rPr>
          <w:rFonts w:hAnsi="標楷體" w:hint="eastAsia"/>
          <w:sz w:val="30"/>
          <w:szCs w:val="30"/>
        </w:rPr>
        <w:t>(3)</w:t>
      </w:r>
      <w:r w:rsidRPr="007B5D03">
        <w:rPr>
          <w:rFonts w:hAnsi="標楷體"/>
          <w:spacing w:val="-4"/>
          <w:sz w:val="30"/>
          <w:szCs w:val="30"/>
        </w:rPr>
        <w:t>至於對於財產權介入的上限，德國聯邦憲法法院</w:t>
      </w:r>
      <w:r w:rsidRPr="007B5D03">
        <w:rPr>
          <w:rFonts w:hAnsi="標楷體"/>
          <w:sz w:val="30"/>
          <w:szCs w:val="30"/>
        </w:rPr>
        <w:t>於</w:t>
      </w:r>
      <w:r w:rsidRPr="007B5D03">
        <w:rPr>
          <w:sz w:val="30"/>
          <w:szCs w:val="30"/>
        </w:rPr>
        <w:t>1995</w:t>
      </w:r>
      <w:r w:rsidRPr="007B5D03">
        <w:rPr>
          <w:rFonts w:hAnsi="標楷體"/>
          <w:sz w:val="30"/>
          <w:szCs w:val="30"/>
        </w:rPr>
        <w:t>年採納的「半數原則」</w:t>
      </w:r>
      <w:r w:rsidRPr="007B5D03">
        <w:rPr>
          <w:sz w:val="30"/>
          <w:szCs w:val="30"/>
        </w:rPr>
        <w:t>(</w:t>
      </w:r>
      <w:r w:rsidRPr="007B5D03">
        <w:rPr>
          <w:rFonts w:hAnsi="標楷體"/>
          <w:sz w:val="30"/>
          <w:szCs w:val="30"/>
        </w:rPr>
        <w:t>Halbteilungsgrundsatz</w:t>
      </w:r>
      <w:r w:rsidRPr="007B5D03">
        <w:rPr>
          <w:sz w:val="30"/>
          <w:szCs w:val="30"/>
        </w:rPr>
        <w:t>)</w:t>
      </w:r>
      <w:r w:rsidRPr="007B5D03">
        <w:rPr>
          <w:rFonts w:hAnsi="標楷體"/>
          <w:sz w:val="30"/>
          <w:szCs w:val="30"/>
        </w:rPr>
        <w:t>，即「對財產權課稅只有</w:t>
      </w:r>
      <w:r w:rsidRPr="007B5D03">
        <w:rPr>
          <w:rFonts w:hAnsi="標楷體"/>
          <w:spacing w:val="-4"/>
          <w:sz w:val="30"/>
          <w:szCs w:val="30"/>
        </w:rPr>
        <w:lastRenderedPageBreak/>
        <w:t>在下列情況之下可接受，亦即對於應有收益的整體負擔，在減除</w:t>
      </w:r>
      <w:r w:rsidRPr="007B5D03">
        <w:rPr>
          <w:rFonts w:hAnsi="標楷體" w:hint="eastAsia"/>
          <w:spacing w:val="-4"/>
          <w:sz w:val="30"/>
          <w:szCs w:val="30"/>
        </w:rPr>
        <w:t>……</w:t>
      </w:r>
      <w:r w:rsidRPr="007B5D03">
        <w:rPr>
          <w:rFonts w:hAnsi="標楷體"/>
          <w:spacing w:val="-4"/>
          <w:sz w:val="30"/>
          <w:szCs w:val="30"/>
        </w:rPr>
        <w:t>成本費用及其他負擔後，應接近但尚未到達一半的地步。亦即對財產收益，</w:t>
      </w:r>
      <w:r w:rsidRPr="007B5D03">
        <w:rPr>
          <w:rFonts w:hAnsi="標楷體"/>
          <w:sz w:val="30"/>
          <w:szCs w:val="30"/>
        </w:rPr>
        <w:t>國家之手與私人之手最多各取一半。」</w:t>
      </w:r>
      <w:r w:rsidRPr="007B5D03">
        <w:rPr>
          <w:sz w:val="30"/>
          <w:szCs w:val="30"/>
        </w:rPr>
        <w:t>(BVerfGE93,121.)</w:t>
      </w:r>
      <w:r w:rsidRPr="007B5D03">
        <w:rPr>
          <w:rFonts w:hAnsi="標楷體"/>
          <w:sz w:val="30"/>
          <w:szCs w:val="30"/>
        </w:rPr>
        <w:t>（</w:t>
      </w:r>
      <w:r w:rsidRPr="007B5D03">
        <w:rPr>
          <w:rFonts w:hAnsi="標楷體"/>
          <w:sz w:val="30"/>
          <w:szCs w:val="30"/>
          <w:lang w:val="de-DE"/>
        </w:rPr>
        <w:t>黃源浩，從「絞殺禁止」到「半數原則」－比例原則在稅法領域之適用，財稅研究，</w:t>
      </w:r>
      <w:r w:rsidRPr="007B5D03">
        <w:rPr>
          <w:rFonts w:hAnsi="標楷體" w:hint="eastAsia"/>
          <w:sz w:val="30"/>
          <w:szCs w:val="30"/>
          <w:lang w:val="de-DE"/>
        </w:rPr>
        <w:t>第</w:t>
      </w:r>
      <w:r w:rsidRPr="007B5D03">
        <w:rPr>
          <w:sz w:val="30"/>
          <w:szCs w:val="30"/>
          <w:lang w:val="de-DE"/>
        </w:rPr>
        <w:t>36</w:t>
      </w:r>
      <w:r w:rsidRPr="007B5D03">
        <w:rPr>
          <w:rFonts w:hAnsi="標楷體"/>
          <w:sz w:val="30"/>
          <w:szCs w:val="30"/>
          <w:lang w:val="de-DE"/>
        </w:rPr>
        <w:t>卷第</w:t>
      </w:r>
      <w:r w:rsidRPr="007B5D03">
        <w:rPr>
          <w:sz w:val="30"/>
          <w:szCs w:val="30"/>
          <w:lang w:val="de-DE"/>
        </w:rPr>
        <w:t>1</w:t>
      </w:r>
      <w:r w:rsidRPr="007B5D03">
        <w:rPr>
          <w:rFonts w:hAnsi="標楷體"/>
          <w:sz w:val="30"/>
          <w:szCs w:val="30"/>
          <w:lang w:val="de-DE"/>
        </w:rPr>
        <w:t>期，</w:t>
      </w:r>
      <w:r w:rsidRPr="007B5D03">
        <w:rPr>
          <w:sz w:val="30"/>
          <w:szCs w:val="30"/>
          <w:lang w:val="de-DE"/>
        </w:rPr>
        <w:t>2004</w:t>
      </w:r>
      <w:r w:rsidRPr="007B5D03">
        <w:rPr>
          <w:rFonts w:hAnsi="標楷體"/>
          <w:sz w:val="30"/>
          <w:szCs w:val="30"/>
          <w:lang w:val="de-DE"/>
        </w:rPr>
        <w:t>年</w:t>
      </w:r>
      <w:r w:rsidRPr="007B5D03">
        <w:rPr>
          <w:sz w:val="30"/>
          <w:szCs w:val="30"/>
          <w:lang w:val="de-DE"/>
        </w:rPr>
        <w:t>1</w:t>
      </w:r>
      <w:r w:rsidRPr="007B5D03">
        <w:rPr>
          <w:rFonts w:hAnsi="標楷體"/>
          <w:sz w:val="30"/>
          <w:szCs w:val="30"/>
          <w:lang w:val="de-DE"/>
        </w:rPr>
        <w:t>月，</w:t>
      </w:r>
      <w:r w:rsidRPr="007B5D03">
        <w:rPr>
          <w:rFonts w:hAnsi="標楷體" w:hint="eastAsia"/>
          <w:sz w:val="30"/>
          <w:szCs w:val="30"/>
          <w:lang w:val="de-DE"/>
        </w:rPr>
        <w:t>第</w:t>
      </w:r>
      <w:r w:rsidRPr="007B5D03">
        <w:rPr>
          <w:sz w:val="30"/>
          <w:szCs w:val="30"/>
          <w:lang w:val="de-DE"/>
        </w:rPr>
        <w:t>161</w:t>
      </w:r>
      <w:r w:rsidRPr="007B5D03">
        <w:rPr>
          <w:rFonts w:hAnsi="標楷體"/>
          <w:sz w:val="30"/>
          <w:szCs w:val="30"/>
          <w:lang w:val="de-DE"/>
        </w:rPr>
        <w:t>頁</w:t>
      </w:r>
      <w:r w:rsidRPr="007B5D03">
        <w:rPr>
          <w:rFonts w:hint="eastAsia"/>
          <w:sz w:val="30"/>
          <w:szCs w:val="30"/>
        </w:rPr>
        <w:t>）</w:t>
      </w:r>
      <w:r w:rsidRPr="007B5D03">
        <w:rPr>
          <w:rFonts w:hAnsi="標楷體"/>
          <w:sz w:val="30"/>
          <w:szCs w:val="30"/>
        </w:rPr>
        <w:t>可資參考。</w:t>
      </w:r>
    </w:p>
    <w:p w:rsidR="00514426" w:rsidRPr="007B5D03" w:rsidRDefault="00514426" w:rsidP="00021189">
      <w:pPr>
        <w:snapToGrid w:val="0"/>
        <w:spacing w:line="437" w:lineRule="exact"/>
        <w:ind w:left="2342" w:hanging="357"/>
        <w:rPr>
          <w:sz w:val="30"/>
          <w:szCs w:val="30"/>
        </w:rPr>
      </w:pPr>
      <w:r w:rsidRPr="007B5D03">
        <w:rPr>
          <w:rFonts w:hAnsi="標楷體" w:hint="eastAsia"/>
          <w:sz w:val="30"/>
          <w:szCs w:val="30"/>
        </w:rPr>
        <w:t>(4)</w:t>
      </w:r>
      <w:r w:rsidRPr="007B5D03">
        <w:rPr>
          <w:rFonts w:hAnsi="標楷體"/>
          <w:sz w:val="30"/>
          <w:szCs w:val="30"/>
        </w:rPr>
        <w:t>然不論是否採取德國之「半數原則」，依憲法比</w:t>
      </w:r>
      <w:r w:rsidRPr="007B5D03">
        <w:rPr>
          <w:rFonts w:hAnsi="標楷體"/>
          <w:spacing w:val="-4"/>
          <w:sz w:val="30"/>
          <w:szCs w:val="30"/>
        </w:rPr>
        <w:t>例原則，至少稅捐對於財產權之介入，僅能及於財產之收益（孳息）成果，不能及於經濟財產權</w:t>
      </w:r>
      <w:r w:rsidRPr="007B5D03">
        <w:rPr>
          <w:rFonts w:hAnsi="標楷體"/>
          <w:sz w:val="30"/>
          <w:szCs w:val="30"/>
        </w:rPr>
        <w:t>本體則可確立，否則將變成變相沒收人民之財</w:t>
      </w:r>
      <w:r w:rsidRPr="007B5D03">
        <w:rPr>
          <w:rFonts w:hAnsi="標楷體"/>
          <w:spacing w:val="-4"/>
          <w:sz w:val="30"/>
          <w:szCs w:val="30"/>
        </w:rPr>
        <w:t>產，嚴重破壞憲法保障人民擁有私有財產權之制度，自與憲法保障人民之財產權之精神有違。</w:t>
      </w:r>
    </w:p>
    <w:p w:rsidR="00514426" w:rsidRPr="007B5D03" w:rsidRDefault="00514426" w:rsidP="00021189">
      <w:pPr>
        <w:snapToGrid w:val="0"/>
        <w:spacing w:line="437" w:lineRule="exact"/>
        <w:ind w:left="2342" w:hanging="357"/>
        <w:rPr>
          <w:sz w:val="30"/>
          <w:szCs w:val="30"/>
        </w:rPr>
      </w:pPr>
      <w:r w:rsidRPr="007B5D03">
        <w:rPr>
          <w:rFonts w:hAnsi="標楷體" w:hint="eastAsia"/>
          <w:sz w:val="30"/>
          <w:szCs w:val="30"/>
        </w:rPr>
        <w:t>(5)</w:t>
      </w:r>
      <w:r w:rsidRPr="007B5D03">
        <w:rPr>
          <w:rFonts w:hAnsi="標楷體"/>
          <w:sz w:val="30"/>
          <w:szCs w:val="30"/>
        </w:rPr>
        <w:t>本案權證交易若依財政部函</w:t>
      </w:r>
      <w:r w:rsidRPr="007B5D03">
        <w:rPr>
          <w:rFonts w:hAnsi="標楷體" w:hint="eastAsia"/>
          <w:sz w:val="30"/>
          <w:szCs w:val="30"/>
        </w:rPr>
        <w:t>釋</w:t>
      </w:r>
      <w:r w:rsidRPr="007B5D03">
        <w:rPr>
          <w:rFonts w:hAnsi="標楷體"/>
          <w:sz w:val="30"/>
          <w:szCs w:val="30"/>
        </w:rPr>
        <w:t>不准減除避險費</w:t>
      </w:r>
      <w:r w:rsidRPr="007B5D03">
        <w:rPr>
          <w:rFonts w:hAnsi="標楷體"/>
          <w:spacing w:val="-4"/>
          <w:sz w:val="30"/>
          <w:szCs w:val="30"/>
        </w:rPr>
        <w:t>用損失，而僅就發行權證收入計算課稅所得時，</w:t>
      </w:r>
      <w:r w:rsidRPr="007B5D03">
        <w:rPr>
          <w:rFonts w:hAnsi="標楷體"/>
          <w:spacing w:val="-8"/>
          <w:sz w:val="30"/>
          <w:szCs w:val="30"/>
        </w:rPr>
        <w:t>則將產生「虛盈實虧」現象，導致虛增大量所得，</w:t>
      </w:r>
      <w:r w:rsidRPr="007B5D03">
        <w:rPr>
          <w:rFonts w:hAnsi="標楷體"/>
          <w:spacing w:val="-4"/>
          <w:sz w:val="30"/>
          <w:szCs w:val="30"/>
        </w:rPr>
        <w:t>而虛增所得稅負擔。是以依據證券商業同業公會委託台大財務金融系李存修教授研究結果，針對全國十八家發行權證之券商統計</w:t>
      </w:r>
      <w:r w:rsidRPr="007B5D03">
        <w:rPr>
          <w:rFonts w:hAnsi="標楷體" w:hint="eastAsia"/>
          <w:spacing w:val="-4"/>
          <w:sz w:val="30"/>
          <w:szCs w:val="30"/>
        </w:rPr>
        <w:t>87</w:t>
      </w:r>
      <w:r w:rsidRPr="007B5D03">
        <w:rPr>
          <w:rFonts w:hAnsi="標楷體"/>
          <w:spacing w:val="-4"/>
          <w:sz w:val="30"/>
          <w:szCs w:val="30"/>
        </w:rPr>
        <w:t>年至</w:t>
      </w:r>
      <w:r w:rsidRPr="007B5D03">
        <w:rPr>
          <w:rFonts w:hAnsi="標楷體" w:hint="eastAsia"/>
          <w:spacing w:val="-4"/>
          <w:sz w:val="30"/>
          <w:szCs w:val="30"/>
        </w:rPr>
        <w:t>93</w:t>
      </w:r>
      <w:r w:rsidRPr="007B5D03">
        <w:rPr>
          <w:rFonts w:hAnsi="標楷體"/>
          <w:spacing w:val="-4"/>
          <w:sz w:val="30"/>
          <w:szCs w:val="30"/>
        </w:rPr>
        <w:t>年</w:t>
      </w:r>
      <w:r w:rsidRPr="007B5D03">
        <w:rPr>
          <w:rFonts w:hAnsi="標楷體" w:hint="eastAsia"/>
          <w:spacing w:val="-4"/>
          <w:sz w:val="30"/>
          <w:szCs w:val="30"/>
        </w:rPr>
        <w:t>7</w:t>
      </w:r>
      <w:r w:rsidRPr="007B5D03">
        <w:rPr>
          <w:rFonts w:hAnsi="標楷體"/>
          <w:spacing w:val="-4"/>
          <w:sz w:val="30"/>
          <w:szCs w:val="30"/>
        </w:rPr>
        <w:t>月底止，「由表五及表五（續）可知，年度淨獲利</w:t>
      </w:r>
      <w:r w:rsidRPr="007B5D03">
        <w:rPr>
          <w:rFonts w:hAnsi="標楷體" w:hint="eastAsia"/>
          <w:spacing w:val="-4"/>
          <w:sz w:val="30"/>
          <w:szCs w:val="30"/>
        </w:rPr>
        <w:t>占</w:t>
      </w:r>
      <w:r w:rsidRPr="007B5D03">
        <w:rPr>
          <w:rFonts w:hAnsi="標楷體"/>
          <w:spacing w:val="-4"/>
          <w:sz w:val="30"/>
          <w:szCs w:val="30"/>
        </w:rPr>
        <w:t>權利金總收入百分比之平均在</w:t>
      </w:r>
      <w:r w:rsidRPr="007B5D03">
        <w:rPr>
          <w:spacing w:val="-4"/>
          <w:sz w:val="30"/>
          <w:szCs w:val="30"/>
        </w:rPr>
        <w:t>4.77</w:t>
      </w:r>
      <w:r w:rsidRPr="007B5D03">
        <w:rPr>
          <w:rFonts w:hAnsi="標楷體"/>
          <w:spacing w:val="-4"/>
          <w:sz w:val="30"/>
          <w:szCs w:val="30"/>
        </w:rPr>
        <w:t>％至</w:t>
      </w:r>
      <w:r w:rsidRPr="007B5D03">
        <w:rPr>
          <w:spacing w:val="-4"/>
          <w:sz w:val="30"/>
          <w:szCs w:val="30"/>
        </w:rPr>
        <w:t>21.35</w:t>
      </w:r>
      <w:r w:rsidRPr="007B5D03">
        <w:rPr>
          <w:rFonts w:hAnsi="標楷體"/>
          <w:spacing w:val="-4"/>
          <w:sz w:val="30"/>
          <w:szCs w:val="30"/>
        </w:rPr>
        <w:t>％之間，皆未超過</w:t>
      </w:r>
      <w:r w:rsidRPr="007B5D03">
        <w:rPr>
          <w:spacing w:val="-4"/>
          <w:sz w:val="30"/>
          <w:szCs w:val="30"/>
        </w:rPr>
        <w:t>25</w:t>
      </w:r>
      <w:r w:rsidRPr="007B5D03">
        <w:rPr>
          <w:rFonts w:hAnsi="標楷體"/>
          <w:spacing w:val="-4"/>
          <w:sz w:val="30"/>
          <w:szCs w:val="30"/>
        </w:rPr>
        <w:t>％，以</w:t>
      </w:r>
      <w:r w:rsidRPr="007B5D03">
        <w:rPr>
          <w:spacing w:val="-4"/>
          <w:sz w:val="30"/>
          <w:szCs w:val="30"/>
        </w:rPr>
        <w:t>93</w:t>
      </w:r>
      <w:r w:rsidRPr="007B5D03">
        <w:rPr>
          <w:rFonts w:hAnsi="標楷體"/>
          <w:spacing w:val="-4"/>
          <w:sz w:val="30"/>
          <w:szCs w:val="30"/>
        </w:rPr>
        <w:t>年</w:t>
      </w:r>
      <w:r w:rsidRPr="007B5D03">
        <w:rPr>
          <w:spacing w:val="-4"/>
          <w:sz w:val="30"/>
          <w:szCs w:val="30"/>
        </w:rPr>
        <w:t>7</w:t>
      </w:r>
      <w:r w:rsidRPr="007B5D03">
        <w:rPr>
          <w:rFonts w:hAnsi="標楷體"/>
          <w:spacing w:val="-4"/>
          <w:sz w:val="30"/>
          <w:szCs w:val="30"/>
        </w:rPr>
        <w:t>月底之前到期的所有權證來看，總權利金累計已達</w:t>
      </w:r>
      <w:r w:rsidRPr="007B5D03">
        <w:rPr>
          <w:sz w:val="30"/>
          <w:szCs w:val="30"/>
        </w:rPr>
        <w:t>742.25</w:t>
      </w:r>
      <w:r w:rsidRPr="007B5D03">
        <w:rPr>
          <w:rFonts w:hAnsi="標楷體"/>
          <w:sz w:val="30"/>
          <w:szCs w:val="30"/>
        </w:rPr>
        <w:t>億元，淨收益僅為</w:t>
      </w:r>
      <w:r w:rsidRPr="007B5D03">
        <w:rPr>
          <w:sz w:val="30"/>
          <w:szCs w:val="30"/>
        </w:rPr>
        <w:t>121.52</w:t>
      </w:r>
      <w:r w:rsidRPr="007B5D03">
        <w:rPr>
          <w:rFonts w:hAnsi="標楷體"/>
          <w:sz w:val="30"/>
          <w:szCs w:val="30"/>
        </w:rPr>
        <w:t>億元，約</w:t>
      </w:r>
      <w:r w:rsidRPr="007B5D03">
        <w:rPr>
          <w:rFonts w:hAnsi="標楷體" w:hint="eastAsia"/>
          <w:sz w:val="30"/>
          <w:szCs w:val="30"/>
        </w:rPr>
        <w:t>占</w:t>
      </w:r>
      <w:r w:rsidRPr="007B5D03">
        <w:rPr>
          <w:rFonts w:hAnsi="標楷體"/>
          <w:sz w:val="30"/>
          <w:szCs w:val="30"/>
        </w:rPr>
        <w:t>權</w:t>
      </w:r>
      <w:r w:rsidRPr="007B5D03">
        <w:rPr>
          <w:rFonts w:hAnsi="標楷體"/>
          <w:spacing w:val="-4"/>
          <w:sz w:val="30"/>
          <w:szCs w:val="30"/>
        </w:rPr>
        <w:t>利金總收入之</w:t>
      </w:r>
      <w:r w:rsidRPr="007B5D03">
        <w:rPr>
          <w:spacing w:val="-4"/>
          <w:sz w:val="30"/>
          <w:szCs w:val="30"/>
        </w:rPr>
        <w:t>16.37</w:t>
      </w:r>
      <w:r w:rsidRPr="007B5D03">
        <w:rPr>
          <w:rFonts w:hAnsi="標楷體"/>
          <w:spacing w:val="-4"/>
          <w:sz w:val="30"/>
          <w:szCs w:val="30"/>
        </w:rPr>
        <w:t>％。」「全體權證市場之</w:t>
      </w:r>
      <w:r w:rsidRPr="007B5D03">
        <w:rPr>
          <w:spacing w:val="-4"/>
          <w:sz w:val="30"/>
          <w:szCs w:val="30"/>
        </w:rPr>
        <w:t>volatility markup</w:t>
      </w:r>
      <w:r w:rsidRPr="007B5D03">
        <w:rPr>
          <w:rFonts w:hAnsi="標楷體"/>
          <w:spacing w:val="-4"/>
          <w:sz w:val="30"/>
          <w:szCs w:val="30"/>
        </w:rPr>
        <w:lastRenderedPageBreak/>
        <w:t>平均為</w:t>
      </w:r>
      <w:r w:rsidRPr="007B5D03">
        <w:rPr>
          <w:spacing w:val="-4"/>
          <w:sz w:val="30"/>
          <w:szCs w:val="30"/>
        </w:rPr>
        <w:t>17.60</w:t>
      </w:r>
      <w:r w:rsidRPr="007B5D03">
        <w:rPr>
          <w:rFonts w:hAnsi="標楷體"/>
          <w:spacing w:val="-4"/>
          <w:sz w:val="30"/>
          <w:szCs w:val="30"/>
        </w:rPr>
        <w:t>％，淨獲利</w:t>
      </w:r>
      <w:r w:rsidRPr="007B5D03">
        <w:rPr>
          <w:rFonts w:hAnsi="標楷體" w:hint="eastAsia"/>
          <w:spacing w:val="-4"/>
          <w:sz w:val="30"/>
          <w:szCs w:val="30"/>
        </w:rPr>
        <w:t>占</w:t>
      </w:r>
      <w:r w:rsidRPr="007B5D03">
        <w:rPr>
          <w:rFonts w:hAnsi="標楷體"/>
          <w:spacing w:val="-4"/>
          <w:sz w:val="30"/>
          <w:szCs w:val="30"/>
        </w:rPr>
        <w:t>權利</w:t>
      </w:r>
      <w:r w:rsidRPr="007B5D03">
        <w:rPr>
          <w:rFonts w:hAnsi="標楷體"/>
          <w:sz w:val="30"/>
          <w:szCs w:val="30"/>
        </w:rPr>
        <w:t>金總收入之</w:t>
      </w:r>
      <w:r w:rsidRPr="007B5D03">
        <w:rPr>
          <w:sz w:val="30"/>
          <w:szCs w:val="30"/>
        </w:rPr>
        <w:t>16.37</w:t>
      </w:r>
      <w:r w:rsidRPr="007B5D03">
        <w:rPr>
          <w:rFonts w:hAnsi="標楷體"/>
          <w:sz w:val="30"/>
          <w:szCs w:val="30"/>
        </w:rPr>
        <w:t>％，未達</w:t>
      </w:r>
      <w:r w:rsidRPr="007B5D03">
        <w:rPr>
          <w:sz w:val="30"/>
          <w:szCs w:val="30"/>
        </w:rPr>
        <w:t>25</w:t>
      </w:r>
      <w:r w:rsidRPr="007B5D03">
        <w:rPr>
          <w:rFonts w:hAnsi="標楷體"/>
          <w:sz w:val="30"/>
          <w:szCs w:val="30"/>
        </w:rPr>
        <w:t>％，若要課徵</w:t>
      </w:r>
      <w:r w:rsidRPr="007B5D03">
        <w:rPr>
          <w:sz w:val="30"/>
          <w:szCs w:val="30"/>
        </w:rPr>
        <w:t>25</w:t>
      </w:r>
      <w:r w:rsidRPr="007B5D03">
        <w:rPr>
          <w:rFonts w:hAnsi="標楷體"/>
          <w:spacing w:val="-8"/>
          <w:sz w:val="30"/>
          <w:szCs w:val="30"/>
        </w:rPr>
        <w:t>％的營利事業所得稅，則會產生</w:t>
      </w:r>
      <w:r w:rsidRPr="007B5D03">
        <w:rPr>
          <w:spacing w:val="-8"/>
          <w:sz w:val="30"/>
          <w:szCs w:val="30"/>
        </w:rPr>
        <w:t>8.63</w:t>
      </w:r>
      <w:r w:rsidRPr="007B5D03">
        <w:rPr>
          <w:rFonts w:hAnsi="標楷體"/>
          <w:spacing w:val="-8"/>
          <w:sz w:val="30"/>
          <w:szCs w:val="30"/>
        </w:rPr>
        <w:t>％之虧損。」</w:t>
      </w:r>
      <w:r w:rsidRPr="007B5D03">
        <w:rPr>
          <w:rFonts w:hAnsi="標楷體"/>
          <w:spacing w:val="-4"/>
          <w:sz w:val="30"/>
          <w:szCs w:val="30"/>
        </w:rPr>
        <w:t>「依表三與表四之估算，全體權證市場避險操作</w:t>
      </w:r>
      <w:r w:rsidRPr="007B5D03">
        <w:rPr>
          <w:rFonts w:hAnsi="標楷體"/>
          <w:sz w:val="30"/>
          <w:szCs w:val="30"/>
        </w:rPr>
        <w:t>之成本加上其他直接相關成本約為權利金收入</w:t>
      </w:r>
      <w:r w:rsidRPr="007B5D03">
        <w:rPr>
          <w:rFonts w:hAnsi="標楷體"/>
          <w:spacing w:val="-4"/>
          <w:sz w:val="30"/>
          <w:szCs w:val="30"/>
        </w:rPr>
        <w:t>之</w:t>
      </w:r>
      <w:r w:rsidRPr="007B5D03">
        <w:rPr>
          <w:spacing w:val="-4"/>
          <w:sz w:val="30"/>
          <w:szCs w:val="30"/>
        </w:rPr>
        <w:t>78.42</w:t>
      </w:r>
      <w:r w:rsidRPr="007B5D03">
        <w:rPr>
          <w:rFonts w:hAnsi="標楷體"/>
          <w:spacing w:val="-4"/>
          <w:sz w:val="30"/>
          <w:szCs w:val="30"/>
        </w:rPr>
        <w:t>％，而券商發行權證之管銷費用及其他</w:t>
      </w:r>
      <w:r w:rsidRPr="007B5D03">
        <w:rPr>
          <w:rFonts w:hAnsi="標楷體"/>
          <w:sz w:val="30"/>
          <w:szCs w:val="30"/>
        </w:rPr>
        <w:t>固定費用約</w:t>
      </w:r>
      <w:r w:rsidRPr="007B5D03">
        <w:rPr>
          <w:rFonts w:hAnsi="標楷體" w:hint="eastAsia"/>
          <w:sz w:val="30"/>
          <w:szCs w:val="30"/>
        </w:rPr>
        <w:t>占</w:t>
      </w:r>
      <w:r w:rsidRPr="007B5D03">
        <w:rPr>
          <w:rFonts w:hAnsi="標楷體"/>
          <w:sz w:val="30"/>
          <w:szCs w:val="30"/>
        </w:rPr>
        <w:t>權利金總收入之</w:t>
      </w:r>
      <w:r w:rsidRPr="007B5D03">
        <w:rPr>
          <w:sz w:val="30"/>
          <w:szCs w:val="30"/>
        </w:rPr>
        <w:t>5.21</w:t>
      </w:r>
      <w:r w:rsidRPr="007B5D03">
        <w:rPr>
          <w:rFonts w:hAnsi="標楷體"/>
          <w:sz w:val="30"/>
          <w:szCs w:val="30"/>
        </w:rPr>
        <w:t>％。兩者合</w:t>
      </w:r>
      <w:r w:rsidRPr="007B5D03">
        <w:rPr>
          <w:rFonts w:hAnsi="標楷體"/>
          <w:spacing w:val="-4"/>
          <w:sz w:val="30"/>
          <w:szCs w:val="30"/>
        </w:rPr>
        <w:t>計，成本高達權利金總收入之</w:t>
      </w:r>
      <w:r w:rsidRPr="007B5D03">
        <w:rPr>
          <w:spacing w:val="-4"/>
          <w:sz w:val="30"/>
          <w:szCs w:val="30"/>
        </w:rPr>
        <w:t>83.63</w:t>
      </w:r>
      <w:r w:rsidRPr="007B5D03">
        <w:rPr>
          <w:rFonts w:hAnsi="標楷體"/>
          <w:spacing w:val="-4"/>
          <w:sz w:val="30"/>
          <w:szCs w:val="30"/>
        </w:rPr>
        <w:t>％。若權利金收入被課徵</w:t>
      </w:r>
      <w:r w:rsidRPr="007B5D03">
        <w:rPr>
          <w:spacing w:val="-4"/>
          <w:sz w:val="30"/>
          <w:szCs w:val="30"/>
        </w:rPr>
        <w:t>25</w:t>
      </w:r>
      <w:r w:rsidRPr="007B5D03">
        <w:rPr>
          <w:rFonts w:hAnsi="標楷體"/>
          <w:spacing w:val="-4"/>
          <w:sz w:val="30"/>
          <w:szCs w:val="30"/>
        </w:rPr>
        <w:t>％之所得稅，全體發行人即產</w:t>
      </w:r>
      <w:r w:rsidRPr="007B5D03">
        <w:rPr>
          <w:rFonts w:hAnsi="標楷體"/>
          <w:sz w:val="30"/>
          <w:szCs w:val="30"/>
        </w:rPr>
        <w:t>生</w:t>
      </w:r>
      <w:r w:rsidRPr="007B5D03">
        <w:rPr>
          <w:sz w:val="30"/>
          <w:szCs w:val="30"/>
        </w:rPr>
        <w:t>8.63</w:t>
      </w:r>
      <w:r w:rsidRPr="007B5D03">
        <w:rPr>
          <w:rFonts w:hAnsi="標楷體"/>
          <w:sz w:val="30"/>
          <w:szCs w:val="30"/>
        </w:rPr>
        <w:t>％之稅後損失，形成做愈多虧愈多之現</w:t>
      </w:r>
      <w:r w:rsidRPr="007B5D03">
        <w:rPr>
          <w:rFonts w:hAnsi="標楷體"/>
          <w:spacing w:val="-4"/>
          <w:sz w:val="30"/>
          <w:szCs w:val="30"/>
        </w:rPr>
        <w:t>象。」（附件</w:t>
      </w:r>
      <w:r w:rsidRPr="007B5D03">
        <w:rPr>
          <w:spacing w:val="-4"/>
          <w:sz w:val="30"/>
          <w:szCs w:val="30"/>
        </w:rPr>
        <w:t>19</w:t>
      </w:r>
      <w:r w:rsidRPr="007B5D03">
        <w:rPr>
          <w:rFonts w:hAnsi="標楷體"/>
          <w:spacing w:val="-4"/>
          <w:sz w:val="30"/>
          <w:szCs w:val="30"/>
        </w:rPr>
        <w:t>，</w:t>
      </w:r>
      <w:smartTag w:uri="urn:schemas-microsoft-com:office:smarttags" w:element="PersonName">
        <w:smartTagPr>
          <w:attr w:name="ProductID" w:val="李存修"/>
        </w:smartTagPr>
        <w:r w:rsidRPr="007B5D03">
          <w:rPr>
            <w:rFonts w:hAnsi="標楷體"/>
            <w:spacing w:val="-4"/>
            <w:sz w:val="30"/>
            <w:szCs w:val="30"/>
          </w:rPr>
          <w:t>李存修</w:t>
        </w:r>
      </w:smartTag>
      <w:r w:rsidRPr="007B5D03">
        <w:rPr>
          <w:rFonts w:hAnsi="標楷體"/>
          <w:spacing w:val="-4"/>
          <w:sz w:val="30"/>
          <w:szCs w:val="30"/>
        </w:rPr>
        <w:t>教授，證券商發行認購（售）權證之定價策略及各項相關成本分析研究報告，</w:t>
      </w:r>
      <w:r w:rsidRPr="007B5D03">
        <w:rPr>
          <w:spacing w:val="-4"/>
          <w:sz w:val="30"/>
          <w:szCs w:val="30"/>
        </w:rPr>
        <w:t>93</w:t>
      </w:r>
      <w:r w:rsidRPr="007B5D03">
        <w:rPr>
          <w:rFonts w:hAnsi="標楷體"/>
          <w:spacing w:val="-4"/>
          <w:sz w:val="30"/>
          <w:szCs w:val="30"/>
        </w:rPr>
        <w:t>年</w:t>
      </w:r>
      <w:r w:rsidRPr="007B5D03">
        <w:rPr>
          <w:spacing w:val="-4"/>
          <w:sz w:val="30"/>
          <w:szCs w:val="30"/>
        </w:rPr>
        <w:t>8</w:t>
      </w:r>
      <w:r w:rsidRPr="007B5D03">
        <w:rPr>
          <w:rFonts w:hAnsi="標楷體"/>
          <w:spacing w:val="-4"/>
          <w:sz w:val="30"/>
          <w:szCs w:val="30"/>
        </w:rPr>
        <w:t>月</w:t>
      </w:r>
      <w:r w:rsidRPr="007B5D03">
        <w:rPr>
          <w:rFonts w:hAnsi="標楷體" w:hint="eastAsia"/>
          <w:spacing w:val="-4"/>
          <w:sz w:val="30"/>
          <w:szCs w:val="30"/>
        </w:rPr>
        <w:t>，</w:t>
      </w:r>
      <w:r w:rsidRPr="007B5D03">
        <w:rPr>
          <w:rFonts w:hAnsi="標楷體"/>
          <w:spacing w:val="-4"/>
          <w:sz w:val="30"/>
          <w:szCs w:val="30"/>
        </w:rPr>
        <w:t>第</w:t>
      </w:r>
      <w:r w:rsidRPr="007B5D03">
        <w:rPr>
          <w:spacing w:val="-4"/>
          <w:sz w:val="30"/>
          <w:szCs w:val="30"/>
        </w:rPr>
        <w:t>19</w:t>
      </w:r>
      <w:r w:rsidRPr="007B5D03">
        <w:rPr>
          <w:rFonts w:hAnsi="標楷體"/>
          <w:spacing w:val="-4"/>
          <w:sz w:val="30"/>
          <w:szCs w:val="30"/>
        </w:rPr>
        <w:t>頁、</w:t>
      </w:r>
      <w:r w:rsidRPr="007B5D03">
        <w:rPr>
          <w:rFonts w:hAnsi="標楷體" w:hint="eastAsia"/>
          <w:spacing w:val="-4"/>
          <w:sz w:val="30"/>
          <w:szCs w:val="30"/>
        </w:rPr>
        <w:t>第</w:t>
      </w:r>
      <w:r w:rsidRPr="007B5D03">
        <w:rPr>
          <w:spacing w:val="-4"/>
          <w:sz w:val="30"/>
          <w:szCs w:val="30"/>
        </w:rPr>
        <w:t>29</w:t>
      </w:r>
      <w:r w:rsidRPr="007B5D03">
        <w:rPr>
          <w:rFonts w:hAnsi="標楷體"/>
          <w:spacing w:val="-4"/>
          <w:sz w:val="30"/>
          <w:szCs w:val="30"/>
        </w:rPr>
        <w:t>頁）。又依據本件確定判決廢棄第一審判決，維持國稅局原核定結果，聲請人實際利得（減除避險損失及相關成本費用後之所得）係虧損新臺幣</w:t>
      </w:r>
      <w:r w:rsidRPr="007B5D03">
        <w:rPr>
          <w:rFonts w:hint="eastAsia"/>
          <w:spacing w:val="-4"/>
          <w:sz w:val="30"/>
          <w:szCs w:val="30"/>
        </w:rPr>
        <w:t>（</w:t>
      </w:r>
      <w:r w:rsidRPr="007B5D03">
        <w:rPr>
          <w:rFonts w:hAnsi="標楷體"/>
          <w:spacing w:val="-4"/>
          <w:sz w:val="30"/>
          <w:szCs w:val="30"/>
        </w:rPr>
        <w:t>下同</w:t>
      </w:r>
      <w:r w:rsidRPr="007B5D03">
        <w:rPr>
          <w:rFonts w:hint="eastAsia"/>
          <w:spacing w:val="-4"/>
          <w:sz w:val="30"/>
          <w:szCs w:val="30"/>
        </w:rPr>
        <w:t>）</w:t>
      </w:r>
      <w:r w:rsidRPr="007B5D03">
        <w:rPr>
          <w:spacing w:val="-4"/>
          <w:sz w:val="30"/>
          <w:szCs w:val="30"/>
        </w:rPr>
        <w:t>59,718,087</w:t>
      </w:r>
      <w:r w:rsidRPr="007B5D03">
        <w:rPr>
          <w:rFonts w:hAnsi="標楷體"/>
          <w:spacing w:val="-4"/>
          <w:sz w:val="30"/>
          <w:szCs w:val="30"/>
        </w:rPr>
        <w:t>元（附件</w:t>
      </w:r>
      <w:r w:rsidRPr="007B5D03">
        <w:rPr>
          <w:spacing w:val="-4"/>
          <w:sz w:val="30"/>
          <w:szCs w:val="30"/>
        </w:rPr>
        <w:t>28</w:t>
      </w:r>
      <w:r w:rsidRPr="007B5D03">
        <w:rPr>
          <w:rFonts w:hAnsi="標楷體"/>
          <w:spacing w:val="-4"/>
          <w:sz w:val="30"/>
          <w:szCs w:val="30"/>
        </w:rPr>
        <w:t>，權證損益計算表），惟財政部臺北市國稅局之核定不准減除避險損失</w:t>
      </w:r>
      <w:r w:rsidRPr="007B5D03">
        <w:rPr>
          <w:sz w:val="30"/>
          <w:szCs w:val="30"/>
        </w:rPr>
        <w:t>441,868,801</w:t>
      </w:r>
      <w:r w:rsidRPr="007B5D03">
        <w:rPr>
          <w:rFonts w:hAnsi="標楷體"/>
          <w:sz w:val="30"/>
          <w:szCs w:val="30"/>
        </w:rPr>
        <w:t>元，並同額調增為營業收入，致核</w:t>
      </w:r>
      <w:r w:rsidRPr="007B5D03">
        <w:rPr>
          <w:rFonts w:hAnsi="標楷體"/>
          <w:spacing w:val="-4"/>
          <w:sz w:val="30"/>
          <w:szCs w:val="30"/>
        </w:rPr>
        <w:t>定權證之利益為</w:t>
      </w:r>
      <w:r w:rsidRPr="007B5D03">
        <w:rPr>
          <w:spacing w:val="-4"/>
          <w:sz w:val="30"/>
          <w:szCs w:val="30"/>
        </w:rPr>
        <w:t>382,150,714</w:t>
      </w:r>
      <w:r w:rsidRPr="007B5D03">
        <w:rPr>
          <w:rFonts w:hAnsi="標楷體"/>
          <w:spacing w:val="-4"/>
          <w:sz w:val="30"/>
          <w:szCs w:val="30"/>
        </w:rPr>
        <w:t>元（權證實際利得</w:t>
      </w:r>
      <w:r w:rsidRPr="007B5D03">
        <w:rPr>
          <w:spacing w:val="-4"/>
          <w:sz w:val="30"/>
          <w:szCs w:val="30"/>
        </w:rPr>
        <w:t>-59,718,087</w:t>
      </w:r>
      <w:r w:rsidRPr="007B5D03">
        <w:rPr>
          <w:rFonts w:hAnsi="標楷體"/>
          <w:spacing w:val="-4"/>
          <w:sz w:val="30"/>
          <w:szCs w:val="30"/>
        </w:rPr>
        <w:t>元＋</w:t>
      </w:r>
      <w:r w:rsidRPr="007B5D03">
        <w:rPr>
          <w:spacing w:val="-4"/>
          <w:sz w:val="30"/>
          <w:szCs w:val="30"/>
        </w:rPr>
        <w:t>441,868,801</w:t>
      </w:r>
      <w:r w:rsidRPr="007B5D03">
        <w:rPr>
          <w:rFonts w:hAnsi="標楷體"/>
          <w:spacing w:val="-4"/>
          <w:sz w:val="30"/>
          <w:szCs w:val="30"/>
        </w:rPr>
        <w:t>元），是聲請人在</w:t>
      </w:r>
      <w:r w:rsidRPr="007B5D03">
        <w:rPr>
          <w:spacing w:val="-4"/>
          <w:sz w:val="30"/>
          <w:szCs w:val="30"/>
        </w:rPr>
        <w:t>90</w:t>
      </w:r>
      <w:r w:rsidRPr="007B5D03">
        <w:rPr>
          <w:rFonts w:hAnsi="標楷體"/>
          <w:sz w:val="30"/>
          <w:szCs w:val="30"/>
        </w:rPr>
        <w:t>年度權證交易之實際損益屬虧損</w:t>
      </w:r>
      <w:r w:rsidRPr="007B5D03">
        <w:rPr>
          <w:sz w:val="30"/>
          <w:szCs w:val="30"/>
        </w:rPr>
        <w:t>59,718,087</w:t>
      </w:r>
      <w:r w:rsidRPr="007B5D03">
        <w:rPr>
          <w:rFonts w:hAnsi="標楷體"/>
          <w:sz w:val="30"/>
          <w:szCs w:val="30"/>
        </w:rPr>
        <w:t>元</w:t>
      </w:r>
      <w:r w:rsidRPr="007B5D03">
        <w:rPr>
          <w:rFonts w:hAnsi="標楷體"/>
          <w:spacing w:val="-4"/>
          <w:sz w:val="30"/>
          <w:szCs w:val="30"/>
        </w:rPr>
        <w:t>之狀態，卻因適用財政部</w:t>
      </w:r>
      <w:r w:rsidRPr="007B5D03">
        <w:rPr>
          <w:spacing w:val="-4"/>
          <w:sz w:val="30"/>
          <w:szCs w:val="30"/>
        </w:rPr>
        <w:t>86</w:t>
      </w:r>
      <w:r w:rsidRPr="007B5D03">
        <w:rPr>
          <w:rFonts w:hAnsi="標楷體"/>
          <w:spacing w:val="-4"/>
          <w:sz w:val="30"/>
          <w:szCs w:val="30"/>
        </w:rPr>
        <w:t>年函釋而核定增加此等高額之課稅所得，而就此權證交易課徵約</w:t>
      </w:r>
      <w:r w:rsidRPr="007B5D03">
        <w:rPr>
          <w:spacing w:val="-4"/>
          <w:sz w:val="30"/>
          <w:szCs w:val="30"/>
        </w:rPr>
        <w:t>9</w:t>
      </w:r>
      <w:r w:rsidRPr="007B5D03">
        <w:rPr>
          <w:rFonts w:hAnsi="標楷體"/>
          <w:spacing w:val="-4"/>
          <w:sz w:val="30"/>
          <w:szCs w:val="30"/>
        </w:rPr>
        <w:t>千</w:t>
      </w:r>
      <w:r w:rsidRPr="007B5D03">
        <w:rPr>
          <w:spacing w:val="-4"/>
          <w:sz w:val="30"/>
          <w:szCs w:val="30"/>
        </w:rPr>
        <w:t>5</w:t>
      </w:r>
      <w:r w:rsidRPr="007B5D03">
        <w:rPr>
          <w:rFonts w:hAnsi="標楷體"/>
          <w:spacing w:val="-4"/>
          <w:sz w:val="30"/>
          <w:szCs w:val="30"/>
        </w:rPr>
        <w:t>百萬元之營利事業所得稅，較諸前引報告所指券商在適用財政部</w:t>
      </w:r>
      <w:r w:rsidRPr="007B5D03">
        <w:rPr>
          <w:spacing w:val="-4"/>
          <w:sz w:val="30"/>
          <w:szCs w:val="30"/>
        </w:rPr>
        <w:t>86</w:t>
      </w:r>
      <w:r w:rsidRPr="007B5D03">
        <w:rPr>
          <w:rFonts w:hAnsi="標楷體"/>
          <w:spacing w:val="-4"/>
          <w:sz w:val="30"/>
          <w:szCs w:val="30"/>
        </w:rPr>
        <w:t>年函釋後會造成權證實際利得尚不足以繳納所得稅情形，更</w:t>
      </w:r>
      <w:r w:rsidRPr="007B5D03">
        <w:rPr>
          <w:rFonts w:hAnsi="標楷體"/>
          <w:spacing w:val="-4"/>
          <w:sz w:val="30"/>
          <w:szCs w:val="30"/>
        </w:rPr>
        <w:lastRenderedPageBreak/>
        <w:t>形嚴重，就一個未有實際利得之交易課徵所得稅，嚴重侵蝕聲請人其他之固有財產，要非不得謂有課稅極苛及達到對財產權產生剝奪之情形。</w:t>
      </w:r>
    </w:p>
    <w:p w:rsidR="00514426" w:rsidRPr="007B5D03" w:rsidRDefault="00514426" w:rsidP="00021189">
      <w:pPr>
        <w:snapToGrid w:val="0"/>
        <w:spacing w:line="437" w:lineRule="exact"/>
        <w:ind w:left="2342" w:hanging="357"/>
        <w:rPr>
          <w:sz w:val="30"/>
          <w:szCs w:val="30"/>
        </w:rPr>
      </w:pPr>
      <w:r w:rsidRPr="007B5D03">
        <w:rPr>
          <w:rFonts w:hAnsi="標楷體" w:hint="eastAsia"/>
          <w:sz w:val="30"/>
          <w:szCs w:val="30"/>
        </w:rPr>
        <w:t>(6)</w:t>
      </w:r>
      <w:r w:rsidRPr="007B5D03">
        <w:rPr>
          <w:rFonts w:hAnsi="標楷體"/>
          <w:sz w:val="30"/>
          <w:szCs w:val="30"/>
        </w:rPr>
        <w:t>承上，財政部</w:t>
      </w:r>
      <w:r w:rsidRPr="007B5D03">
        <w:rPr>
          <w:sz w:val="30"/>
          <w:szCs w:val="30"/>
        </w:rPr>
        <w:t>86</w:t>
      </w:r>
      <w:r w:rsidRPr="007B5D03">
        <w:rPr>
          <w:rFonts w:hAnsi="標楷體"/>
          <w:sz w:val="30"/>
          <w:szCs w:val="30"/>
        </w:rPr>
        <w:t>年函釋既尋無一個正當化之公</w:t>
      </w:r>
      <w:r w:rsidRPr="007B5D03">
        <w:rPr>
          <w:rFonts w:hAnsi="標楷體"/>
          <w:spacing w:val="-4"/>
          <w:sz w:val="30"/>
          <w:szCs w:val="30"/>
        </w:rPr>
        <w:t>益理由，如僅以財政考量為依據，似又非其訂</w:t>
      </w:r>
      <w:r w:rsidRPr="007B5D03">
        <w:rPr>
          <w:rFonts w:hAnsi="標楷體" w:hint="eastAsia"/>
          <w:spacing w:val="-4"/>
          <w:sz w:val="30"/>
          <w:szCs w:val="30"/>
        </w:rPr>
        <w:t>定</w:t>
      </w:r>
      <w:r w:rsidRPr="007B5D03">
        <w:rPr>
          <w:rFonts w:hAnsi="標楷體"/>
          <w:sz w:val="30"/>
          <w:szCs w:val="30"/>
        </w:rPr>
        <w:t>時之本意。退萬步言，縱認為財政部</w:t>
      </w:r>
      <w:r w:rsidRPr="007B5D03">
        <w:rPr>
          <w:sz w:val="30"/>
          <w:szCs w:val="30"/>
        </w:rPr>
        <w:t>86</w:t>
      </w:r>
      <w:r w:rsidRPr="007B5D03">
        <w:rPr>
          <w:rFonts w:hAnsi="標楷體"/>
          <w:sz w:val="30"/>
          <w:szCs w:val="30"/>
        </w:rPr>
        <w:t>年函釋</w:t>
      </w:r>
      <w:r w:rsidRPr="007B5D03">
        <w:rPr>
          <w:rFonts w:hAnsi="標楷體"/>
          <w:spacing w:val="-4"/>
          <w:sz w:val="30"/>
          <w:szCs w:val="30"/>
        </w:rPr>
        <w:t>帶有增加財政收入之公益目的，其對財產基本權幾近形成剝奪之效果，更變相沒收人民財產，進一步損害人民之財產權本體，對聲請人等券商所造成之損害，要難謂其侵害之基本權價值及對人民所生之損害非不重大，並且產生阻礙新投資商品發行、活絡金融市場之副作用，顯然與狹義比例原則嚴重背離，至為明顯。</w:t>
      </w:r>
    </w:p>
    <w:p w:rsidR="00514426" w:rsidRPr="007B5D03" w:rsidRDefault="00514426" w:rsidP="00021189">
      <w:pPr>
        <w:snapToGrid w:val="0"/>
        <w:spacing w:line="437" w:lineRule="exact"/>
        <w:ind w:left="1587" w:hanging="907"/>
        <w:rPr>
          <w:rFonts w:hAnsi="標楷體"/>
          <w:sz w:val="30"/>
          <w:szCs w:val="30"/>
        </w:rPr>
      </w:pPr>
      <w:r w:rsidRPr="007B5D03">
        <w:rPr>
          <w:rFonts w:hAnsi="標楷體" w:hint="eastAsia"/>
          <w:sz w:val="30"/>
          <w:szCs w:val="30"/>
        </w:rPr>
        <w:t>（</w:t>
      </w:r>
      <w:r w:rsidRPr="007B5D03">
        <w:rPr>
          <w:rFonts w:hAnsi="標楷體"/>
          <w:sz w:val="30"/>
          <w:szCs w:val="30"/>
        </w:rPr>
        <w:t>六</w:t>
      </w:r>
      <w:r w:rsidRPr="007B5D03">
        <w:rPr>
          <w:rFonts w:hAnsi="標楷體" w:hint="eastAsia"/>
          <w:sz w:val="30"/>
          <w:szCs w:val="30"/>
        </w:rPr>
        <w:t>）</w:t>
      </w:r>
      <w:r w:rsidRPr="007B5D03">
        <w:rPr>
          <w:rFonts w:hAnsi="標楷體"/>
          <w:spacing w:val="4"/>
          <w:sz w:val="30"/>
          <w:szCs w:val="30"/>
        </w:rPr>
        <w:t>憲法第</w:t>
      </w:r>
      <w:r w:rsidRPr="007B5D03">
        <w:rPr>
          <w:rFonts w:hAnsi="標楷體"/>
          <w:spacing w:val="4"/>
          <w:sz w:val="30"/>
          <w:szCs w:val="30"/>
        </w:rPr>
        <w:t>15</w:t>
      </w:r>
      <w:r w:rsidRPr="007B5D03">
        <w:rPr>
          <w:rFonts w:hAnsi="標楷體"/>
          <w:spacing w:val="4"/>
          <w:sz w:val="30"/>
          <w:szCs w:val="30"/>
        </w:rPr>
        <w:t>條所保障之營業自由權，國家不得以稅捐</w:t>
      </w:r>
      <w:r w:rsidRPr="007B5D03">
        <w:rPr>
          <w:rFonts w:hAnsi="標楷體"/>
          <w:sz w:val="30"/>
          <w:szCs w:val="30"/>
        </w:rPr>
        <w:t>絞殺券商發行權證的營業自由，本件財政部函釋違反憲法第</w:t>
      </w:r>
      <w:r w:rsidRPr="007B5D03">
        <w:rPr>
          <w:rFonts w:hAnsi="標楷體"/>
          <w:sz w:val="30"/>
          <w:szCs w:val="30"/>
        </w:rPr>
        <w:t>15</w:t>
      </w:r>
      <w:r w:rsidRPr="007B5D03">
        <w:rPr>
          <w:rFonts w:hAnsi="標楷體"/>
          <w:sz w:val="30"/>
          <w:szCs w:val="30"/>
        </w:rPr>
        <w:t>條規定</w:t>
      </w:r>
    </w:p>
    <w:p w:rsidR="00514426" w:rsidRPr="007B5D03" w:rsidRDefault="00514426" w:rsidP="00260A04">
      <w:pPr>
        <w:snapToGrid w:val="0"/>
        <w:spacing w:line="437" w:lineRule="exact"/>
        <w:ind w:left="1900" w:hanging="312"/>
        <w:rPr>
          <w:sz w:val="30"/>
          <w:szCs w:val="30"/>
        </w:rPr>
      </w:pPr>
      <w:r w:rsidRPr="007B5D03">
        <w:rPr>
          <w:rFonts w:ascii="標楷體" w:hAnsi="標楷體"/>
          <w:sz w:val="30"/>
          <w:szCs w:val="30"/>
        </w:rPr>
        <w:t>1.</w:t>
      </w:r>
      <w:r w:rsidRPr="007B5D03">
        <w:rPr>
          <w:rFonts w:hAnsi="標楷體"/>
          <w:sz w:val="30"/>
          <w:szCs w:val="30"/>
        </w:rPr>
        <w:t>按「憲法第</w:t>
      </w:r>
      <w:r w:rsidRPr="007B5D03">
        <w:rPr>
          <w:sz w:val="30"/>
          <w:szCs w:val="30"/>
        </w:rPr>
        <w:t>15</w:t>
      </w:r>
      <w:r w:rsidRPr="007B5D03">
        <w:rPr>
          <w:rFonts w:hAnsi="標楷體"/>
          <w:sz w:val="30"/>
          <w:szCs w:val="30"/>
        </w:rPr>
        <w:t>條關於人民財產權應予保障之規定，</w:t>
      </w:r>
      <w:r w:rsidRPr="007B5D03">
        <w:rPr>
          <w:rFonts w:hAnsi="標楷體"/>
          <w:spacing w:val="10"/>
          <w:sz w:val="30"/>
          <w:szCs w:val="30"/>
        </w:rPr>
        <w:t>旨在確保個人依財產之存續狀態行使其自由使</w:t>
      </w:r>
      <w:r w:rsidRPr="007B5D03">
        <w:rPr>
          <w:rFonts w:hAnsi="標楷體"/>
          <w:sz w:val="30"/>
          <w:szCs w:val="30"/>
        </w:rPr>
        <w:t>用、收益及處分之權能，並免遭受公權力或第三人</w:t>
      </w:r>
      <w:r w:rsidRPr="007B5D03">
        <w:rPr>
          <w:rFonts w:hAnsi="標楷體"/>
          <w:spacing w:val="4"/>
          <w:sz w:val="30"/>
          <w:szCs w:val="30"/>
        </w:rPr>
        <w:t>之侵害，俾能實現個人自由，發展人格及維護尊</w:t>
      </w:r>
      <w:r w:rsidRPr="007B5D03">
        <w:rPr>
          <w:rFonts w:hAnsi="標楷體"/>
          <w:sz w:val="30"/>
          <w:szCs w:val="30"/>
        </w:rPr>
        <w:t>嚴。」　鈞院釋字第</w:t>
      </w:r>
      <w:r w:rsidRPr="007B5D03">
        <w:rPr>
          <w:sz w:val="30"/>
          <w:szCs w:val="30"/>
        </w:rPr>
        <w:t>400</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著有解釋。從而，</w:t>
      </w:r>
      <w:r w:rsidRPr="007B5D03">
        <w:rPr>
          <w:rFonts w:hAnsi="標楷體"/>
          <w:spacing w:val="4"/>
          <w:sz w:val="30"/>
          <w:szCs w:val="30"/>
        </w:rPr>
        <w:t>財產權之保障並為人民發展人格及維護尊嚴之基</w:t>
      </w:r>
      <w:r w:rsidRPr="007B5D03">
        <w:rPr>
          <w:rFonts w:hAnsi="標楷體"/>
          <w:sz w:val="30"/>
          <w:szCs w:val="30"/>
        </w:rPr>
        <w:t>本權，其重要性並不因係經濟物質性而低於其他諸如人身自由及生命權等基本權，蓋均為保障人性尊嚴所不可或缺。人民受憲法保障有從事經濟活動的自由，此不僅是財產權與人身自由權的延伸，亦為憲</w:t>
      </w:r>
      <w:r w:rsidRPr="007B5D03">
        <w:rPr>
          <w:rFonts w:hAnsi="標楷體"/>
          <w:sz w:val="30"/>
          <w:szCs w:val="30"/>
        </w:rPr>
        <w:lastRenderedPageBreak/>
        <w:t>法第</w:t>
      </w:r>
      <w:r w:rsidRPr="007B5D03">
        <w:rPr>
          <w:sz w:val="30"/>
          <w:szCs w:val="30"/>
        </w:rPr>
        <w:t>15</w:t>
      </w:r>
      <w:r w:rsidRPr="007B5D03">
        <w:rPr>
          <w:rFonts w:hAnsi="標楷體"/>
          <w:sz w:val="30"/>
          <w:szCs w:val="30"/>
        </w:rPr>
        <w:t>條工作權的重要內涵，</w:t>
      </w:r>
      <w:r w:rsidRPr="007B5D03">
        <w:rPr>
          <w:sz w:val="30"/>
          <w:szCs w:val="30"/>
        </w:rPr>
        <w:t xml:space="preserve">　</w:t>
      </w:r>
      <w:r w:rsidRPr="007B5D03">
        <w:rPr>
          <w:rFonts w:hAnsi="標楷體"/>
          <w:sz w:val="30"/>
          <w:szCs w:val="30"/>
        </w:rPr>
        <w:t>鈞院釋字</w:t>
      </w:r>
      <w:r w:rsidRPr="007B5D03">
        <w:rPr>
          <w:sz w:val="30"/>
          <w:szCs w:val="30"/>
        </w:rPr>
        <w:t>584</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亦本此意旨解釋。</w:t>
      </w:r>
    </w:p>
    <w:p w:rsidR="00514426" w:rsidRPr="007B5D03" w:rsidRDefault="00514426" w:rsidP="00260A04">
      <w:pPr>
        <w:snapToGrid w:val="0"/>
        <w:spacing w:line="437" w:lineRule="exact"/>
        <w:ind w:left="1900" w:hanging="312"/>
        <w:rPr>
          <w:sz w:val="30"/>
          <w:szCs w:val="30"/>
        </w:rPr>
      </w:pPr>
      <w:r w:rsidRPr="007B5D03">
        <w:rPr>
          <w:rFonts w:ascii="標楷體" w:hAnsi="標楷體"/>
          <w:sz w:val="30"/>
          <w:szCs w:val="30"/>
        </w:rPr>
        <w:t>2.</w:t>
      </w:r>
      <w:r w:rsidRPr="007B5D03">
        <w:rPr>
          <w:rFonts w:hAnsi="標楷體"/>
          <w:sz w:val="30"/>
          <w:szCs w:val="30"/>
        </w:rPr>
        <w:t>財產權僅能限制不能剝奪，如對財產權造成剝奪效果之課稅形同殺雞取卵，亦即德國法上之絞殺課稅禁止或半數原則之法理。否則形同營業自由權在不違反憲法第</w:t>
      </w:r>
      <w:r w:rsidRPr="007B5D03">
        <w:rPr>
          <w:sz w:val="30"/>
          <w:szCs w:val="30"/>
        </w:rPr>
        <w:t>23</w:t>
      </w:r>
      <w:r w:rsidRPr="007B5D03">
        <w:rPr>
          <w:rFonts w:hAnsi="標楷體"/>
          <w:sz w:val="30"/>
          <w:szCs w:val="30"/>
        </w:rPr>
        <w:t>條之限制下，人民可自由決定營業項目、營業方式，此為人民在經濟領域之自主決定空間，國家不得以任何方式直接或間接地干預，即使國家得以法規範合理介入限制，亦不得專門具體的針對特定人的經濟活動，否則有違國家在營業活動應保持中立者的角色。租稅本身為經濟活動重要</w:t>
      </w:r>
      <w:r w:rsidRPr="007B5D03">
        <w:rPr>
          <w:rFonts w:hAnsi="標楷體"/>
          <w:spacing w:val="4"/>
          <w:sz w:val="30"/>
          <w:szCs w:val="30"/>
        </w:rPr>
        <w:t>交易成本，不可避免的會直接或間接影響營業活</w:t>
      </w:r>
      <w:r w:rsidRPr="007B5D03">
        <w:rPr>
          <w:rFonts w:hAnsi="標楷體"/>
          <w:sz w:val="30"/>
          <w:szCs w:val="30"/>
        </w:rPr>
        <w:t>動，但稅捐不管如何不能成為市場競爭工具，形成或阻礙特定營業活動的手段，甚而代替市場，規制經濟活動，違背租稅競爭中立性原則。當稅捐制度持續過度干預市場，使市場無利可圖而難以維繫，或過重的稅負，讓參與市場者無力負擔時，市場將奄奄一息無法存續，則已構成對市場之絞殺行為，違反財產權及營業自由之保障。</w:t>
      </w:r>
    </w:p>
    <w:p w:rsidR="00514426" w:rsidRPr="007B5D03" w:rsidRDefault="00514426" w:rsidP="00260A04">
      <w:pPr>
        <w:snapToGrid w:val="0"/>
        <w:spacing w:line="437" w:lineRule="exact"/>
        <w:ind w:left="1900" w:hanging="312"/>
        <w:rPr>
          <w:sz w:val="30"/>
          <w:szCs w:val="30"/>
        </w:rPr>
      </w:pPr>
      <w:r w:rsidRPr="007B5D03">
        <w:rPr>
          <w:rFonts w:ascii="標楷體" w:hAnsi="標楷體"/>
          <w:sz w:val="30"/>
          <w:szCs w:val="30"/>
        </w:rPr>
        <w:t>3.又</w:t>
      </w:r>
      <w:r w:rsidRPr="007B5D03">
        <w:rPr>
          <w:rFonts w:hAnsi="標楷體"/>
          <w:sz w:val="30"/>
          <w:szCs w:val="30"/>
        </w:rPr>
        <w:t>按　鈞院釋字第</w:t>
      </w:r>
      <w:r w:rsidRPr="007B5D03">
        <w:rPr>
          <w:sz w:val="30"/>
          <w:szCs w:val="30"/>
        </w:rPr>
        <w:t>607</w:t>
      </w:r>
      <w:r w:rsidRPr="007B5D03">
        <w:rPr>
          <w:rFonts w:hAnsi="標楷體"/>
          <w:sz w:val="30"/>
          <w:szCs w:val="30"/>
        </w:rPr>
        <w:t>號解釋理由書之反面推論，如有違反租稅公平原則，則有牴觸憲法第</w:t>
      </w:r>
      <w:r w:rsidRPr="007B5D03">
        <w:rPr>
          <w:sz w:val="30"/>
          <w:szCs w:val="30"/>
        </w:rPr>
        <w:t>15</w:t>
      </w:r>
      <w:r w:rsidRPr="007B5D03">
        <w:rPr>
          <w:rFonts w:hAnsi="標楷體"/>
          <w:sz w:val="30"/>
          <w:szCs w:val="30"/>
        </w:rPr>
        <w:t>條之財產權保護規定，而財政部</w:t>
      </w:r>
      <w:r w:rsidRPr="007B5D03">
        <w:rPr>
          <w:sz w:val="30"/>
          <w:szCs w:val="30"/>
        </w:rPr>
        <w:t>86</w:t>
      </w:r>
      <w:r w:rsidRPr="007B5D03">
        <w:rPr>
          <w:rFonts w:hAnsi="標楷體"/>
          <w:sz w:val="30"/>
          <w:szCs w:val="30"/>
        </w:rPr>
        <w:t>年函釋牴觸租稅公平原則之情形已如前述，自有違反憲法第</w:t>
      </w:r>
      <w:r w:rsidRPr="007B5D03">
        <w:rPr>
          <w:sz w:val="30"/>
          <w:szCs w:val="30"/>
        </w:rPr>
        <w:t>15</w:t>
      </w:r>
      <w:r w:rsidRPr="007B5D03">
        <w:rPr>
          <w:rFonts w:hAnsi="標楷體"/>
          <w:sz w:val="30"/>
          <w:szCs w:val="30"/>
        </w:rPr>
        <w:t>條之情。</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二、聲請人對本案所持之立場與見解</w:t>
      </w:r>
    </w:p>
    <w:p w:rsidR="00514426" w:rsidRPr="007B5D03" w:rsidRDefault="00514426" w:rsidP="00260A04">
      <w:pPr>
        <w:snapToGrid w:val="0"/>
        <w:spacing w:line="437" w:lineRule="exact"/>
        <w:ind w:leftChars="315" w:left="882" w:firstLineChars="100" w:firstLine="300"/>
        <w:rPr>
          <w:sz w:val="30"/>
          <w:szCs w:val="30"/>
        </w:rPr>
      </w:pPr>
      <w:r w:rsidRPr="007B5D03">
        <w:rPr>
          <w:rFonts w:hAnsi="標楷體"/>
          <w:sz w:val="30"/>
          <w:szCs w:val="30"/>
        </w:rPr>
        <w:t>租稅法律主義與租稅公平原則為憲法原則在稅法上之二大支柱，本案依財政部</w:t>
      </w:r>
      <w:r w:rsidRPr="007B5D03">
        <w:rPr>
          <w:sz w:val="30"/>
          <w:szCs w:val="30"/>
        </w:rPr>
        <w:t>86</w:t>
      </w:r>
      <w:r w:rsidRPr="007B5D03">
        <w:rPr>
          <w:rFonts w:hAnsi="標楷體"/>
          <w:sz w:val="30"/>
          <w:szCs w:val="30"/>
        </w:rPr>
        <w:t>年函釋核課稅捐之結果，聲請人</w:t>
      </w:r>
      <w:r w:rsidRPr="007B5D03">
        <w:rPr>
          <w:rFonts w:hAnsi="標楷體"/>
          <w:sz w:val="30"/>
          <w:szCs w:val="30"/>
        </w:rPr>
        <w:lastRenderedPageBreak/>
        <w:t>受憲法第</w:t>
      </w:r>
      <w:r w:rsidRPr="007B5D03">
        <w:rPr>
          <w:sz w:val="30"/>
          <w:szCs w:val="30"/>
        </w:rPr>
        <w:t>7</w:t>
      </w:r>
      <w:r w:rsidRPr="007B5D03">
        <w:rPr>
          <w:rFonts w:hAnsi="標楷體"/>
          <w:sz w:val="30"/>
          <w:szCs w:val="30"/>
        </w:rPr>
        <w:t>條、第</w:t>
      </w:r>
      <w:r w:rsidRPr="007B5D03">
        <w:rPr>
          <w:sz w:val="30"/>
          <w:szCs w:val="30"/>
        </w:rPr>
        <w:t>15</w:t>
      </w:r>
      <w:r w:rsidRPr="007B5D03">
        <w:rPr>
          <w:rFonts w:hAnsi="標楷體"/>
          <w:sz w:val="30"/>
          <w:szCs w:val="30"/>
        </w:rPr>
        <w:t>條、第</w:t>
      </w:r>
      <w:r w:rsidRPr="007B5D03">
        <w:rPr>
          <w:sz w:val="30"/>
          <w:szCs w:val="30"/>
        </w:rPr>
        <w:t>19</w:t>
      </w:r>
      <w:r w:rsidRPr="007B5D03">
        <w:rPr>
          <w:rFonts w:hAnsi="標楷體"/>
          <w:sz w:val="30"/>
          <w:szCs w:val="30"/>
        </w:rPr>
        <w:t>條及第</w:t>
      </w:r>
      <w:r w:rsidRPr="007B5D03">
        <w:rPr>
          <w:sz w:val="30"/>
          <w:szCs w:val="30"/>
        </w:rPr>
        <w:t>23</w:t>
      </w:r>
      <w:r w:rsidRPr="007B5D03">
        <w:rPr>
          <w:rFonts w:hAnsi="標楷體"/>
          <w:sz w:val="30"/>
          <w:szCs w:val="30"/>
        </w:rPr>
        <w:t>條保障之基本權顯然已受到侵害。</w:t>
      </w:r>
    </w:p>
    <w:p w:rsidR="00514426" w:rsidRPr="007B5D03" w:rsidRDefault="00514426" w:rsidP="00260A04">
      <w:pPr>
        <w:snapToGrid w:val="0"/>
        <w:spacing w:line="437" w:lineRule="exact"/>
        <w:ind w:leftChars="315" w:left="882" w:firstLineChars="100" w:firstLine="300"/>
        <w:rPr>
          <w:sz w:val="30"/>
          <w:szCs w:val="30"/>
        </w:rPr>
      </w:pPr>
      <w:r w:rsidRPr="007B5D03">
        <w:rPr>
          <w:rFonts w:hAnsi="標楷體"/>
          <w:sz w:val="30"/>
          <w:szCs w:val="30"/>
        </w:rPr>
        <w:t>依形式上及實質上合憲性檢驗之觀點，應綜觀法律整體外部體系，及稅法內部體系，透過一般法律解釋對於所得稅法第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作成與同法第</w:t>
      </w:r>
      <w:r w:rsidRPr="007B5D03">
        <w:rPr>
          <w:sz w:val="30"/>
          <w:szCs w:val="30"/>
        </w:rPr>
        <w:t>24</w:t>
      </w:r>
      <w:r w:rsidRPr="007B5D03">
        <w:rPr>
          <w:rFonts w:hAnsi="標楷體"/>
          <w:sz w:val="30"/>
          <w:szCs w:val="30"/>
        </w:rPr>
        <w:t>條無矛盾之解釋，即同意應（免）稅收入項下可歸屬之成本費用縱使包括形式上為證券（非證券）形式，亦應予以認定為應稅或免稅項下成本費用，始不破壞法律體系。退步言之，本案因發行權證所從事避險之標的股票交易，縱其外觀具證券交易形式，亦應得依前揭之法學方法，透過目的性限縮，使其排除適</w:t>
      </w:r>
      <w:r w:rsidRPr="007B5D03">
        <w:rPr>
          <w:rFonts w:hAnsi="標楷體"/>
          <w:spacing w:val="4"/>
          <w:sz w:val="30"/>
          <w:szCs w:val="30"/>
        </w:rPr>
        <w:t>用所得稅法第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。循此，不但符合「量能課稅與實</w:t>
      </w:r>
      <w:r w:rsidRPr="007B5D03">
        <w:rPr>
          <w:rFonts w:hAnsi="標楷體"/>
          <w:sz w:val="30"/>
          <w:szCs w:val="30"/>
        </w:rPr>
        <w:t>質課稅原則」之精神，亦與</w:t>
      </w:r>
      <w:r w:rsidRPr="007B5D03">
        <w:rPr>
          <w:sz w:val="30"/>
          <w:szCs w:val="30"/>
        </w:rPr>
        <w:t xml:space="preserve">　</w:t>
      </w:r>
      <w:r w:rsidRPr="007B5D03">
        <w:rPr>
          <w:rFonts w:hAnsi="標楷體"/>
          <w:sz w:val="30"/>
          <w:szCs w:val="30"/>
        </w:rPr>
        <w:t>鈞院第</w:t>
      </w:r>
      <w:r w:rsidRPr="007B5D03">
        <w:rPr>
          <w:sz w:val="30"/>
          <w:szCs w:val="30"/>
        </w:rPr>
        <w:t>420</w:t>
      </w:r>
      <w:r w:rsidRPr="007B5D03">
        <w:rPr>
          <w:rFonts w:hAnsi="標楷體"/>
          <w:sz w:val="30"/>
          <w:szCs w:val="30"/>
        </w:rPr>
        <w:t>號、第</w:t>
      </w:r>
      <w:r w:rsidRPr="007B5D03">
        <w:rPr>
          <w:sz w:val="30"/>
          <w:szCs w:val="30"/>
        </w:rPr>
        <w:t>493</w:t>
      </w:r>
      <w:r w:rsidRPr="007B5D03">
        <w:rPr>
          <w:rFonts w:hAnsi="標楷體"/>
          <w:sz w:val="30"/>
          <w:szCs w:val="30"/>
        </w:rPr>
        <w:t>號、第</w:t>
      </w:r>
      <w:r w:rsidRPr="007B5D03">
        <w:rPr>
          <w:sz w:val="30"/>
          <w:szCs w:val="30"/>
        </w:rPr>
        <w:t>597</w:t>
      </w:r>
      <w:r w:rsidRPr="007B5D03">
        <w:rPr>
          <w:rFonts w:hAnsi="標楷體"/>
          <w:sz w:val="30"/>
          <w:szCs w:val="30"/>
        </w:rPr>
        <w:t>號、第</w:t>
      </w:r>
      <w:r w:rsidRPr="007B5D03">
        <w:rPr>
          <w:sz w:val="30"/>
          <w:szCs w:val="30"/>
        </w:rPr>
        <w:t>607</w:t>
      </w:r>
      <w:r w:rsidRPr="007B5D03">
        <w:rPr>
          <w:rFonts w:hint="eastAsia"/>
          <w:sz w:val="30"/>
          <w:szCs w:val="30"/>
        </w:rPr>
        <w:t>號</w:t>
      </w:r>
      <w:r w:rsidRPr="007B5D03">
        <w:rPr>
          <w:rFonts w:hAnsi="標楷體"/>
          <w:sz w:val="30"/>
          <w:szCs w:val="30"/>
        </w:rPr>
        <w:t>、第</w:t>
      </w:r>
      <w:r w:rsidRPr="007B5D03">
        <w:rPr>
          <w:sz w:val="30"/>
          <w:szCs w:val="30"/>
        </w:rPr>
        <w:t>622</w:t>
      </w:r>
      <w:r w:rsidRPr="007B5D03">
        <w:rPr>
          <w:rFonts w:hAnsi="標楷體"/>
          <w:sz w:val="30"/>
          <w:szCs w:val="30"/>
        </w:rPr>
        <w:t>號、第</w:t>
      </w:r>
      <w:r w:rsidRPr="007B5D03">
        <w:rPr>
          <w:sz w:val="30"/>
          <w:szCs w:val="30"/>
        </w:rPr>
        <w:t>625</w:t>
      </w:r>
      <w:r w:rsidRPr="007B5D03">
        <w:rPr>
          <w:rFonts w:hAnsi="標楷體"/>
          <w:sz w:val="30"/>
          <w:szCs w:val="30"/>
        </w:rPr>
        <w:t>號與第</w:t>
      </w:r>
      <w:r w:rsidRPr="007B5D03">
        <w:rPr>
          <w:sz w:val="30"/>
          <w:szCs w:val="30"/>
        </w:rPr>
        <w:t>635</w:t>
      </w:r>
      <w:r w:rsidRPr="007B5D03">
        <w:rPr>
          <w:rFonts w:hAnsi="標楷體"/>
          <w:sz w:val="30"/>
          <w:szCs w:val="30"/>
        </w:rPr>
        <w:t>號等解釋先例一致。</w:t>
      </w:r>
    </w:p>
    <w:p w:rsidR="00514426" w:rsidRPr="007B5D03" w:rsidRDefault="00514426" w:rsidP="00260A04">
      <w:pPr>
        <w:snapToGrid w:val="0"/>
        <w:spacing w:line="437" w:lineRule="exact"/>
        <w:ind w:leftChars="315" w:left="882" w:firstLineChars="100" w:firstLine="300"/>
        <w:rPr>
          <w:sz w:val="30"/>
          <w:szCs w:val="30"/>
        </w:rPr>
      </w:pPr>
      <w:r w:rsidRPr="007B5D03">
        <w:rPr>
          <w:rFonts w:hAnsi="標楷體"/>
          <w:sz w:val="30"/>
          <w:szCs w:val="30"/>
        </w:rPr>
        <w:t>從法律體系整體諧和一致性觀察，在出現法規競合之場</w:t>
      </w:r>
      <w:r w:rsidRPr="007B5D03">
        <w:rPr>
          <w:rFonts w:hAnsi="標楷體"/>
          <w:spacing w:val="-4"/>
          <w:sz w:val="30"/>
          <w:szCs w:val="30"/>
        </w:rPr>
        <w:t>合，若須有所抉擇時，亦應取向於法律之公平正義。準此，</w:t>
      </w:r>
      <w:r w:rsidRPr="007B5D03">
        <w:rPr>
          <w:rFonts w:hAnsi="標楷體"/>
          <w:sz w:val="30"/>
          <w:szCs w:val="30"/>
        </w:rPr>
        <w:t>本案權證課稅爭議，出現所得稅法</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項與同法第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競合衝突，依前揭論述可知，擇前者較選後者之結果更能符合公平正義法則，則本案答案顯然應優先選擇適用所得稅法第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項，而非財政部</w:t>
      </w:r>
      <w:r w:rsidRPr="007B5D03">
        <w:rPr>
          <w:sz w:val="30"/>
          <w:szCs w:val="30"/>
        </w:rPr>
        <w:t>86</w:t>
      </w:r>
      <w:r w:rsidRPr="007B5D03">
        <w:rPr>
          <w:rFonts w:hAnsi="標楷體"/>
          <w:sz w:val="30"/>
          <w:szCs w:val="30"/>
        </w:rPr>
        <w:t>年函釋認定之所得稅法第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。本論據亦獲得</w:t>
      </w:r>
      <w:r w:rsidRPr="007B5D03">
        <w:rPr>
          <w:sz w:val="30"/>
          <w:szCs w:val="30"/>
        </w:rPr>
        <w:t>96</w:t>
      </w:r>
      <w:r w:rsidRPr="007B5D03">
        <w:rPr>
          <w:rFonts w:hAnsi="標楷體"/>
          <w:sz w:val="30"/>
          <w:szCs w:val="30"/>
        </w:rPr>
        <w:t>年增訂之所得稅法第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之立法確認。</w:t>
      </w:r>
    </w:p>
    <w:p w:rsidR="00514426" w:rsidRPr="007B5D03" w:rsidRDefault="00514426" w:rsidP="00260A04">
      <w:pPr>
        <w:snapToGrid w:val="0"/>
        <w:spacing w:line="437" w:lineRule="exact"/>
        <w:ind w:leftChars="315" w:left="882" w:firstLineChars="100" w:firstLine="300"/>
        <w:rPr>
          <w:sz w:val="30"/>
          <w:szCs w:val="30"/>
        </w:rPr>
      </w:pPr>
      <w:r w:rsidRPr="007B5D03">
        <w:rPr>
          <w:rFonts w:hAnsi="標楷體"/>
          <w:sz w:val="30"/>
          <w:szCs w:val="30"/>
        </w:rPr>
        <w:t>綜上，本案確定判決所適用之財政部</w:t>
      </w:r>
      <w:r w:rsidRPr="007B5D03">
        <w:rPr>
          <w:sz w:val="30"/>
          <w:szCs w:val="30"/>
        </w:rPr>
        <w:t>86</w:t>
      </w:r>
      <w:r w:rsidRPr="007B5D03">
        <w:rPr>
          <w:rFonts w:hAnsi="標楷體"/>
          <w:sz w:val="30"/>
          <w:szCs w:val="30"/>
        </w:rPr>
        <w:t>年函釋，已違反憲法第</w:t>
      </w:r>
      <w:r w:rsidRPr="007B5D03">
        <w:rPr>
          <w:sz w:val="30"/>
          <w:szCs w:val="30"/>
        </w:rPr>
        <w:t>7</w:t>
      </w:r>
      <w:r w:rsidRPr="007B5D03">
        <w:rPr>
          <w:rFonts w:hAnsi="標楷體"/>
          <w:sz w:val="30"/>
          <w:szCs w:val="30"/>
        </w:rPr>
        <w:t>條平等原則、體系正義、第</w:t>
      </w:r>
      <w:r w:rsidRPr="007B5D03">
        <w:rPr>
          <w:sz w:val="30"/>
          <w:szCs w:val="30"/>
        </w:rPr>
        <w:t>19</w:t>
      </w:r>
      <w:r w:rsidRPr="007B5D03">
        <w:rPr>
          <w:rFonts w:hAnsi="標楷體"/>
          <w:sz w:val="30"/>
          <w:szCs w:val="30"/>
        </w:rPr>
        <w:t>條租稅法律主義及量能課稅、實質課稅之租稅公平原則、第</w:t>
      </w:r>
      <w:r w:rsidRPr="007B5D03">
        <w:rPr>
          <w:sz w:val="30"/>
          <w:szCs w:val="30"/>
        </w:rPr>
        <w:t>23</w:t>
      </w:r>
      <w:r w:rsidRPr="007B5D03">
        <w:rPr>
          <w:rFonts w:hAnsi="標楷體"/>
          <w:sz w:val="30"/>
          <w:szCs w:val="30"/>
        </w:rPr>
        <w:t>條比例原則及第</w:t>
      </w:r>
      <w:r w:rsidRPr="007B5D03">
        <w:rPr>
          <w:sz w:val="30"/>
          <w:szCs w:val="30"/>
        </w:rPr>
        <w:t>172</w:t>
      </w:r>
      <w:r w:rsidRPr="007B5D03">
        <w:rPr>
          <w:rFonts w:hAnsi="標楷體"/>
          <w:sz w:val="30"/>
          <w:szCs w:val="30"/>
        </w:rPr>
        <w:t>條命令不得違法違憲等規定，就此尚請</w:t>
      </w:r>
      <w:r w:rsidRPr="007B5D03">
        <w:rPr>
          <w:sz w:val="30"/>
          <w:szCs w:val="30"/>
        </w:rPr>
        <w:t xml:space="preserve">　</w:t>
      </w:r>
      <w:r w:rsidRPr="007B5D03">
        <w:rPr>
          <w:rFonts w:hAnsi="標楷體"/>
          <w:sz w:val="30"/>
          <w:szCs w:val="30"/>
        </w:rPr>
        <w:t>鈞院大法官迅賜解釋宣告上開財政部函釋，違反所得稅法及憲法相</w:t>
      </w:r>
      <w:r w:rsidRPr="007B5D03">
        <w:rPr>
          <w:rFonts w:hAnsi="標楷體"/>
          <w:sz w:val="30"/>
          <w:szCs w:val="30"/>
        </w:rPr>
        <w:lastRenderedPageBreak/>
        <w:t>關規定無效，以維聲請人權益。</w:t>
      </w:r>
    </w:p>
    <w:p w:rsidR="00514426" w:rsidRPr="007B5D03" w:rsidRDefault="00514426" w:rsidP="00FB2D5A">
      <w:pPr>
        <w:spacing w:line="437" w:lineRule="exact"/>
        <w:ind w:left="641" w:hanging="641"/>
        <w:rPr>
          <w:spacing w:val="-2"/>
          <w:sz w:val="30"/>
          <w:szCs w:val="30"/>
        </w:rPr>
      </w:pPr>
      <w:r w:rsidRPr="007B5D03">
        <w:rPr>
          <w:rFonts w:hAnsi="標楷體"/>
          <w:spacing w:val="-2"/>
          <w:sz w:val="30"/>
          <w:szCs w:val="30"/>
        </w:rPr>
        <w:t>肆、關係文件之名稱及件數</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1</w:t>
      </w:r>
      <w:r w:rsidRPr="007B5D03">
        <w:rPr>
          <w:rFonts w:hAnsi="標楷體"/>
          <w:sz w:val="30"/>
          <w:szCs w:val="30"/>
        </w:rPr>
        <w:t xml:space="preserve">　最高行政法院</w:t>
      </w:r>
      <w:r w:rsidRPr="007B5D03">
        <w:rPr>
          <w:sz w:val="30"/>
          <w:szCs w:val="30"/>
        </w:rPr>
        <w:t>97</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183</w:t>
      </w:r>
      <w:r w:rsidRPr="007B5D03">
        <w:rPr>
          <w:rFonts w:hAnsi="標楷體"/>
          <w:sz w:val="30"/>
          <w:szCs w:val="30"/>
        </w:rPr>
        <w:t>號確定判決</w:t>
      </w:r>
      <w:r w:rsidRPr="007B5D03">
        <w:rPr>
          <w:rFonts w:hAnsi="標楷體" w:hint="eastAsia"/>
          <w:sz w:val="30"/>
          <w:szCs w:val="30"/>
        </w:rPr>
        <w:t>。</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2</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11"/>
          <w:attr w:name="Month" w:val="12"/>
          <w:attr w:name="Year" w:val="1986"/>
        </w:smartTagP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w:t>
        </w:r>
        <w:r w:rsidRPr="007B5D03">
          <w:rPr>
            <w:rFonts w:hAnsi="標楷體" w:hint="eastAsia"/>
            <w:sz w:val="30"/>
            <w:szCs w:val="30"/>
          </w:rPr>
          <w:t>1</w:t>
        </w:r>
        <w:r w:rsidRPr="007B5D03">
          <w:rPr>
            <w:sz w:val="30"/>
            <w:szCs w:val="30"/>
          </w:rPr>
          <w:t>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3</w:t>
      </w:r>
      <w:r w:rsidRPr="007B5D03">
        <w:rPr>
          <w:rFonts w:hAnsi="標楷體"/>
          <w:sz w:val="30"/>
          <w:szCs w:val="30"/>
        </w:rPr>
        <w:t xml:space="preserve">　葛克昌，所得稅與憲法，第</w:t>
      </w:r>
      <w:r w:rsidRPr="007B5D03">
        <w:rPr>
          <w:sz w:val="30"/>
          <w:szCs w:val="30"/>
        </w:rPr>
        <w:t>3</w:t>
      </w:r>
      <w:r w:rsidRPr="007B5D03">
        <w:rPr>
          <w:rFonts w:hAnsi="標楷體"/>
          <w:sz w:val="30"/>
          <w:szCs w:val="30"/>
        </w:rPr>
        <w:t>、</w:t>
      </w:r>
      <w:r w:rsidRPr="007B5D03">
        <w:rPr>
          <w:sz w:val="30"/>
          <w:szCs w:val="30"/>
        </w:rPr>
        <w:t>4</w:t>
      </w:r>
      <w:r w:rsidRPr="007B5D03">
        <w:rPr>
          <w:rFonts w:hAnsi="標楷體"/>
          <w:sz w:val="30"/>
          <w:szCs w:val="30"/>
        </w:rPr>
        <w:t>頁、第</w:t>
      </w:r>
      <w:r w:rsidRPr="007B5D03">
        <w:rPr>
          <w:sz w:val="30"/>
          <w:szCs w:val="30"/>
        </w:rPr>
        <w:t>11-12</w:t>
      </w:r>
      <w:r w:rsidRPr="007B5D03">
        <w:rPr>
          <w:rFonts w:hAnsi="標楷體"/>
          <w:sz w:val="30"/>
          <w:szCs w:val="30"/>
        </w:rPr>
        <w:t>頁、第</w:t>
      </w:r>
      <w:r w:rsidRPr="007B5D03">
        <w:rPr>
          <w:sz w:val="30"/>
          <w:szCs w:val="30"/>
        </w:rPr>
        <w:t>122</w:t>
      </w:r>
      <w:r w:rsidRPr="007B5D03">
        <w:rPr>
          <w:rFonts w:hAnsi="標楷體"/>
          <w:sz w:val="30"/>
          <w:szCs w:val="30"/>
        </w:rPr>
        <w:t>至</w:t>
      </w:r>
      <w:r w:rsidRPr="007B5D03">
        <w:rPr>
          <w:sz w:val="30"/>
          <w:szCs w:val="30"/>
        </w:rPr>
        <w:t>132</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4</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smartTag w:uri="urn:schemas-microsoft-com:office:smarttags" w:element="chsdate">
          <w:smartTagPr>
            <w:attr w:name="IsROCDate" w:val="False"/>
            <w:attr w:name="IsLunarDate" w:val="False"/>
            <w:attr w:name="Day" w:val="31"/>
            <w:attr w:name="Month" w:val="7"/>
            <w:attr w:name="Year" w:val="2007"/>
          </w:smartTagP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smartTag>
      <w:r w:rsidRPr="007B5D03">
        <w:rPr>
          <w:rFonts w:hAnsi="標楷體"/>
          <w:sz w:val="30"/>
          <w:szCs w:val="30"/>
        </w:rPr>
        <w:t>發布台財稅第</w:t>
      </w:r>
      <w:r w:rsidRPr="007B5D03">
        <w:rPr>
          <w:sz w:val="30"/>
          <w:szCs w:val="30"/>
        </w:rPr>
        <w:t>861909311</w:t>
      </w:r>
      <w:r w:rsidRPr="007B5D03">
        <w:rPr>
          <w:rFonts w:hAnsi="標楷體"/>
          <w:sz w:val="30"/>
          <w:szCs w:val="30"/>
        </w:rPr>
        <w:t>號函</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5</w:t>
      </w:r>
      <w:r w:rsidRPr="007B5D03">
        <w:rPr>
          <w:rFonts w:hAnsi="標楷體"/>
          <w:sz w:val="30"/>
          <w:szCs w:val="30"/>
        </w:rPr>
        <w:t xml:space="preserve">　發行人申請發行認購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權證處理要點</w:t>
      </w:r>
      <w:r w:rsidRPr="007B5D03">
        <w:rPr>
          <w:rFonts w:hAnsi="標楷體" w:hint="eastAsia"/>
          <w:sz w:val="30"/>
          <w:szCs w:val="30"/>
        </w:rPr>
        <w:t>。</w:t>
      </w:r>
    </w:p>
    <w:p w:rsidR="00514426" w:rsidRPr="007B5D03" w:rsidRDefault="00514426" w:rsidP="002262DD">
      <w:pPr>
        <w:snapToGrid w:val="0"/>
        <w:spacing w:line="437" w:lineRule="exact"/>
        <w:ind w:leftChars="100" w:left="1471" w:hanging="1191"/>
        <w:rPr>
          <w:sz w:val="30"/>
          <w:szCs w:val="30"/>
        </w:rPr>
      </w:pPr>
      <w:r w:rsidRPr="007B5D03">
        <w:rPr>
          <w:rFonts w:hAnsi="標楷體"/>
          <w:spacing w:val="4"/>
          <w:sz w:val="30"/>
          <w:szCs w:val="30"/>
        </w:rPr>
        <w:t>附件</w:t>
      </w:r>
      <w:r w:rsidRPr="007B5D03">
        <w:rPr>
          <w:spacing w:val="4"/>
          <w:sz w:val="30"/>
          <w:szCs w:val="30"/>
        </w:rPr>
        <w:t>6</w:t>
      </w:r>
      <w:r w:rsidRPr="007B5D03">
        <w:rPr>
          <w:rFonts w:hAnsi="標楷體"/>
          <w:spacing w:val="4"/>
          <w:sz w:val="30"/>
          <w:szCs w:val="30"/>
        </w:rPr>
        <w:t xml:space="preserve">　臺灣證券交易所股份有限公司認購</w:t>
      </w:r>
      <w:r w:rsidRPr="007B5D03">
        <w:rPr>
          <w:rFonts w:hint="eastAsia"/>
          <w:spacing w:val="4"/>
          <w:sz w:val="30"/>
          <w:szCs w:val="30"/>
        </w:rPr>
        <w:t>（</w:t>
      </w:r>
      <w:r w:rsidRPr="007B5D03">
        <w:rPr>
          <w:rFonts w:hAnsi="標楷體"/>
          <w:spacing w:val="4"/>
          <w:sz w:val="30"/>
          <w:szCs w:val="30"/>
        </w:rPr>
        <w:t>售</w:t>
      </w:r>
      <w:r w:rsidRPr="007B5D03">
        <w:rPr>
          <w:rFonts w:hint="eastAsia"/>
          <w:spacing w:val="4"/>
          <w:sz w:val="30"/>
          <w:szCs w:val="30"/>
        </w:rPr>
        <w:t>）</w:t>
      </w:r>
      <w:r w:rsidRPr="007B5D03">
        <w:rPr>
          <w:rFonts w:hAnsi="標楷體"/>
          <w:spacing w:val="4"/>
          <w:sz w:val="30"/>
          <w:szCs w:val="30"/>
        </w:rPr>
        <w:t>權證上市審</w:t>
      </w:r>
      <w:r w:rsidRPr="007B5D03">
        <w:rPr>
          <w:rFonts w:hAnsi="標楷體"/>
          <w:sz w:val="30"/>
          <w:szCs w:val="30"/>
        </w:rPr>
        <w:t>查準則有關規定</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7</w:t>
      </w:r>
      <w:r w:rsidRPr="007B5D03">
        <w:rPr>
          <w:rFonts w:hAnsi="標楷體"/>
          <w:sz w:val="30"/>
          <w:szCs w:val="30"/>
        </w:rPr>
        <w:t xml:space="preserve">　截至聲請日行政法院權證交易相關判決一覽</w:t>
      </w:r>
      <w:r w:rsidRPr="007B5D03">
        <w:rPr>
          <w:rFonts w:hAnsi="標楷體" w:hint="eastAsia"/>
          <w:sz w:val="30"/>
          <w:szCs w:val="30"/>
        </w:rPr>
        <w:t>。</w:t>
      </w:r>
    </w:p>
    <w:p w:rsidR="00514426" w:rsidRPr="007B5D03" w:rsidRDefault="00514426" w:rsidP="002262DD">
      <w:pPr>
        <w:snapToGrid w:val="0"/>
        <w:spacing w:line="437" w:lineRule="exact"/>
        <w:ind w:leftChars="100" w:left="1442" w:hanging="1162"/>
        <w:rPr>
          <w:sz w:val="30"/>
          <w:szCs w:val="30"/>
        </w:rPr>
      </w:pPr>
      <w:r w:rsidRPr="007B5D03">
        <w:rPr>
          <w:rFonts w:hAnsi="標楷體"/>
          <w:sz w:val="30"/>
          <w:szCs w:val="30"/>
        </w:rPr>
        <w:t>附</w:t>
      </w:r>
      <w:r w:rsidRPr="007B5D03">
        <w:rPr>
          <w:rFonts w:hAnsi="標楷體"/>
          <w:spacing w:val="-22"/>
          <w:sz w:val="30"/>
          <w:szCs w:val="30"/>
        </w:rPr>
        <w:t>件</w:t>
      </w:r>
      <w:r w:rsidRPr="007B5D03">
        <w:rPr>
          <w:spacing w:val="-22"/>
          <w:sz w:val="30"/>
          <w:szCs w:val="30"/>
        </w:rPr>
        <w:t>8</w:t>
      </w:r>
      <w:r w:rsidRPr="007B5D03">
        <w:rPr>
          <w:rFonts w:hAnsi="標楷體"/>
          <w:sz w:val="30"/>
          <w:szCs w:val="30"/>
        </w:rPr>
        <w:t xml:space="preserve">　</w:t>
      </w:r>
      <w:r w:rsidRPr="007B5D03">
        <w:rPr>
          <w:rFonts w:hAnsi="標楷體"/>
          <w:spacing w:val="4"/>
          <w:sz w:val="30"/>
          <w:szCs w:val="30"/>
        </w:rPr>
        <w:t>李建良，基本權利理論之構成</w:t>
      </w:r>
      <w:r w:rsidRPr="007B5D03">
        <w:rPr>
          <w:rFonts w:hAnsi="標楷體"/>
          <w:spacing w:val="4"/>
          <w:sz w:val="30"/>
          <w:szCs w:val="30"/>
          <w:lang w:val="de-DE"/>
        </w:rPr>
        <w:t>及</w:t>
      </w:r>
      <w:r w:rsidRPr="007B5D03">
        <w:rPr>
          <w:rFonts w:hAnsi="標楷體"/>
          <w:spacing w:val="4"/>
          <w:sz w:val="30"/>
          <w:szCs w:val="30"/>
        </w:rPr>
        <w:t>其思考層次，人文及</w:t>
      </w:r>
      <w:r w:rsidRPr="007B5D03">
        <w:rPr>
          <w:rFonts w:hAnsi="標楷體"/>
          <w:sz w:val="30"/>
          <w:szCs w:val="30"/>
        </w:rPr>
        <w:t>社會科學集刊，第九卷第一期，第</w:t>
      </w:r>
      <w:r w:rsidRPr="007B5D03">
        <w:rPr>
          <w:sz w:val="30"/>
          <w:szCs w:val="30"/>
        </w:rPr>
        <w:t>39</w:t>
      </w:r>
      <w:r w:rsidRPr="007B5D03">
        <w:rPr>
          <w:rFonts w:hAnsi="標楷體"/>
          <w:sz w:val="30"/>
          <w:szCs w:val="30"/>
        </w:rPr>
        <w:t>頁以下</w:t>
      </w:r>
      <w:r w:rsidRPr="007B5D03">
        <w:rPr>
          <w:rFonts w:hAnsi="標楷體" w:hint="eastAsia"/>
          <w:sz w:val="30"/>
          <w:szCs w:val="30"/>
        </w:rPr>
        <w:t>。</w:t>
      </w:r>
    </w:p>
    <w:p w:rsidR="00514426" w:rsidRPr="007B5D03" w:rsidRDefault="00514426" w:rsidP="002262DD">
      <w:pPr>
        <w:snapToGrid w:val="0"/>
        <w:spacing w:line="437" w:lineRule="exact"/>
        <w:ind w:leftChars="100" w:left="1442" w:hanging="1162"/>
        <w:rPr>
          <w:sz w:val="30"/>
          <w:szCs w:val="30"/>
        </w:rPr>
      </w:pPr>
      <w:r w:rsidRPr="007B5D03">
        <w:rPr>
          <w:rFonts w:hAnsi="標楷體"/>
          <w:sz w:val="30"/>
          <w:szCs w:val="30"/>
        </w:rPr>
        <w:t>附件</w:t>
      </w:r>
      <w:r w:rsidRPr="007B5D03">
        <w:rPr>
          <w:sz w:val="30"/>
          <w:szCs w:val="30"/>
        </w:rPr>
        <w:t>9</w:t>
      </w:r>
      <w:r w:rsidRPr="007B5D03">
        <w:rPr>
          <w:rFonts w:hAnsi="標楷體"/>
          <w:sz w:val="30"/>
          <w:szCs w:val="30"/>
        </w:rPr>
        <w:t xml:space="preserve">　黃茂榮，法學方法與現代民法，第</w:t>
      </w:r>
      <w:r w:rsidRPr="007B5D03">
        <w:rPr>
          <w:sz w:val="30"/>
          <w:szCs w:val="30"/>
        </w:rPr>
        <w:t>75</w:t>
      </w:r>
      <w:r w:rsidRPr="007B5D03">
        <w:rPr>
          <w:rFonts w:hAnsi="標楷體"/>
          <w:sz w:val="30"/>
          <w:szCs w:val="30"/>
        </w:rPr>
        <w:t>至</w:t>
      </w:r>
      <w:r w:rsidRPr="007B5D03">
        <w:rPr>
          <w:sz w:val="30"/>
          <w:szCs w:val="30"/>
        </w:rPr>
        <w:t>77</w:t>
      </w:r>
      <w:r w:rsidRPr="007B5D03">
        <w:rPr>
          <w:rFonts w:hAnsi="標楷體"/>
          <w:sz w:val="30"/>
          <w:szCs w:val="30"/>
        </w:rPr>
        <w:t>頁、第</w:t>
      </w:r>
      <w:r w:rsidRPr="007B5D03">
        <w:rPr>
          <w:sz w:val="30"/>
          <w:szCs w:val="30"/>
        </w:rPr>
        <w:t>185</w:t>
      </w:r>
      <w:r w:rsidRPr="007B5D03">
        <w:rPr>
          <w:rFonts w:hAnsi="標楷體"/>
          <w:sz w:val="30"/>
          <w:szCs w:val="30"/>
        </w:rPr>
        <w:t>至</w:t>
      </w:r>
      <w:r w:rsidRPr="007B5D03">
        <w:rPr>
          <w:sz w:val="30"/>
          <w:szCs w:val="30"/>
        </w:rPr>
        <w:t>188</w:t>
      </w:r>
      <w:r w:rsidRPr="007B5D03">
        <w:rPr>
          <w:rFonts w:hAnsi="標楷體"/>
          <w:sz w:val="30"/>
          <w:szCs w:val="30"/>
        </w:rPr>
        <w:t>頁、第</w:t>
      </w:r>
      <w:r w:rsidRPr="007B5D03">
        <w:rPr>
          <w:sz w:val="30"/>
          <w:szCs w:val="30"/>
        </w:rPr>
        <w:t>219</w:t>
      </w:r>
      <w:r w:rsidRPr="007B5D03">
        <w:rPr>
          <w:rFonts w:hAnsi="標楷體"/>
          <w:sz w:val="30"/>
          <w:szCs w:val="30"/>
        </w:rPr>
        <w:t>至</w:t>
      </w:r>
      <w:r w:rsidRPr="007B5D03">
        <w:rPr>
          <w:sz w:val="30"/>
          <w:szCs w:val="30"/>
        </w:rPr>
        <w:t>222</w:t>
      </w:r>
      <w:r w:rsidRPr="007B5D03">
        <w:rPr>
          <w:rFonts w:hAnsi="標楷體"/>
          <w:sz w:val="30"/>
          <w:szCs w:val="30"/>
        </w:rPr>
        <w:t>頁、第</w:t>
      </w:r>
      <w:r w:rsidRPr="007B5D03">
        <w:rPr>
          <w:sz w:val="30"/>
          <w:szCs w:val="30"/>
        </w:rPr>
        <w:t>385</w:t>
      </w:r>
      <w:r w:rsidRPr="007B5D03">
        <w:rPr>
          <w:rFonts w:hAnsi="標楷體"/>
          <w:sz w:val="30"/>
          <w:szCs w:val="30"/>
        </w:rPr>
        <w:t>至</w:t>
      </w:r>
      <w:r w:rsidRPr="007B5D03">
        <w:rPr>
          <w:sz w:val="30"/>
          <w:szCs w:val="30"/>
        </w:rPr>
        <w:t>387</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10</w:t>
      </w:r>
      <w:r w:rsidRPr="007B5D03">
        <w:rPr>
          <w:rFonts w:hAnsi="標楷體"/>
          <w:sz w:val="30"/>
          <w:szCs w:val="30"/>
        </w:rPr>
        <w:t xml:space="preserve">　黃茂榮，稅法總論第一冊，第</w:t>
      </w:r>
      <w:r w:rsidRPr="007B5D03">
        <w:rPr>
          <w:sz w:val="30"/>
          <w:szCs w:val="30"/>
        </w:rPr>
        <w:t>405</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11</w:t>
      </w:r>
      <w:r w:rsidRPr="007B5D03">
        <w:rPr>
          <w:rFonts w:hAnsi="標楷體"/>
          <w:sz w:val="30"/>
          <w:szCs w:val="30"/>
        </w:rPr>
        <w:t xml:space="preserve">　陳清秀，稅法總論，第</w:t>
      </w:r>
      <w:r w:rsidRPr="007B5D03">
        <w:rPr>
          <w:sz w:val="30"/>
          <w:szCs w:val="30"/>
        </w:rPr>
        <w:t>32</w:t>
      </w:r>
      <w:r w:rsidRPr="007B5D03">
        <w:rPr>
          <w:rFonts w:hAnsi="標楷體"/>
          <w:sz w:val="30"/>
          <w:szCs w:val="30"/>
        </w:rPr>
        <w:t>頁、第</w:t>
      </w:r>
      <w:r w:rsidRPr="007B5D03">
        <w:rPr>
          <w:sz w:val="30"/>
          <w:szCs w:val="30"/>
        </w:rPr>
        <w:t>196</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12</w:t>
      </w:r>
      <w:r w:rsidRPr="007B5D03">
        <w:rPr>
          <w:rFonts w:hAnsi="標楷體"/>
          <w:sz w:val="30"/>
          <w:szCs w:val="30"/>
        </w:rPr>
        <w:t xml:space="preserve">　林明昕，論行政罰中單一行為之概念，第</w:t>
      </w:r>
      <w:r w:rsidRPr="007B5D03">
        <w:rPr>
          <w:sz w:val="30"/>
          <w:szCs w:val="30"/>
        </w:rPr>
        <w:t>21</w:t>
      </w:r>
      <w:r w:rsidRPr="007B5D03">
        <w:rPr>
          <w:rFonts w:hAnsi="標楷體"/>
          <w:sz w:val="30"/>
          <w:szCs w:val="30"/>
        </w:rPr>
        <w:t>、</w:t>
      </w:r>
      <w:r w:rsidRPr="007B5D03">
        <w:rPr>
          <w:sz w:val="30"/>
          <w:szCs w:val="30"/>
        </w:rPr>
        <w:t>22</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516" w:hanging="1236"/>
        <w:rPr>
          <w:sz w:val="30"/>
          <w:szCs w:val="30"/>
        </w:rPr>
      </w:pPr>
      <w:r w:rsidRPr="007B5D03">
        <w:rPr>
          <w:rFonts w:hAnsi="標楷體"/>
          <w:sz w:val="30"/>
          <w:szCs w:val="30"/>
        </w:rPr>
        <w:t>附件</w:t>
      </w:r>
      <w:r w:rsidRPr="007B5D03">
        <w:rPr>
          <w:sz w:val="30"/>
          <w:szCs w:val="30"/>
        </w:rPr>
        <w:t>13</w:t>
      </w:r>
      <w:r w:rsidRPr="007B5D03">
        <w:rPr>
          <w:rFonts w:hAnsi="標楷體"/>
          <w:sz w:val="30"/>
          <w:szCs w:val="30"/>
        </w:rPr>
        <w:t xml:space="preserve">　金子宏，租稅法，第</w:t>
      </w:r>
      <w:r w:rsidRPr="007B5D03">
        <w:rPr>
          <w:sz w:val="30"/>
          <w:szCs w:val="30"/>
        </w:rPr>
        <w:t>13</w:t>
      </w:r>
      <w:r w:rsidRPr="007B5D03">
        <w:rPr>
          <w:rFonts w:hAnsi="標楷體"/>
          <w:sz w:val="30"/>
          <w:szCs w:val="30"/>
        </w:rPr>
        <w:t>版，第</w:t>
      </w:r>
      <w:r w:rsidRPr="007B5D03">
        <w:rPr>
          <w:sz w:val="30"/>
          <w:szCs w:val="30"/>
        </w:rPr>
        <w:t>262</w:t>
      </w:r>
      <w:r w:rsidRPr="007B5D03">
        <w:rPr>
          <w:rFonts w:hAnsi="標楷體"/>
          <w:sz w:val="30"/>
          <w:szCs w:val="30"/>
        </w:rPr>
        <w:t>至</w:t>
      </w:r>
      <w:r w:rsidRPr="007B5D03">
        <w:rPr>
          <w:sz w:val="30"/>
          <w:szCs w:val="30"/>
        </w:rPr>
        <w:t>265</w:t>
      </w:r>
      <w:r w:rsidRPr="007B5D03">
        <w:rPr>
          <w:rFonts w:hAnsi="標楷體"/>
          <w:sz w:val="30"/>
          <w:szCs w:val="30"/>
        </w:rPr>
        <w:t>頁</w:t>
      </w:r>
      <w:r w:rsidRPr="007B5D03">
        <w:rPr>
          <w:rFonts w:hAnsi="標楷體" w:hint="eastAsia"/>
          <w:sz w:val="30"/>
          <w:szCs w:val="30"/>
        </w:rPr>
        <w:t>。</w:t>
      </w:r>
    </w:p>
    <w:p w:rsidR="00514426" w:rsidRPr="007B5D03" w:rsidRDefault="00514426" w:rsidP="002262DD">
      <w:pPr>
        <w:snapToGrid w:val="0"/>
        <w:spacing w:line="437" w:lineRule="exact"/>
        <w:ind w:leftChars="100" w:left="1527" w:hanging="1247"/>
        <w:rPr>
          <w:sz w:val="30"/>
          <w:szCs w:val="30"/>
        </w:rPr>
      </w:pPr>
      <w:r w:rsidRPr="007B5D03">
        <w:rPr>
          <w:rFonts w:hAnsi="標楷體"/>
          <w:sz w:val="30"/>
          <w:szCs w:val="30"/>
        </w:rPr>
        <w:t>附件</w:t>
      </w:r>
      <w:r w:rsidRPr="007B5D03">
        <w:rPr>
          <w:sz w:val="30"/>
          <w:szCs w:val="30"/>
        </w:rPr>
        <w:t>14</w:t>
      </w:r>
      <w:r w:rsidRPr="007B5D03">
        <w:rPr>
          <w:rFonts w:hAnsi="標楷體"/>
          <w:sz w:val="30"/>
          <w:szCs w:val="30"/>
        </w:rPr>
        <w:t xml:space="preserve">　</w:t>
      </w:r>
      <w:r w:rsidRPr="007B5D03">
        <w:rPr>
          <w:rFonts w:hAnsi="標楷體"/>
          <w:spacing w:val="4"/>
          <w:sz w:val="30"/>
          <w:szCs w:val="30"/>
        </w:rPr>
        <w:t>財務會計準則第</w:t>
      </w:r>
      <w:r w:rsidRPr="007B5D03">
        <w:rPr>
          <w:spacing w:val="4"/>
          <w:sz w:val="30"/>
          <w:szCs w:val="30"/>
        </w:rPr>
        <w:t>34</w:t>
      </w:r>
      <w:r w:rsidRPr="007B5D03">
        <w:rPr>
          <w:rFonts w:hAnsi="標楷體"/>
          <w:spacing w:val="4"/>
          <w:sz w:val="30"/>
          <w:szCs w:val="30"/>
        </w:rPr>
        <w:t>號「金融商品之會計處理準則」</w:t>
      </w:r>
      <w:r w:rsidRPr="007B5D03">
        <w:rPr>
          <w:rFonts w:hAnsi="標楷體"/>
          <w:sz w:val="30"/>
          <w:szCs w:val="30"/>
        </w:rPr>
        <w:t>公報</w:t>
      </w:r>
      <w:r w:rsidRPr="007B5D03">
        <w:rPr>
          <w:rFonts w:hAnsi="標楷體" w:hint="eastAsia"/>
          <w:sz w:val="30"/>
          <w:szCs w:val="30"/>
        </w:rPr>
        <w:t>。</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15</w:t>
      </w:r>
      <w:r w:rsidRPr="007B5D03">
        <w:rPr>
          <w:rFonts w:hAnsi="標楷體"/>
          <w:sz w:val="30"/>
          <w:szCs w:val="30"/>
        </w:rPr>
        <w:t xml:space="preserve">　證券商財務報告編製準則</w:t>
      </w:r>
      <w:r w:rsidRPr="007B5D03">
        <w:rPr>
          <w:rFonts w:hAnsi="標楷體" w:hint="eastAsia"/>
          <w:sz w:val="30"/>
          <w:szCs w:val="30"/>
        </w:rPr>
        <w:t>。</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16</w:t>
      </w:r>
      <w:r w:rsidRPr="007B5D03">
        <w:rPr>
          <w:rFonts w:hAnsi="標楷體"/>
          <w:sz w:val="30"/>
          <w:szCs w:val="30"/>
        </w:rPr>
        <w:t xml:space="preserve">　陳清秀，量能課稅原則在所得稅法上之實踐，網址：</w:t>
      </w:r>
    </w:p>
    <w:p w:rsidR="00514426" w:rsidRPr="007B5D03" w:rsidRDefault="00514426" w:rsidP="00FB2D5A">
      <w:pPr>
        <w:snapToGrid w:val="0"/>
        <w:spacing w:line="437" w:lineRule="exact"/>
        <w:ind w:left="1701"/>
        <w:rPr>
          <w:rFonts w:hint="eastAsia"/>
          <w:sz w:val="30"/>
          <w:szCs w:val="30"/>
        </w:rPr>
      </w:pPr>
      <w:hyperlink r:id="rId15" w:history="1">
        <w:r w:rsidRPr="007B5D03">
          <w:rPr>
            <w:rStyle w:val="afff4"/>
            <w:color w:val="auto"/>
            <w:sz w:val="30"/>
            <w:szCs w:val="30"/>
          </w:rPr>
          <w:t>http://bl</w:t>
        </w:r>
        <w:r w:rsidRPr="007B5D03">
          <w:rPr>
            <w:rStyle w:val="afff4"/>
            <w:color w:val="auto"/>
            <w:sz w:val="30"/>
            <w:szCs w:val="30"/>
          </w:rPr>
          <w:t>o</w:t>
        </w:r>
        <w:r w:rsidRPr="007B5D03">
          <w:rPr>
            <w:rStyle w:val="afff4"/>
            <w:color w:val="auto"/>
            <w:sz w:val="30"/>
            <w:szCs w:val="30"/>
          </w:rPr>
          <w:t>g.rootlaw.com.tw/cpa/2008/05/14/%e9%87%8f%e8%83%bd%e8%aa%b2%e7%a8%85%e5%8e%9f%e5%89%87%e5%9c%a8%e6%89%80%e5%be%97%e7</w:t>
        </w:r>
        <w:r w:rsidRPr="007B5D03">
          <w:rPr>
            <w:rStyle w:val="afff4"/>
            <w:color w:val="auto"/>
            <w:sz w:val="30"/>
            <w:szCs w:val="30"/>
          </w:rPr>
          <w:lastRenderedPageBreak/>
          <w:t>%a8%85%e6%b3%95%e4%b8%8a%e4%b9%8b%e5%af%a6%e8%b8%90/</w:t>
        </w:r>
      </w:hyperlink>
      <w:r w:rsidRPr="007B5D03">
        <w:rPr>
          <w:rFonts w:ascii="標楷體" w:hAnsi="標楷體" w:hint="eastAsia"/>
          <w:sz w:val="30"/>
          <w:szCs w:val="30"/>
        </w:rPr>
        <w:t>。</w:t>
      </w:r>
    </w:p>
    <w:p w:rsidR="00514426" w:rsidRPr="007B5D03" w:rsidRDefault="00514426" w:rsidP="00B56D85">
      <w:pPr>
        <w:snapToGrid w:val="0"/>
        <w:spacing w:line="437" w:lineRule="exact"/>
        <w:ind w:leftChars="100" w:left="1584" w:hanging="1304"/>
        <w:rPr>
          <w:sz w:val="30"/>
          <w:szCs w:val="30"/>
        </w:rPr>
      </w:pPr>
      <w:r w:rsidRPr="007B5D03">
        <w:rPr>
          <w:rFonts w:hAnsi="標楷體"/>
          <w:sz w:val="30"/>
          <w:szCs w:val="30"/>
        </w:rPr>
        <w:t>附</w:t>
      </w:r>
      <w:r w:rsidRPr="007B5D03">
        <w:rPr>
          <w:rFonts w:hAnsi="標楷體"/>
          <w:spacing w:val="-14"/>
          <w:sz w:val="30"/>
          <w:szCs w:val="30"/>
        </w:rPr>
        <w:t>件</w:t>
      </w:r>
      <w:r w:rsidRPr="007B5D03">
        <w:rPr>
          <w:spacing w:val="-14"/>
          <w:sz w:val="30"/>
          <w:szCs w:val="30"/>
        </w:rPr>
        <w:t>17</w:t>
      </w:r>
      <w:r w:rsidRPr="007B5D03">
        <w:rPr>
          <w:rFonts w:hAnsi="標楷體"/>
          <w:sz w:val="30"/>
          <w:szCs w:val="30"/>
        </w:rPr>
        <w:t xml:space="preserve">　趙彥強，認購權證課稅爭議之研究</w:t>
      </w:r>
      <w:r w:rsidRPr="007B5D03">
        <w:rPr>
          <w:sz w:val="30"/>
          <w:szCs w:val="30"/>
        </w:rPr>
        <w:t>---</w:t>
      </w:r>
      <w:r w:rsidRPr="007B5D03">
        <w:rPr>
          <w:rFonts w:hAnsi="標楷體"/>
          <w:sz w:val="30"/>
          <w:szCs w:val="30"/>
        </w:rPr>
        <w:t>兼評臺北高等行政法院</w:t>
      </w:r>
      <w:r w:rsidRPr="007B5D03">
        <w:rPr>
          <w:sz w:val="30"/>
          <w:szCs w:val="30"/>
        </w:rPr>
        <w:t>94</w:t>
      </w:r>
      <w:r w:rsidRPr="007B5D03">
        <w:rPr>
          <w:rFonts w:hAnsi="標楷體"/>
          <w:sz w:val="30"/>
          <w:szCs w:val="30"/>
        </w:rPr>
        <w:t>年度訴字第</w:t>
      </w:r>
      <w:r w:rsidRPr="007B5D03">
        <w:rPr>
          <w:sz w:val="30"/>
          <w:szCs w:val="30"/>
        </w:rPr>
        <w:t>924</w:t>
      </w:r>
      <w:r w:rsidRPr="007B5D03">
        <w:rPr>
          <w:rFonts w:hAnsi="標楷體"/>
          <w:sz w:val="30"/>
          <w:szCs w:val="30"/>
        </w:rPr>
        <w:t>號判決及最高行政法院</w:t>
      </w:r>
      <w:r w:rsidRPr="007B5D03">
        <w:rPr>
          <w:sz w:val="30"/>
          <w:szCs w:val="30"/>
        </w:rPr>
        <w:t>95</w:t>
      </w:r>
      <w:r w:rsidRPr="007B5D03">
        <w:rPr>
          <w:rFonts w:hAnsi="標楷體"/>
          <w:spacing w:val="-6"/>
          <w:sz w:val="30"/>
          <w:szCs w:val="30"/>
        </w:rPr>
        <w:t>年度判字第</w:t>
      </w:r>
      <w:r w:rsidRPr="007B5D03">
        <w:rPr>
          <w:spacing w:val="-6"/>
          <w:sz w:val="30"/>
          <w:szCs w:val="30"/>
        </w:rPr>
        <w:t>2206</w:t>
      </w:r>
      <w:r w:rsidRPr="007B5D03">
        <w:rPr>
          <w:rFonts w:hAnsi="標楷體"/>
          <w:spacing w:val="-6"/>
          <w:sz w:val="30"/>
          <w:szCs w:val="30"/>
        </w:rPr>
        <w:t>號判決，財稅研究，</w:t>
      </w:r>
      <w:r w:rsidRPr="007B5D03">
        <w:rPr>
          <w:spacing w:val="-6"/>
          <w:sz w:val="30"/>
          <w:szCs w:val="30"/>
        </w:rPr>
        <w:t>39</w:t>
      </w:r>
      <w:r w:rsidRPr="007B5D03">
        <w:rPr>
          <w:rFonts w:hAnsi="標楷體"/>
          <w:spacing w:val="-6"/>
          <w:sz w:val="30"/>
          <w:szCs w:val="30"/>
        </w:rPr>
        <w:t>卷</w:t>
      </w:r>
      <w:r w:rsidRPr="007B5D03">
        <w:rPr>
          <w:spacing w:val="-6"/>
          <w:sz w:val="30"/>
          <w:szCs w:val="30"/>
        </w:rPr>
        <w:t>5</w:t>
      </w:r>
      <w:r w:rsidRPr="007B5D03">
        <w:rPr>
          <w:rFonts w:hAnsi="標楷體"/>
          <w:spacing w:val="-6"/>
          <w:sz w:val="30"/>
          <w:szCs w:val="30"/>
        </w:rPr>
        <w:t>期，</w:t>
      </w:r>
      <w:r w:rsidRPr="007B5D03">
        <w:rPr>
          <w:spacing w:val="-6"/>
          <w:sz w:val="30"/>
          <w:szCs w:val="30"/>
        </w:rPr>
        <w:t>2007</w:t>
      </w:r>
      <w:r w:rsidRPr="007B5D03">
        <w:rPr>
          <w:rFonts w:hAnsi="標楷體"/>
          <w:sz w:val="30"/>
          <w:szCs w:val="30"/>
        </w:rPr>
        <w:t>年</w:t>
      </w:r>
      <w:r w:rsidRPr="007B5D03">
        <w:rPr>
          <w:sz w:val="30"/>
          <w:szCs w:val="30"/>
        </w:rPr>
        <w:t>5</w:t>
      </w:r>
      <w:r w:rsidRPr="007B5D03">
        <w:rPr>
          <w:rFonts w:hAnsi="標楷體"/>
          <w:sz w:val="30"/>
          <w:szCs w:val="30"/>
        </w:rPr>
        <w:t>月，頁</w:t>
      </w:r>
      <w:r w:rsidRPr="007B5D03">
        <w:rPr>
          <w:sz w:val="30"/>
          <w:szCs w:val="30"/>
        </w:rPr>
        <w:t>198</w:t>
      </w:r>
      <w:r w:rsidRPr="007B5D03">
        <w:rPr>
          <w:rFonts w:hint="eastAsia"/>
          <w:sz w:val="30"/>
          <w:szCs w:val="30"/>
        </w:rPr>
        <w:t>。</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18</w:t>
      </w:r>
      <w:r w:rsidRPr="007B5D03">
        <w:rPr>
          <w:rFonts w:hAnsi="標楷體"/>
          <w:sz w:val="30"/>
          <w:szCs w:val="30"/>
        </w:rPr>
        <w:t xml:space="preserve">　陳清秀，論客觀的淨額所得原則，網址：</w:t>
      </w:r>
    </w:p>
    <w:p w:rsidR="00514426" w:rsidRPr="007B5D03" w:rsidRDefault="00514426" w:rsidP="00FB2D5A">
      <w:pPr>
        <w:snapToGrid w:val="0"/>
        <w:spacing w:line="437" w:lineRule="exact"/>
        <w:ind w:left="1701"/>
        <w:rPr>
          <w:sz w:val="30"/>
          <w:szCs w:val="30"/>
        </w:rPr>
      </w:pPr>
      <w:hyperlink r:id="rId16" w:history="1">
        <w:r w:rsidRPr="007B5D03">
          <w:rPr>
            <w:rStyle w:val="afff4"/>
            <w:color w:val="auto"/>
            <w:sz w:val="30"/>
            <w:szCs w:val="30"/>
          </w:rPr>
          <w:t>http://www.rootlaw.com.tw/blog/cpa/?p=14</w:t>
        </w:r>
      </w:hyperlink>
      <w:r w:rsidRPr="007B5D03">
        <w:rPr>
          <w:rFonts w:hint="eastAsia"/>
          <w:sz w:val="30"/>
          <w:szCs w:val="30"/>
        </w:rPr>
        <w:t>。</w:t>
      </w:r>
    </w:p>
    <w:p w:rsidR="00514426" w:rsidRPr="007B5D03" w:rsidRDefault="00514426" w:rsidP="00B56D85">
      <w:pPr>
        <w:snapToGrid w:val="0"/>
        <w:spacing w:line="437" w:lineRule="exact"/>
        <w:ind w:leftChars="100" w:left="1641" w:hanging="1361"/>
        <w:rPr>
          <w:sz w:val="30"/>
          <w:szCs w:val="30"/>
        </w:rPr>
      </w:pPr>
      <w:r w:rsidRPr="007B5D03">
        <w:rPr>
          <w:rFonts w:hAnsi="標楷體"/>
          <w:sz w:val="30"/>
          <w:szCs w:val="30"/>
        </w:rPr>
        <w:t>附件</w:t>
      </w:r>
      <w:r w:rsidRPr="007B5D03">
        <w:rPr>
          <w:sz w:val="30"/>
          <w:szCs w:val="30"/>
        </w:rPr>
        <w:t>19</w:t>
      </w:r>
      <w:r w:rsidRPr="007B5D03">
        <w:rPr>
          <w:rFonts w:hAnsi="標楷體"/>
          <w:sz w:val="30"/>
          <w:szCs w:val="30"/>
        </w:rPr>
        <w:t xml:space="preserve">　</w:t>
      </w:r>
      <w:smartTag w:uri="urn:schemas-microsoft-com:office:smarttags" w:element="PersonName">
        <w:smartTagPr>
          <w:attr w:name="ProductID" w:val="李存修"/>
        </w:smartTagPr>
        <w:r w:rsidRPr="007B5D03">
          <w:rPr>
            <w:rFonts w:hAnsi="標楷體"/>
            <w:sz w:val="30"/>
            <w:szCs w:val="30"/>
          </w:rPr>
          <w:t>李存修</w:t>
        </w:r>
      </w:smartTag>
      <w:r w:rsidRPr="007B5D03">
        <w:rPr>
          <w:rFonts w:hAnsi="標楷體"/>
          <w:sz w:val="30"/>
          <w:szCs w:val="30"/>
        </w:rPr>
        <w:t>教授主持，證券商發行認購（售）權證之定價策略及各項相關成本分析研究報告，</w:t>
      </w:r>
      <w:r w:rsidRPr="007B5D03">
        <w:rPr>
          <w:sz w:val="30"/>
          <w:szCs w:val="30"/>
        </w:rPr>
        <w:t>93</w:t>
      </w:r>
      <w:r w:rsidRPr="007B5D03">
        <w:rPr>
          <w:rFonts w:hAnsi="標楷體"/>
          <w:sz w:val="30"/>
          <w:szCs w:val="30"/>
        </w:rPr>
        <w:t>年</w:t>
      </w:r>
      <w:r w:rsidRPr="007B5D03">
        <w:rPr>
          <w:sz w:val="30"/>
          <w:szCs w:val="30"/>
        </w:rPr>
        <w:t>8</w:t>
      </w:r>
      <w:r w:rsidRPr="007B5D03">
        <w:rPr>
          <w:rFonts w:hAnsi="標楷體"/>
          <w:sz w:val="30"/>
          <w:szCs w:val="30"/>
        </w:rPr>
        <w:t>月。</w:t>
      </w:r>
    </w:p>
    <w:p w:rsidR="00514426" w:rsidRPr="007B5D03" w:rsidRDefault="00514426" w:rsidP="00FB2D5A">
      <w:pPr>
        <w:snapToGrid w:val="0"/>
        <w:spacing w:line="437" w:lineRule="exact"/>
        <w:ind w:leftChars="100" w:left="1698" w:hanging="1418"/>
        <w:rPr>
          <w:spacing w:val="8"/>
          <w:sz w:val="30"/>
          <w:szCs w:val="30"/>
        </w:rPr>
      </w:pPr>
      <w:r w:rsidRPr="007B5D03">
        <w:rPr>
          <w:rFonts w:hAnsi="標楷體"/>
          <w:spacing w:val="8"/>
          <w:sz w:val="30"/>
          <w:szCs w:val="30"/>
        </w:rPr>
        <w:t>附件</w:t>
      </w:r>
      <w:r w:rsidRPr="007B5D03">
        <w:rPr>
          <w:spacing w:val="8"/>
          <w:sz w:val="30"/>
          <w:szCs w:val="30"/>
        </w:rPr>
        <w:t>20</w:t>
      </w:r>
      <w:r w:rsidRPr="007B5D03">
        <w:rPr>
          <w:rFonts w:hAnsi="標楷體"/>
          <w:spacing w:val="8"/>
          <w:sz w:val="30"/>
          <w:szCs w:val="30"/>
        </w:rPr>
        <w:t xml:space="preserve">　最高行政法院</w:t>
      </w:r>
      <w:r w:rsidRPr="007B5D03">
        <w:rPr>
          <w:spacing w:val="8"/>
          <w:sz w:val="30"/>
          <w:szCs w:val="30"/>
        </w:rPr>
        <w:t>96</w:t>
      </w:r>
      <w:r w:rsidRPr="007B5D03">
        <w:rPr>
          <w:rFonts w:hAnsi="標楷體"/>
          <w:spacing w:val="8"/>
          <w:sz w:val="30"/>
          <w:szCs w:val="30"/>
        </w:rPr>
        <w:t>年度判字第</w:t>
      </w:r>
      <w:r w:rsidRPr="007B5D03">
        <w:rPr>
          <w:spacing w:val="8"/>
          <w:sz w:val="30"/>
          <w:szCs w:val="30"/>
        </w:rPr>
        <w:t>406</w:t>
      </w:r>
      <w:r w:rsidRPr="007B5D03">
        <w:rPr>
          <w:rFonts w:hAnsi="標楷體"/>
          <w:spacing w:val="8"/>
          <w:sz w:val="30"/>
          <w:szCs w:val="30"/>
        </w:rPr>
        <w:t>號判決</w:t>
      </w:r>
      <w:r w:rsidRPr="007B5D03">
        <w:rPr>
          <w:rFonts w:hAnsi="標楷體" w:hint="eastAsia"/>
          <w:spacing w:val="8"/>
          <w:sz w:val="30"/>
          <w:szCs w:val="30"/>
        </w:rPr>
        <w:t>。</w:t>
      </w:r>
    </w:p>
    <w:p w:rsidR="00514426" w:rsidRPr="007B5D03" w:rsidRDefault="00514426" w:rsidP="00B56D85">
      <w:pPr>
        <w:snapToGrid w:val="0"/>
        <w:spacing w:line="437" w:lineRule="exact"/>
        <w:ind w:leftChars="100" w:left="1641" w:hanging="1361"/>
        <w:rPr>
          <w:spacing w:val="4"/>
          <w:sz w:val="30"/>
          <w:szCs w:val="30"/>
        </w:rPr>
      </w:pPr>
      <w:r w:rsidRPr="007B5D03">
        <w:rPr>
          <w:rFonts w:hAnsi="標楷體"/>
          <w:spacing w:val="4"/>
          <w:sz w:val="30"/>
          <w:szCs w:val="30"/>
        </w:rPr>
        <w:t>附件</w:t>
      </w:r>
      <w:r w:rsidRPr="007B5D03">
        <w:rPr>
          <w:spacing w:val="4"/>
          <w:sz w:val="30"/>
          <w:szCs w:val="30"/>
        </w:rPr>
        <w:t>21</w:t>
      </w:r>
      <w:r w:rsidRPr="007B5D03">
        <w:rPr>
          <w:rFonts w:hAnsi="標楷體"/>
          <w:spacing w:val="4"/>
          <w:sz w:val="30"/>
          <w:szCs w:val="30"/>
        </w:rPr>
        <w:t xml:space="preserve">　黃士洲，權證官司二審敗訴簡評</w:t>
      </w:r>
      <w:r w:rsidRPr="007B5D03">
        <w:rPr>
          <w:spacing w:val="4"/>
          <w:sz w:val="30"/>
          <w:szCs w:val="30"/>
        </w:rPr>
        <w:t>---</w:t>
      </w:r>
      <w:r w:rsidRPr="007B5D03">
        <w:rPr>
          <w:rFonts w:hAnsi="標楷體"/>
          <w:spacing w:val="4"/>
          <w:sz w:val="30"/>
          <w:szCs w:val="30"/>
        </w:rPr>
        <w:t>最高行政法院</w:t>
      </w:r>
      <w:r w:rsidRPr="007B5D03">
        <w:rPr>
          <w:spacing w:val="4"/>
          <w:sz w:val="30"/>
          <w:szCs w:val="30"/>
        </w:rPr>
        <w:t>95</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2206</w:t>
      </w:r>
      <w:r w:rsidRPr="007B5D03">
        <w:rPr>
          <w:rFonts w:hAnsi="標楷體"/>
          <w:sz w:val="30"/>
          <w:szCs w:val="30"/>
        </w:rPr>
        <w:t>號判決評析，稅務旬刊，</w:t>
      </w:r>
      <w:r w:rsidRPr="007B5D03">
        <w:rPr>
          <w:sz w:val="30"/>
          <w:szCs w:val="30"/>
        </w:rPr>
        <w:t>1994</w:t>
      </w:r>
      <w:r w:rsidRPr="007B5D03">
        <w:rPr>
          <w:rFonts w:hAnsi="標楷體"/>
          <w:sz w:val="30"/>
          <w:szCs w:val="30"/>
        </w:rPr>
        <w:t>期，</w:t>
      </w:r>
      <w:r w:rsidRPr="007B5D03">
        <w:rPr>
          <w:spacing w:val="4"/>
          <w:sz w:val="30"/>
          <w:szCs w:val="30"/>
        </w:rPr>
        <w:t>2007</w:t>
      </w:r>
      <w:r w:rsidRPr="007B5D03">
        <w:rPr>
          <w:rFonts w:hAnsi="標楷體"/>
          <w:spacing w:val="4"/>
          <w:sz w:val="30"/>
          <w:szCs w:val="30"/>
        </w:rPr>
        <w:t>年</w:t>
      </w:r>
      <w:r w:rsidRPr="007B5D03">
        <w:rPr>
          <w:spacing w:val="4"/>
          <w:sz w:val="30"/>
          <w:szCs w:val="30"/>
        </w:rPr>
        <w:t>2</w:t>
      </w:r>
      <w:r w:rsidRPr="007B5D03">
        <w:rPr>
          <w:rFonts w:hAnsi="標楷體"/>
          <w:spacing w:val="4"/>
          <w:sz w:val="30"/>
          <w:szCs w:val="30"/>
        </w:rPr>
        <w:t>月，頁</w:t>
      </w:r>
      <w:r w:rsidRPr="007B5D03">
        <w:rPr>
          <w:spacing w:val="4"/>
          <w:sz w:val="30"/>
          <w:szCs w:val="30"/>
        </w:rPr>
        <w:t>7</w:t>
      </w:r>
      <w:r w:rsidRPr="007B5D03">
        <w:rPr>
          <w:rFonts w:hAnsi="標楷體"/>
          <w:spacing w:val="4"/>
          <w:sz w:val="30"/>
          <w:szCs w:val="30"/>
        </w:rPr>
        <w:t>以下。</w:t>
      </w:r>
    </w:p>
    <w:p w:rsidR="00514426" w:rsidRPr="007B5D03" w:rsidRDefault="00514426" w:rsidP="00B56D85">
      <w:pPr>
        <w:snapToGrid w:val="0"/>
        <w:spacing w:line="437" w:lineRule="exact"/>
        <w:ind w:leftChars="100" w:left="1641" w:hanging="1361"/>
        <w:rPr>
          <w:sz w:val="30"/>
          <w:szCs w:val="30"/>
        </w:rPr>
      </w:pPr>
      <w:r w:rsidRPr="007B5D03">
        <w:rPr>
          <w:rFonts w:hAnsi="標楷體"/>
          <w:sz w:val="30"/>
          <w:szCs w:val="30"/>
        </w:rPr>
        <w:t>附件</w:t>
      </w:r>
      <w:r w:rsidRPr="007B5D03">
        <w:rPr>
          <w:sz w:val="30"/>
          <w:szCs w:val="30"/>
        </w:rPr>
        <w:t>22</w:t>
      </w:r>
      <w:r w:rsidRPr="007B5D03">
        <w:rPr>
          <w:rFonts w:hAnsi="標楷體"/>
          <w:sz w:val="30"/>
          <w:szCs w:val="30"/>
        </w:rPr>
        <w:t xml:space="preserve">　許宗力，從憲法解釋看待平等原則與違憲審查，收錄於中央研究院舉辦第二屆「憲法解釋之理論與實務」學術研討會，會議論文（一），民國八十八年，第</w:t>
      </w:r>
      <w:r w:rsidRPr="007B5D03">
        <w:rPr>
          <w:sz w:val="30"/>
          <w:szCs w:val="30"/>
        </w:rPr>
        <w:t>85</w:t>
      </w:r>
      <w:r w:rsidRPr="007B5D03">
        <w:rPr>
          <w:rFonts w:hAnsi="標楷體"/>
          <w:sz w:val="30"/>
          <w:szCs w:val="30"/>
        </w:rPr>
        <w:t>頁以下影本乙份。</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23</w:t>
      </w:r>
      <w:r w:rsidRPr="007B5D03">
        <w:rPr>
          <w:rFonts w:hAnsi="標楷體"/>
          <w:sz w:val="30"/>
          <w:szCs w:val="30"/>
        </w:rPr>
        <w:t xml:space="preserve">　臺北高等行政法院</w:t>
      </w:r>
      <w:r w:rsidRPr="007B5D03">
        <w:rPr>
          <w:sz w:val="30"/>
          <w:szCs w:val="30"/>
        </w:rPr>
        <w:t>92</w:t>
      </w:r>
      <w:r w:rsidRPr="007B5D03">
        <w:rPr>
          <w:rFonts w:hAnsi="標楷體"/>
          <w:sz w:val="30"/>
          <w:szCs w:val="30"/>
        </w:rPr>
        <w:t>年度訴字第</w:t>
      </w:r>
      <w:r w:rsidRPr="007B5D03">
        <w:rPr>
          <w:sz w:val="30"/>
          <w:szCs w:val="30"/>
        </w:rPr>
        <w:t>4555</w:t>
      </w:r>
      <w:r w:rsidRPr="007B5D03">
        <w:rPr>
          <w:rFonts w:hAnsi="標楷體"/>
          <w:sz w:val="30"/>
          <w:szCs w:val="30"/>
        </w:rPr>
        <w:t>號判決</w:t>
      </w:r>
      <w:r w:rsidRPr="007B5D03">
        <w:rPr>
          <w:rFonts w:hAnsi="標楷體" w:hint="eastAsia"/>
          <w:sz w:val="30"/>
          <w:szCs w:val="30"/>
        </w:rPr>
        <w:t>。</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24</w:t>
      </w:r>
      <w:r w:rsidRPr="007B5D03">
        <w:rPr>
          <w:rFonts w:hAnsi="標楷體"/>
          <w:sz w:val="30"/>
          <w:szCs w:val="30"/>
        </w:rPr>
        <w:t xml:space="preserve">　權證課稅研議過程及立法院公報相關</w:t>
      </w:r>
      <w:r w:rsidRPr="007B5D03">
        <w:rPr>
          <w:rFonts w:hAnsi="標楷體" w:hint="eastAsia"/>
          <w:sz w:val="30"/>
          <w:szCs w:val="30"/>
        </w:rPr>
        <w:t>立法理由。</w:t>
      </w:r>
    </w:p>
    <w:p w:rsidR="00514426" w:rsidRPr="007B5D03" w:rsidRDefault="00514426" w:rsidP="00FB2D5A">
      <w:pPr>
        <w:snapToGrid w:val="0"/>
        <w:spacing w:line="437" w:lineRule="exact"/>
        <w:ind w:leftChars="100" w:left="1698" w:hanging="1418"/>
        <w:rPr>
          <w:sz w:val="30"/>
          <w:szCs w:val="30"/>
        </w:rPr>
      </w:pPr>
      <w:r w:rsidRPr="007B5D03">
        <w:rPr>
          <w:rFonts w:hAnsi="標楷體"/>
          <w:sz w:val="30"/>
          <w:szCs w:val="30"/>
        </w:rPr>
        <w:t>附件</w:t>
      </w:r>
      <w:r w:rsidRPr="007B5D03">
        <w:rPr>
          <w:sz w:val="30"/>
          <w:szCs w:val="30"/>
        </w:rPr>
        <w:t>25</w:t>
      </w:r>
      <w:r w:rsidRPr="007B5D03">
        <w:rPr>
          <w:rFonts w:hAnsi="標楷體"/>
          <w:sz w:val="30"/>
          <w:szCs w:val="30"/>
        </w:rPr>
        <w:t xml:space="preserve">　前財政部長林全於立法院發言紀錄，立法院公報</w:t>
      </w:r>
      <w:r w:rsidRPr="007B5D03">
        <w:rPr>
          <w:rFonts w:hAnsi="標楷體" w:hint="eastAsia"/>
          <w:sz w:val="30"/>
          <w:szCs w:val="30"/>
        </w:rPr>
        <w:t>。</w:t>
      </w:r>
    </w:p>
    <w:p w:rsidR="00514426" w:rsidRPr="007B5D03" w:rsidRDefault="00514426" w:rsidP="00B56D85">
      <w:pPr>
        <w:snapToGrid w:val="0"/>
        <w:spacing w:line="437" w:lineRule="exact"/>
        <w:ind w:leftChars="100" w:left="1641" w:hanging="1361"/>
        <w:rPr>
          <w:sz w:val="30"/>
          <w:szCs w:val="30"/>
        </w:rPr>
      </w:pPr>
      <w:r w:rsidRPr="007B5D03">
        <w:rPr>
          <w:rFonts w:hAnsi="標楷體"/>
          <w:sz w:val="30"/>
          <w:szCs w:val="30"/>
        </w:rPr>
        <w:t>附件</w:t>
      </w:r>
      <w:r w:rsidRPr="007B5D03">
        <w:rPr>
          <w:sz w:val="30"/>
          <w:szCs w:val="30"/>
        </w:rPr>
        <w:t>26</w:t>
      </w:r>
      <w:r w:rsidRPr="007B5D03">
        <w:rPr>
          <w:rFonts w:hAnsi="標楷體"/>
          <w:sz w:val="30"/>
          <w:szCs w:val="30"/>
        </w:rPr>
        <w:t xml:space="preserve">　許宗力，比例原則與法規違憲審查，收錄於「戰鬥的法律人」，第</w:t>
      </w:r>
      <w:r w:rsidRPr="007B5D03">
        <w:rPr>
          <w:sz w:val="30"/>
          <w:szCs w:val="30"/>
        </w:rPr>
        <w:t>214</w:t>
      </w:r>
      <w:r w:rsidRPr="007B5D03">
        <w:rPr>
          <w:rFonts w:hAnsi="標楷體"/>
          <w:sz w:val="30"/>
          <w:szCs w:val="30"/>
        </w:rPr>
        <w:t>、</w:t>
      </w:r>
      <w:r w:rsidRPr="007B5D03">
        <w:rPr>
          <w:sz w:val="30"/>
          <w:szCs w:val="30"/>
        </w:rPr>
        <w:t>215</w:t>
      </w:r>
      <w:r w:rsidRPr="007B5D03">
        <w:rPr>
          <w:rFonts w:hAnsi="標楷體"/>
          <w:sz w:val="30"/>
          <w:szCs w:val="30"/>
        </w:rPr>
        <w:t>頁</w:t>
      </w:r>
      <w:r w:rsidRPr="007B5D03">
        <w:rPr>
          <w:rFonts w:hAnsi="標楷體" w:hint="eastAsia"/>
          <w:sz w:val="30"/>
          <w:szCs w:val="30"/>
        </w:rPr>
        <w:t>。</w:t>
      </w:r>
    </w:p>
    <w:p w:rsidR="00514426" w:rsidRPr="007B5D03" w:rsidRDefault="00514426" w:rsidP="00B56D85">
      <w:pPr>
        <w:snapToGrid w:val="0"/>
        <w:spacing w:line="437" w:lineRule="exact"/>
        <w:ind w:leftChars="100" w:left="1641" w:hanging="1361"/>
        <w:rPr>
          <w:sz w:val="30"/>
          <w:szCs w:val="30"/>
        </w:rPr>
      </w:pPr>
      <w:r w:rsidRPr="007B5D03">
        <w:rPr>
          <w:rFonts w:hAnsi="標楷體"/>
          <w:sz w:val="30"/>
          <w:szCs w:val="30"/>
        </w:rPr>
        <w:t>附件</w:t>
      </w:r>
      <w:r w:rsidRPr="007B5D03">
        <w:rPr>
          <w:sz w:val="30"/>
          <w:szCs w:val="30"/>
        </w:rPr>
        <w:t>27</w:t>
      </w:r>
      <w:r w:rsidRPr="007B5D03">
        <w:rPr>
          <w:rFonts w:hAnsi="標楷體"/>
          <w:sz w:val="30"/>
          <w:szCs w:val="30"/>
        </w:rPr>
        <w:t xml:space="preserve">　盛子龍</w:t>
      </w:r>
      <w:r w:rsidRPr="007B5D03">
        <w:rPr>
          <w:rFonts w:hAnsi="標楷體"/>
          <w:sz w:val="30"/>
          <w:szCs w:val="30"/>
          <w:lang w:val="de-DE"/>
        </w:rPr>
        <w:t>，</w:t>
      </w:r>
      <w:r w:rsidRPr="007B5D03">
        <w:rPr>
          <w:rFonts w:hAnsi="標楷體"/>
          <w:sz w:val="30"/>
          <w:szCs w:val="30"/>
        </w:rPr>
        <w:t>比例原則作為規範違憲審查之準則</w:t>
      </w:r>
      <w:r w:rsidRPr="007B5D03">
        <w:rPr>
          <w:sz w:val="30"/>
          <w:szCs w:val="30"/>
          <w:lang w:val="de-DE"/>
        </w:rPr>
        <w:t>—</w:t>
      </w:r>
      <w:r w:rsidRPr="007B5D03">
        <w:rPr>
          <w:rFonts w:hAnsi="標楷體"/>
          <w:sz w:val="30"/>
          <w:szCs w:val="30"/>
        </w:rPr>
        <w:t>西德聯邦憲法法院判決及學說之研究</w:t>
      </w:r>
      <w:r w:rsidRPr="007B5D03">
        <w:rPr>
          <w:rFonts w:hAnsi="標楷體"/>
          <w:sz w:val="30"/>
          <w:szCs w:val="30"/>
          <w:lang w:val="de-DE"/>
        </w:rPr>
        <w:t>，</w:t>
      </w:r>
      <w:r w:rsidRPr="007B5D03">
        <w:rPr>
          <w:rFonts w:hAnsi="標楷體" w:hint="eastAsia"/>
          <w:sz w:val="30"/>
          <w:szCs w:val="30"/>
        </w:rPr>
        <w:t>78</w:t>
      </w:r>
      <w:r w:rsidRPr="007B5D03">
        <w:rPr>
          <w:rFonts w:hAnsi="標楷體"/>
          <w:sz w:val="30"/>
          <w:szCs w:val="30"/>
        </w:rPr>
        <w:t>年台大法研所碩士論文，第</w:t>
      </w:r>
      <w:r w:rsidRPr="007B5D03">
        <w:rPr>
          <w:sz w:val="30"/>
          <w:szCs w:val="30"/>
        </w:rPr>
        <w:t>133</w:t>
      </w:r>
      <w:r w:rsidRPr="007B5D03">
        <w:rPr>
          <w:rFonts w:hAnsi="標楷體"/>
          <w:sz w:val="30"/>
          <w:szCs w:val="30"/>
        </w:rPr>
        <w:t>至</w:t>
      </w:r>
      <w:r w:rsidRPr="007B5D03">
        <w:rPr>
          <w:sz w:val="30"/>
          <w:szCs w:val="30"/>
        </w:rPr>
        <w:t>143</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100" w:left="1698" w:hanging="1418"/>
        <w:rPr>
          <w:rFonts w:hint="eastAsia"/>
          <w:spacing w:val="6"/>
          <w:sz w:val="30"/>
          <w:szCs w:val="30"/>
        </w:rPr>
      </w:pPr>
      <w:r w:rsidRPr="007B5D03">
        <w:rPr>
          <w:rFonts w:hAnsi="標楷體"/>
          <w:spacing w:val="6"/>
          <w:sz w:val="30"/>
          <w:szCs w:val="30"/>
        </w:rPr>
        <w:lastRenderedPageBreak/>
        <w:t>附件</w:t>
      </w:r>
      <w:r w:rsidRPr="007B5D03">
        <w:rPr>
          <w:spacing w:val="6"/>
          <w:sz w:val="30"/>
          <w:szCs w:val="30"/>
        </w:rPr>
        <w:t>2</w:t>
      </w:r>
      <w:r w:rsidRPr="007B5D03">
        <w:rPr>
          <w:rFonts w:hint="eastAsia"/>
          <w:spacing w:val="6"/>
          <w:sz w:val="30"/>
          <w:szCs w:val="30"/>
        </w:rPr>
        <w:t>8</w:t>
      </w:r>
      <w:r w:rsidRPr="007B5D03">
        <w:rPr>
          <w:rFonts w:hAnsi="標楷體"/>
          <w:spacing w:val="6"/>
          <w:sz w:val="30"/>
          <w:szCs w:val="30"/>
        </w:rPr>
        <w:t xml:space="preserve">　權證損益明細表</w:t>
      </w:r>
      <w:r w:rsidRPr="007B5D03">
        <w:rPr>
          <w:rFonts w:hAnsi="標楷體" w:hint="eastAsia"/>
          <w:spacing w:val="6"/>
          <w:sz w:val="30"/>
          <w:szCs w:val="30"/>
        </w:rPr>
        <w:t>。</w:t>
      </w:r>
    </w:p>
    <w:p w:rsidR="00514426" w:rsidRPr="007B5D03" w:rsidRDefault="00514426" w:rsidP="00FB2D5A">
      <w:pPr>
        <w:spacing w:line="437" w:lineRule="exact"/>
        <w:ind w:left="958" w:hanging="633"/>
        <w:rPr>
          <w:sz w:val="30"/>
          <w:szCs w:val="30"/>
        </w:rPr>
      </w:pPr>
      <w:r w:rsidRPr="007B5D03">
        <w:rPr>
          <w:rFonts w:hAnsi="標楷體"/>
          <w:sz w:val="30"/>
          <w:szCs w:val="30"/>
        </w:rPr>
        <w:t>謹　狀</w:t>
      </w:r>
    </w:p>
    <w:p w:rsidR="00514426" w:rsidRPr="007B5D03" w:rsidRDefault="00514426" w:rsidP="00FB2D5A">
      <w:pPr>
        <w:spacing w:line="437" w:lineRule="exact"/>
        <w:ind w:left="958" w:hanging="958"/>
        <w:rPr>
          <w:sz w:val="30"/>
          <w:szCs w:val="30"/>
        </w:rPr>
      </w:pPr>
      <w:r w:rsidRPr="007B5D03">
        <w:rPr>
          <w:rFonts w:hAnsi="標楷體"/>
          <w:sz w:val="30"/>
          <w:szCs w:val="30"/>
        </w:rPr>
        <w:t>司法院　公鑒</w:t>
      </w:r>
    </w:p>
    <w:p w:rsidR="00514426" w:rsidRPr="007B5D03" w:rsidRDefault="00514426" w:rsidP="00FB2D5A">
      <w:pPr>
        <w:spacing w:line="437" w:lineRule="exact"/>
        <w:ind w:right="641" w:firstLine="3360"/>
        <w:rPr>
          <w:spacing w:val="-12"/>
          <w:sz w:val="30"/>
          <w:szCs w:val="30"/>
        </w:rPr>
      </w:pPr>
      <w:r w:rsidRPr="007B5D03">
        <w:rPr>
          <w:rFonts w:hAnsi="標楷體"/>
          <w:spacing w:val="-12"/>
          <w:sz w:val="30"/>
          <w:szCs w:val="30"/>
        </w:rPr>
        <w:t>聲　請　人：兆豐證券股份有限公司</w:t>
      </w:r>
    </w:p>
    <w:p w:rsidR="00514426" w:rsidRPr="007B5D03" w:rsidRDefault="00514426" w:rsidP="00FB2D5A">
      <w:pPr>
        <w:spacing w:line="437" w:lineRule="exact"/>
        <w:ind w:right="641" w:firstLine="3360"/>
        <w:rPr>
          <w:sz w:val="30"/>
          <w:szCs w:val="30"/>
        </w:rPr>
      </w:pPr>
      <w:r w:rsidRPr="007B5D03">
        <w:rPr>
          <w:rFonts w:hAnsi="標楷體"/>
          <w:sz w:val="30"/>
          <w:szCs w:val="30"/>
        </w:rPr>
        <w:t>代　表　人：簡　鴻　文</w:t>
      </w:r>
    </w:p>
    <w:p w:rsidR="00514426" w:rsidRPr="007B5D03" w:rsidRDefault="00514426" w:rsidP="00FB2D5A">
      <w:pPr>
        <w:spacing w:line="437" w:lineRule="exact"/>
        <w:ind w:right="641" w:firstLine="3360"/>
        <w:rPr>
          <w:sz w:val="30"/>
          <w:szCs w:val="30"/>
        </w:rPr>
      </w:pPr>
      <w:r w:rsidRPr="007B5D03">
        <w:rPr>
          <w:rFonts w:hAnsi="標楷體"/>
          <w:sz w:val="30"/>
          <w:szCs w:val="30"/>
        </w:rPr>
        <w:t>聲請代理人：袁　金　蘭　會計師</w:t>
      </w:r>
    </w:p>
    <w:p w:rsidR="00514426" w:rsidRPr="007B5D03" w:rsidRDefault="00514426" w:rsidP="00FB2D5A">
      <w:pPr>
        <w:spacing w:line="437" w:lineRule="exact"/>
        <w:ind w:right="641" w:firstLine="3360"/>
        <w:rPr>
          <w:sz w:val="30"/>
          <w:szCs w:val="30"/>
        </w:rPr>
      </w:pPr>
      <w:r w:rsidRPr="007B5D03">
        <w:rPr>
          <w:rFonts w:hAnsi="標楷體"/>
          <w:sz w:val="30"/>
          <w:szCs w:val="30"/>
        </w:rPr>
        <w:t xml:space="preserve">　　　　　　林　瑞　彬　律　師</w:t>
      </w:r>
    </w:p>
    <w:p w:rsidR="00514426" w:rsidRPr="007B5D03" w:rsidRDefault="00514426" w:rsidP="00FB2D5A">
      <w:pPr>
        <w:spacing w:line="437" w:lineRule="exact"/>
        <w:jc w:val="distribute"/>
        <w:rPr>
          <w:sz w:val="30"/>
          <w:szCs w:val="30"/>
        </w:rPr>
      </w:pPr>
      <w:r w:rsidRPr="007B5D03">
        <w:rPr>
          <w:rFonts w:hAnsi="標楷體"/>
          <w:sz w:val="30"/>
          <w:szCs w:val="30"/>
        </w:rPr>
        <w:t>中華民國九十七年十月　日</w:t>
      </w:r>
    </w:p>
    <w:p w:rsidR="00514426" w:rsidRPr="007B5D03" w:rsidRDefault="00514426" w:rsidP="00FB2D5A">
      <w:pPr>
        <w:spacing w:line="437" w:lineRule="exact"/>
        <w:ind w:right="57"/>
        <w:rPr>
          <w:sz w:val="30"/>
          <w:szCs w:val="30"/>
        </w:rPr>
      </w:pPr>
    </w:p>
    <w:p w:rsidR="00514426" w:rsidRPr="007B5D03" w:rsidRDefault="00514426" w:rsidP="00FB2D5A">
      <w:pPr>
        <w:spacing w:line="437" w:lineRule="exact"/>
        <w:rPr>
          <w:sz w:val="30"/>
          <w:szCs w:val="30"/>
        </w:rPr>
      </w:pPr>
      <w:r w:rsidRPr="007B5D03">
        <w:rPr>
          <w:rFonts w:hAnsi="標楷體"/>
          <w:sz w:val="30"/>
          <w:szCs w:val="30"/>
        </w:rPr>
        <w:t>（附件一）</w:t>
      </w:r>
    </w:p>
    <w:p w:rsidR="00514426" w:rsidRPr="007B5D03" w:rsidRDefault="00514426" w:rsidP="00FB2D5A">
      <w:pPr>
        <w:spacing w:line="437" w:lineRule="exact"/>
        <w:jc w:val="distribute"/>
        <w:rPr>
          <w:sz w:val="30"/>
          <w:szCs w:val="30"/>
        </w:rPr>
      </w:pPr>
      <w:r w:rsidRPr="007B5D03">
        <w:rPr>
          <w:rFonts w:hAnsi="標楷體"/>
          <w:sz w:val="30"/>
          <w:szCs w:val="30"/>
        </w:rPr>
        <w:t xml:space="preserve">最高行政法院判決　　　　</w:t>
      </w:r>
      <w:r w:rsidRPr="007B5D03">
        <w:rPr>
          <w:sz w:val="30"/>
          <w:szCs w:val="30"/>
        </w:rPr>
        <w:t>97</w:t>
      </w:r>
      <w:r w:rsidRPr="007B5D03">
        <w:rPr>
          <w:rFonts w:hAnsi="標楷體"/>
          <w:sz w:val="30"/>
          <w:szCs w:val="30"/>
        </w:rPr>
        <w:t>年度判字第</w:t>
      </w:r>
      <w:r w:rsidRPr="007B5D03">
        <w:rPr>
          <w:sz w:val="30"/>
          <w:szCs w:val="30"/>
        </w:rPr>
        <w:t>183</w:t>
      </w:r>
      <w:r w:rsidRPr="007B5D03">
        <w:rPr>
          <w:rFonts w:hAnsi="標楷體"/>
          <w:sz w:val="30"/>
          <w:szCs w:val="30"/>
        </w:rPr>
        <w:t>號</w:t>
      </w:r>
    </w:p>
    <w:p w:rsidR="00514426" w:rsidRPr="007B5D03" w:rsidRDefault="00514426" w:rsidP="00FB2D5A">
      <w:pPr>
        <w:spacing w:line="437" w:lineRule="exact"/>
        <w:rPr>
          <w:sz w:val="30"/>
          <w:szCs w:val="30"/>
        </w:rPr>
      </w:pPr>
      <w:r w:rsidRPr="007B5D03">
        <w:rPr>
          <w:rFonts w:hAnsi="標楷體"/>
          <w:sz w:val="30"/>
          <w:szCs w:val="30"/>
        </w:rPr>
        <w:t>上　訴　人　財政部臺北市國稅局</w:t>
      </w:r>
    </w:p>
    <w:p w:rsidR="00514426" w:rsidRPr="007B5D03" w:rsidRDefault="00514426" w:rsidP="00FB2D5A">
      <w:pPr>
        <w:spacing w:line="437" w:lineRule="exact"/>
        <w:rPr>
          <w:sz w:val="30"/>
          <w:szCs w:val="30"/>
        </w:rPr>
      </w:pPr>
      <w:r w:rsidRPr="007B5D03">
        <w:rPr>
          <w:rFonts w:hAnsi="標楷體"/>
          <w:sz w:val="30"/>
          <w:szCs w:val="30"/>
        </w:rPr>
        <w:t>代　表　人　凌　忠　嫄（局長）</w:t>
      </w:r>
    </w:p>
    <w:p w:rsidR="00514426" w:rsidRPr="007B5D03" w:rsidRDefault="00514426" w:rsidP="00FB2D5A">
      <w:pPr>
        <w:spacing w:line="437" w:lineRule="exact"/>
        <w:ind w:left="2400" w:hangingChars="600" w:hanging="2400"/>
        <w:rPr>
          <w:sz w:val="30"/>
          <w:szCs w:val="30"/>
        </w:rPr>
      </w:pPr>
      <w:r w:rsidRPr="007B5D03">
        <w:rPr>
          <w:rFonts w:hAnsi="標楷體"/>
          <w:spacing w:val="50"/>
          <w:sz w:val="30"/>
          <w:szCs w:val="30"/>
        </w:rPr>
        <w:t>被</w:t>
      </w:r>
      <w:r w:rsidRPr="007B5D03">
        <w:rPr>
          <w:rFonts w:hAnsi="標楷體" w:hint="eastAsia"/>
          <w:spacing w:val="50"/>
          <w:sz w:val="30"/>
          <w:szCs w:val="30"/>
        </w:rPr>
        <w:t>上訴</w:t>
      </w:r>
      <w:r w:rsidRPr="007B5D03">
        <w:rPr>
          <w:rFonts w:hAnsi="標楷體" w:hint="eastAsia"/>
          <w:spacing w:val="-2"/>
          <w:sz w:val="30"/>
          <w:szCs w:val="30"/>
        </w:rPr>
        <w:t xml:space="preserve">人　</w:t>
      </w:r>
      <w:r w:rsidRPr="007B5D03">
        <w:rPr>
          <w:rFonts w:hAnsi="標楷體"/>
          <w:sz w:val="30"/>
          <w:szCs w:val="30"/>
        </w:rPr>
        <w:t>兆豐證券股份有限公司</w:t>
      </w:r>
    </w:p>
    <w:p w:rsidR="00514426" w:rsidRPr="007B5D03" w:rsidRDefault="00514426" w:rsidP="00FB2D5A">
      <w:pPr>
        <w:spacing w:line="437" w:lineRule="exact"/>
        <w:ind w:leftChars="500" w:left="3200" w:hangingChars="600" w:hanging="1800"/>
        <w:rPr>
          <w:sz w:val="30"/>
          <w:szCs w:val="30"/>
        </w:rPr>
      </w:pPr>
      <w:r w:rsidRPr="007B5D03">
        <w:rPr>
          <w:rFonts w:hAnsi="標楷體"/>
          <w:sz w:val="30"/>
          <w:szCs w:val="30"/>
        </w:rPr>
        <w:t>（原名</w:t>
      </w:r>
      <w:r w:rsidRPr="007B5D03">
        <w:rPr>
          <w:sz w:val="30"/>
          <w:szCs w:val="30"/>
        </w:rPr>
        <w:t>:</w:t>
      </w:r>
      <w:r w:rsidRPr="007B5D03">
        <w:rPr>
          <w:rFonts w:hAnsi="標楷體"/>
          <w:sz w:val="30"/>
          <w:szCs w:val="30"/>
        </w:rPr>
        <w:t>倍利國際綜合證券股份有限公司）</w:t>
      </w:r>
    </w:p>
    <w:p w:rsidR="00514426" w:rsidRPr="007B5D03" w:rsidRDefault="00514426" w:rsidP="00FB2D5A">
      <w:pPr>
        <w:spacing w:line="437" w:lineRule="exact"/>
        <w:rPr>
          <w:rFonts w:hAnsi="標楷體" w:hint="eastAsia"/>
          <w:sz w:val="30"/>
          <w:szCs w:val="30"/>
        </w:rPr>
      </w:pPr>
      <w:r w:rsidRPr="007B5D03">
        <w:rPr>
          <w:rFonts w:hAnsi="標楷體"/>
          <w:sz w:val="30"/>
          <w:szCs w:val="30"/>
        </w:rPr>
        <w:t>代　表　人</w:t>
      </w:r>
      <w:r w:rsidRPr="007B5D03">
        <w:rPr>
          <w:rFonts w:hAnsi="標楷體" w:hint="eastAsia"/>
          <w:sz w:val="30"/>
          <w:szCs w:val="30"/>
        </w:rPr>
        <w:t xml:space="preserve">　簡　鴻　文</w:t>
      </w:r>
    </w:p>
    <w:p w:rsidR="00514426" w:rsidRPr="007B5D03" w:rsidRDefault="00514426" w:rsidP="00FB2D5A">
      <w:pPr>
        <w:spacing w:line="437" w:lineRule="exact"/>
        <w:rPr>
          <w:sz w:val="30"/>
          <w:szCs w:val="30"/>
        </w:rPr>
      </w:pPr>
      <w:r w:rsidRPr="007B5D03">
        <w:rPr>
          <w:rFonts w:hAnsi="標楷體"/>
          <w:sz w:val="30"/>
          <w:szCs w:val="30"/>
        </w:rPr>
        <w:t>訴訟代理人　許　祺　昌</w:t>
      </w:r>
    </w:p>
    <w:p w:rsidR="00514426" w:rsidRPr="007B5D03" w:rsidRDefault="00514426" w:rsidP="00FB2D5A">
      <w:pPr>
        <w:spacing w:line="437" w:lineRule="exact"/>
        <w:rPr>
          <w:sz w:val="30"/>
          <w:szCs w:val="30"/>
        </w:rPr>
      </w:pPr>
      <w:r w:rsidRPr="007B5D03">
        <w:rPr>
          <w:rFonts w:hAnsi="標楷體"/>
          <w:sz w:val="30"/>
          <w:szCs w:val="30"/>
        </w:rPr>
        <w:t xml:space="preserve">　　　　　　利　浩　廷</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上列當事人間營利事業所得稅事件，上訴人對於</w:t>
      </w:r>
      <w:smartTag w:uri="urn:schemas-microsoft-com:office:smarttags" w:element="chsdate">
        <w:smartTagPr>
          <w:attr w:name="IsROCDate" w:val="True"/>
          <w:attr w:name="IsLunarDate" w:val="False"/>
          <w:attr w:name="Day" w:val="27"/>
          <w:attr w:name="Month" w:val="4"/>
          <w:attr w:name="Year" w:val="2006"/>
        </w:smartTagPr>
        <w:r w:rsidRPr="007B5D03">
          <w:rPr>
            <w:rFonts w:hAnsi="標楷體"/>
            <w:sz w:val="30"/>
            <w:szCs w:val="30"/>
          </w:rPr>
          <w:t>中華民國</w:t>
        </w:r>
        <w:r w:rsidRPr="007B5D03">
          <w:rPr>
            <w:sz w:val="30"/>
            <w:szCs w:val="30"/>
          </w:rPr>
          <w:t>95</w:t>
        </w:r>
        <w:r w:rsidRPr="007B5D03">
          <w:rPr>
            <w:rFonts w:hAnsi="標楷體"/>
            <w:sz w:val="30"/>
            <w:szCs w:val="30"/>
          </w:rPr>
          <w:t>年</w:t>
        </w:r>
        <w:r w:rsidRPr="007B5D03">
          <w:rPr>
            <w:sz w:val="30"/>
            <w:szCs w:val="30"/>
          </w:rPr>
          <w:t>4</w:t>
        </w:r>
        <w:r w:rsidRPr="007B5D03">
          <w:rPr>
            <w:rFonts w:hAnsi="標楷體"/>
            <w:spacing w:val="6"/>
            <w:sz w:val="30"/>
            <w:szCs w:val="30"/>
          </w:rPr>
          <w:t>月</w:t>
        </w:r>
        <w:r w:rsidRPr="007B5D03">
          <w:rPr>
            <w:spacing w:val="6"/>
            <w:sz w:val="30"/>
            <w:szCs w:val="30"/>
          </w:rPr>
          <w:t>27</w:t>
        </w:r>
        <w:r w:rsidRPr="007B5D03">
          <w:rPr>
            <w:rFonts w:hAnsi="標楷體"/>
            <w:spacing w:val="6"/>
            <w:sz w:val="30"/>
            <w:szCs w:val="30"/>
          </w:rPr>
          <w:t>日</w:t>
        </w:r>
      </w:smartTag>
      <w:r w:rsidRPr="007B5D03">
        <w:rPr>
          <w:rFonts w:hAnsi="標楷體"/>
          <w:spacing w:val="6"/>
          <w:sz w:val="30"/>
          <w:szCs w:val="30"/>
        </w:rPr>
        <w:t>臺北高等行政法院</w:t>
      </w:r>
      <w:r w:rsidRPr="007B5D03">
        <w:rPr>
          <w:spacing w:val="6"/>
          <w:sz w:val="30"/>
          <w:szCs w:val="30"/>
        </w:rPr>
        <w:t>94</w:t>
      </w:r>
      <w:r w:rsidRPr="007B5D03">
        <w:rPr>
          <w:rFonts w:hAnsi="標楷體"/>
          <w:spacing w:val="6"/>
          <w:sz w:val="30"/>
          <w:szCs w:val="30"/>
        </w:rPr>
        <w:t>年度訴字第</w:t>
      </w:r>
      <w:r w:rsidRPr="007B5D03">
        <w:rPr>
          <w:spacing w:val="6"/>
          <w:sz w:val="30"/>
          <w:szCs w:val="30"/>
        </w:rPr>
        <w:t>1669</w:t>
      </w:r>
      <w:r w:rsidRPr="007B5D03">
        <w:rPr>
          <w:rFonts w:hAnsi="標楷體"/>
          <w:spacing w:val="6"/>
          <w:sz w:val="30"/>
          <w:szCs w:val="30"/>
        </w:rPr>
        <w:t>號判決，提起上</w:t>
      </w:r>
      <w:r w:rsidRPr="007B5D03">
        <w:rPr>
          <w:rFonts w:hAnsi="標楷體"/>
          <w:sz w:val="30"/>
          <w:szCs w:val="30"/>
        </w:rPr>
        <w:t>訴，本院判決如下：</w:t>
      </w:r>
    </w:p>
    <w:p w:rsidR="00514426" w:rsidRPr="007B5D03" w:rsidRDefault="00514426" w:rsidP="00FB2D5A">
      <w:pPr>
        <w:spacing w:line="437" w:lineRule="exact"/>
        <w:rPr>
          <w:sz w:val="30"/>
          <w:szCs w:val="30"/>
        </w:rPr>
      </w:pPr>
      <w:r w:rsidRPr="007B5D03">
        <w:rPr>
          <w:rFonts w:hAnsi="標楷體"/>
          <w:sz w:val="30"/>
          <w:szCs w:val="30"/>
        </w:rPr>
        <w:t xml:space="preserve">　　主　文</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原判決廢棄。</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被上訴人在第一審之訴駁回。</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第一審及上訴審訴訟費用均由被上訴人負擔。</w:t>
      </w:r>
    </w:p>
    <w:p w:rsidR="00514426" w:rsidRPr="007B5D03" w:rsidRDefault="00514426" w:rsidP="00FB2D5A">
      <w:pPr>
        <w:spacing w:line="437" w:lineRule="exact"/>
        <w:rPr>
          <w:sz w:val="30"/>
          <w:szCs w:val="30"/>
        </w:rPr>
      </w:pPr>
      <w:r w:rsidRPr="007B5D03">
        <w:rPr>
          <w:rFonts w:hAnsi="標楷體"/>
          <w:sz w:val="30"/>
          <w:szCs w:val="30"/>
        </w:rPr>
        <w:t xml:space="preserve">　　事實及理由</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lastRenderedPageBreak/>
        <w:t>一</w:t>
      </w:r>
      <w:r w:rsidRPr="007B5D03">
        <w:rPr>
          <w:rFonts w:hAnsi="標楷體"/>
          <w:spacing w:val="8"/>
          <w:sz w:val="30"/>
          <w:szCs w:val="30"/>
        </w:rPr>
        <w:t>、</w:t>
      </w:r>
      <w:r w:rsidRPr="007B5D03">
        <w:rPr>
          <w:rFonts w:hAnsi="標楷體"/>
          <w:spacing w:val="4"/>
          <w:sz w:val="30"/>
          <w:szCs w:val="30"/>
        </w:rPr>
        <w:t>被上訴人</w:t>
      </w:r>
      <w:r w:rsidRPr="007B5D03">
        <w:rPr>
          <w:spacing w:val="4"/>
          <w:sz w:val="30"/>
          <w:szCs w:val="30"/>
        </w:rPr>
        <w:t>90</w:t>
      </w:r>
      <w:r w:rsidRPr="007B5D03">
        <w:rPr>
          <w:rFonts w:hAnsi="標楷體"/>
          <w:spacing w:val="4"/>
          <w:sz w:val="30"/>
          <w:szCs w:val="30"/>
        </w:rPr>
        <w:t>年度營利事業所得稅結算申報，原列報營業收入新臺幣（下同）</w:t>
      </w:r>
      <w:r w:rsidRPr="007B5D03">
        <w:rPr>
          <w:spacing w:val="4"/>
          <w:sz w:val="30"/>
          <w:szCs w:val="30"/>
        </w:rPr>
        <w:t>62,567,647,830</w:t>
      </w:r>
      <w:r w:rsidRPr="007B5D03">
        <w:rPr>
          <w:rFonts w:hAnsi="標楷體"/>
          <w:spacing w:val="4"/>
          <w:sz w:val="30"/>
          <w:szCs w:val="30"/>
        </w:rPr>
        <w:t>元，其中</w:t>
      </w:r>
      <w:r w:rsidRPr="007B5D03">
        <w:rPr>
          <w:spacing w:val="4"/>
          <w:sz w:val="30"/>
          <w:szCs w:val="30"/>
        </w:rPr>
        <w:t>15,870,074</w:t>
      </w:r>
      <w:r w:rsidRPr="007B5D03">
        <w:rPr>
          <w:rFonts w:hAnsi="標楷體"/>
          <w:spacing w:val="4"/>
          <w:sz w:val="30"/>
          <w:szCs w:val="30"/>
        </w:rPr>
        <w:t>元為本期到期之華碩電腦及中國國際商銀組合式普通股認購權</w:t>
      </w:r>
      <w:r w:rsidRPr="007B5D03">
        <w:rPr>
          <w:rFonts w:hAnsi="標楷體"/>
          <w:sz w:val="30"/>
          <w:szCs w:val="30"/>
        </w:rPr>
        <w:t>證，上訴人初查以上開認購權證發行總額為</w:t>
      </w:r>
      <w:r w:rsidRPr="007B5D03">
        <w:rPr>
          <w:sz w:val="30"/>
          <w:szCs w:val="30"/>
        </w:rPr>
        <w:t>528,750,000</w:t>
      </w:r>
      <w:r w:rsidRPr="007B5D03">
        <w:rPr>
          <w:rFonts w:hAnsi="標楷體"/>
          <w:sz w:val="30"/>
          <w:szCs w:val="30"/>
        </w:rPr>
        <w:t>元，</w:t>
      </w:r>
      <w:r w:rsidRPr="007B5D03">
        <w:rPr>
          <w:rFonts w:hAnsi="標楷體"/>
          <w:spacing w:val="4"/>
          <w:sz w:val="30"/>
          <w:szCs w:val="30"/>
        </w:rPr>
        <w:t>依財政部</w:t>
      </w:r>
      <w:smartTag w:uri="urn:schemas-microsoft-com:office:smarttags" w:element="chsdate">
        <w:smartTagPr>
          <w:attr w:name="IsROCDate" w:val="True"/>
          <w:attr w:name="IsLunarDate" w:val="False"/>
          <w:attr w:name="Day" w:val="11"/>
          <w:attr w:name="Month" w:val="12"/>
          <w:attr w:name="Year" w:val="1997"/>
        </w:smartTagPr>
        <w:r w:rsidRPr="007B5D03">
          <w:rPr>
            <w:rFonts w:hAnsi="標楷體" w:hint="eastAsia"/>
            <w:spacing w:val="4"/>
            <w:sz w:val="30"/>
            <w:szCs w:val="30"/>
          </w:rPr>
          <w:t>中華</w:t>
        </w:r>
        <w:r w:rsidRPr="007B5D03">
          <w:rPr>
            <w:rFonts w:hAnsi="標楷體"/>
            <w:spacing w:val="4"/>
            <w:sz w:val="30"/>
            <w:szCs w:val="30"/>
          </w:rPr>
          <w:t>民國</w:t>
        </w: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w:t>
        </w:r>
        <w:r w:rsidRPr="007B5D03">
          <w:rPr>
            <w:rFonts w:hAnsi="標楷體" w:hint="eastAsia"/>
            <w:spacing w:val="4"/>
            <w:sz w:val="30"/>
            <w:szCs w:val="30"/>
          </w:rPr>
          <w:t>1</w:t>
        </w:r>
        <w:r w:rsidRPr="007B5D03">
          <w:rPr>
            <w:spacing w:val="4"/>
            <w:sz w:val="30"/>
            <w:szCs w:val="30"/>
          </w:rPr>
          <w:t>1</w:t>
        </w:r>
        <w:r w:rsidRPr="007B5D03">
          <w:rPr>
            <w:rFonts w:hAnsi="標楷體"/>
            <w:spacing w:val="4"/>
            <w:sz w:val="30"/>
            <w:szCs w:val="30"/>
          </w:rPr>
          <w:t>日</w:t>
        </w:r>
      </w:smartTag>
      <w:r w:rsidRPr="007B5D03">
        <w:rPr>
          <w:rFonts w:hAnsi="標楷體" w:hint="eastAsia"/>
          <w:spacing w:val="4"/>
          <w:sz w:val="30"/>
          <w:szCs w:val="30"/>
        </w:rPr>
        <w:t>台</w:t>
      </w:r>
      <w:r w:rsidRPr="007B5D03">
        <w:rPr>
          <w:rFonts w:hAnsi="標楷體"/>
          <w:spacing w:val="4"/>
          <w:sz w:val="30"/>
          <w:szCs w:val="30"/>
        </w:rPr>
        <w:t>財稅第</w:t>
      </w:r>
      <w:r w:rsidRPr="007B5D03">
        <w:rPr>
          <w:spacing w:val="4"/>
          <w:sz w:val="30"/>
          <w:szCs w:val="30"/>
        </w:rPr>
        <w:t>861922464</w:t>
      </w:r>
      <w:r w:rsidRPr="007B5D03">
        <w:rPr>
          <w:rFonts w:hAnsi="標楷體"/>
          <w:spacing w:val="4"/>
          <w:sz w:val="30"/>
          <w:szCs w:val="30"/>
        </w:rPr>
        <w:t>號函釋（下稱財政部</w:t>
      </w: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月函釋）意旨，係屬應稅之權利金收入，減除未出售部分</w:t>
      </w:r>
      <w:r w:rsidRPr="007B5D03">
        <w:rPr>
          <w:spacing w:val="4"/>
          <w:sz w:val="30"/>
          <w:szCs w:val="30"/>
        </w:rPr>
        <w:t>71,011,125</w:t>
      </w:r>
      <w:r w:rsidRPr="007B5D03">
        <w:rPr>
          <w:rFonts w:hAnsi="標楷體"/>
          <w:spacing w:val="4"/>
          <w:sz w:val="30"/>
          <w:szCs w:val="30"/>
        </w:rPr>
        <w:t>元，而調增營業收入</w:t>
      </w:r>
      <w:r w:rsidRPr="007B5D03">
        <w:rPr>
          <w:sz w:val="30"/>
          <w:szCs w:val="30"/>
        </w:rPr>
        <w:t>441,868,801</w:t>
      </w:r>
      <w:r w:rsidRPr="007B5D03">
        <w:rPr>
          <w:rFonts w:hAnsi="標楷體"/>
          <w:sz w:val="30"/>
          <w:szCs w:val="30"/>
        </w:rPr>
        <w:t>元；另將處分短期投資損失</w:t>
      </w:r>
      <w:r w:rsidRPr="007B5D03">
        <w:rPr>
          <w:sz w:val="30"/>
          <w:szCs w:val="30"/>
        </w:rPr>
        <w:t>67,078,523</w:t>
      </w:r>
      <w:r w:rsidRPr="007B5D03">
        <w:rPr>
          <w:rFonts w:hAnsi="標楷體"/>
          <w:sz w:val="30"/>
          <w:szCs w:val="30"/>
        </w:rPr>
        <w:t>元改以總額法表達（收入</w:t>
      </w:r>
      <w:r w:rsidRPr="007B5D03">
        <w:rPr>
          <w:sz w:val="30"/>
          <w:szCs w:val="30"/>
        </w:rPr>
        <w:t>1,742,921,477</w:t>
      </w:r>
      <w:r w:rsidRPr="007B5D03">
        <w:rPr>
          <w:rFonts w:hAnsi="標楷體"/>
          <w:sz w:val="30"/>
          <w:szCs w:val="30"/>
        </w:rPr>
        <w:t>元、成本</w:t>
      </w:r>
      <w:r w:rsidRPr="007B5D03">
        <w:rPr>
          <w:sz w:val="30"/>
          <w:szCs w:val="30"/>
        </w:rPr>
        <w:t>1,810,000,000</w:t>
      </w:r>
      <w:r w:rsidRPr="007B5D03">
        <w:rPr>
          <w:rFonts w:hAnsi="標楷體"/>
          <w:sz w:val="30"/>
          <w:szCs w:val="30"/>
        </w:rPr>
        <w:t>元），</w:t>
      </w:r>
      <w:r w:rsidRPr="007B5D03">
        <w:rPr>
          <w:rFonts w:hAnsi="標楷體"/>
          <w:spacing w:val="4"/>
          <w:sz w:val="30"/>
          <w:szCs w:val="30"/>
        </w:rPr>
        <w:t>核定營業收入為</w:t>
      </w:r>
      <w:r w:rsidRPr="007B5D03">
        <w:rPr>
          <w:spacing w:val="4"/>
          <w:sz w:val="30"/>
          <w:szCs w:val="30"/>
        </w:rPr>
        <w:t>64,752,438,108</w:t>
      </w:r>
      <w:r w:rsidRPr="007B5D03">
        <w:rPr>
          <w:rFonts w:hAnsi="標楷體"/>
          <w:spacing w:val="4"/>
          <w:sz w:val="30"/>
          <w:szCs w:val="30"/>
        </w:rPr>
        <w:t>元。被上訴人不服，申請復</w:t>
      </w:r>
      <w:r w:rsidRPr="007B5D03">
        <w:rPr>
          <w:rFonts w:hAnsi="標楷體"/>
          <w:sz w:val="30"/>
          <w:szCs w:val="30"/>
        </w:rPr>
        <w:t>查，未獲變更，提起訴願亦經決定駁回後，遂提起本件行政</w:t>
      </w:r>
      <w:r w:rsidRPr="007B5D03">
        <w:rPr>
          <w:rFonts w:hAnsi="標楷體"/>
          <w:spacing w:val="4"/>
          <w:sz w:val="30"/>
          <w:szCs w:val="30"/>
        </w:rPr>
        <w:t>訴訟。</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二、被上訴人在原審起訴主張：認購權證之實際運作方式，係認購權證投資人在付出一定價金（權利金）後，即有權利在認購權證之存續期間內或特定時點上，決定是否以事先約定之價格（即履約價格），向發行券商買進該權證可認購之標的股票。觀其「經濟實質」，履約損益係為履行權利金收入之義務所產生，縱履約損益於法律形式上屬免稅之證券交易所得，亦應與權利金收入併同課稅，方符「實質課稅原則」之</w:t>
      </w:r>
      <w:r w:rsidRPr="007B5D03">
        <w:rPr>
          <w:rFonts w:hAnsi="標楷體"/>
          <w:spacing w:val="-4"/>
          <w:sz w:val="30"/>
          <w:szCs w:val="30"/>
        </w:rPr>
        <w:t>意涵。按「發行人申請發行認購（售）權證處理要點」、「臺</w:t>
      </w:r>
      <w:r w:rsidRPr="007B5D03">
        <w:rPr>
          <w:rFonts w:hAnsi="標楷體"/>
          <w:spacing w:val="4"/>
          <w:sz w:val="30"/>
          <w:szCs w:val="30"/>
        </w:rPr>
        <w:t>灣證券交易所股份有限公司</w:t>
      </w:r>
      <w:r w:rsidRPr="007B5D03">
        <w:rPr>
          <w:spacing w:val="4"/>
          <w:sz w:val="30"/>
          <w:szCs w:val="30"/>
        </w:rPr>
        <w:t>(</w:t>
      </w:r>
      <w:r w:rsidRPr="007B5D03">
        <w:rPr>
          <w:rFonts w:hAnsi="標楷體"/>
          <w:spacing w:val="4"/>
          <w:sz w:val="30"/>
          <w:szCs w:val="30"/>
        </w:rPr>
        <w:t>下稱證交所</w:t>
      </w:r>
      <w:r w:rsidRPr="007B5D03">
        <w:rPr>
          <w:spacing w:val="4"/>
          <w:sz w:val="30"/>
          <w:szCs w:val="30"/>
        </w:rPr>
        <w:t>)</w:t>
      </w:r>
      <w:r w:rsidRPr="007B5D03">
        <w:rPr>
          <w:rFonts w:hAnsi="標楷體"/>
          <w:spacing w:val="4"/>
          <w:sz w:val="30"/>
          <w:szCs w:val="30"/>
        </w:rPr>
        <w:t>認購（售）權證上</w:t>
      </w:r>
      <w:r w:rsidRPr="007B5D03">
        <w:rPr>
          <w:rFonts w:hAnsi="標楷體"/>
          <w:spacing w:val="-4"/>
          <w:sz w:val="30"/>
          <w:szCs w:val="30"/>
        </w:rPr>
        <w:t>市審查準則」及「證交所審查認購（售）權證上市作業程序」</w:t>
      </w:r>
      <w:r w:rsidRPr="007B5D03">
        <w:rPr>
          <w:rFonts w:hAnsi="標楷體"/>
          <w:sz w:val="30"/>
          <w:szCs w:val="30"/>
        </w:rPr>
        <w:t>等規定，可知券商發行認購權證依主管機關規定應有適當之避險措施，發行認購權證所產生之避險損失依「實質課稅原則」不應適用財政部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月函釋予以免稅，自應回歸所</w:t>
      </w:r>
      <w:r w:rsidRPr="007B5D03">
        <w:rPr>
          <w:rFonts w:hAnsi="標楷體"/>
          <w:spacing w:val="4"/>
          <w:sz w:val="30"/>
          <w:szCs w:val="30"/>
        </w:rPr>
        <w:t>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項所揭櫫之「成本收入配合原則」於權</w:t>
      </w:r>
      <w:r w:rsidRPr="007B5D03">
        <w:rPr>
          <w:rFonts w:hAnsi="標楷體"/>
          <w:sz w:val="30"/>
          <w:szCs w:val="30"/>
        </w:rPr>
        <w:t>利金項下減除，上訴</w:t>
      </w:r>
      <w:r w:rsidRPr="007B5D03">
        <w:rPr>
          <w:rFonts w:hAnsi="標楷體"/>
          <w:sz w:val="30"/>
          <w:szCs w:val="30"/>
        </w:rPr>
        <w:lastRenderedPageBreak/>
        <w:t>人依司法院釋字第</w:t>
      </w:r>
      <w:r w:rsidRPr="007B5D03">
        <w:rPr>
          <w:sz w:val="30"/>
          <w:szCs w:val="30"/>
        </w:rPr>
        <w:t>493</w:t>
      </w:r>
      <w:r w:rsidRPr="007B5D03">
        <w:rPr>
          <w:rFonts w:hAnsi="標楷體"/>
          <w:sz w:val="30"/>
          <w:szCs w:val="30"/>
        </w:rPr>
        <w:t>號解釋主張免稅所得並未排除收入成本配合原則之適用，其免稅與應稅之成</w:t>
      </w:r>
      <w:r w:rsidRPr="007B5D03">
        <w:rPr>
          <w:rFonts w:hAnsi="標楷體"/>
          <w:spacing w:val="4"/>
          <w:sz w:val="30"/>
          <w:szCs w:val="30"/>
        </w:rPr>
        <w:t>本應個別歸屬認定，是權利金收入與避險損失應分別適用</w:t>
      </w:r>
      <w:r w:rsidRPr="007B5D03">
        <w:rPr>
          <w:rFonts w:hAnsi="標楷體"/>
          <w:sz w:val="30"/>
          <w:szCs w:val="30"/>
        </w:rPr>
        <w:t>應、免稅之規定，顯有誤解。另所得稅法第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之立法意旨為鼓勵人民參與資本市場，活絡證券交易，然該條文早</w:t>
      </w:r>
      <w:r w:rsidRPr="007B5D03">
        <w:rPr>
          <w:rFonts w:hAnsi="標楷體"/>
          <w:spacing w:val="4"/>
          <w:sz w:val="30"/>
          <w:szCs w:val="30"/>
        </w:rPr>
        <w:t>於</w:t>
      </w:r>
      <w:smartTag w:uri="urn:schemas-microsoft-com:office:smarttags" w:element="chsdate">
        <w:smartTagPr>
          <w:attr w:name="IsROCDate" w:val="False"/>
          <w:attr w:name="IsLunarDate" w:val="False"/>
          <w:attr w:name="Day" w:val="1"/>
          <w:attr w:name="Month" w:val="1"/>
          <w:attr w:name="Year" w:val="1979"/>
        </w:smartTagPr>
        <w:r w:rsidRPr="007B5D03">
          <w:rPr>
            <w:spacing w:val="4"/>
            <w:sz w:val="30"/>
            <w:szCs w:val="30"/>
          </w:rPr>
          <w:t>79</w:t>
        </w:r>
        <w:r w:rsidRPr="007B5D03">
          <w:rPr>
            <w:rFonts w:hAnsi="標楷體"/>
            <w:spacing w:val="4"/>
            <w:sz w:val="30"/>
            <w:szCs w:val="30"/>
          </w:rPr>
          <w:t>年</w:t>
        </w:r>
        <w:r w:rsidRPr="007B5D03">
          <w:rPr>
            <w:spacing w:val="4"/>
            <w:sz w:val="30"/>
            <w:szCs w:val="30"/>
          </w:rPr>
          <w:t>1</w:t>
        </w:r>
        <w:r w:rsidRPr="007B5D03">
          <w:rPr>
            <w:rFonts w:hAnsi="標楷體"/>
            <w:spacing w:val="4"/>
            <w:sz w:val="30"/>
            <w:szCs w:val="30"/>
          </w:rPr>
          <w:t>月</w:t>
        </w:r>
        <w:r w:rsidRPr="007B5D03">
          <w:rPr>
            <w:spacing w:val="4"/>
            <w:sz w:val="30"/>
            <w:szCs w:val="30"/>
          </w:rPr>
          <w:t>1</w:t>
        </w:r>
        <w:r w:rsidRPr="007B5D03">
          <w:rPr>
            <w:rFonts w:hAnsi="標楷體"/>
            <w:spacing w:val="4"/>
            <w:sz w:val="30"/>
            <w:szCs w:val="30"/>
          </w:rPr>
          <w:t>日</w:t>
        </w:r>
      </w:smartTag>
      <w:r w:rsidRPr="007B5D03">
        <w:rPr>
          <w:rFonts w:hAnsi="標楷體"/>
          <w:spacing w:val="4"/>
          <w:sz w:val="30"/>
          <w:szCs w:val="30"/>
        </w:rPr>
        <w:t>起即開始適用，當時並無認購權證等相關</w:t>
      </w:r>
      <w:r w:rsidRPr="007B5D03">
        <w:rPr>
          <w:rFonts w:hAnsi="標楷體"/>
          <w:sz w:val="30"/>
          <w:szCs w:val="30"/>
        </w:rPr>
        <w:t>金融商品之問市，是於立法之初未針對經主管機關強制避險之情形，亦未考慮認購權證之稅賦議題，今認購權證亦屬其他有價證券，有別於一般證券交易，然上訴人就其發行之收入課稅，因發行義務衍生之履約或避險損益卻予以免稅，即</w:t>
      </w:r>
      <w:r w:rsidRPr="007B5D03">
        <w:rPr>
          <w:rFonts w:hAnsi="標楷體"/>
          <w:spacing w:val="-4"/>
          <w:sz w:val="30"/>
          <w:szCs w:val="30"/>
        </w:rPr>
        <w:t>與所得稅法第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立法意旨有違。又揆諸發行認購（售）</w:t>
      </w:r>
      <w:r w:rsidRPr="007B5D03">
        <w:rPr>
          <w:rFonts w:hAnsi="標楷體"/>
          <w:sz w:val="30"/>
          <w:szCs w:val="30"/>
        </w:rPr>
        <w:t>權證之相關法令規範可知，認購權證發行時已同時產生權利（權利金收入）與義務（避險），依前揭財政部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月函釋，發行權證之損益應採權責發生制於發行期間內分期計算損益或於履約時認列損益，又向投資人收取權利金與操作避險分別為發行認購權證之權利及義務，無從獨立分割，依司法院釋字第</w:t>
      </w:r>
      <w:r w:rsidRPr="007B5D03">
        <w:rPr>
          <w:sz w:val="30"/>
          <w:szCs w:val="30"/>
        </w:rPr>
        <w:t>385</w:t>
      </w:r>
      <w:r w:rsidRPr="007B5D03">
        <w:rPr>
          <w:rFonts w:hAnsi="標楷體"/>
          <w:sz w:val="30"/>
          <w:szCs w:val="30"/>
        </w:rPr>
        <w:t>號解釋，是其避險損失應依權責發生制與權利金收入併計，方能維持其整體性與權利義務之平衡，被</w:t>
      </w:r>
      <w:r w:rsidRPr="007B5D03">
        <w:rPr>
          <w:rFonts w:hAnsi="標楷體"/>
          <w:spacing w:val="6"/>
          <w:sz w:val="30"/>
          <w:szCs w:val="30"/>
        </w:rPr>
        <w:t>上訴人本期因發行認購權證避險部分出售損失為</w:t>
      </w:r>
      <w:r w:rsidRPr="007B5D03">
        <w:rPr>
          <w:sz w:val="30"/>
          <w:szCs w:val="30"/>
        </w:rPr>
        <w:t>135,123,627</w:t>
      </w:r>
      <w:r w:rsidRPr="007B5D03">
        <w:rPr>
          <w:rFonts w:hAnsi="標楷體"/>
          <w:sz w:val="30"/>
          <w:szCs w:val="30"/>
        </w:rPr>
        <w:t>元，不適用所得稅法第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規定，全數轉列為免稅之證券交易所得項下扣除，而應與發行權利金收入併同課稅等語，求為判決訴願決定、原處分（復查決定）均撤銷。</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三、上訴人則以：依</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月函釋規定，認購（售）權證發行人於發行時所取得之發行價款，係屬權利金收入，依所得稅</w:t>
      </w:r>
      <w:r w:rsidRPr="007B5D03">
        <w:rPr>
          <w:rFonts w:hAnsi="標楷體"/>
          <w:spacing w:val="8"/>
          <w:sz w:val="30"/>
          <w:szCs w:val="30"/>
        </w:rPr>
        <w:t>法第</w:t>
      </w:r>
      <w:r w:rsidRPr="007B5D03">
        <w:rPr>
          <w:spacing w:val="8"/>
          <w:sz w:val="30"/>
          <w:szCs w:val="30"/>
        </w:rPr>
        <w:t>22</w:t>
      </w:r>
      <w:r w:rsidRPr="007B5D03">
        <w:rPr>
          <w:rFonts w:hAnsi="標楷體"/>
          <w:spacing w:val="8"/>
          <w:sz w:val="30"/>
          <w:szCs w:val="30"/>
        </w:rPr>
        <w:t>條有關公司組織之會計基礎應採權責發生制之規</w:t>
      </w:r>
      <w:r w:rsidRPr="007B5D03">
        <w:rPr>
          <w:rFonts w:hAnsi="標楷體"/>
          <w:sz w:val="30"/>
          <w:szCs w:val="30"/>
        </w:rPr>
        <w:t>定，應於發行期間內分期計算損益或於履約時認列損益。至於認</w:t>
      </w:r>
      <w:r w:rsidRPr="007B5D03">
        <w:rPr>
          <w:rFonts w:hAnsi="標楷體"/>
          <w:sz w:val="30"/>
          <w:szCs w:val="30"/>
        </w:rPr>
        <w:lastRenderedPageBreak/>
        <w:t>購（售）權證發行人於發行後，因投資人行使權利而售出或購入標的股票產生之證券交易所得或損失，因所得稅法第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規定，爰於該函重申認購（售）權證發行人於發行後，如因投資人行使權利而出售或購入標的股票產生之證券交易所得或損失，應依所得稅法第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規定辦理。而</w:t>
      </w:r>
      <w:r w:rsidRPr="007B5D03">
        <w:rPr>
          <w:rFonts w:hAnsi="標楷體"/>
          <w:spacing w:val="10"/>
          <w:sz w:val="30"/>
          <w:szCs w:val="30"/>
        </w:rPr>
        <w:t>該條所稱證券交易所得或證券交易損失並不區分適用前</w:t>
      </w:r>
      <w:r w:rsidRPr="007B5D03">
        <w:rPr>
          <w:rFonts w:hAnsi="標楷體"/>
          <w:sz w:val="30"/>
          <w:szCs w:val="30"/>
        </w:rPr>
        <w:t>提，不論獨立交易或非獨立交易、主要交易或附屬交易、投資行為或避險行為，凡屬「證券」，其交易之損益皆有其適用，財政部所為之核釋不得超越上開條文規定，而對避險操作之證券交易損益有不同規範。又發行認購（售）權證處理</w:t>
      </w:r>
      <w:r w:rsidRPr="007B5D03">
        <w:rPr>
          <w:rFonts w:hAnsi="標楷體"/>
          <w:spacing w:val="4"/>
          <w:sz w:val="30"/>
          <w:szCs w:val="30"/>
        </w:rPr>
        <w:t>要點第</w:t>
      </w:r>
      <w:r w:rsidRPr="007B5D03">
        <w:rPr>
          <w:spacing w:val="4"/>
          <w:sz w:val="30"/>
          <w:szCs w:val="30"/>
        </w:rPr>
        <w:t>14</w:t>
      </w:r>
      <w:r w:rsidRPr="007B5D03">
        <w:rPr>
          <w:rFonts w:hAnsi="標楷體"/>
          <w:spacing w:val="4"/>
          <w:sz w:val="30"/>
          <w:szCs w:val="30"/>
        </w:rPr>
        <w:t>點及證交所認購（售）權證上市審查準則（下稱</w:t>
      </w:r>
      <w:r w:rsidRPr="007B5D03">
        <w:rPr>
          <w:rFonts w:hAnsi="標楷體"/>
          <w:sz w:val="30"/>
          <w:szCs w:val="30"/>
        </w:rPr>
        <w:t>上市審查準則）第</w:t>
      </w:r>
      <w:r w:rsidRPr="007B5D03">
        <w:rPr>
          <w:sz w:val="30"/>
          <w:szCs w:val="30"/>
        </w:rPr>
        <w:t>5</w:t>
      </w:r>
      <w:r w:rsidRPr="007B5D03">
        <w:rPr>
          <w:rFonts w:hAnsi="標楷體"/>
          <w:sz w:val="30"/>
          <w:szCs w:val="30"/>
        </w:rPr>
        <w:t>條第</w:t>
      </w:r>
      <w:r w:rsidRPr="007B5D03">
        <w:rPr>
          <w:sz w:val="30"/>
          <w:szCs w:val="30"/>
        </w:rPr>
        <w:t>2</w:t>
      </w:r>
      <w:r w:rsidRPr="007B5D03">
        <w:rPr>
          <w:rFonts w:hAnsi="標楷體"/>
          <w:sz w:val="30"/>
          <w:szCs w:val="30"/>
        </w:rPr>
        <w:t>項第</w:t>
      </w:r>
      <w:r w:rsidRPr="007B5D03">
        <w:rPr>
          <w:sz w:val="30"/>
          <w:szCs w:val="30"/>
        </w:rPr>
        <w:t>3</w:t>
      </w:r>
      <w:r w:rsidRPr="007B5D03">
        <w:rPr>
          <w:rFonts w:hAnsi="標楷體"/>
          <w:sz w:val="30"/>
          <w:szCs w:val="30"/>
        </w:rPr>
        <w:t>款規定，認購（售）權證發行計畫應載明「預定之風險沖銷策略」，該預定之風險沖銷策略係發行人對投資人之一項承諾與約定，至於風險沖銷策略之內容、程度與操作方向等，則無強制規範。發行人依其預定之風險沖銷策略，於認購（售）權證存續期間買賣經目的事業主管機關核可之有價證券及衍生性金融商品，所進行之避險操作，依其與投資人之約定，仍可自由判斷避險股票之最佳買賣時點，並未喪失其自主性。被上訴人無由主張避險交易結果為負數時，認為其性質為「成本費用」項目，避險交易結果為正數時，卻又主張變更其性質為「所得」。</w:t>
      </w:r>
      <w:r w:rsidRPr="007B5D03">
        <w:rPr>
          <w:rFonts w:hAnsi="標楷體"/>
          <w:spacing w:val="4"/>
          <w:sz w:val="30"/>
          <w:szCs w:val="30"/>
        </w:rPr>
        <w:t>且因營業所為支出，不必然為可依所得稅法第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w:t>
      </w:r>
      <w:r w:rsidRPr="007B5D03">
        <w:rPr>
          <w:rFonts w:hAnsi="標楷體"/>
          <w:sz w:val="30"/>
          <w:szCs w:val="30"/>
        </w:rPr>
        <w:t>規定減除的項目，被上訴人發行認購權證所產生之避險證券交易損失，即令是業務上之支出，仍屬所得稅法第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規定證券交易損益之性質，在無特別立法之下，自應適用所</w:t>
      </w:r>
      <w:r w:rsidRPr="007B5D03">
        <w:rPr>
          <w:rFonts w:hAnsi="標楷體"/>
          <w:spacing w:val="6"/>
          <w:sz w:val="30"/>
          <w:szCs w:val="30"/>
        </w:rPr>
        <w:t>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規定。本件被上訴人避險交易所得之性</w:t>
      </w:r>
      <w:r w:rsidRPr="007B5D03">
        <w:rPr>
          <w:rFonts w:hAnsi="標楷體"/>
          <w:sz w:val="30"/>
          <w:szCs w:val="30"/>
        </w:rPr>
        <w:t>質，無論在形式或實質上，均屬證券交易所</w:t>
      </w:r>
      <w:r w:rsidRPr="007B5D03">
        <w:rPr>
          <w:rFonts w:hAnsi="標楷體"/>
          <w:sz w:val="30"/>
          <w:szCs w:val="30"/>
        </w:rPr>
        <w:lastRenderedPageBreak/>
        <w:t>得無疑，依所得稅法第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及租稅法定原則，上訴人無法向被上訴人課徵該部分避險股票交易所得，因而被上訴人訴稱避險股票交易有損失可扣減，避險股票交易有所得應納稅等語，於現行法令之規範架構下，並無法實現。從而被上訴人主張將避險股票交易損失列報為發行認購權證之成本，將形成「有</w:t>
      </w:r>
      <w:r w:rsidRPr="007B5D03">
        <w:rPr>
          <w:rFonts w:hAnsi="標楷體"/>
          <w:spacing w:val="-4"/>
          <w:sz w:val="30"/>
          <w:szCs w:val="30"/>
        </w:rPr>
        <w:t>所得無法課稅，但有損失可以列報」之現象，對於租稅公平、</w:t>
      </w:r>
      <w:r w:rsidRPr="007B5D03">
        <w:rPr>
          <w:rFonts w:hAnsi="標楷體"/>
          <w:spacing w:val="4"/>
          <w:sz w:val="30"/>
          <w:szCs w:val="30"/>
        </w:rPr>
        <w:t>租稅正義之維護尤有嚴重之傷害，自不足採等語，資為抗</w:t>
      </w:r>
      <w:r w:rsidRPr="007B5D03">
        <w:rPr>
          <w:rFonts w:hAnsi="標楷體"/>
          <w:sz w:val="30"/>
          <w:szCs w:val="30"/>
        </w:rPr>
        <w:t>辯，求為判決駁回被上訴人之訴。</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四、原審斟酌全辯論意旨及調查證據之結果，以：按認購權證係屬衍生性金融商品之一種，依證券商與投資客戶間之約定，針對某一股票（即所謂標的股票），當客戶付出一定數額之權利金後，證券商則承諾在一定期間經過後的特定日期或者是一段期間內，客戶可以固定價位之價格向證券商買入一定數量之標的股票，而認購權證之發行，則是證券商先將上開契約內容予以證券化，提供社會大眾投資，投資人買入上開證券後，亦可以背書轉讓方式，將上開證券（認購權證）移轉予不特定之第三人，屆期履約時，則由認購權證持有人向證券商行使認購權。因此，證券商因第一次發行認購權證而取得之權利金，基於權責發生制之精神，其成本費用尚未發生，應列為「預收收入」，須於履約結算時始列為該時點之收入。而第一次購買認購權證者如轉讓該權證予第三人，依</w:t>
      </w:r>
      <w:r w:rsidRPr="007B5D03">
        <w:rPr>
          <w:rFonts w:hAnsi="標楷體"/>
          <w:spacing w:val="4"/>
          <w:sz w:val="30"/>
          <w:szCs w:val="30"/>
        </w:rPr>
        <w:t>財政部</w:t>
      </w:r>
      <w:smartTag w:uri="urn:schemas-microsoft-com:office:smarttags" w:element="chsdate">
        <w:smartTagPr>
          <w:attr w:name="IsROCDate" w:val="False"/>
          <w:attr w:name="IsLunarDate" w:val="False"/>
          <w:attr w:name="Day" w:val="23"/>
          <w:attr w:name="Month" w:val="5"/>
          <w:attr w:name="Year" w:val="1986"/>
        </w:smartTagPr>
        <w:r w:rsidRPr="007B5D03">
          <w:rPr>
            <w:spacing w:val="4"/>
            <w:sz w:val="30"/>
            <w:szCs w:val="30"/>
          </w:rPr>
          <w:t>86</w:t>
        </w:r>
        <w:r w:rsidRPr="007B5D03">
          <w:rPr>
            <w:rFonts w:hAnsi="標楷體"/>
            <w:spacing w:val="4"/>
            <w:sz w:val="30"/>
            <w:szCs w:val="30"/>
          </w:rPr>
          <w:t>年</w:t>
        </w:r>
        <w:r w:rsidRPr="007B5D03">
          <w:rPr>
            <w:spacing w:val="4"/>
            <w:sz w:val="30"/>
            <w:szCs w:val="30"/>
          </w:rPr>
          <w:t>5</w:t>
        </w:r>
        <w:r w:rsidRPr="007B5D03">
          <w:rPr>
            <w:rFonts w:hAnsi="標楷體"/>
            <w:spacing w:val="4"/>
            <w:sz w:val="30"/>
            <w:szCs w:val="30"/>
          </w:rPr>
          <w:t>月</w:t>
        </w:r>
        <w:r w:rsidRPr="007B5D03">
          <w:rPr>
            <w:spacing w:val="4"/>
            <w:sz w:val="30"/>
            <w:szCs w:val="30"/>
          </w:rPr>
          <w:t>23</w:t>
        </w:r>
        <w:r w:rsidRPr="007B5D03">
          <w:rPr>
            <w:rFonts w:hAnsi="標楷體"/>
            <w:spacing w:val="4"/>
            <w:sz w:val="30"/>
            <w:szCs w:val="30"/>
          </w:rPr>
          <w:t>日</w:t>
        </w:r>
      </w:smartTag>
      <w:r w:rsidRPr="007B5D03">
        <w:rPr>
          <w:spacing w:val="4"/>
          <w:sz w:val="30"/>
          <w:szCs w:val="30"/>
        </w:rPr>
        <w:t>(86)</w:t>
      </w:r>
      <w:r w:rsidRPr="007B5D03">
        <w:rPr>
          <w:rFonts w:hint="eastAsia"/>
          <w:spacing w:val="4"/>
          <w:sz w:val="30"/>
          <w:szCs w:val="30"/>
        </w:rPr>
        <w:t>台</w:t>
      </w:r>
      <w:r w:rsidRPr="007B5D03">
        <w:rPr>
          <w:rFonts w:hAnsi="標楷體"/>
          <w:spacing w:val="4"/>
          <w:sz w:val="30"/>
          <w:szCs w:val="30"/>
        </w:rPr>
        <w:t>財證</w:t>
      </w:r>
      <w:r w:rsidRPr="007B5D03">
        <w:rPr>
          <w:rFonts w:hint="eastAsia"/>
          <w:spacing w:val="4"/>
          <w:sz w:val="30"/>
          <w:szCs w:val="30"/>
        </w:rPr>
        <w:t>（五）</w:t>
      </w:r>
      <w:r w:rsidRPr="007B5D03">
        <w:rPr>
          <w:rFonts w:hAnsi="標楷體"/>
          <w:spacing w:val="4"/>
          <w:sz w:val="30"/>
          <w:szCs w:val="30"/>
        </w:rPr>
        <w:t>第</w:t>
      </w:r>
      <w:r w:rsidRPr="007B5D03">
        <w:rPr>
          <w:spacing w:val="4"/>
          <w:sz w:val="30"/>
          <w:szCs w:val="30"/>
        </w:rPr>
        <w:t>03037</w:t>
      </w:r>
      <w:r w:rsidRPr="007B5D03">
        <w:rPr>
          <w:rFonts w:hAnsi="標楷體"/>
          <w:spacing w:val="4"/>
          <w:sz w:val="30"/>
          <w:szCs w:val="30"/>
        </w:rPr>
        <w:t>號公告，</w:t>
      </w:r>
      <w:r w:rsidRPr="007B5D03">
        <w:rPr>
          <w:rFonts w:hAnsi="標楷體"/>
          <w:sz w:val="30"/>
          <w:szCs w:val="30"/>
        </w:rPr>
        <w:t>核定認購權證為其他有價證券，此等交易所生之所得為免稅之證券交易所得。至履約階段，若當時持有權證之投資人行使該認購權證之認購權時，投資人因非買入證券復行出賣，並非屬證券交易，是其行使認購權所獲致之利益，即非因證</w:t>
      </w:r>
      <w:r w:rsidRPr="007B5D03">
        <w:rPr>
          <w:rFonts w:hAnsi="標楷體"/>
          <w:spacing w:val="4"/>
          <w:sz w:val="30"/>
          <w:szCs w:val="30"/>
        </w:rPr>
        <w:t>券交易所生之免稅所得。次依</w:t>
      </w:r>
      <w:r w:rsidRPr="007B5D03">
        <w:rPr>
          <w:rFonts w:hAnsi="標楷體"/>
          <w:spacing w:val="4"/>
          <w:sz w:val="30"/>
          <w:szCs w:val="30"/>
        </w:rPr>
        <w:lastRenderedPageBreak/>
        <w:t>上市審查準則第</w:t>
      </w:r>
      <w:r w:rsidRPr="007B5D03">
        <w:rPr>
          <w:spacing w:val="4"/>
          <w:sz w:val="30"/>
          <w:szCs w:val="30"/>
        </w:rPr>
        <w:t>6</w:t>
      </w:r>
      <w:r w:rsidRPr="007B5D03">
        <w:rPr>
          <w:rFonts w:hAnsi="標楷體"/>
          <w:spacing w:val="4"/>
          <w:sz w:val="30"/>
          <w:szCs w:val="30"/>
        </w:rPr>
        <w:t>條第</w:t>
      </w:r>
      <w:r w:rsidRPr="007B5D03">
        <w:rPr>
          <w:spacing w:val="4"/>
          <w:sz w:val="30"/>
          <w:szCs w:val="30"/>
        </w:rPr>
        <w:t>6</w:t>
      </w:r>
      <w:r w:rsidRPr="007B5D03">
        <w:rPr>
          <w:rFonts w:hAnsi="標楷體"/>
          <w:spacing w:val="4"/>
          <w:sz w:val="30"/>
          <w:szCs w:val="30"/>
        </w:rPr>
        <w:t>款第</w:t>
      </w:r>
      <w:r w:rsidRPr="007B5D03">
        <w:rPr>
          <w:sz w:val="30"/>
          <w:szCs w:val="30"/>
        </w:rPr>
        <w:t>7</w:t>
      </w:r>
      <w:r w:rsidRPr="007B5D03">
        <w:rPr>
          <w:rFonts w:hAnsi="標楷體"/>
          <w:sz w:val="30"/>
          <w:szCs w:val="30"/>
        </w:rPr>
        <w:t>目、第</w:t>
      </w:r>
      <w:r w:rsidRPr="007B5D03">
        <w:rPr>
          <w:sz w:val="30"/>
          <w:szCs w:val="30"/>
        </w:rPr>
        <w:t>8</w:t>
      </w:r>
      <w:r w:rsidRPr="007B5D03">
        <w:rPr>
          <w:rFonts w:hAnsi="標楷體"/>
          <w:sz w:val="30"/>
          <w:szCs w:val="30"/>
        </w:rPr>
        <w:t>條第</w:t>
      </w:r>
      <w:r w:rsidRPr="007B5D03">
        <w:rPr>
          <w:sz w:val="30"/>
          <w:szCs w:val="30"/>
        </w:rPr>
        <w:t>11</w:t>
      </w:r>
      <w:r w:rsidRPr="007B5D03">
        <w:rPr>
          <w:rFonts w:hAnsi="標楷體"/>
          <w:sz w:val="30"/>
          <w:szCs w:val="30"/>
        </w:rPr>
        <w:t>款、第</w:t>
      </w:r>
      <w:r w:rsidRPr="007B5D03">
        <w:rPr>
          <w:sz w:val="30"/>
          <w:szCs w:val="30"/>
        </w:rPr>
        <w:t>9</w:t>
      </w:r>
      <w:r w:rsidRPr="007B5D03">
        <w:rPr>
          <w:rFonts w:hAnsi="標楷體"/>
          <w:sz w:val="30"/>
          <w:szCs w:val="30"/>
        </w:rPr>
        <w:t>條第</w:t>
      </w:r>
      <w:r w:rsidRPr="007B5D03">
        <w:rPr>
          <w:sz w:val="30"/>
          <w:szCs w:val="30"/>
        </w:rPr>
        <w:t>1</w:t>
      </w:r>
      <w:r w:rsidRPr="007B5D03">
        <w:rPr>
          <w:rFonts w:hAnsi="標楷體"/>
          <w:sz w:val="30"/>
          <w:szCs w:val="30"/>
        </w:rPr>
        <w:t>項、證交所</w:t>
      </w:r>
      <w:smartTag w:uri="urn:schemas-microsoft-com:office:smarttags" w:element="chsdate">
        <w:smartTagPr>
          <w:attr w:name="IsROCDate" w:val="False"/>
          <w:attr w:name="IsLunarDate" w:val="False"/>
          <w:attr w:name="Day" w:val="18"/>
          <w:attr w:name="Month" w:val="9"/>
          <w:attr w:name="Year" w:val="1986"/>
        </w:smartTagPr>
        <w:r w:rsidRPr="007B5D03">
          <w:rPr>
            <w:sz w:val="30"/>
            <w:szCs w:val="30"/>
          </w:rPr>
          <w:t>86</w:t>
        </w:r>
        <w:r w:rsidRPr="007B5D03">
          <w:rPr>
            <w:rFonts w:hAnsi="標楷體"/>
            <w:sz w:val="30"/>
            <w:szCs w:val="30"/>
          </w:rPr>
          <w:t>年</w:t>
        </w:r>
        <w:r w:rsidRPr="007B5D03">
          <w:rPr>
            <w:sz w:val="30"/>
            <w:szCs w:val="30"/>
          </w:rPr>
          <w:t>9</w:t>
        </w:r>
        <w:r w:rsidRPr="007B5D03">
          <w:rPr>
            <w:rFonts w:hAnsi="標楷體"/>
            <w:sz w:val="30"/>
            <w:szCs w:val="30"/>
          </w:rPr>
          <w:t>月</w:t>
        </w:r>
        <w:r w:rsidRPr="007B5D03">
          <w:rPr>
            <w:sz w:val="30"/>
            <w:szCs w:val="30"/>
          </w:rPr>
          <w:t>18</w:t>
        </w:r>
        <w:r w:rsidRPr="007B5D03">
          <w:rPr>
            <w:rFonts w:hAnsi="標楷體"/>
            <w:sz w:val="30"/>
            <w:szCs w:val="30"/>
          </w:rPr>
          <w:t>日</w:t>
        </w:r>
      </w:smartTag>
      <w:r w:rsidRPr="007B5D03">
        <w:rPr>
          <w:rFonts w:hAnsi="標楷體" w:hint="eastAsia"/>
          <w:sz w:val="30"/>
          <w:szCs w:val="30"/>
        </w:rPr>
        <w:t>台</w:t>
      </w:r>
      <w:r w:rsidRPr="007B5D03">
        <w:rPr>
          <w:rFonts w:hAnsi="標楷體"/>
          <w:sz w:val="30"/>
          <w:szCs w:val="30"/>
        </w:rPr>
        <w:t>證上字第</w:t>
      </w:r>
      <w:r w:rsidRPr="007B5D03">
        <w:rPr>
          <w:sz w:val="30"/>
          <w:szCs w:val="30"/>
        </w:rPr>
        <w:t>29888</w:t>
      </w:r>
      <w:r w:rsidRPr="007B5D03">
        <w:rPr>
          <w:rFonts w:hAnsi="標楷體"/>
          <w:sz w:val="30"/>
          <w:szCs w:val="30"/>
        </w:rPr>
        <w:t>號函、行政院金融監督管理委員會證券期貨局</w:t>
      </w:r>
      <w:r w:rsidRPr="007B5D03">
        <w:rPr>
          <w:rFonts w:ascii="標楷體" w:hAnsi="標楷體" w:hint="eastAsia"/>
          <w:sz w:val="30"/>
          <w:szCs w:val="30"/>
        </w:rPr>
        <w:t>（</w:t>
      </w:r>
      <w:r w:rsidRPr="007B5D03">
        <w:rPr>
          <w:rFonts w:ascii="標楷體" w:hAnsi="標楷體"/>
          <w:sz w:val="30"/>
          <w:szCs w:val="30"/>
        </w:rPr>
        <w:t>下稱證期局</w:t>
      </w:r>
      <w:r w:rsidRPr="007B5D03">
        <w:rPr>
          <w:rFonts w:ascii="標楷體" w:hAnsi="標楷體" w:hint="eastAsia"/>
          <w:sz w:val="30"/>
          <w:szCs w:val="30"/>
        </w:rPr>
        <w:t>）</w:t>
      </w:r>
      <w:smartTag w:uri="urn:schemas-microsoft-com:office:smarttags" w:element="chsdate">
        <w:smartTagPr>
          <w:attr w:name="IsROCDate" w:val="False"/>
          <w:attr w:name="IsLunarDate" w:val="False"/>
          <w:attr w:name="Day" w:val="12"/>
          <w:attr w:name="Month" w:val="6"/>
          <w:attr w:name="Year" w:val="1986"/>
        </w:smartTagPr>
        <w:r w:rsidRPr="007B5D03">
          <w:rPr>
            <w:sz w:val="30"/>
            <w:szCs w:val="30"/>
          </w:rPr>
          <w:t>86</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hint="eastAsia"/>
          <w:sz w:val="30"/>
          <w:szCs w:val="30"/>
        </w:rPr>
        <w:t>台</w:t>
      </w:r>
      <w:r w:rsidRPr="007B5D03">
        <w:rPr>
          <w:rFonts w:hAnsi="標楷體"/>
          <w:sz w:val="30"/>
          <w:szCs w:val="30"/>
        </w:rPr>
        <w:t>財證</w:t>
      </w:r>
      <w:r w:rsidRPr="007B5D03">
        <w:rPr>
          <w:rFonts w:hint="eastAsia"/>
          <w:sz w:val="30"/>
          <w:szCs w:val="30"/>
        </w:rPr>
        <w:t>（二）</w:t>
      </w:r>
      <w:r w:rsidRPr="007B5D03">
        <w:rPr>
          <w:rFonts w:hAnsi="標楷體"/>
          <w:sz w:val="30"/>
          <w:szCs w:val="30"/>
        </w:rPr>
        <w:t>字第</w:t>
      </w:r>
      <w:r w:rsidRPr="007B5D03">
        <w:rPr>
          <w:sz w:val="30"/>
          <w:szCs w:val="30"/>
        </w:rPr>
        <w:t>03294</w:t>
      </w:r>
      <w:r w:rsidRPr="007B5D03">
        <w:rPr>
          <w:rFonts w:hAnsi="標楷體"/>
          <w:spacing w:val="4"/>
          <w:sz w:val="30"/>
          <w:szCs w:val="30"/>
        </w:rPr>
        <w:t>號函及證交所</w:t>
      </w:r>
      <w:smartTag w:uri="urn:schemas-microsoft-com:office:smarttags" w:element="chsdate">
        <w:smartTagPr>
          <w:attr w:name="IsROCDate" w:val="False"/>
          <w:attr w:name="IsLunarDate" w:val="False"/>
          <w:attr w:name="Day" w:val="9"/>
          <w:attr w:name="Month" w:val="8"/>
          <w:attr w:name="Year" w:val="1986"/>
        </w:smartTagPr>
        <w:r w:rsidRPr="007B5D03">
          <w:rPr>
            <w:spacing w:val="4"/>
            <w:sz w:val="30"/>
            <w:szCs w:val="30"/>
          </w:rPr>
          <w:t>86</w:t>
        </w:r>
        <w:r w:rsidRPr="007B5D03">
          <w:rPr>
            <w:rFonts w:hAnsi="標楷體"/>
            <w:spacing w:val="4"/>
            <w:sz w:val="30"/>
            <w:szCs w:val="30"/>
          </w:rPr>
          <w:t>年</w:t>
        </w:r>
        <w:r w:rsidRPr="007B5D03">
          <w:rPr>
            <w:spacing w:val="4"/>
            <w:sz w:val="30"/>
            <w:szCs w:val="30"/>
          </w:rPr>
          <w:t>8</w:t>
        </w:r>
        <w:r w:rsidRPr="007B5D03">
          <w:rPr>
            <w:rFonts w:hAnsi="標楷體"/>
            <w:spacing w:val="4"/>
            <w:sz w:val="30"/>
            <w:szCs w:val="30"/>
          </w:rPr>
          <w:t>月</w:t>
        </w:r>
        <w:r w:rsidRPr="007B5D03">
          <w:rPr>
            <w:spacing w:val="4"/>
            <w:sz w:val="30"/>
            <w:szCs w:val="30"/>
          </w:rPr>
          <w:t>9</w:t>
        </w:r>
        <w:r w:rsidRPr="007B5D03">
          <w:rPr>
            <w:rFonts w:hAnsi="標楷體"/>
            <w:spacing w:val="4"/>
            <w:sz w:val="30"/>
            <w:szCs w:val="30"/>
          </w:rPr>
          <w:t>日</w:t>
        </w:r>
      </w:smartTag>
      <w:r w:rsidRPr="007B5D03">
        <w:rPr>
          <w:rFonts w:hAnsi="標楷體" w:hint="eastAsia"/>
          <w:spacing w:val="4"/>
          <w:sz w:val="30"/>
          <w:szCs w:val="30"/>
        </w:rPr>
        <w:t>台</w:t>
      </w:r>
      <w:r w:rsidRPr="007B5D03">
        <w:rPr>
          <w:rFonts w:hAnsi="標楷體"/>
          <w:spacing w:val="4"/>
          <w:sz w:val="30"/>
          <w:szCs w:val="30"/>
        </w:rPr>
        <w:t>證上字第</w:t>
      </w:r>
      <w:r w:rsidRPr="007B5D03">
        <w:rPr>
          <w:spacing w:val="4"/>
          <w:sz w:val="30"/>
          <w:szCs w:val="30"/>
        </w:rPr>
        <w:t>23090</w:t>
      </w:r>
      <w:r w:rsidRPr="007B5D03">
        <w:rPr>
          <w:rFonts w:hAnsi="標楷體"/>
          <w:spacing w:val="4"/>
          <w:sz w:val="30"/>
          <w:szCs w:val="30"/>
        </w:rPr>
        <w:t>號函可知，</w:t>
      </w:r>
      <w:r w:rsidRPr="007B5D03">
        <w:rPr>
          <w:rFonts w:hAnsi="標楷體"/>
          <w:sz w:val="30"/>
          <w:szCs w:val="30"/>
        </w:rPr>
        <w:t>證券商所預計採行之風險沖銷策略，須於申請發行認購權證時提出予證交所審查，且證期局要求證券商發行權證時因避</w:t>
      </w:r>
      <w:r w:rsidRPr="007B5D03">
        <w:rPr>
          <w:rFonts w:hAnsi="標楷體"/>
          <w:spacing w:val="4"/>
          <w:sz w:val="30"/>
          <w:szCs w:val="30"/>
        </w:rPr>
        <w:t>險持有之標的股票須設專戶處理，並指示證交所</w:t>
      </w:r>
      <w:r w:rsidRPr="007B5D03">
        <w:rPr>
          <w:rFonts w:hAnsi="標楷體" w:hint="eastAsia"/>
          <w:spacing w:val="4"/>
          <w:sz w:val="30"/>
          <w:szCs w:val="30"/>
        </w:rPr>
        <w:t>須</w:t>
      </w:r>
      <w:r w:rsidRPr="007B5D03">
        <w:rPr>
          <w:rFonts w:hAnsi="標楷體"/>
          <w:spacing w:val="4"/>
          <w:sz w:val="30"/>
          <w:szCs w:val="30"/>
        </w:rPr>
        <w:t>逐日控</w:t>
      </w:r>
      <w:r w:rsidRPr="007B5D03">
        <w:rPr>
          <w:rFonts w:hAnsi="標楷體"/>
          <w:sz w:val="30"/>
          <w:szCs w:val="30"/>
        </w:rPr>
        <w:t>管，再者，避險持有之部位亦不得超過認購權證發行數量所表彰之標的股票股數。證交所如對證券商之風險沖銷策略認不適當或有不實，則證交所可否准證券商發行認購權證及上市。再者，發行證券商如欲承作認購權證，自發行之日起，其自營部門即不能再買入標的股票，自營部門已有標的股票要全數轉結到權證部門，即所有標的股票均是為投資人而持</w:t>
      </w:r>
      <w:r w:rsidRPr="007B5D03">
        <w:rPr>
          <w:rFonts w:hAnsi="標楷體"/>
          <w:spacing w:val="4"/>
          <w:sz w:val="30"/>
          <w:szCs w:val="30"/>
        </w:rPr>
        <w:t>有，因此，證券商因避險操作而買入或賣出標的股票之盈虧，與非出於避險操作所為之股票交易之損益係可清楚區</w:t>
      </w:r>
      <w:r w:rsidRPr="007B5D03">
        <w:rPr>
          <w:rFonts w:hAnsi="標楷體"/>
          <w:sz w:val="30"/>
          <w:szCs w:val="30"/>
        </w:rPr>
        <w:t>別。故上訴人既承認證券商發行認購權證而取得權利金時，其收入尚未實現，應列為負債欄下之「預收收入」，而須至履約結算完畢後，因取得權利金所對應之成本費用發生，始符合認列收入之已實現之要件，惟上訴人於計算前開收入所對應之成本費用時，卻不將被上訴人為賺取權利金而依法令強制避險操作所生之損失認列為成本費用，顯違反前揭權責發生制及收入成本費用配合原則。且如未予減除標的股票及認購權證買賣所生之避險成本，亦無法算出發行權證之證券商最後實際賺得之所得為若干，因此，如將避險成本認定為獨立之證券交易損失，須獨立計算其損益，而不得列為課稅之權證權利金收入項下之成本，則在不考慮銷售認</w:t>
      </w:r>
      <w:r w:rsidRPr="007B5D03">
        <w:rPr>
          <w:rFonts w:hAnsi="標楷體"/>
          <w:sz w:val="30"/>
          <w:szCs w:val="30"/>
        </w:rPr>
        <w:lastRenderedPageBreak/>
        <w:t>購權證過程所生少量行銷及管理費用之情況下，幾乎會使權證權利金收入，即等於權證權利金所得，亦與事實大相背離。另一般</w:t>
      </w:r>
      <w:r w:rsidRPr="007B5D03">
        <w:rPr>
          <w:rFonts w:hAnsi="標楷體"/>
          <w:spacing w:val="6"/>
          <w:sz w:val="30"/>
          <w:szCs w:val="30"/>
        </w:rPr>
        <w:t>正常證券交易者買賣股票係為獲利而「低價買入，高價賣</w:t>
      </w:r>
      <w:r w:rsidRPr="007B5D03">
        <w:rPr>
          <w:rFonts w:hAnsi="標楷體"/>
          <w:sz w:val="30"/>
          <w:szCs w:val="30"/>
        </w:rPr>
        <w:t>出」，然認購權證發行者購買標的股票</w:t>
      </w:r>
      <w:r w:rsidRPr="007B5D03">
        <w:rPr>
          <w:rFonts w:hint="eastAsia"/>
          <w:sz w:val="30"/>
          <w:szCs w:val="30"/>
        </w:rPr>
        <w:t>（</w:t>
      </w:r>
      <w:r w:rsidRPr="007B5D03">
        <w:rPr>
          <w:rFonts w:hAnsi="標楷體"/>
          <w:sz w:val="30"/>
          <w:szCs w:val="30"/>
        </w:rPr>
        <w:t>或認購權證</w:t>
      </w:r>
      <w:r w:rsidRPr="007B5D03">
        <w:rPr>
          <w:rFonts w:hint="eastAsia"/>
          <w:sz w:val="30"/>
          <w:szCs w:val="30"/>
        </w:rPr>
        <w:t>）</w:t>
      </w:r>
      <w:r w:rsidRPr="007B5D03">
        <w:rPr>
          <w:rFonts w:hAnsi="標楷體"/>
          <w:sz w:val="30"/>
          <w:szCs w:val="30"/>
        </w:rPr>
        <w:t>，係</w:t>
      </w:r>
      <w:r w:rsidRPr="007B5D03">
        <w:rPr>
          <w:rFonts w:hAnsi="標楷體"/>
          <w:spacing w:val="-4"/>
          <w:sz w:val="30"/>
          <w:szCs w:val="30"/>
        </w:rPr>
        <w:t>為避險減少日後履約之損失，而須「高價買入，低價賣出」，</w:t>
      </w:r>
      <w:r w:rsidRPr="007B5D03">
        <w:rPr>
          <w:rFonts w:hAnsi="標楷體"/>
          <w:sz w:val="30"/>
          <w:szCs w:val="30"/>
        </w:rPr>
        <w:t>二者考量之目的不同，且避險操作本身尚須受到證券商依國</w:t>
      </w:r>
      <w:r w:rsidRPr="007B5D03">
        <w:rPr>
          <w:rFonts w:hAnsi="標楷體"/>
          <w:spacing w:val="4"/>
          <w:sz w:val="30"/>
          <w:szCs w:val="30"/>
        </w:rPr>
        <w:t>際通用標準模式預擬且由證期局隨時監控之避險策略公式</w:t>
      </w:r>
      <w:r w:rsidRPr="007B5D03">
        <w:rPr>
          <w:rFonts w:hAnsi="標楷體"/>
          <w:sz w:val="30"/>
          <w:szCs w:val="30"/>
        </w:rPr>
        <w:t>之限制，而僅在有限範圍內享有自由決定權。再參諸所得稅法第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法目的，無非為促進資本市場活絡，讓自由參與資本市場者享有證券交易所得免稅之優惠，則其證券交易損失自須自行承當。是以，如參與者本身在買賣決策上無絕對自由，且決策目的係在避險減少損失，而決策本身又與先前取得之權證權利金具有連動性者，即與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所欲達成之立法目的無涉，自應不在所得稅法第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之適用範圍內至明。故被上訴人主張上訴人割裂適用法律，而違反實質課稅原則，洵屬有據，從而，上訴人依財政部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月函釋，將認購權證發行時所取得之價款，於履約時認列為應稅之權利金收入，於法有據；至上訴人依財政部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hint="eastAsia"/>
          <w:sz w:val="30"/>
          <w:szCs w:val="30"/>
        </w:rPr>
        <w:t>台</w:t>
      </w:r>
      <w:r w:rsidRPr="007B5D03">
        <w:rPr>
          <w:rFonts w:hAnsi="標楷體"/>
          <w:sz w:val="30"/>
          <w:szCs w:val="30"/>
        </w:rPr>
        <w:t>財稅第</w:t>
      </w:r>
      <w:r w:rsidRPr="007B5D03">
        <w:rPr>
          <w:sz w:val="30"/>
          <w:szCs w:val="30"/>
        </w:rPr>
        <w:t>861909311</w:t>
      </w:r>
      <w:r w:rsidRPr="007B5D03">
        <w:rPr>
          <w:rFonts w:hAnsi="標楷體"/>
          <w:sz w:val="30"/>
          <w:szCs w:val="30"/>
        </w:rPr>
        <w:t>號函釋（下稱財政部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月函釋）規定，以認購權證係證券交易法第</w:t>
      </w:r>
      <w:r w:rsidRPr="007B5D03">
        <w:rPr>
          <w:sz w:val="30"/>
          <w:szCs w:val="30"/>
        </w:rPr>
        <w:t>6</w:t>
      </w:r>
      <w:r w:rsidRPr="007B5D03">
        <w:rPr>
          <w:rFonts w:hAnsi="標楷體"/>
          <w:sz w:val="30"/>
          <w:szCs w:val="30"/>
        </w:rPr>
        <w:t>條所稱之其他有價證券，則發行後買賣認購權證及其標的股票之交易，係屬買賣有價證券行為，依所得稅法第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後段規定，認避險操作而為買賣有價證券所生之損失亦不得自應稅所得額中減除，而否准該部分營業成本之認列，尚有未洽，原處分</w:t>
      </w:r>
      <w:r w:rsidRPr="007B5D03">
        <w:rPr>
          <w:rFonts w:hint="eastAsia"/>
          <w:sz w:val="30"/>
          <w:szCs w:val="30"/>
        </w:rPr>
        <w:t>（</w:t>
      </w:r>
      <w:r w:rsidRPr="007B5D03">
        <w:rPr>
          <w:rFonts w:hAnsi="標楷體"/>
          <w:sz w:val="30"/>
          <w:szCs w:val="30"/>
        </w:rPr>
        <w:t>復查決定</w:t>
      </w:r>
      <w:r w:rsidRPr="007B5D03">
        <w:rPr>
          <w:rFonts w:hint="eastAsia"/>
          <w:sz w:val="30"/>
          <w:szCs w:val="30"/>
        </w:rPr>
        <w:t>）</w:t>
      </w:r>
      <w:r w:rsidRPr="007B5D03">
        <w:rPr>
          <w:rFonts w:hAnsi="標楷體"/>
          <w:sz w:val="30"/>
          <w:szCs w:val="30"/>
        </w:rPr>
        <w:t>關於課稅所得項下否准認列發行認購權</w:t>
      </w:r>
      <w:r w:rsidRPr="007B5D03">
        <w:rPr>
          <w:rFonts w:hAnsi="標楷體"/>
          <w:spacing w:val="-4"/>
          <w:sz w:val="30"/>
          <w:szCs w:val="30"/>
        </w:rPr>
        <w:t>證營業成本部分，尚有疏誤，訴願決定未予糾正，亦有未洽，</w:t>
      </w:r>
      <w:r w:rsidRPr="007B5D03">
        <w:rPr>
          <w:rFonts w:hAnsi="標楷體"/>
          <w:spacing w:val="4"/>
          <w:sz w:val="30"/>
          <w:szCs w:val="30"/>
        </w:rPr>
        <w:t>被上訴人之訴</w:t>
      </w:r>
      <w:r w:rsidRPr="007B5D03">
        <w:rPr>
          <w:rFonts w:hAnsi="標楷體"/>
          <w:spacing w:val="4"/>
          <w:sz w:val="30"/>
          <w:szCs w:val="30"/>
        </w:rPr>
        <w:lastRenderedPageBreak/>
        <w:t>，為有理由，因將訴願決定及原處分均予撤</w:t>
      </w:r>
      <w:r w:rsidRPr="007B5D03">
        <w:rPr>
          <w:rFonts w:hAnsi="標楷體"/>
          <w:sz w:val="30"/>
          <w:szCs w:val="30"/>
        </w:rPr>
        <w:t>銷，由上訴人依本判決之法律意見重為處分</w:t>
      </w:r>
      <w:r w:rsidRPr="007B5D03">
        <w:rPr>
          <w:rFonts w:hint="eastAsia"/>
          <w:sz w:val="30"/>
          <w:szCs w:val="30"/>
        </w:rPr>
        <w:t>（</w:t>
      </w:r>
      <w:r w:rsidRPr="007B5D03">
        <w:rPr>
          <w:rFonts w:hAnsi="標楷體"/>
          <w:sz w:val="30"/>
          <w:szCs w:val="30"/>
        </w:rPr>
        <w:t>復查決定</w:t>
      </w:r>
      <w:r w:rsidRPr="007B5D03">
        <w:rPr>
          <w:rFonts w:hint="eastAsia"/>
          <w:sz w:val="30"/>
          <w:szCs w:val="30"/>
        </w:rPr>
        <w:t>）</w:t>
      </w:r>
      <w:r w:rsidRPr="007B5D03">
        <w:rPr>
          <w:rFonts w:hAnsi="標楷體"/>
          <w:sz w:val="30"/>
          <w:szCs w:val="30"/>
        </w:rPr>
        <w:t>等詞，為其判決之基礎。</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五、上訴意旨略謂：按凡符合所得稅法第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規定之證券交易所得，依法即享有免徵證券交易所得稅之優惠，而證券交易損失即不得自所得額中減除。如行政機關違反法律明文規定，限縮解釋所得稅法第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免徵證券交易所得稅之範圍，即屬違反憲法第</w:t>
      </w:r>
      <w:r w:rsidRPr="007B5D03">
        <w:rPr>
          <w:sz w:val="30"/>
          <w:szCs w:val="30"/>
        </w:rPr>
        <w:t>19</w:t>
      </w:r>
      <w:r w:rsidRPr="007B5D03">
        <w:rPr>
          <w:rFonts w:hAnsi="標楷體"/>
          <w:sz w:val="30"/>
          <w:szCs w:val="30"/>
        </w:rPr>
        <w:t>條租稅法律原則及司法院釋字第</w:t>
      </w:r>
      <w:r w:rsidRPr="007B5D03">
        <w:rPr>
          <w:sz w:val="30"/>
          <w:szCs w:val="30"/>
        </w:rPr>
        <w:t>369</w:t>
      </w:r>
      <w:r w:rsidRPr="007B5D03">
        <w:rPr>
          <w:rFonts w:hAnsi="標楷體"/>
          <w:sz w:val="30"/>
          <w:szCs w:val="30"/>
        </w:rPr>
        <w:t>號解釋，侵害人民僅</w:t>
      </w:r>
      <w:r w:rsidRPr="007B5D03">
        <w:rPr>
          <w:rFonts w:hAnsi="標楷體" w:hint="eastAsia"/>
          <w:sz w:val="30"/>
          <w:szCs w:val="30"/>
        </w:rPr>
        <w:t>須</w:t>
      </w:r>
      <w:r w:rsidRPr="007B5D03">
        <w:rPr>
          <w:rFonts w:hAnsi="標楷體"/>
          <w:sz w:val="30"/>
          <w:szCs w:val="30"/>
        </w:rPr>
        <w:t>依法律納稅之憲法上權利。惟原審判</w:t>
      </w:r>
      <w:r w:rsidRPr="007B5D03">
        <w:rPr>
          <w:rFonts w:hAnsi="標楷體"/>
          <w:spacing w:val="6"/>
          <w:sz w:val="30"/>
          <w:szCs w:val="30"/>
        </w:rPr>
        <w:t>決背離文義解釋，限縮所得稅法第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證券交易之定</w:t>
      </w:r>
      <w:r w:rsidRPr="007B5D03">
        <w:rPr>
          <w:rFonts w:hAnsi="標楷體"/>
          <w:sz w:val="30"/>
          <w:szCs w:val="30"/>
        </w:rPr>
        <w:t>義，將證券商為「避險」、「履約」買賣標的股票之行為認定為非所得稅法第</w:t>
      </w:r>
      <w:r w:rsidRPr="007B5D03">
        <w:rPr>
          <w:sz w:val="30"/>
          <w:szCs w:val="30"/>
        </w:rPr>
        <w:t>4</w:t>
      </w:r>
      <w:r w:rsidRPr="007B5D03">
        <w:rPr>
          <w:rFonts w:hAnsi="標楷體"/>
          <w:sz w:val="30"/>
          <w:szCs w:val="30"/>
        </w:rPr>
        <w:t>條之</w:t>
      </w:r>
      <w:r w:rsidRPr="007B5D03">
        <w:rPr>
          <w:sz w:val="30"/>
          <w:szCs w:val="30"/>
        </w:rPr>
        <w:t>1</w:t>
      </w:r>
      <w:r w:rsidRPr="007B5D03">
        <w:rPr>
          <w:rFonts w:hint="eastAsia"/>
          <w:sz w:val="30"/>
          <w:szCs w:val="30"/>
        </w:rPr>
        <w:t>之</w:t>
      </w:r>
      <w:r w:rsidRPr="007B5D03">
        <w:rPr>
          <w:rFonts w:hAnsi="標楷體"/>
          <w:sz w:val="30"/>
          <w:szCs w:val="30"/>
        </w:rPr>
        <w:t>「證券交易」，顯然違背文義解釋之方法。且就立法解釋而言，所得稅法第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之立法目的為「簡化稽徵手續」，且為合理課徵，另一方面並提高證交稅稅率，非如原審所稱「為了促進資本市場之活絡，</w:t>
      </w:r>
      <w:r w:rsidRPr="007B5D03">
        <w:rPr>
          <w:rFonts w:hAnsi="標楷體"/>
          <w:spacing w:val="4"/>
          <w:sz w:val="30"/>
          <w:szCs w:val="30"/>
        </w:rPr>
        <w:t>讓自由參與資本市場者在證券交易中之獲利能獲得免稅優</w:t>
      </w:r>
      <w:r w:rsidRPr="007B5D03">
        <w:rPr>
          <w:rFonts w:hAnsi="標楷體"/>
          <w:sz w:val="30"/>
          <w:szCs w:val="30"/>
        </w:rPr>
        <w:t>惠，而證券交易之損失也須自行承當」。況若依原審之解釋適用所得稅法第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，雖於本件得遂被上訴人將標的股票買賣損失於發行權證所得中扣除之目的；惟如發行權證公司因標的股票買賣而有任何所得，依該解釋，亦將不得適用</w:t>
      </w:r>
      <w:r w:rsidRPr="007B5D03">
        <w:rPr>
          <w:rFonts w:hAnsi="標楷體"/>
          <w:spacing w:val="6"/>
          <w:sz w:val="30"/>
          <w:szCs w:val="30"/>
        </w:rPr>
        <w:t>所得稅法第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免徵證所稅之優惠。次查系爭審查準</w:t>
      </w:r>
      <w:r w:rsidRPr="007B5D03">
        <w:rPr>
          <w:rFonts w:hAnsi="標楷體"/>
          <w:sz w:val="30"/>
          <w:szCs w:val="30"/>
        </w:rPr>
        <w:t>則，係</w:t>
      </w:r>
      <w:smartTag w:uri="urn:schemas-microsoft-com:office:smarttags" w:element="chsdate">
        <w:smartTagPr>
          <w:attr w:name="IsROCDate" w:val="False"/>
          <w:attr w:name="IsLunarDate" w:val="False"/>
          <w:attr w:name="Day" w:val="14"/>
          <w:attr w:name="Month" w:val="6"/>
          <w:attr w:name="Year" w:val="1993"/>
        </w:smartTagPr>
        <w:r w:rsidRPr="007B5D03">
          <w:rPr>
            <w:sz w:val="30"/>
            <w:szCs w:val="30"/>
          </w:rPr>
          <w:t>93</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14</w:t>
        </w:r>
        <w:r w:rsidRPr="007B5D03">
          <w:rPr>
            <w:rFonts w:hAnsi="標楷體"/>
            <w:sz w:val="30"/>
            <w:szCs w:val="30"/>
          </w:rPr>
          <w:t>日</w:t>
        </w:r>
      </w:smartTag>
      <w:r w:rsidRPr="007B5D03">
        <w:rPr>
          <w:rFonts w:hAnsi="標楷體"/>
          <w:sz w:val="30"/>
          <w:szCs w:val="30"/>
        </w:rPr>
        <w:t>修正，非行為時有效之審查準則。依行為時審查準則之規定，並無「標的股票價格變動範圍在正負</w:t>
      </w:r>
      <w:r w:rsidRPr="007B5D03">
        <w:rPr>
          <w:sz w:val="30"/>
          <w:szCs w:val="30"/>
        </w:rPr>
        <w:t>20%</w:t>
      </w:r>
      <w:r w:rsidRPr="007B5D03">
        <w:rPr>
          <w:rFonts w:hAnsi="標楷體"/>
          <w:sz w:val="30"/>
          <w:szCs w:val="30"/>
        </w:rPr>
        <w:t>間」有關限制，原審卻依據非行為時有效之法規而為不利於上訴人之判決，有適用法規不當之違法。且實質課稅與租稅公平原則均應秉持租稅法律主義之精神而為之，所得稅法有關應稅與免</w:t>
      </w:r>
      <w:r w:rsidRPr="007B5D03">
        <w:rPr>
          <w:rFonts w:hAnsi="標楷體"/>
          <w:sz w:val="30"/>
          <w:szCs w:val="30"/>
        </w:rPr>
        <w:lastRenderedPageBreak/>
        <w:t>稅之規範，向來不針對內在決策之不同及有無絕對自由而為不同之對待，納稅人及稅務機關均應依法律明文規定決定是否課稅，方符合租稅公平原則，原審就此部分之見解亦有違誤。另原審以被上訴人發行認購權證而取</w:t>
      </w:r>
      <w:r w:rsidRPr="007B5D03">
        <w:rPr>
          <w:rFonts w:hAnsi="標楷體"/>
          <w:spacing w:val="4"/>
          <w:sz w:val="30"/>
          <w:szCs w:val="30"/>
        </w:rPr>
        <w:t>得權利金時，其收入尚未實現，一直要等到履約結算完畢</w:t>
      </w:r>
      <w:r w:rsidRPr="007B5D03">
        <w:rPr>
          <w:rFonts w:hAnsi="標楷體"/>
          <w:sz w:val="30"/>
          <w:szCs w:val="30"/>
        </w:rPr>
        <w:t>後，才因取得權利金所對應的成本費用「發生」，符合認列收入之「已賺得」要件，而認列「收入」實現，惟為何在計算收入所對應的成本費用時，卻不予認列為賺取權利金而依</w:t>
      </w:r>
      <w:r w:rsidRPr="007B5D03">
        <w:rPr>
          <w:rFonts w:hAnsi="標楷體"/>
          <w:spacing w:val="4"/>
          <w:sz w:val="30"/>
          <w:szCs w:val="30"/>
        </w:rPr>
        <w:t>法令強制避險操作所生之成本？況若少了標的股票及認購</w:t>
      </w:r>
      <w:r w:rsidRPr="007B5D03">
        <w:rPr>
          <w:rFonts w:hAnsi="標楷體"/>
          <w:sz w:val="30"/>
          <w:szCs w:val="30"/>
        </w:rPr>
        <w:t>權證買賣所生之避險成本，發行權證的證券商所最後賺得之「所得」，根本無法計算出來，且在不考慮銷售認購權證過程所生少量行銷及管理費用的情況下，幾乎會使權利金「收入」，即等於權證權利金「所得」。至營利事業依所得稅法</w:t>
      </w:r>
      <w:r w:rsidRPr="007B5D03">
        <w:rPr>
          <w:rFonts w:hAnsi="標楷體"/>
          <w:spacing w:val="4"/>
          <w:sz w:val="30"/>
          <w:szCs w:val="30"/>
        </w:rPr>
        <w:t>第</w:t>
      </w:r>
      <w:r w:rsidRPr="007B5D03">
        <w:rPr>
          <w:spacing w:val="4"/>
          <w:sz w:val="30"/>
          <w:szCs w:val="30"/>
        </w:rPr>
        <w:t>24</w:t>
      </w:r>
      <w:r w:rsidRPr="007B5D03">
        <w:rPr>
          <w:rFonts w:hAnsi="標楷體"/>
          <w:spacing w:val="4"/>
          <w:sz w:val="30"/>
          <w:szCs w:val="30"/>
        </w:rPr>
        <w:t>條規定，採收入減除成本費用為所得之認定，惟當無</w:t>
      </w:r>
      <w:r w:rsidRPr="007B5D03">
        <w:rPr>
          <w:rFonts w:hAnsi="標楷體"/>
          <w:sz w:val="30"/>
          <w:szCs w:val="30"/>
        </w:rPr>
        <w:t>成本費用發生或成本費用相對微小時，形同對毛收入課稅，乃屬當然，自難謂與營業活動事務本質不符，而容許改採不依法律規定之所得計算方式。發行認購權證與事後權證或標的股票交易係二項交易，既係二項交易，則其交易性質應分別定性，並分別衡量損益，即發行認購權證之權利金為應稅所得，權證發行後在市場上交易及避險部位標的股票之交易所得均為證券交易所得。原審對「形式上」與「實質上」均屬「證券交易所得」之避險股票交易所得，逕行判決准許被上訴人將避險股票交易損失列報為發行認購權證之成本，惟基於「租稅法定原則」，勢將形成「有所得無法課稅」，但卻必須准予「有損失可以列報自應稅所得中扣除」之現象，顯有判決割裂法律適用之違法等語，求為判決廢棄原判決。</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lastRenderedPageBreak/>
        <w:t>六、被上訴人則以：依認購權證之交易流程，係發行券商收取權利金後，因收入尚未實現，依財務會計準則應帳列負債欄下「預收收入」，俟履約結算完畢後，再將權利金收入、履約損失及避險損益等併同計算損益，此方為發行認購權證之真正所得，且以此真正所得計算應納稅額，方符司法院釋字第</w:t>
      </w:r>
      <w:r w:rsidRPr="007B5D03">
        <w:rPr>
          <w:sz w:val="30"/>
          <w:szCs w:val="30"/>
        </w:rPr>
        <w:t>420</w:t>
      </w:r>
      <w:r w:rsidRPr="007B5D03">
        <w:rPr>
          <w:rFonts w:hAnsi="標楷體"/>
          <w:sz w:val="30"/>
          <w:szCs w:val="30"/>
        </w:rPr>
        <w:t>號解釋所揭</w:t>
      </w:r>
      <w:r w:rsidRPr="007B5D03">
        <w:rPr>
          <w:rFonts w:hAnsi="標楷體" w:hint="eastAsia"/>
          <w:sz w:val="30"/>
          <w:szCs w:val="30"/>
        </w:rPr>
        <w:t>櫫</w:t>
      </w:r>
      <w:r w:rsidRPr="007B5D03">
        <w:rPr>
          <w:rFonts w:hAnsi="標楷體"/>
          <w:sz w:val="30"/>
          <w:szCs w:val="30"/>
        </w:rPr>
        <w:t>之實質課稅原則。又被上訴人發行認購權證收取權利金當然為營利之目的，採取避險措施除為主管機關要求外，於標的股票市價上漲而投資人履約時，發行券商因避險所持有之標的股票亦有上漲利益，此上漲利益與履約損失合計使總損失降低，甚至可能產生利得，是上開降低損失之行為當然符合營利之目的，況原審亦未認發行認購權證</w:t>
      </w:r>
      <w:r w:rsidRPr="007B5D03">
        <w:rPr>
          <w:rFonts w:hAnsi="標楷體"/>
          <w:spacing w:val="10"/>
          <w:sz w:val="30"/>
          <w:szCs w:val="30"/>
        </w:rPr>
        <w:t>所獲得之權利金與避險部位標的股票之買賣必然產生</w:t>
      </w:r>
      <w:r w:rsidRPr="007B5D03">
        <w:rPr>
          <w:rFonts w:hAnsi="標楷體" w:hint="eastAsia"/>
          <w:spacing w:val="10"/>
          <w:sz w:val="30"/>
          <w:szCs w:val="30"/>
        </w:rPr>
        <w:t>損</w:t>
      </w:r>
      <w:r w:rsidRPr="007B5D03">
        <w:rPr>
          <w:rFonts w:hAnsi="標楷體"/>
          <w:sz w:val="30"/>
          <w:szCs w:val="30"/>
        </w:rPr>
        <w:t>失，亦無闡明避險交易若有所得時不應課稅。又系爭履約損</w:t>
      </w:r>
      <w:r w:rsidRPr="007B5D03">
        <w:rPr>
          <w:rFonts w:hAnsi="標楷體"/>
          <w:spacing w:val="4"/>
          <w:sz w:val="30"/>
          <w:szCs w:val="30"/>
        </w:rPr>
        <w:t>失與避險損失為證券商發行認購權證收取權利金後所應盡</w:t>
      </w:r>
      <w:r w:rsidRPr="007B5D03">
        <w:rPr>
          <w:rFonts w:hAnsi="標楷體"/>
          <w:sz w:val="30"/>
          <w:szCs w:val="30"/>
        </w:rPr>
        <w:t>之義務，依司法院釋字第</w:t>
      </w:r>
      <w:r w:rsidRPr="007B5D03">
        <w:rPr>
          <w:sz w:val="30"/>
          <w:szCs w:val="30"/>
        </w:rPr>
        <w:t>385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及所得稅法第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項所揭</w:t>
      </w:r>
      <w:r w:rsidRPr="007B5D03">
        <w:rPr>
          <w:rFonts w:hAnsi="標楷體" w:hint="eastAsia"/>
          <w:sz w:val="30"/>
          <w:szCs w:val="30"/>
        </w:rPr>
        <w:t>櫫</w:t>
      </w:r>
      <w:r w:rsidRPr="007B5D03">
        <w:rPr>
          <w:rFonts w:hAnsi="標楷體"/>
          <w:sz w:val="30"/>
          <w:szCs w:val="30"/>
        </w:rPr>
        <w:t>之成本收入配合原則，應與權利金收入併計課稅，而不應歸由免稅所得吸收。且原審亦認定避險損益應併同權利金收入計算，方為其實際所得，絕非獨以毛利率之高低來判別避險損益是否應免稅。再者，證券商發行認購權證須依法從事避險操作，且操作之範圍受相當之限制，是避險操作於法律形式上雖屬有價證券交易，然衡量經濟實質應非屬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之適用範圍，況所得稅法對於符合證券交易形式外觀者，並非皆適用所得稅法第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，而是依營利事業所得稅查核準則第</w:t>
      </w:r>
      <w:r w:rsidRPr="007B5D03">
        <w:rPr>
          <w:sz w:val="30"/>
          <w:szCs w:val="30"/>
        </w:rPr>
        <w:t>2</w:t>
      </w:r>
      <w:r w:rsidRPr="007B5D03">
        <w:rPr>
          <w:rFonts w:hAnsi="標楷體"/>
          <w:sz w:val="30"/>
          <w:szCs w:val="30"/>
        </w:rPr>
        <w:t>條第</w:t>
      </w:r>
      <w:r w:rsidRPr="007B5D03">
        <w:rPr>
          <w:sz w:val="30"/>
          <w:szCs w:val="30"/>
        </w:rPr>
        <w:t>2</w:t>
      </w:r>
      <w:r w:rsidRPr="007B5D03">
        <w:rPr>
          <w:rFonts w:hAnsi="標楷體"/>
          <w:sz w:val="30"/>
          <w:szCs w:val="30"/>
        </w:rPr>
        <w:t>項，以商業會計法及財務會計準則公報等相關規範為計算基礎，此依庫藏股票交易亦可為證，故系爭認購權證之避險損失與一般證券交易之性質有別，應列於權利金收入項下，上</w:t>
      </w:r>
      <w:r w:rsidRPr="007B5D03">
        <w:rPr>
          <w:rFonts w:hAnsi="標楷體"/>
          <w:sz w:val="30"/>
          <w:szCs w:val="30"/>
        </w:rPr>
        <w:lastRenderedPageBreak/>
        <w:t>訴人所主張平等原則之適用，顯對實質課稅原則之意涵有所誤解。而所得稅法第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所規範證券交易所得免稅，其立法目的本為促進資本市場之發展，非上訴人所稱「簡化稽徵程序」，故系爭避險之證券交易係以避險為交易目的，與所得稅法第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之立法目的迥不相同，上訴人之論述過程與本件待證事項顯不相干，殊不足採等語，資為抗辯，求為判決駁回上訴人之訴。</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七、本院查：按「營利事業所得之計算，以其本年度收入總額減</w:t>
      </w:r>
      <w:r w:rsidRPr="007B5D03">
        <w:rPr>
          <w:rFonts w:hAnsi="標楷體"/>
          <w:spacing w:val="-4"/>
          <w:sz w:val="30"/>
          <w:szCs w:val="30"/>
        </w:rPr>
        <w:t>除各項成本費用、損失及稅捐後之純益額為所得額。」及「自</w:t>
      </w:r>
      <w:smartTag w:uri="urn:schemas-microsoft-com:office:smarttags" w:element="chsdate">
        <w:smartTagPr>
          <w:attr w:name="IsROCDate" w:val="True"/>
          <w:attr w:name="IsLunarDate" w:val="False"/>
          <w:attr w:name="Day" w:val="1"/>
          <w:attr w:name="Month" w:val="1"/>
          <w:attr w:name="Year" w:val="1990"/>
        </w:smartTagPr>
        <w:r w:rsidRPr="007B5D03">
          <w:rPr>
            <w:rFonts w:hAnsi="標楷體"/>
            <w:sz w:val="30"/>
            <w:szCs w:val="30"/>
          </w:rPr>
          <w:t>中華民國</w:t>
        </w:r>
        <w:r w:rsidRPr="007B5D03">
          <w:rPr>
            <w:sz w:val="30"/>
            <w:szCs w:val="30"/>
          </w:rPr>
          <w:t>79</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7B5D03">
          <w:rPr>
            <w:rFonts w:hAnsi="標楷體"/>
            <w:sz w:val="30"/>
            <w:szCs w:val="30"/>
          </w:rPr>
          <w:t>日</w:t>
        </w:r>
      </w:smartTag>
      <w:r w:rsidRPr="007B5D03">
        <w:rPr>
          <w:rFonts w:hAnsi="標楷體"/>
          <w:sz w:val="30"/>
          <w:szCs w:val="30"/>
        </w:rPr>
        <w:t>起，證券交易所得停止課徵所得稅，證券交易損失亦不得自所得額中減除。」分別為行為時所得</w:t>
      </w:r>
      <w:r w:rsidRPr="007B5D03">
        <w:rPr>
          <w:rFonts w:hAnsi="標楷體"/>
          <w:spacing w:val="4"/>
          <w:sz w:val="30"/>
          <w:szCs w:val="30"/>
        </w:rPr>
        <w:t>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項及第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所明定；次按「有關認購</w:t>
      </w:r>
      <w:r w:rsidRPr="007B5D03">
        <w:rPr>
          <w:rFonts w:hAnsi="標楷體"/>
          <w:sz w:val="30"/>
          <w:szCs w:val="30"/>
        </w:rPr>
        <w:t>（售）權證及其標的股票交易之相關稅捐之核課，應依下列</w:t>
      </w:r>
      <w:r w:rsidRPr="007B5D03">
        <w:rPr>
          <w:rFonts w:hAnsi="標楷體"/>
          <w:spacing w:val="4"/>
          <w:sz w:val="30"/>
          <w:szCs w:val="30"/>
        </w:rPr>
        <w:t>規定辦理。</w:t>
      </w:r>
      <w:r w:rsidRPr="007B5D03">
        <w:rPr>
          <w:rFonts w:hint="eastAsia"/>
          <w:spacing w:val="4"/>
          <w:sz w:val="30"/>
          <w:szCs w:val="30"/>
        </w:rPr>
        <w:t>（一）</w:t>
      </w:r>
      <w:r w:rsidRPr="007B5D03">
        <w:rPr>
          <w:rFonts w:hAnsi="標楷體"/>
          <w:spacing w:val="4"/>
          <w:sz w:val="30"/>
          <w:szCs w:val="30"/>
        </w:rPr>
        <w:t>財政部</w:t>
      </w:r>
      <w:smartTag w:uri="urn:schemas-microsoft-com:office:smarttags" w:element="chsdate">
        <w:smartTagPr>
          <w:attr w:name="IsROCDate" w:val="False"/>
          <w:attr w:name="IsLunarDate" w:val="False"/>
          <w:attr w:name="Day" w:val="23"/>
          <w:attr w:name="Month" w:val="5"/>
          <w:attr w:name="Year" w:val="1986"/>
        </w:smartTagPr>
        <w:r w:rsidRPr="007B5D03">
          <w:rPr>
            <w:spacing w:val="4"/>
            <w:sz w:val="30"/>
            <w:szCs w:val="30"/>
          </w:rPr>
          <w:t>86</w:t>
        </w:r>
        <w:r w:rsidRPr="007B5D03">
          <w:rPr>
            <w:rFonts w:hAnsi="標楷體"/>
            <w:spacing w:val="4"/>
            <w:sz w:val="30"/>
            <w:szCs w:val="30"/>
          </w:rPr>
          <w:t>年</w:t>
        </w:r>
        <w:r w:rsidRPr="007B5D03">
          <w:rPr>
            <w:spacing w:val="4"/>
            <w:sz w:val="30"/>
            <w:szCs w:val="30"/>
          </w:rPr>
          <w:t>5</w:t>
        </w:r>
        <w:r w:rsidRPr="007B5D03">
          <w:rPr>
            <w:rFonts w:hAnsi="標楷體"/>
            <w:spacing w:val="4"/>
            <w:sz w:val="30"/>
            <w:szCs w:val="30"/>
          </w:rPr>
          <w:t>月</w:t>
        </w:r>
        <w:r w:rsidRPr="007B5D03">
          <w:rPr>
            <w:spacing w:val="4"/>
            <w:sz w:val="30"/>
            <w:szCs w:val="30"/>
          </w:rPr>
          <w:t>23</w:t>
        </w:r>
        <w:r w:rsidRPr="007B5D03">
          <w:rPr>
            <w:rFonts w:hAnsi="標楷體"/>
            <w:spacing w:val="4"/>
            <w:sz w:val="30"/>
            <w:szCs w:val="30"/>
          </w:rPr>
          <w:t>日</w:t>
        </w:r>
      </w:smartTag>
      <w:r w:rsidRPr="007B5D03">
        <w:rPr>
          <w:rFonts w:hAnsi="標楷體" w:hint="eastAsia"/>
          <w:spacing w:val="4"/>
          <w:sz w:val="30"/>
          <w:szCs w:val="30"/>
        </w:rPr>
        <w:t>(</w:t>
      </w:r>
      <w:r w:rsidRPr="007B5D03">
        <w:rPr>
          <w:spacing w:val="4"/>
          <w:sz w:val="30"/>
          <w:szCs w:val="30"/>
        </w:rPr>
        <w:t>86</w:t>
      </w:r>
      <w:r w:rsidRPr="007B5D03">
        <w:rPr>
          <w:rFonts w:hint="eastAsia"/>
          <w:spacing w:val="4"/>
          <w:sz w:val="30"/>
          <w:szCs w:val="30"/>
        </w:rPr>
        <w:t>)</w:t>
      </w:r>
      <w:r w:rsidRPr="007B5D03">
        <w:rPr>
          <w:rFonts w:hAnsi="標楷體" w:hint="eastAsia"/>
          <w:spacing w:val="4"/>
          <w:sz w:val="30"/>
          <w:szCs w:val="30"/>
        </w:rPr>
        <w:t>台</w:t>
      </w:r>
      <w:r w:rsidRPr="007B5D03">
        <w:rPr>
          <w:rFonts w:hAnsi="標楷體"/>
          <w:spacing w:val="4"/>
          <w:sz w:val="30"/>
          <w:szCs w:val="30"/>
        </w:rPr>
        <w:t>財證（五）</w:t>
      </w:r>
      <w:r w:rsidRPr="007B5D03">
        <w:rPr>
          <w:rFonts w:hAnsi="標楷體"/>
          <w:spacing w:val="-8"/>
          <w:sz w:val="30"/>
          <w:szCs w:val="30"/>
        </w:rPr>
        <w:t>第</w:t>
      </w:r>
      <w:r w:rsidRPr="007B5D03">
        <w:rPr>
          <w:spacing w:val="-8"/>
          <w:sz w:val="30"/>
          <w:szCs w:val="30"/>
        </w:rPr>
        <w:t>03037</w:t>
      </w:r>
      <w:r w:rsidRPr="007B5D03">
        <w:rPr>
          <w:rFonts w:hAnsi="標楷體"/>
          <w:spacing w:val="-8"/>
          <w:sz w:val="30"/>
          <w:szCs w:val="30"/>
        </w:rPr>
        <w:t>號公告，已依證券交易法第</w:t>
      </w:r>
      <w:r w:rsidRPr="007B5D03">
        <w:rPr>
          <w:spacing w:val="-8"/>
          <w:sz w:val="30"/>
          <w:szCs w:val="30"/>
        </w:rPr>
        <w:t>6</w:t>
      </w:r>
      <w:r w:rsidRPr="007B5D03">
        <w:rPr>
          <w:rFonts w:hAnsi="標楷體"/>
          <w:spacing w:val="-8"/>
          <w:sz w:val="30"/>
          <w:szCs w:val="30"/>
        </w:rPr>
        <w:t>條規定，核定認購（售）</w:t>
      </w:r>
      <w:r w:rsidRPr="007B5D03">
        <w:rPr>
          <w:rFonts w:hAnsi="標楷體"/>
          <w:sz w:val="30"/>
          <w:szCs w:val="30"/>
        </w:rPr>
        <w:t>權證為其他有價證券，則發行後買賣該認購（售）權證，應依證券交易稅條例第</w:t>
      </w:r>
      <w:r w:rsidRPr="007B5D03">
        <w:rPr>
          <w:sz w:val="30"/>
          <w:szCs w:val="30"/>
        </w:rPr>
        <w:t>2</w:t>
      </w:r>
      <w:r w:rsidRPr="007B5D03">
        <w:rPr>
          <w:rFonts w:hAnsi="標楷體"/>
          <w:sz w:val="30"/>
          <w:szCs w:val="30"/>
        </w:rPr>
        <w:t>條第</w:t>
      </w:r>
      <w:r w:rsidRPr="007B5D03">
        <w:rPr>
          <w:sz w:val="30"/>
          <w:szCs w:val="30"/>
        </w:rPr>
        <w:t>2</w:t>
      </w:r>
      <w:r w:rsidRPr="007B5D03">
        <w:rPr>
          <w:rFonts w:hAnsi="標楷體"/>
          <w:sz w:val="30"/>
          <w:szCs w:val="30"/>
        </w:rPr>
        <w:t>款規定，按買賣經政府核准之其他有價證券，依每次交易成交價格課徵千分之一證券交易稅，並依現行所得稅法第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規定，停止課徵證券交易所得稅。</w:t>
      </w:r>
      <w:r w:rsidRPr="007B5D03">
        <w:rPr>
          <w:rFonts w:hint="eastAsia"/>
          <w:sz w:val="30"/>
          <w:szCs w:val="30"/>
        </w:rPr>
        <w:t>（二）</w:t>
      </w:r>
      <w:r w:rsidRPr="007B5D03">
        <w:rPr>
          <w:rFonts w:hAnsi="標楷體"/>
          <w:sz w:val="30"/>
          <w:szCs w:val="30"/>
        </w:rPr>
        <w:t>認購（售）權證持有人如於某一時間或特定</w:t>
      </w:r>
      <w:r w:rsidRPr="007B5D03">
        <w:rPr>
          <w:rFonts w:hAnsi="標楷體"/>
          <w:spacing w:val="-4"/>
          <w:sz w:val="30"/>
          <w:szCs w:val="30"/>
        </w:rPr>
        <w:t>到期日，按約定行使價格向發行人購入（售出）標的股票者，</w:t>
      </w:r>
      <w:r w:rsidRPr="007B5D03">
        <w:rPr>
          <w:rFonts w:hAnsi="標楷體"/>
          <w:sz w:val="30"/>
          <w:szCs w:val="30"/>
        </w:rPr>
        <w:t>係屬發行人（持有人）出賣標的股票之行為，應就所出售之標的股票，依證券交易稅條例第</w:t>
      </w:r>
      <w:r w:rsidRPr="007B5D03">
        <w:rPr>
          <w:sz w:val="30"/>
          <w:szCs w:val="30"/>
        </w:rPr>
        <w:t>2</w:t>
      </w:r>
      <w:r w:rsidRPr="007B5D03">
        <w:rPr>
          <w:rFonts w:hAnsi="標楷體"/>
          <w:sz w:val="30"/>
          <w:szCs w:val="30"/>
        </w:rPr>
        <w:t>條規定，按履約價格課徵千分之三證券交易稅。</w:t>
      </w:r>
      <w:r w:rsidRPr="007B5D03">
        <w:rPr>
          <w:rFonts w:hint="eastAsia"/>
          <w:sz w:val="30"/>
          <w:szCs w:val="30"/>
        </w:rPr>
        <w:t>（三）</w:t>
      </w:r>
      <w:r w:rsidRPr="007B5D03">
        <w:rPr>
          <w:rFonts w:hAnsi="標楷體"/>
          <w:sz w:val="30"/>
          <w:szCs w:val="30"/>
        </w:rPr>
        <w:t>至認購（售）權證持有人如於</w:t>
      </w:r>
      <w:r w:rsidRPr="007B5D03">
        <w:rPr>
          <w:rFonts w:hAnsi="標楷體"/>
          <w:spacing w:val="-4"/>
          <w:sz w:val="30"/>
          <w:szCs w:val="30"/>
        </w:rPr>
        <w:t>某一時間或特定到期日，以現金方式結算者，係屬認購（售）</w:t>
      </w:r>
      <w:r w:rsidRPr="007B5D03">
        <w:rPr>
          <w:rFonts w:hAnsi="標楷體"/>
          <w:sz w:val="30"/>
          <w:szCs w:val="30"/>
        </w:rPr>
        <w:t>權證之標的股票之交易，應對認購（售）權證之發行人（持有人）依標的股</w:t>
      </w:r>
      <w:r w:rsidRPr="007B5D03">
        <w:rPr>
          <w:rFonts w:hAnsi="標楷體"/>
          <w:sz w:val="30"/>
          <w:szCs w:val="30"/>
        </w:rPr>
        <w:lastRenderedPageBreak/>
        <w:t>東之履約價格按千分之三稅率課徵證券交易稅，及對認購（售）權證持有人（發行人）依標的股東之市場價格按千分之三稅率課徵證券交易稅，並依前開所得稅法規定停止課徵所得稅。」及「認購（售）權證發行人於發行時所取得之發行價款，係屬權利金收入，依現行所得稅法第</w:t>
      </w:r>
      <w:r w:rsidRPr="007B5D03">
        <w:rPr>
          <w:sz w:val="30"/>
          <w:szCs w:val="30"/>
        </w:rPr>
        <w:t>22</w:t>
      </w:r>
      <w:r w:rsidRPr="007B5D03">
        <w:rPr>
          <w:rFonts w:hAnsi="標楷體"/>
          <w:sz w:val="30"/>
          <w:szCs w:val="30"/>
        </w:rPr>
        <w:t>條有關公司組織之會計基礎應採權責發生制之規定，應於發行期間內分期計算損益或於履約時認列損益。認購（售）權證發行人於發行後，因投資人行使權利而售出或購入標的股票產生之證券交易所得或損失，應於履約時認列損益，並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w:t>
      </w:r>
      <w:r w:rsidRPr="007B5D03">
        <w:rPr>
          <w:rFonts w:hAnsi="標楷體" w:hint="eastAsia"/>
          <w:sz w:val="30"/>
          <w:szCs w:val="30"/>
        </w:rPr>
        <w:t>……</w:t>
      </w:r>
      <w:r w:rsidRPr="007B5D03">
        <w:rPr>
          <w:rFonts w:hAnsi="標楷體"/>
          <w:sz w:val="30"/>
          <w:szCs w:val="30"/>
        </w:rPr>
        <w:t>。」前述財政部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pacing w:val="4"/>
          <w:sz w:val="30"/>
          <w:szCs w:val="30"/>
        </w:rPr>
        <w:t>月函及財政部</w:t>
      </w: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月函分別釋示在案。查財政部</w:t>
      </w: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月函釋，以證券商發行權證收取之發行價款為權利金收入，屬「應稅所得」，應依行為時所得稅法第</w:t>
      </w:r>
      <w:r w:rsidRPr="007B5D03">
        <w:rPr>
          <w:spacing w:val="4"/>
          <w:sz w:val="30"/>
          <w:szCs w:val="30"/>
        </w:rPr>
        <w:t>24</w:t>
      </w:r>
      <w:r w:rsidRPr="007B5D03">
        <w:rPr>
          <w:rFonts w:hAnsi="標楷體"/>
          <w:spacing w:val="4"/>
          <w:sz w:val="30"/>
          <w:szCs w:val="30"/>
        </w:rPr>
        <w:t>條規定課</w:t>
      </w:r>
      <w:r w:rsidRPr="007B5D03">
        <w:rPr>
          <w:rFonts w:hAnsi="標楷體"/>
          <w:sz w:val="30"/>
          <w:szCs w:val="30"/>
        </w:rPr>
        <w:t>徵稅款；至於系爭認購權證業經財政部於</w:t>
      </w:r>
      <w:smartTag w:uri="urn:schemas-microsoft-com:office:smarttags" w:element="chsdate">
        <w:smartTagPr>
          <w:attr w:name="IsROCDate" w:val="False"/>
          <w:attr w:name="IsLunarDate" w:val="False"/>
          <w:attr w:name="Day" w:val="23"/>
          <w:attr w:name="Month" w:val="5"/>
          <w:attr w:name="Year" w:val="1986"/>
        </w:smartTagP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23</w:t>
        </w:r>
        <w:r w:rsidRPr="007B5D03">
          <w:rPr>
            <w:rFonts w:hAnsi="標楷體"/>
            <w:sz w:val="30"/>
            <w:szCs w:val="30"/>
          </w:rPr>
          <w:t>日</w:t>
        </w:r>
      </w:smartTag>
      <w:r w:rsidRPr="007B5D03">
        <w:rPr>
          <w:rFonts w:hAnsi="標楷體"/>
          <w:sz w:val="30"/>
          <w:szCs w:val="30"/>
        </w:rPr>
        <w:t>以（</w:t>
      </w:r>
      <w:r w:rsidRPr="007B5D03">
        <w:rPr>
          <w:sz w:val="30"/>
          <w:szCs w:val="30"/>
        </w:rPr>
        <w:t>86</w:t>
      </w:r>
      <w:r w:rsidRPr="007B5D03">
        <w:rPr>
          <w:rFonts w:hAnsi="標楷體"/>
          <w:sz w:val="30"/>
          <w:szCs w:val="30"/>
        </w:rPr>
        <w:t>）</w:t>
      </w:r>
      <w:r w:rsidRPr="007B5D03">
        <w:rPr>
          <w:rFonts w:hAnsi="標楷體" w:hint="eastAsia"/>
          <w:sz w:val="30"/>
          <w:szCs w:val="30"/>
        </w:rPr>
        <w:t>台</w:t>
      </w:r>
      <w:r w:rsidRPr="007B5D03">
        <w:rPr>
          <w:rFonts w:hAnsi="標楷體"/>
          <w:sz w:val="30"/>
          <w:szCs w:val="30"/>
        </w:rPr>
        <w:t>財證（五）第</w:t>
      </w:r>
      <w:r w:rsidRPr="007B5D03">
        <w:rPr>
          <w:sz w:val="30"/>
          <w:szCs w:val="30"/>
        </w:rPr>
        <w:t>03037</w:t>
      </w:r>
      <w:r w:rsidRPr="007B5D03">
        <w:rPr>
          <w:rFonts w:hAnsi="標楷體"/>
          <w:sz w:val="30"/>
          <w:szCs w:val="30"/>
        </w:rPr>
        <w:t>號公告，依證券交易法第</w:t>
      </w:r>
      <w:r w:rsidRPr="007B5D03">
        <w:rPr>
          <w:sz w:val="30"/>
          <w:szCs w:val="30"/>
        </w:rPr>
        <w:t>6</w:t>
      </w:r>
      <w:r w:rsidRPr="007B5D03">
        <w:rPr>
          <w:rFonts w:hAnsi="標楷體"/>
          <w:sz w:val="30"/>
          <w:szCs w:val="30"/>
        </w:rPr>
        <w:t>條</w:t>
      </w:r>
      <w:r w:rsidRPr="007B5D03">
        <w:rPr>
          <w:rFonts w:hAnsi="標楷體"/>
          <w:spacing w:val="4"/>
          <w:sz w:val="30"/>
          <w:szCs w:val="30"/>
        </w:rPr>
        <w:t>規定，核定為其他有價證券，再依財政部</w:t>
      </w:r>
      <w:r w:rsidRPr="007B5D03">
        <w:rPr>
          <w:spacing w:val="4"/>
          <w:sz w:val="30"/>
          <w:szCs w:val="30"/>
        </w:rPr>
        <w:t>86</w:t>
      </w:r>
      <w:r w:rsidRPr="007B5D03">
        <w:rPr>
          <w:rFonts w:hAnsi="標楷體"/>
          <w:spacing w:val="4"/>
          <w:sz w:val="30"/>
          <w:szCs w:val="30"/>
        </w:rPr>
        <w:t>年</w:t>
      </w:r>
      <w:r w:rsidRPr="007B5D03">
        <w:rPr>
          <w:spacing w:val="4"/>
          <w:sz w:val="30"/>
          <w:szCs w:val="30"/>
        </w:rPr>
        <w:t>7</w:t>
      </w:r>
      <w:r w:rsidRPr="007B5D03">
        <w:rPr>
          <w:rFonts w:hAnsi="標楷體"/>
          <w:spacing w:val="4"/>
          <w:sz w:val="30"/>
          <w:szCs w:val="30"/>
        </w:rPr>
        <w:t>月函釋意</w:t>
      </w:r>
      <w:r w:rsidRPr="007B5D03">
        <w:rPr>
          <w:rFonts w:hAnsi="標楷體"/>
          <w:sz w:val="30"/>
          <w:szCs w:val="30"/>
        </w:rPr>
        <w:t>旨，發行後買賣該認購權證，及避險而買賣標的股票所生之損失，依行為時所得稅法第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規定，停止課徵證券交易所得稅，則依損益配合原則，證券交易損失自亦不得從所得額中減除。且行為時所得稅法第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證券交易免稅所得並無排除收入成本配合原則之適用，業經司法院釋字第</w:t>
      </w:r>
      <w:r w:rsidRPr="007B5D03">
        <w:rPr>
          <w:spacing w:val="4"/>
          <w:sz w:val="30"/>
          <w:szCs w:val="30"/>
        </w:rPr>
        <w:t>493</w:t>
      </w:r>
      <w:r w:rsidRPr="007B5D03">
        <w:rPr>
          <w:rFonts w:hAnsi="標楷體"/>
          <w:spacing w:val="4"/>
          <w:sz w:val="30"/>
          <w:szCs w:val="30"/>
        </w:rPr>
        <w:t>號解釋在案，財政部上開</w:t>
      </w: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月函釋符合所得稅法</w:t>
      </w:r>
      <w:r w:rsidRPr="007B5D03">
        <w:rPr>
          <w:rFonts w:hAnsi="標楷體"/>
          <w:sz w:val="30"/>
          <w:szCs w:val="30"/>
        </w:rPr>
        <w:t>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意旨，自應予以適用。本件上訴人將系爭認購權證權利金收入與避險交易所生之證券交易所得，個別認定成本費用及其損益，自屬於法有據。雖原判決依被上訴人主張，以其發行認購權證避險需要而買賣標的股票，與一般投資者自行決定買賣股票之交易屬性，</w:t>
      </w:r>
      <w:r w:rsidRPr="007B5D03">
        <w:rPr>
          <w:rFonts w:hAnsi="標楷體"/>
          <w:sz w:val="30"/>
          <w:szCs w:val="30"/>
        </w:rPr>
        <w:lastRenderedPageBreak/>
        <w:t>不論就自由決定買賣證券種類及時點、操作策略、獲利機會、持有部位及期間、是否專戶控管及買賣證券目的而論，均截然不同，證券商因</w:t>
      </w:r>
      <w:r w:rsidRPr="007B5D03">
        <w:rPr>
          <w:rFonts w:hAnsi="標楷體"/>
          <w:spacing w:val="4"/>
          <w:sz w:val="30"/>
          <w:szCs w:val="30"/>
        </w:rPr>
        <w:t>避險操作而買入或賣出標的股票之盈虧，及因避險而買回</w:t>
      </w:r>
      <w:r w:rsidRPr="007B5D03">
        <w:rPr>
          <w:rFonts w:hAnsi="標楷體"/>
          <w:sz w:val="30"/>
          <w:szCs w:val="30"/>
        </w:rPr>
        <w:t>（或再賣出）所發行認購權證之損失，與非出於避險操作所為之股票交易之損益自有區別，故發行認購權證避險需要而買賣標的股票，或所發行之認購權證，非屬行為時所得稅法</w:t>
      </w:r>
      <w:r w:rsidRPr="007B5D03">
        <w:rPr>
          <w:rFonts w:hAnsi="標楷體"/>
          <w:spacing w:val="6"/>
          <w:sz w:val="30"/>
          <w:szCs w:val="30"/>
        </w:rPr>
        <w:t>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所規範單純買賣有價證券之證券交易損益之範</w:t>
      </w:r>
      <w:r w:rsidRPr="007B5D03">
        <w:rPr>
          <w:rFonts w:hAnsi="標楷體"/>
          <w:sz w:val="30"/>
          <w:szCs w:val="30"/>
        </w:rPr>
        <w:t>圍，上訴人既將權證權利金收入定性為應稅收入，為發行權</w:t>
      </w:r>
      <w:r w:rsidRPr="007B5D03">
        <w:rPr>
          <w:rFonts w:hAnsi="標楷體"/>
          <w:spacing w:val="4"/>
          <w:sz w:val="30"/>
          <w:szCs w:val="30"/>
        </w:rPr>
        <w:t>證避險而買賣標的股票之損益及權證再買回損失應予認列</w:t>
      </w:r>
      <w:r w:rsidRPr="007B5D03">
        <w:rPr>
          <w:rFonts w:hAnsi="標楷體"/>
          <w:sz w:val="30"/>
          <w:szCs w:val="30"/>
        </w:rPr>
        <w:t>為成本費用云云。惟查證券商發行權證，依主管機關前財政部證券暨期貨管理委員會</w:t>
      </w:r>
      <w:smartTag w:uri="urn:schemas-microsoft-com:office:smarttags" w:element="chsdate">
        <w:smartTagPr>
          <w:attr w:name="IsROCDate" w:val="False"/>
          <w:attr w:name="IsLunarDate" w:val="False"/>
          <w:attr w:name="Day" w:val="31"/>
          <w:attr w:name="Month" w:val="5"/>
          <w:attr w:name="Year" w:val="1986"/>
        </w:smartTagP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發布之「發行人申</w:t>
      </w:r>
      <w:r w:rsidRPr="007B5D03">
        <w:rPr>
          <w:rFonts w:hAnsi="標楷體"/>
          <w:spacing w:val="4"/>
          <w:sz w:val="30"/>
          <w:szCs w:val="30"/>
        </w:rPr>
        <w:t>請發行認購（售）權證處理要點」第</w:t>
      </w:r>
      <w:r w:rsidRPr="007B5D03">
        <w:rPr>
          <w:spacing w:val="4"/>
          <w:sz w:val="30"/>
          <w:szCs w:val="30"/>
        </w:rPr>
        <w:t>8</w:t>
      </w:r>
      <w:r w:rsidRPr="007B5D03">
        <w:rPr>
          <w:rFonts w:hAnsi="標楷體"/>
          <w:spacing w:val="4"/>
          <w:sz w:val="30"/>
          <w:szCs w:val="30"/>
        </w:rPr>
        <w:t>點第</w:t>
      </w:r>
      <w:r w:rsidRPr="007B5D03">
        <w:rPr>
          <w:spacing w:val="4"/>
          <w:sz w:val="30"/>
          <w:szCs w:val="30"/>
        </w:rPr>
        <w:t>11</w:t>
      </w:r>
      <w:r w:rsidRPr="007B5D03">
        <w:rPr>
          <w:rFonts w:hAnsi="標楷體"/>
          <w:spacing w:val="4"/>
          <w:sz w:val="30"/>
          <w:szCs w:val="30"/>
        </w:rPr>
        <w:t>款規定與第</w:t>
      </w:r>
      <w:r w:rsidRPr="007B5D03">
        <w:rPr>
          <w:sz w:val="30"/>
          <w:szCs w:val="30"/>
        </w:rPr>
        <w:t>11</w:t>
      </w:r>
      <w:r w:rsidRPr="007B5D03">
        <w:rPr>
          <w:rFonts w:hAnsi="標楷體"/>
          <w:sz w:val="30"/>
          <w:szCs w:val="30"/>
        </w:rPr>
        <w:t>點規定〔註：</w:t>
      </w:r>
      <w:smartTag w:uri="urn:schemas-microsoft-com:office:smarttags" w:element="chsdate">
        <w:smartTagPr>
          <w:attr w:name="IsROCDate" w:val="False"/>
          <w:attr w:name="IsLunarDate" w:val="False"/>
          <w:attr w:name="Day" w:val="3"/>
          <w:attr w:name="Month" w:val="11"/>
          <w:attr w:name="Year" w:val="1989"/>
        </w:smartTagPr>
        <w:r w:rsidRPr="007B5D03">
          <w:rPr>
            <w:sz w:val="30"/>
            <w:szCs w:val="30"/>
          </w:rPr>
          <w:t>89</w:t>
        </w:r>
        <w:r w:rsidRPr="007B5D03">
          <w:rPr>
            <w:rFonts w:hAnsi="標楷體"/>
            <w:sz w:val="30"/>
            <w:szCs w:val="30"/>
          </w:rPr>
          <w:t>年</w:t>
        </w:r>
        <w:r w:rsidRPr="007B5D03">
          <w:rPr>
            <w:sz w:val="30"/>
            <w:szCs w:val="30"/>
          </w:rPr>
          <w:t>11</w:t>
        </w:r>
        <w:r w:rsidRPr="007B5D03">
          <w:rPr>
            <w:rFonts w:hAnsi="標楷體"/>
            <w:sz w:val="30"/>
            <w:szCs w:val="30"/>
          </w:rPr>
          <w:t>月</w:t>
        </w:r>
        <w:r w:rsidRPr="007B5D03">
          <w:rPr>
            <w:sz w:val="30"/>
            <w:szCs w:val="30"/>
          </w:rPr>
          <w:t>3</w:t>
        </w:r>
        <w:r w:rsidRPr="007B5D03">
          <w:rPr>
            <w:rFonts w:hAnsi="標楷體"/>
            <w:sz w:val="30"/>
            <w:szCs w:val="30"/>
          </w:rPr>
          <w:t>日</w:t>
        </w:r>
      </w:smartTag>
      <w:r w:rsidRPr="007B5D03">
        <w:rPr>
          <w:rFonts w:hAnsi="標楷體"/>
          <w:sz w:val="30"/>
          <w:szCs w:val="30"/>
        </w:rPr>
        <w:t>證期會另發布「發行人申請發行認購（售）權證處理準則」取代之，惟必須</w:t>
      </w:r>
      <w:r w:rsidRPr="007B5D03">
        <w:rPr>
          <w:rFonts w:hAnsi="標楷體" w:hint="eastAsia"/>
          <w:sz w:val="30"/>
          <w:szCs w:val="30"/>
        </w:rPr>
        <w:t>避</w:t>
      </w:r>
      <w:r w:rsidRPr="007B5D03">
        <w:rPr>
          <w:rFonts w:hAnsi="標楷體"/>
          <w:sz w:val="30"/>
          <w:szCs w:val="30"/>
        </w:rPr>
        <w:t>險之基本</w:t>
      </w:r>
      <w:r w:rsidRPr="007B5D03">
        <w:rPr>
          <w:rFonts w:hAnsi="標楷體"/>
          <w:spacing w:val="4"/>
          <w:sz w:val="30"/>
          <w:szCs w:val="30"/>
        </w:rPr>
        <w:t>精神一致〕，及</w:t>
      </w:r>
      <w:smartTag w:uri="urn:schemas-microsoft-com:office:smarttags" w:element="chsdate">
        <w:smartTagPr>
          <w:attr w:name="IsROCDate" w:val="False"/>
          <w:attr w:name="IsLunarDate" w:val="False"/>
          <w:attr w:name="Day" w:val="6"/>
          <w:attr w:name="Month" w:val="8"/>
          <w:attr w:name="Year" w:val="1988"/>
        </w:smartTagPr>
        <w:r w:rsidRPr="007B5D03">
          <w:rPr>
            <w:spacing w:val="4"/>
            <w:sz w:val="30"/>
            <w:szCs w:val="30"/>
          </w:rPr>
          <w:t>88</w:t>
        </w:r>
        <w:r w:rsidRPr="007B5D03">
          <w:rPr>
            <w:rFonts w:hAnsi="標楷體"/>
            <w:spacing w:val="4"/>
            <w:sz w:val="30"/>
            <w:szCs w:val="30"/>
          </w:rPr>
          <w:t>年</w:t>
        </w:r>
        <w:r w:rsidRPr="007B5D03">
          <w:rPr>
            <w:spacing w:val="4"/>
            <w:sz w:val="30"/>
            <w:szCs w:val="30"/>
          </w:rPr>
          <w:t>8</w:t>
        </w:r>
        <w:r w:rsidRPr="007B5D03">
          <w:rPr>
            <w:rFonts w:hAnsi="標楷體"/>
            <w:spacing w:val="4"/>
            <w:sz w:val="30"/>
            <w:szCs w:val="30"/>
          </w:rPr>
          <w:t>月</w:t>
        </w:r>
        <w:r w:rsidRPr="007B5D03">
          <w:rPr>
            <w:spacing w:val="4"/>
            <w:sz w:val="30"/>
            <w:szCs w:val="30"/>
          </w:rPr>
          <w:t>6</w:t>
        </w:r>
        <w:r w:rsidRPr="007B5D03">
          <w:rPr>
            <w:rFonts w:hAnsi="標楷體"/>
            <w:spacing w:val="4"/>
            <w:sz w:val="30"/>
            <w:szCs w:val="30"/>
          </w:rPr>
          <w:t>日</w:t>
        </w:r>
      </w:smartTag>
      <w:r w:rsidRPr="007B5D03">
        <w:rPr>
          <w:rFonts w:hAnsi="標楷體"/>
          <w:spacing w:val="4"/>
          <w:sz w:val="30"/>
          <w:szCs w:val="30"/>
        </w:rPr>
        <w:t>「臺灣證券交易所股份有限</w:t>
      </w:r>
      <w:r w:rsidRPr="007B5D03">
        <w:rPr>
          <w:rFonts w:hAnsi="標楷體"/>
          <w:sz w:val="30"/>
          <w:szCs w:val="30"/>
        </w:rPr>
        <w:t>公司認購（售）權證上市審查準則」第</w:t>
      </w:r>
      <w:r w:rsidRPr="007B5D03">
        <w:rPr>
          <w:sz w:val="30"/>
          <w:szCs w:val="30"/>
        </w:rPr>
        <w:t>6</w:t>
      </w:r>
      <w:r w:rsidRPr="007B5D03">
        <w:rPr>
          <w:rFonts w:hAnsi="標楷體"/>
          <w:sz w:val="30"/>
          <w:szCs w:val="30"/>
        </w:rPr>
        <w:t>條第</w:t>
      </w:r>
      <w:r w:rsidRPr="007B5D03">
        <w:rPr>
          <w:sz w:val="30"/>
          <w:szCs w:val="30"/>
        </w:rPr>
        <w:t>7</w:t>
      </w:r>
      <w:r w:rsidRPr="007B5D03">
        <w:rPr>
          <w:rFonts w:hAnsi="標楷體"/>
          <w:sz w:val="30"/>
          <w:szCs w:val="30"/>
        </w:rPr>
        <w:t>款、第</w:t>
      </w:r>
      <w:r w:rsidRPr="007B5D03">
        <w:rPr>
          <w:sz w:val="30"/>
          <w:szCs w:val="30"/>
        </w:rPr>
        <w:t>8</w:t>
      </w:r>
      <w:r w:rsidRPr="007B5D03">
        <w:rPr>
          <w:rFonts w:hAnsi="標楷體"/>
          <w:sz w:val="30"/>
          <w:szCs w:val="30"/>
        </w:rPr>
        <w:t>條第</w:t>
      </w:r>
      <w:r w:rsidRPr="007B5D03">
        <w:rPr>
          <w:sz w:val="30"/>
          <w:szCs w:val="30"/>
        </w:rPr>
        <w:t>11</w:t>
      </w:r>
      <w:r w:rsidRPr="007B5D03">
        <w:rPr>
          <w:rFonts w:hAnsi="標楷體"/>
          <w:sz w:val="30"/>
          <w:szCs w:val="30"/>
        </w:rPr>
        <w:t>款規定（註：</w:t>
      </w:r>
      <w:smartTag w:uri="urn:schemas-microsoft-com:office:smarttags" w:element="chsdate">
        <w:smartTagPr>
          <w:attr w:name="IsROCDate" w:val="False"/>
          <w:attr w:name="IsLunarDate" w:val="False"/>
          <w:attr w:name="Day" w:val="14"/>
          <w:attr w:name="Month" w:val="6"/>
          <w:attr w:name="Year" w:val="1993"/>
        </w:smartTagPr>
        <w:r w:rsidRPr="007B5D03">
          <w:rPr>
            <w:sz w:val="30"/>
            <w:szCs w:val="30"/>
          </w:rPr>
          <w:t>93</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14</w:t>
        </w:r>
        <w:r w:rsidRPr="007B5D03">
          <w:rPr>
            <w:rFonts w:hAnsi="標楷體"/>
            <w:sz w:val="30"/>
            <w:szCs w:val="30"/>
          </w:rPr>
          <w:t>日</w:t>
        </w:r>
      </w:smartTag>
      <w:r w:rsidRPr="007B5D03">
        <w:rPr>
          <w:rFonts w:hAnsi="標楷體"/>
          <w:sz w:val="30"/>
          <w:szCs w:val="30"/>
        </w:rPr>
        <w:t>修正條文第</w:t>
      </w:r>
      <w:r w:rsidRPr="007B5D03">
        <w:rPr>
          <w:sz w:val="30"/>
          <w:szCs w:val="30"/>
        </w:rPr>
        <w:t>8</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5</w:t>
      </w:r>
      <w:r w:rsidRPr="007B5D03">
        <w:rPr>
          <w:rFonts w:hAnsi="標楷體"/>
          <w:sz w:val="30"/>
          <w:szCs w:val="30"/>
        </w:rPr>
        <w:t>款、第</w:t>
      </w:r>
      <w:r w:rsidRPr="007B5D03">
        <w:rPr>
          <w:sz w:val="30"/>
          <w:szCs w:val="30"/>
        </w:rPr>
        <w:t>10</w:t>
      </w:r>
      <w:r w:rsidRPr="007B5D03">
        <w:rPr>
          <w:rFonts w:hAnsi="標楷體"/>
          <w:sz w:val="30"/>
          <w:szCs w:val="30"/>
        </w:rPr>
        <w:t>條第</w:t>
      </w:r>
      <w:r w:rsidRPr="007B5D03">
        <w:rPr>
          <w:sz w:val="30"/>
          <w:szCs w:val="30"/>
        </w:rPr>
        <w:t>6</w:t>
      </w:r>
      <w:r w:rsidRPr="007B5D03">
        <w:rPr>
          <w:rFonts w:hAnsi="標楷體"/>
          <w:sz w:val="30"/>
          <w:szCs w:val="30"/>
        </w:rPr>
        <w:t>款第</w:t>
      </w:r>
      <w:r w:rsidRPr="007B5D03">
        <w:rPr>
          <w:sz w:val="30"/>
          <w:szCs w:val="30"/>
        </w:rPr>
        <w:t>8</w:t>
      </w:r>
      <w:r w:rsidRPr="007B5D03">
        <w:rPr>
          <w:rFonts w:hAnsi="標楷體"/>
          <w:sz w:val="30"/>
          <w:szCs w:val="30"/>
        </w:rPr>
        <w:t>目規定同此精神），固規定證券商應進行避險交易，且該避險交易之特性，在於股價上漲時買進標的股票以履行權證持有人履約要求、股價下跌時賣出標的股票以防權證持有人棄權時發生巨額跌價損失，然依上開事實可知，</w:t>
      </w:r>
      <w:r w:rsidRPr="007B5D03">
        <w:rPr>
          <w:rFonts w:hAnsi="標楷體" w:hint="eastAsia"/>
          <w:sz w:val="30"/>
          <w:szCs w:val="30"/>
        </w:rPr>
        <w:t>證</w:t>
      </w:r>
      <w:r w:rsidRPr="007B5D03">
        <w:rPr>
          <w:rFonts w:hAnsi="標楷體"/>
          <w:sz w:val="30"/>
          <w:szCs w:val="30"/>
        </w:rPr>
        <w:t>券商對標的股票漲即買、跌即賣之避險交易行為，為其履約之準備，而其避險交易可能產生損失，亦可能產生利益，難認為發行權證之成本或費用。況個別之收入有其對應之成本費用，所產生個別之損益，不能成為他項收入</w:t>
      </w:r>
      <w:r w:rsidRPr="007B5D03">
        <w:rPr>
          <w:rFonts w:hAnsi="標楷體"/>
          <w:spacing w:val="4"/>
          <w:sz w:val="30"/>
          <w:szCs w:val="30"/>
        </w:rPr>
        <w:t>之成本費用，此觀行為時所得稅法施行細則第</w:t>
      </w:r>
      <w:r w:rsidRPr="007B5D03">
        <w:rPr>
          <w:spacing w:val="4"/>
          <w:sz w:val="30"/>
          <w:szCs w:val="30"/>
        </w:rPr>
        <w:t>31</w:t>
      </w:r>
      <w:r w:rsidRPr="007B5D03">
        <w:rPr>
          <w:rFonts w:hAnsi="標楷體"/>
          <w:spacing w:val="4"/>
          <w:sz w:val="30"/>
          <w:szCs w:val="30"/>
        </w:rPr>
        <w:t>條規定自</w:t>
      </w:r>
      <w:r w:rsidRPr="007B5D03">
        <w:rPr>
          <w:rFonts w:hAnsi="標楷體"/>
          <w:sz w:val="30"/>
          <w:szCs w:val="30"/>
        </w:rPr>
        <w:t>明</w:t>
      </w:r>
      <w:r w:rsidRPr="007B5D03">
        <w:rPr>
          <w:rFonts w:hAnsi="標楷體"/>
          <w:sz w:val="30"/>
          <w:szCs w:val="30"/>
        </w:rPr>
        <w:lastRenderedPageBreak/>
        <w:t>，故行為時所得稅法第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係因證券交易之收入不課稅，所對應之成本費用亦不准自應稅項下認定，導致損失亦不得自所得額中減除。若採被上訴人主張將避險證券交易損失認定為認購權證之成本費用減除，則侵蝕了應稅之認購權證權利金所得。又查證券商於發行認購權證時，因前開法規規定證券商須為避險交易，而該避險交易復基於保護投資者及維持金融秩序，證券商須於股價上漲時買進標的股票，股價下跌時賣出標的股票，證券商可能因避險交易行為而造成損失，復為證券商於發行該認購權證所知悉，財政部上開</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月函釋亦已指明認購權證發行人於發行後，因投資人行使權利，而售出或購入標的股票產生之證券交易所得或損失，應依行為時所得稅法第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規定辦理，則</w:t>
      </w:r>
      <w:r w:rsidRPr="007B5D03">
        <w:rPr>
          <w:rFonts w:hAnsi="標楷體"/>
          <w:spacing w:val="4"/>
          <w:sz w:val="30"/>
          <w:szCs w:val="30"/>
        </w:rPr>
        <w:t>證券商自得於發行時，自行斟酌其可能發生之損失成本費</w:t>
      </w:r>
      <w:r w:rsidRPr="007B5D03">
        <w:rPr>
          <w:rFonts w:hAnsi="標楷體"/>
          <w:sz w:val="30"/>
          <w:szCs w:val="30"/>
        </w:rPr>
        <w:t>用，且依其從事證券業之專業知識，亦可知悉行為時所得稅法第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其為避險之證券交易所得免稅，其因避險之證券交易損失亦不得自所得額中減除，自應充分衡量其發行該認購權證之利潤後，再行決定該權利金之金額，以作為發行最符合其經濟效益之商品，自不得僅因其依照於發行認購權證時約定應買進或賣出股票時之證券交易，即謂該種</w:t>
      </w:r>
      <w:r w:rsidRPr="007B5D03">
        <w:rPr>
          <w:rFonts w:hAnsi="標楷體"/>
          <w:spacing w:val="4"/>
          <w:sz w:val="30"/>
          <w:szCs w:val="30"/>
        </w:rPr>
        <w:t>證券交易，係出於強制而與一般消費者為證券交易有所不</w:t>
      </w:r>
      <w:r w:rsidRPr="007B5D03">
        <w:rPr>
          <w:rFonts w:hAnsi="標楷體"/>
          <w:sz w:val="30"/>
          <w:szCs w:val="30"/>
        </w:rPr>
        <w:t>同，因而於稅收上異其計算，否則自有違反租稅法律主義及租稅公平原則。再者行為時所得稅法第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稱之證券交易，倘符合證券交易之形式外觀即屬之，並不問買賣雙方對該證券交易其動機及內在主觀意思為何，否則亦有違證券交易之安定性及國家稅收之一致性。且為避險交易亦為防止發行該認購權證者之證券商之經營風險，非全然對證券商為不利。原判決以被上訴人發</w:t>
      </w:r>
      <w:r w:rsidRPr="007B5D03">
        <w:rPr>
          <w:rFonts w:hAnsi="標楷體"/>
          <w:sz w:val="30"/>
          <w:szCs w:val="30"/>
        </w:rPr>
        <w:lastRenderedPageBreak/>
        <w:t>行認購權證避險需要而買賣標的股票，與一般投資者自行決定買</w:t>
      </w:r>
      <w:r w:rsidRPr="007B5D03">
        <w:rPr>
          <w:rFonts w:hAnsi="標楷體" w:hint="eastAsia"/>
          <w:sz w:val="30"/>
          <w:szCs w:val="30"/>
        </w:rPr>
        <w:t>賣</w:t>
      </w:r>
      <w:r w:rsidRPr="007B5D03">
        <w:rPr>
          <w:rFonts w:hAnsi="標楷體"/>
          <w:sz w:val="30"/>
          <w:szCs w:val="30"/>
        </w:rPr>
        <w:t>股票之交易屬性，截然不同，故證券商因避險操作而買入或賣出標的股票之盈虧，與非出於避險操作所為之股票交易之損益自有區別，故發行認購權證避險需要而買賣標的股票，非屬行為時所得稅法第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規範單純買賣有價證券之證券交易損益之範圍，為發行權證避險而買賣標的股票之損益及權證再買回損失，為發行認購權證之成本，自應作為應稅收入之減項云云，尚不可採。又證券交易所得既為免稅，其交易損失亦不得自所得額中減除，為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所明定，被上訴人</w:t>
      </w:r>
      <w:r w:rsidRPr="007B5D03">
        <w:rPr>
          <w:rFonts w:hAnsi="標楷體"/>
          <w:spacing w:val="4"/>
          <w:sz w:val="30"/>
          <w:szCs w:val="30"/>
        </w:rPr>
        <w:t>所為之避險措施既係因證券交易所致而依法無法認列為成</w:t>
      </w:r>
      <w:r w:rsidRPr="007B5D03">
        <w:rPr>
          <w:rFonts w:hAnsi="標楷體"/>
          <w:sz w:val="30"/>
          <w:szCs w:val="30"/>
        </w:rPr>
        <w:t>本作為應稅收入之減項，被上訴人稱如此作法即有違反會計權責發生制之認列規定，顯亦無可採。縱然發行權證權利金</w:t>
      </w:r>
      <w:r w:rsidRPr="007B5D03">
        <w:rPr>
          <w:rFonts w:hAnsi="標楷體"/>
          <w:spacing w:val="4"/>
          <w:sz w:val="30"/>
          <w:szCs w:val="30"/>
        </w:rPr>
        <w:t>收入扣除避險措施所受之損失後，實際淨所得低於課稅所</w:t>
      </w:r>
      <w:r w:rsidRPr="007B5D03">
        <w:rPr>
          <w:rFonts w:hAnsi="標楷體"/>
          <w:sz w:val="30"/>
          <w:szCs w:val="30"/>
        </w:rPr>
        <w:t>得，亦屬所得稅法第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於此種情形應否作例外規定或修法之問題，於所得稅法第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修正前，仍應受該法條之拘束。另查就營利事業體所獲得之各項收入而言，因性質</w:t>
      </w:r>
      <w:r w:rsidRPr="007B5D03">
        <w:rPr>
          <w:rFonts w:hAnsi="標楷體"/>
          <w:spacing w:val="4"/>
          <w:sz w:val="30"/>
          <w:szCs w:val="30"/>
        </w:rPr>
        <w:t>之不同，可能產生成本費用比例差距情形，例如受捐贈收</w:t>
      </w:r>
      <w:r w:rsidRPr="007B5D03">
        <w:rPr>
          <w:rFonts w:hAnsi="標楷體"/>
          <w:sz w:val="30"/>
          <w:szCs w:val="30"/>
        </w:rPr>
        <w:t>入、補償費收入、利息收入及認購權證之權利金收入等，其收入性質本無成本費用，或費用金額相對微小，形成收入與所得金額相近或對毛收入課稅之結果，此係依所得稅法第</w:t>
      </w:r>
      <w:r w:rsidRPr="007B5D03">
        <w:rPr>
          <w:sz w:val="30"/>
          <w:szCs w:val="30"/>
        </w:rPr>
        <w:t>24</w:t>
      </w:r>
      <w:r w:rsidRPr="007B5D03">
        <w:rPr>
          <w:rFonts w:hAnsi="標楷體"/>
          <w:sz w:val="30"/>
          <w:szCs w:val="30"/>
        </w:rPr>
        <w:t>條實質課稅原則計算所得之結果，難謂違反實質課稅之公平原則。且各種收入可否扣除成本費用及何種支出始得作為成本費用自收入項下減除，於稅法上各有規定，縱系爭避險損失會計上可認為本件權證權利金收入之成本，亦因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有明文規定，而不得自所得額中減除，尚難以稅法承認於收入內扣除成本費用，即當然於本件</w:t>
      </w:r>
      <w:r w:rsidRPr="007B5D03">
        <w:rPr>
          <w:rFonts w:hAnsi="標楷體"/>
          <w:sz w:val="30"/>
          <w:szCs w:val="30"/>
        </w:rPr>
        <w:lastRenderedPageBreak/>
        <w:t>可將避險措施所造成證券交易之損失作為成本費用予以扣除，本件原處分係依法律明文規定而為，並非割裂適用不同之法律，被上訴人此部分之答辯，尚不足採。系爭認購權證既經主管機關公告認定為其他有價證券，在法令未修改之前，上訴人認被上訴人因避險措施之證券交易之損失，有所得稅法第</w:t>
      </w:r>
      <w:r w:rsidRPr="007B5D03">
        <w:rPr>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之適用而不得於應稅之權利金收入內認列為成本費</w:t>
      </w:r>
      <w:r w:rsidRPr="007B5D03">
        <w:rPr>
          <w:rFonts w:hAnsi="標楷體"/>
          <w:sz w:val="30"/>
          <w:szCs w:val="30"/>
        </w:rPr>
        <w:t>用，於法自屬有據。次按會計學上「收入成本配合原則」，與稅法上成本費用之得否列報並非完全相同，所謂「收入成本配合原則」於會計學上係指「某項收益已經在某一會計期間認列時，所有與該收益之產生有關的成本均應在同一會計期間轉為費用，以便與收益配合而正確的計算損益」（商業</w:t>
      </w:r>
      <w:r w:rsidRPr="007B5D03">
        <w:rPr>
          <w:rFonts w:hAnsi="標楷體"/>
          <w:spacing w:val="4"/>
          <w:sz w:val="30"/>
          <w:szCs w:val="30"/>
        </w:rPr>
        <w:t>會計法第</w:t>
      </w:r>
      <w:r w:rsidRPr="007B5D03">
        <w:rPr>
          <w:spacing w:val="4"/>
          <w:sz w:val="30"/>
          <w:szCs w:val="30"/>
        </w:rPr>
        <w:t>60</w:t>
      </w:r>
      <w:r w:rsidRPr="007B5D03">
        <w:rPr>
          <w:rFonts w:hAnsi="標楷體"/>
          <w:spacing w:val="4"/>
          <w:sz w:val="30"/>
          <w:szCs w:val="30"/>
        </w:rPr>
        <w:t>條參照）。惟查，上開會計學上之「收入成本</w:t>
      </w:r>
      <w:r w:rsidRPr="007B5D03">
        <w:rPr>
          <w:rFonts w:hAnsi="標楷體"/>
          <w:sz w:val="30"/>
          <w:szCs w:val="30"/>
        </w:rPr>
        <w:t>配合原則」於稅法之適用上，尚須考量租稅政策與目的，於辦理所得稅結算申報或核課所得稅時，其依商業會計法記載之會計事項，如與所得稅法等有關租稅法規規定未符者，均</w:t>
      </w:r>
      <w:r w:rsidRPr="007B5D03">
        <w:rPr>
          <w:rFonts w:hAnsi="標楷體"/>
          <w:spacing w:val="-4"/>
          <w:sz w:val="30"/>
          <w:szCs w:val="30"/>
        </w:rPr>
        <w:t>應於申報書內自行調整之。是觀之所得稅法第</w:t>
      </w:r>
      <w:r w:rsidRPr="007B5D03">
        <w:rPr>
          <w:spacing w:val="-4"/>
          <w:sz w:val="30"/>
          <w:szCs w:val="30"/>
        </w:rPr>
        <w:t>36</w:t>
      </w:r>
      <w:r w:rsidRPr="007B5D03">
        <w:rPr>
          <w:rFonts w:hAnsi="標楷體"/>
          <w:spacing w:val="-4"/>
          <w:sz w:val="30"/>
          <w:szCs w:val="30"/>
        </w:rPr>
        <w:t>條（捐贈）、</w:t>
      </w:r>
      <w:r w:rsidRPr="007B5D03">
        <w:rPr>
          <w:rFonts w:hAnsi="標楷體"/>
          <w:sz w:val="30"/>
          <w:szCs w:val="30"/>
        </w:rPr>
        <w:t>第</w:t>
      </w:r>
      <w:r w:rsidRPr="007B5D03">
        <w:rPr>
          <w:sz w:val="30"/>
          <w:szCs w:val="30"/>
        </w:rPr>
        <w:t>37</w:t>
      </w:r>
      <w:r w:rsidRPr="007B5D03">
        <w:rPr>
          <w:rFonts w:hAnsi="標楷體"/>
          <w:sz w:val="30"/>
          <w:szCs w:val="30"/>
        </w:rPr>
        <w:t>條（交際費）、第</w:t>
      </w:r>
      <w:r w:rsidRPr="007B5D03">
        <w:rPr>
          <w:sz w:val="30"/>
          <w:szCs w:val="30"/>
        </w:rPr>
        <w:t>43</w:t>
      </w:r>
      <w:r w:rsidRPr="007B5D03">
        <w:rPr>
          <w:rFonts w:hAnsi="標楷體"/>
          <w:sz w:val="30"/>
          <w:szCs w:val="30"/>
        </w:rPr>
        <w:t>條之</w:t>
      </w:r>
      <w:r w:rsidRPr="007B5D03">
        <w:rPr>
          <w:sz w:val="30"/>
          <w:szCs w:val="30"/>
        </w:rPr>
        <w:t>1</w:t>
      </w:r>
      <w:r w:rsidRPr="007B5D03">
        <w:rPr>
          <w:rFonts w:hAnsi="標楷體"/>
          <w:sz w:val="30"/>
          <w:szCs w:val="30"/>
        </w:rPr>
        <w:t>（不合營業常規之調整）、</w:t>
      </w:r>
      <w:r w:rsidRPr="007B5D03">
        <w:rPr>
          <w:rFonts w:hAnsi="標楷體"/>
          <w:spacing w:val="4"/>
          <w:sz w:val="30"/>
          <w:szCs w:val="30"/>
        </w:rPr>
        <w:t>第</w:t>
      </w:r>
      <w:r w:rsidRPr="007B5D03">
        <w:rPr>
          <w:spacing w:val="4"/>
          <w:sz w:val="30"/>
          <w:szCs w:val="30"/>
        </w:rPr>
        <w:t>49</w:t>
      </w:r>
      <w:r w:rsidRPr="007B5D03">
        <w:rPr>
          <w:rFonts w:hAnsi="標楷體"/>
          <w:spacing w:val="4"/>
          <w:sz w:val="30"/>
          <w:szCs w:val="30"/>
        </w:rPr>
        <w:t>條（壞帳）、第</w:t>
      </w:r>
      <w:r w:rsidRPr="007B5D03">
        <w:rPr>
          <w:spacing w:val="4"/>
          <w:sz w:val="30"/>
          <w:szCs w:val="30"/>
        </w:rPr>
        <w:t>51</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（折舊）等之規定，二者範</w:t>
      </w:r>
      <w:r w:rsidRPr="007B5D03">
        <w:rPr>
          <w:rFonts w:hAnsi="標楷體"/>
          <w:sz w:val="30"/>
          <w:szCs w:val="30"/>
        </w:rPr>
        <w:t>圍自非完全相同。原判決卻逕將「會計學上」收入成本配合原則下之成本、費用，視為「所得稅法上」得列報之成本、費用，無視立法者對於個別成本、費用所為之目的及政策考量，自有違誤。又按收入</w:t>
      </w:r>
      <w:r w:rsidRPr="007B5D03">
        <w:rPr>
          <w:rFonts w:hAnsi="標楷體" w:hint="eastAsia"/>
          <w:sz w:val="30"/>
          <w:szCs w:val="30"/>
        </w:rPr>
        <w:t>成本</w:t>
      </w:r>
      <w:r w:rsidRPr="007B5D03">
        <w:rPr>
          <w:rFonts w:hAnsi="標楷體"/>
          <w:sz w:val="30"/>
          <w:szCs w:val="30"/>
        </w:rPr>
        <w:t>配合原則並非不允許例外之定律，立法者基於整體租稅正義、課稅公平的考量，對於何項收入為應稅收入，何項支出或損失得列報為成本、費用、或於何限度內得列報為成本、費用，應有形成的自由。若法律定有明文不得列報，即屬收入費用配合之例外，依法決定得否列報成本費用，不生違反</w:t>
      </w:r>
      <w:r w:rsidRPr="007B5D03">
        <w:rPr>
          <w:rFonts w:hAnsi="標楷體"/>
          <w:sz w:val="30"/>
          <w:szCs w:val="30"/>
        </w:rPr>
        <w:lastRenderedPageBreak/>
        <w:t>收支配合原則問題，否則豈非法律完全不得</w:t>
      </w:r>
      <w:r w:rsidRPr="007B5D03">
        <w:rPr>
          <w:rFonts w:hAnsi="標楷體" w:hint="eastAsia"/>
          <w:sz w:val="30"/>
          <w:szCs w:val="30"/>
        </w:rPr>
        <w:t>制</w:t>
      </w:r>
      <w:r w:rsidRPr="007B5D03">
        <w:rPr>
          <w:rFonts w:hAnsi="標楷體"/>
          <w:sz w:val="30"/>
          <w:szCs w:val="30"/>
        </w:rPr>
        <w:t>定「損失不得列報」之規定，這在立法論與解釋論均不具說服力。再者，成本費用准否列報，並非以具備原因事實為已足，原因事實僅是列報成本費用之前提門檻，</w:t>
      </w:r>
      <w:r w:rsidRPr="007B5D03">
        <w:rPr>
          <w:rFonts w:hAnsi="標楷體"/>
          <w:spacing w:val="10"/>
          <w:sz w:val="30"/>
          <w:szCs w:val="30"/>
        </w:rPr>
        <w:t>尚須依據法律對於具備原因事實關係之成本費用再為准</w:t>
      </w:r>
      <w:r w:rsidRPr="007B5D03">
        <w:rPr>
          <w:rFonts w:hAnsi="標楷體"/>
          <w:sz w:val="30"/>
          <w:szCs w:val="30"/>
        </w:rPr>
        <w:t>駁。如法律已有明文排除之規範者，法律之規定更應優先於原因事實關係而被遵守，租稅法定原則始可確立而貫徹。所</w:t>
      </w:r>
      <w:r w:rsidRPr="007B5D03">
        <w:rPr>
          <w:rFonts w:hAnsi="標楷體"/>
          <w:spacing w:val="6"/>
          <w:sz w:val="30"/>
          <w:szCs w:val="30"/>
        </w:rPr>
        <w:t>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已明文規定證券交易所得停止課徵所得</w:t>
      </w:r>
      <w:r w:rsidRPr="007B5D03">
        <w:rPr>
          <w:rFonts w:hAnsi="標楷體"/>
          <w:sz w:val="30"/>
          <w:szCs w:val="30"/>
        </w:rPr>
        <w:t>稅，證券交易損失亦不得自所得類中扣除，如獨對權證發行者之特別待遇，亦有違反平等原則。又發行認購權證不得減</w:t>
      </w:r>
      <w:r w:rsidRPr="007B5D03">
        <w:rPr>
          <w:rFonts w:hAnsi="標楷體"/>
          <w:spacing w:val="6"/>
          <w:sz w:val="30"/>
          <w:szCs w:val="30"/>
        </w:rPr>
        <w:t>除避險證券交易損失，乃依所得稅法第</w:t>
      </w:r>
      <w:r w:rsidRPr="007B5D03">
        <w:rPr>
          <w:spacing w:val="6"/>
          <w:sz w:val="30"/>
          <w:szCs w:val="30"/>
        </w:rPr>
        <w:t>4</w:t>
      </w:r>
      <w:r w:rsidRPr="007B5D03">
        <w:rPr>
          <w:rFonts w:hAnsi="標楷體"/>
          <w:spacing w:val="6"/>
          <w:sz w:val="30"/>
          <w:szCs w:val="30"/>
        </w:rPr>
        <w:t>條之</w:t>
      </w:r>
      <w:r w:rsidRPr="007B5D03">
        <w:rPr>
          <w:spacing w:val="6"/>
          <w:sz w:val="30"/>
          <w:szCs w:val="30"/>
        </w:rPr>
        <w:t>1</w:t>
      </w:r>
      <w:r w:rsidRPr="007B5D03">
        <w:rPr>
          <w:rFonts w:hAnsi="標楷體"/>
          <w:spacing w:val="6"/>
          <w:sz w:val="30"/>
          <w:szCs w:val="30"/>
        </w:rPr>
        <w:t>規定之結</w:t>
      </w:r>
      <w:r w:rsidRPr="007B5D03">
        <w:rPr>
          <w:rFonts w:hAnsi="標楷體"/>
          <w:sz w:val="30"/>
          <w:szCs w:val="30"/>
        </w:rPr>
        <w:t>果，原審判決以為將標的股票交易所得及損失列為發生權證盈虧，始符合「量能課稅原則」，有判決不依法之違法。另</w:t>
      </w:r>
      <w:r w:rsidRPr="007B5D03">
        <w:rPr>
          <w:rFonts w:hAnsi="標楷體"/>
          <w:spacing w:val="4"/>
          <w:sz w:val="30"/>
          <w:szCs w:val="30"/>
        </w:rPr>
        <w:t>行為時所得稅法第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之規定與同法第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項之</w:t>
      </w:r>
      <w:r w:rsidRPr="007B5D03">
        <w:rPr>
          <w:rFonts w:hAnsi="標楷體"/>
          <w:sz w:val="30"/>
          <w:szCs w:val="30"/>
        </w:rPr>
        <w:t>規定相較，實屬特別規定，應優先適用。原審判決竟稱行為</w:t>
      </w:r>
      <w:r w:rsidRPr="007B5D03">
        <w:rPr>
          <w:rFonts w:hAnsi="標楷體"/>
          <w:spacing w:val="4"/>
          <w:sz w:val="30"/>
          <w:szCs w:val="30"/>
        </w:rPr>
        <w:t>時所得稅法第</w:t>
      </w:r>
      <w:r w:rsidRPr="007B5D03">
        <w:rPr>
          <w:spacing w:val="4"/>
          <w:sz w:val="30"/>
          <w:szCs w:val="30"/>
        </w:rPr>
        <w:t>24</w:t>
      </w:r>
      <w:r w:rsidRPr="007B5D03">
        <w:rPr>
          <w:rFonts w:hAnsi="標楷體"/>
          <w:spacing w:val="4"/>
          <w:sz w:val="30"/>
          <w:szCs w:val="30"/>
        </w:rPr>
        <w:t>條第</w:t>
      </w:r>
      <w:r w:rsidRPr="007B5D03">
        <w:rPr>
          <w:spacing w:val="4"/>
          <w:sz w:val="30"/>
          <w:szCs w:val="30"/>
        </w:rPr>
        <w:t>1</w:t>
      </w:r>
      <w:r w:rsidRPr="007B5D03">
        <w:rPr>
          <w:rFonts w:hAnsi="標楷體"/>
          <w:spacing w:val="4"/>
          <w:sz w:val="30"/>
          <w:szCs w:val="30"/>
        </w:rPr>
        <w:t>項規定為所得稅之核心價值，應優</w:t>
      </w:r>
      <w:r w:rsidRPr="007B5D03">
        <w:rPr>
          <w:rFonts w:hAnsi="標楷體"/>
          <w:sz w:val="30"/>
          <w:szCs w:val="30"/>
        </w:rPr>
        <w:t>先於其他規定適用，認同將避險股票交易損失列報為發行認購權證之成本，形成有所得無法課稅，但有損失可以列報之現象，有割裂法律之適用及違反租稅公平情事。綜上所述，</w:t>
      </w:r>
      <w:r w:rsidRPr="007B5D03">
        <w:rPr>
          <w:rFonts w:hAnsi="標楷體"/>
          <w:spacing w:val="4"/>
          <w:sz w:val="30"/>
          <w:szCs w:val="30"/>
        </w:rPr>
        <w:t>上訴人對系爭避險損失否准被上訴人認列為發行認購權證</w:t>
      </w:r>
      <w:r w:rsidRPr="007B5D03">
        <w:rPr>
          <w:rFonts w:hAnsi="標楷體"/>
          <w:sz w:val="30"/>
          <w:szCs w:val="30"/>
        </w:rPr>
        <w:t>之營業成本，於法尚無不合，訴願決定予以維持亦無違誤，原判決將訴願決定及原處分</w:t>
      </w:r>
      <w:r w:rsidRPr="007B5D03">
        <w:rPr>
          <w:sz w:val="30"/>
          <w:szCs w:val="30"/>
        </w:rPr>
        <w:t>(</w:t>
      </w:r>
      <w:r w:rsidRPr="007B5D03">
        <w:rPr>
          <w:rFonts w:hAnsi="標楷體"/>
          <w:sz w:val="30"/>
          <w:szCs w:val="30"/>
        </w:rPr>
        <w:t>復查決定</w:t>
      </w:r>
      <w:r w:rsidRPr="007B5D03">
        <w:rPr>
          <w:sz w:val="30"/>
          <w:szCs w:val="30"/>
        </w:rPr>
        <w:t>)</w:t>
      </w:r>
      <w:r w:rsidRPr="007B5D03">
        <w:rPr>
          <w:rFonts w:hAnsi="標楷體"/>
          <w:sz w:val="30"/>
          <w:szCs w:val="30"/>
        </w:rPr>
        <w:t>關於課稅所得項下否准認列發行認購權證營業成本部分均撤銷，既有違誤，上訴人執以指摘，為有理由，且本件事證已明確，爰將原判決廢棄，並判決駁回被上訴人在第一審之訴。</w:t>
      </w:r>
    </w:p>
    <w:p w:rsidR="00514426" w:rsidRPr="007B5D03" w:rsidRDefault="00514426" w:rsidP="00E67E18">
      <w:pPr>
        <w:snapToGrid w:val="0"/>
        <w:spacing w:line="437" w:lineRule="exact"/>
        <w:ind w:left="624" w:hanging="624"/>
        <w:rPr>
          <w:sz w:val="30"/>
          <w:szCs w:val="30"/>
        </w:rPr>
      </w:pPr>
      <w:r w:rsidRPr="007B5D03">
        <w:rPr>
          <w:rFonts w:hAnsi="標楷體"/>
          <w:sz w:val="30"/>
          <w:szCs w:val="30"/>
        </w:rPr>
        <w:t>八、據上論結，本件上訴為有理由，依行政訴訟法第</w:t>
      </w:r>
      <w:r w:rsidRPr="007B5D03">
        <w:rPr>
          <w:sz w:val="30"/>
          <w:szCs w:val="30"/>
        </w:rPr>
        <w:t>256</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259</w:t>
      </w:r>
      <w:r w:rsidRPr="007B5D03">
        <w:rPr>
          <w:rFonts w:hAnsi="標楷體"/>
          <w:sz w:val="30"/>
          <w:szCs w:val="30"/>
        </w:rPr>
        <w:t>條第</w:t>
      </w:r>
      <w:r w:rsidRPr="007B5D03">
        <w:rPr>
          <w:sz w:val="30"/>
          <w:szCs w:val="30"/>
        </w:rPr>
        <w:t>1</w:t>
      </w:r>
      <w:r w:rsidRPr="007B5D03">
        <w:rPr>
          <w:rFonts w:hAnsi="標楷體"/>
          <w:sz w:val="30"/>
          <w:szCs w:val="30"/>
        </w:rPr>
        <w:t>款、第</w:t>
      </w:r>
      <w:r w:rsidRPr="007B5D03">
        <w:rPr>
          <w:sz w:val="30"/>
          <w:szCs w:val="30"/>
        </w:rPr>
        <w:t>98</w:t>
      </w:r>
      <w:r w:rsidRPr="007B5D03">
        <w:rPr>
          <w:rFonts w:hAnsi="標楷體"/>
          <w:sz w:val="30"/>
          <w:szCs w:val="30"/>
        </w:rPr>
        <w:t>條第</w:t>
      </w:r>
      <w:r w:rsidRPr="007B5D03">
        <w:rPr>
          <w:sz w:val="30"/>
          <w:szCs w:val="30"/>
        </w:rPr>
        <w:t>1</w:t>
      </w:r>
      <w:r w:rsidRPr="007B5D03">
        <w:rPr>
          <w:rFonts w:hAnsi="標楷體"/>
          <w:sz w:val="30"/>
          <w:szCs w:val="30"/>
        </w:rPr>
        <w:t>項前段，判決如主文。</w:t>
      </w:r>
    </w:p>
    <w:p w:rsidR="00514426" w:rsidRPr="007B5D03" w:rsidRDefault="00514426" w:rsidP="00FB2D5A">
      <w:pPr>
        <w:spacing w:line="437" w:lineRule="exact"/>
        <w:jc w:val="distribute"/>
        <w:rPr>
          <w:sz w:val="30"/>
          <w:szCs w:val="30"/>
        </w:rPr>
      </w:pPr>
      <w:bookmarkStart w:id="9" w:name="OLE_LINK1"/>
      <w:bookmarkStart w:id="10" w:name="OLE_LINK2"/>
      <w:smartTag w:uri="urn:schemas-microsoft-com:office:smarttags" w:element="chsdate">
        <w:smartTagPr>
          <w:attr w:name="IsROCDate" w:val="True"/>
          <w:attr w:name="IsLunarDate" w:val="False"/>
          <w:attr w:name="Day" w:val="27"/>
          <w:attr w:name="Month" w:val="3"/>
          <w:attr w:name="Year" w:val="2008"/>
        </w:smartTagPr>
        <w:r w:rsidRPr="007B5D03">
          <w:rPr>
            <w:rFonts w:hAnsi="標楷體"/>
            <w:sz w:val="30"/>
            <w:szCs w:val="30"/>
          </w:rPr>
          <w:lastRenderedPageBreak/>
          <w:t>中華民國</w:t>
        </w:r>
        <w:r w:rsidRPr="007B5D03">
          <w:rPr>
            <w:sz w:val="30"/>
            <w:szCs w:val="30"/>
          </w:rPr>
          <w:t>97</w:t>
        </w:r>
        <w:r w:rsidRPr="007B5D03">
          <w:rPr>
            <w:rFonts w:hAnsi="標楷體"/>
            <w:sz w:val="30"/>
            <w:szCs w:val="30"/>
          </w:rPr>
          <w:t>年</w:t>
        </w:r>
        <w:r w:rsidRPr="007B5D03">
          <w:rPr>
            <w:sz w:val="30"/>
            <w:szCs w:val="30"/>
          </w:rPr>
          <w:t>3</w:t>
        </w:r>
        <w:r w:rsidRPr="007B5D03">
          <w:rPr>
            <w:rFonts w:hAnsi="標楷體"/>
            <w:sz w:val="30"/>
            <w:szCs w:val="30"/>
          </w:rPr>
          <w:t>月</w:t>
        </w:r>
        <w:r w:rsidRPr="007B5D03">
          <w:rPr>
            <w:sz w:val="30"/>
            <w:szCs w:val="30"/>
          </w:rPr>
          <w:t>27</w:t>
        </w:r>
        <w:r w:rsidRPr="007B5D03">
          <w:rPr>
            <w:rFonts w:hAnsi="標楷體"/>
            <w:sz w:val="30"/>
            <w:szCs w:val="30"/>
          </w:rPr>
          <w:t>日</w:t>
        </w:r>
      </w:smartTag>
    </w:p>
    <w:bookmarkEnd w:id="9"/>
    <w:bookmarkEnd w:id="10"/>
    <w:p w:rsidR="00514426" w:rsidRPr="007B5D03" w:rsidRDefault="00514426" w:rsidP="00FB2D5A">
      <w:pPr>
        <w:spacing w:line="437" w:lineRule="exact"/>
        <w:rPr>
          <w:sz w:val="30"/>
          <w:szCs w:val="30"/>
        </w:rPr>
      </w:pPr>
      <w:r w:rsidRPr="007B5D03">
        <w:rPr>
          <w:rFonts w:hint="eastAsia"/>
          <w:sz w:val="30"/>
          <w:szCs w:val="30"/>
        </w:rPr>
        <w:t>（本件聲請書其餘附件略）</w:t>
      </w:r>
    </w:p>
    <w:p w:rsidR="00514426" w:rsidRPr="007B5D03" w:rsidRDefault="00514426" w:rsidP="00FB2D5A">
      <w:pPr>
        <w:spacing w:line="437" w:lineRule="exact"/>
        <w:rPr>
          <w:sz w:val="30"/>
          <w:szCs w:val="30"/>
        </w:rPr>
      </w:pPr>
    </w:p>
    <w:p w:rsidR="00514426" w:rsidRPr="007B5D03" w:rsidRDefault="00514426" w:rsidP="00FB2D5A">
      <w:pPr>
        <w:spacing w:line="437" w:lineRule="exact"/>
        <w:rPr>
          <w:sz w:val="30"/>
          <w:szCs w:val="30"/>
        </w:rPr>
      </w:pPr>
      <w:r w:rsidRPr="007B5D03">
        <w:rPr>
          <w:rFonts w:hAnsi="標楷體"/>
          <w:sz w:val="30"/>
          <w:szCs w:val="30"/>
        </w:rPr>
        <w:t>抄元大證券股份有限公司</w:t>
      </w:r>
      <w:r w:rsidRPr="007B5D03">
        <w:rPr>
          <w:rFonts w:hAnsi="標楷體" w:hint="eastAsia"/>
          <w:sz w:val="30"/>
          <w:szCs w:val="30"/>
        </w:rPr>
        <w:t>代表人申鼎籛</w:t>
      </w:r>
      <w:r w:rsidRPr="007B5D03">
        <w:rPr>
          <w:rFonts w:hAnsi="標楷體"/>
          <w:sz w:val="30"/>
          <w:szCs w:val="30"/>
        </w:rPr>
        <w:t>釋憲聲請書</w:t>
      </w:r>
    </w:p>
    <w:p w:rsidR="00514426" w:rsidRPr="007B5D03" w:rsidRDefault="00514426" w:rsidP="00FB2D5A">
      <w:pPr>
        <w:spacing w:line="437" w:lineRule="exact"/>
        <w:ind w:firstLineChars="100" w:firstLine="300"/>
        <w:rPr>
          <w:sz w:val="30"/>
          <w:szCs w:val="30"/>
        </w:rPr>
      </w:pPr>
      <w:r w:rsidRPr="007B5D03">
        <w:rPr>
          <w:rFonts w:hAnsi="標楷體"/>
          <w:sz w:val="30"/>
          <w:szCs w:val="30"/>
        </w:rPr>
        <w:t>緣最高行政法院</w:t>
      </w:r>
      <w:r w:rsidRPr="007B5D03">
        <w:rPr>
          <w:sz w:val="30"/>
          <w:szCs w:val="30"/>
        </w:rPr>
        <w:t>97</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838</w:t>
      </w:r>
      <w:r w:rsidRPr="007B5D03">
        <w:rPr>
          <w:rFonts w:hAnsi="標楷體"/>
          <w:sz w:val="30"/>
          <w:szCs w:val="30"/>
        </w:rPr>
        <w:t>號判決（附件</w:t>
      </w:r>
      <w:r w:rsidRPr="007B5D03">
        <w:rPr>
          <w:sz w:val="30"/>
          <w:szCs w:val="30"/>
        </w:rPr>
        <w:t>1</w:t>
      </w:r>
      <w:r w:rsidRPr="007B5D03">
        <w:rPr>
          <w:rFonts w:hAnsi="標楷體"/>
          <w:sz w:val="30"/>
          <w:szCs w:val="30"/>
        </w:rPr>
        <w:t>，下稱「最高行政法院確定判決」）及臺北高等行政法院</w:t>
      </w:r>
      <w:r w:rsidRPr="007B5D03">
        <w:rPr>
          <w:sz w:val="30"/>
          <w:szCs w:val="30"/>
        </w:rPr>
        <w:t>96</w:t>
      </w:r>
      <w:r w:rsidRPr="007B5D03">
        <w:rPr>
          <w:rFonts w:hAnsi="標楷體"/>
          <w:sz w:val="30"/>
          <w:szCs w:val="30"/>
        </w:rPr>
        <w:t>年度訴字第</w:t>
      </w:r>
      <w:r w:rsidRPr="007B5D03">
        <w:rPr>
          <w:sz w:val="30"/>
          <w:szCs w:val="30"/>
        </w:rPr>
        <w:t>2705</w:t>
      </w:r>
      <w:r w:rsidRPr="007B5D03">
        <w:rPr>
          <w:rFonts w:hAnsi="標楷體"/>
          <w:sz w:val="30"/>
          <w:szCs w:val="30"/>
        </w:rPr>
        <w:t>號確定判決（附件</w:t>
      </w:r>
      <w:r w:rsidRPr="007B5D03">
        <w:rPr>
          <w:sz w:val="30"/>
          <w:szCs w:val="30"/>
        </w:rPr>
        <w:t>2</w:t>
      </w:r>
      <w:r w:rsidRPr="007B5D03">
        <w:rPr>
          <w:rFonts w:hAnsi="標楷體"/>
          <w:sz w:val="30"/>
          <w:szCs w:val="30"/>
        </w:rPr>
        <w:t>，下稱「臺北高等行政法院確定判決」）均實</w:t>
      </w:r>
      <w:r w:rsidRPr="007B5D03">
        <w:rPr>
          <w:rFonts w:hAnsi="標楷體"/>
          <w:spacing w:val="-4"/>
          <w:sz w:val="30"/>
          <w:szCs w:val="30"/>
        </w:rPr>
        <w:t>體適用財政部</w:t>
      </w:r>
      <w:smartTag w:uri="urn:schemas-microsoft-com:office:smarttags" w:element="chsdate">
        <w:smartTagPr>
          <w:attr w:name="IsROCDate" w:val="False"/>
          <w:attr w:name="IsLunarDate" w:val="False"/>
          <w:attr w:name="Day" w:val="11"/>
          <w:attr w:name="Month" w:val="12"/>
          <w:attr w:name="Year" w:val="1986"/>
        </w:smartTagPr>
        <w:r w:rsidRPr="007B5D03">
          <w:rPr>
            <w:spacing w:val="-4"/>
            <w:sz w:val="30"/>
            <w:szCs w:val="30"/>
          </w:rPr>
          <w:t>86</w:t>
        </w:r>
        <w:r w:rsidRPr="007B5D03">
          <w:rPr>
            <w:rFonts w:hAnsi="標楷體"/>
            <w:spacing w:val="-4"/>
            <w:sz w:val="30"/>
            <w:szCs w:val="30"/>
          </w:rPr>
          <w:t>年</w:t>
        </w:r>
        <w:r w:rsidRPr="007B5D03">
          <w:rPr>
            <w:spacing w:val="-4"/>
            <w:sz w:val="30"/>
            <w:szCs w:val="30"/>
          </w:rPr>
          <w:t>12</w:t>
        </w:r>
        <w:r w:rsidRPr="007B5D03">
          <w:rPr>
            <w:rFonts w:hAnsi="標楷體"/>
            <w:spacing w:val="-4"/>
            <w:sz w:val="30"/>
            <w:szCs w:val="30"/>
          </w:rPr>
          <w:t>月</w:t>
        </w:r>
        <w:r w:rsidRPr="007B5D03">
          <w:rPr>
            <w:spacing w:val="-4"/>
            <w:sz w:val="30"/>
            <w:szCs w:val="30"/>
          </w:rPr>
          <w:t>11</w:t>
        </w:r>
        <w:r w:rsidRPr="007B5D03">
          <w:rPr>
            <w:rFonts w:hAnsi="標楷體"/>
            <w:spacing w:val="-4"/>
            <w:sz w:val="30"/>
            <w:szCs w:val="30"/>
          </w:rPr>
          <w:t>日</w:t>
        </w:r>
      </w:smartTag>
      <w:r w:rsidRPr="007B5D03">
        <w:rPr>
          <w:rFonts w:hAnsi="標楷體"/>
          <w:spacing w:val="-4"/>
          <w:sz w:val="30"/>
          <w:szCs w:val="30"/>
        </w:rPr>
        <w:t>台財稅第</w:t>
      </w:r>
      <w:r w:rsidRPr="007B5D03">
        <w:rPr>
          <w:spacing w:val="-4"/>
          <w:sz w:val="30"/>
          <w:szCs w:val="30"/>
        </w:rPr>
        <w:t>861922464</w:t>
      </w:r>
      <w:r w:rsidRPr="007B5D03">
        <w:rPr>
          <w:rFonts w:hAnsi="標楷體"/>
          <w:spacing w:val="-4"/>
          <w:sz w:val="30"/>
          <w:szCs w:val="30"/>
        </w:rPr>
        <w:t>號函（附件</w:t>
      </w:r>
      <w:r w:rsidRPr="007B5D03">
        <w:rPr>
          <w:spacing w:val="-4"/>
          <w:sz w:val="30"/>
          <w:szCs w:val="30"/>
        </w:rPr>
        <w:t>3</w:t>
      </w:r>
      <w:r w:rsidRPr="007B5D03">
        <w:rPr>
          <w:rFonts w:hAnsi="標楷體"/>
          <w:spacing w:val="-4"/>
          <w:sz w:val="30"/>
          <w:szCs w:val="30"/>
        </w:rPr>
        <w:t>，</w:t>
      </w:r>
      <w:r w:rsidRPr="007B5D03">
        <w:rPr>
          <w:rFonts w:hAnsi="標楷體"/>
          <w:sz w:val="30"/>
          <w:szCs w:val="30"/>
        </w:rPr>
        <w:t>下稱「財政部</w:t>
      </w:r>
      <w:r w:rsidRPr="007B5D03">
        <w:rPr>
          <w:sz w:val="30"/>
          <w:szCs w:val="30"/>
        </w:rPr>
        <w:t>86</w:t>
      </w:r>
      <w:r w:rsidRPr="007B5D03">
        <w:rPr>
          <w:rFonts w:hAnsi="標楷體"/>
          <w:sz w:val="30"/>
          <w:szCs w:val="30"/>
        </w:rPr>
        <w:t>年函釋」），有牴觸憲法第</w:t>
      </w:r>
      <w:r w:rsidRPr="007B5D03">
        <w:rPr>
          <w:sz w:val="30"/>
          <w:szCs w:val="30"/>
        </w:rPr>
        <w:t>7</w:t>
      </w:r>
      <w:r w:rsidRPr="007B5D03">
        <w:rPr>
          <w:rFonts w:hAnsi="標楷體"/>
          <w:sz w:val="30"/>
          <w:szCs w:val="30"/>
        </w:rPr>
        <w:t>條平等原則、第</w:t>
      </w:r>
      <w:r w:rsidRPr="007B5D03">
        <w:rPr>
          <w:sz w:val="30"/>
          <w:szCs w:val="30"/>
        </w:rPr>
        <w:t>15</w:t>
      </w:r>
      <w:r w:rsidRPr="007B5D03">
        <w:rPr>
          <w:rFonts w:hAnsi="標楷體"/>
          <w:sz w:val="30"/>
          <w:szCs w:val="30"/>
        </w:rPr>
        <w:t>條財產權保障、第</w:t>
      </w:r>
      <w:r w:rsidRPr="007B5D03">
        <w:rPr>
          <w:sz w:val="30"/>
          <w:szCs w:val="30"/>
        </w:rPr>
        <w:t>19</w:t>
      </w:r>
      <w:r w:rsidRPr="007B5D03">
        <w:rPr>
          <w:rFonts w:hAnsi="標楷體"/>
          <w:sz w:val="30"/>
          <w:szCs w:val="30"/>
        </w:rPr>
        <w:t>條租稅法律主義、量能課稅原則、租稅公平原則、第</w:t>
      </w:r>
      <w:r w:rsidRPr="007B5D03">
        <w:rPr>
          <w:sz w:val="30"/>
          <w:szCs w:val="30"/>
        </w:rPr>
        <w:t>23</w:t>
      </w:r>
      <w:r w:rsidRPr="007B5D03">
        <w:rPr>
          <w:rFonts w:hAnsi="標楷體"/>
          <w:sz w:val="30"/>
          <w:szCs w:val="30"/>
        </w:rPr>
        <w:t>條比例原則等規定，以及　鈞院歷年來之釋字第</w:t>
      </w:r>
      <w:r w:rsidRPr="007B5D03">
        <w:rPr>
          <w:sz w:val="30"/>
          <w:szCs w:val="30"/>
        </w:rPr>
        <w:t>385</w:t>
      </w:r>
      <w:r w:rsidRPr="007B5D03">
        <w:rPr>
          <w:rFonts w:hAnsi="標楷體"/>
          <w:sz w:val="30"/>
          <w:szCs w:val="30"/>
        </w:rPr>
        <w:t>號、第</w:t>
      </w:r>
      <w:r w:rsidRPr="007B5D03">
        <w:rPr>
          <w:sz w:val="30"/>
          <w:szCs w:val="30"/>
        </w:rPr>
        <w:t>400</w:t>
      </w:r>
      <w:r w:rsidRPr="007B5D03">
        <w:rPr>
          <w:rFonts w:hAnsi="標楷體"/>
          <w:sz w:val="30"/>
          <w:szCs w:val="30"/>
        </w:rPr>
        <w:t>號、第</w:t>
      </w:r>
      <w:r w:rsidRPr="007B5D03">
        <w:rPr>
          <w:sz w:val="30"/>
          <w:szCs w:val="30"/>
        </w:rPr>
        <w:t>420</w:t>
      </w:r>
      <w:r w:rsidRPr="007B5D03">
        <w:rPr>
          <w:rFonts w:hAnsi="標楷體"/>
          <w:sz w:val="30"/>
          <w:szCs w:val="30"/>
        </w:rPr>
        <w:t>號、第</w:t>
      </w:r>
      <w:r w:rsidRPr="007B5D03">
        <w:rPr>
          <w:sz w:val="30"/>
          <w:szCs w:val="30"/>
        </w:rPr>
        <w:t>493</w:t>
      </w:r>
      <w:r w:rsidRPr="007B5D03">
        <w:rPr>
          <w:rFonts w:hAnsi="標楷體"/>
          <w:sz w:val="30"/>
          <w:szCs w:val="30"/>
        </w:rPr>
        <w:t>號、第</w:t>
      </w:r>
      <w:r w:rsidRPr="007B5D03">
        <w:rPr>
          <w:sz w:val="30"/>
          <w:szCs w:val="30"/>
        </w:rPr>
        <w:t>597</w:t>
      </w:r>
      <w:r w:rsidRPr="007B5D03">
        <w:rPr>
          <w:rFonts w:hAnsi="標楷體"/>
          <w:sz w:val="30"/>
          <w:szCs w:val="30"/>
        </w:rPr>
        <w:t>號、第</w:t>
      </w:r>
      <w:r w:rsidRPr="007B5D03">
        <w:rPr>
          <w:sz w:val="30"/>
          <w:szCs w:val="30"/>
        </w:rPr>
        <w:t>607</w:t>
      </w:r>
      <w:r w:rsidRPr="007B5D03">
        <w:rPr>
          <w:rFonts w:hAnsi="標楷體"/>
          <w:sz w:val="30"/>
          <w:szCs w:val="30"/>
        </w:rPr>
        <w:t>號、第</w:t>
      </w:r>
      <w:r w:rsidRPr="007B5D03">
        <w:rPr>
          <w:spacing w:val="4"/>
          <w:sz w:val="30"/>
          <w:szCs w:val="30"/>
        </w:rPr>
        <w:t>622</w:t>
      </w:r>
      <w:r w:rsidRPr="007B5D03">
        <w:rPr>
          <w:rFonts w:hAnsi="標楷體"/>
          <w:spacing w:val="4"/>
          <w:sz w:val="30"/>
          <w:szCs w:val="30"/>
        </w:rPr>
        <w:t>號、第</w:t>
      </w:r>
      <w:r w:rsidRPr="007B5D03">
        <w:rPr>
          <w:spacing w:val="4"/>
          <w:sz w:val="30"/>
          <w:szCs w:val="30"/>
        </w:rPr>
        <w:t>625</w:t>
      </w:r>
      <w:r w:rsidRPr="007B5D03">
        <w:rPr>
          <w:rFonts w:hAnsi="標楷體"/>
          <w:spacing w:val="4"/>
          <w:sz w:val="30"/>
          <w:szCs w:val="30"/>
        </w:rPr>
        <w:t>號及第</w:t>
      </w:r>
      <w:r w:rsidRPr="007B5D03">
        <w:rPr>
          <w:spacing w:val="4"/>
          <w:sz w:val="30"/>
          <w:szCs w:val="30"/>
        </w:rPr>
        <w:t>635</w:t>
      </w:r>
      <w:r w:rsidRPr="007B5D03">
        <w:rPr>
          <w:rFonts w:hAnsi="標楷體"/>
          <w:spacing w:val="4"/>
          <w:sz w:val="30"/>
          <w:szCs w:val="30"/>
        </w:rPr>
        <w:t>號等多號解釋先例，而有牴觸憲法之</w:t>
      </w:r>
      <w:r w:rsidRPr="007B5D03">
        <w:rPr>
          <w:rFonts w:hAnsi="標楷體"/>
          <w:sz w:val="30"/>
          <w:szCs w:val="30"/>
        </w:rPr>
        <w:t>疑義，又最高行政法院確定判決適用之爭點主義係實質援用改制</w:t>
      </w:r>
      <w:r w:rsidRPr="007B5D03">
        <w:rPr>
          <w:rFonts w:hAnsi="標楷體"/>
          <w:spacing w:val="-4"/>
          <w:sz w:val="30"/>
          <w:szCs w:val="30"/>
        </w:rPr>
        <w:t>前行政法院</w:t>
      </w:r>
      <w:r w:rsidRPr="007B5D03">
        <w:rPr>
          <w:spacing w:val="-4"/>
          <w:sz w:val="30"/>
          <w:szCs w:val="30"/>
        </w:rPr>
        <w:t>62</w:t>
      </w:r>
      <w:r w:rsidRPr="007B5D03">
        <w:rPr>
          <w:rFonts w:hAnsi="標楷體"/>
          <w:spacing w:val="-4"/>
          <w:sz w:val="30"/>
          <w:szCs w:val="30"/>
        </w:rPr>
        <w:t>年判字第</w:t>
      </w:r>
      <w:r w:rsidRPr="007B5D03">
        <w:rPr>
          <w:spacing w:val="-4"/>
          <w:sz w:val="30"/>
          <w:szCs w:val="30"/>
        </w:rPr>
        <w:t>96</w:t>
      </w:r>
      <w:r w:rsidRPr="007B5D03">
        <w:rPr>
          <w:rFonts w:hAnsi="標楷體"/>
          <w:spacing w:val="-4"/>
          <w:sz w:val="30"/>
          <w:szCs w:val="30"/>
        </w:rPr>
        <w:t>號判例（下稱「</w:t>
      </w:r>
      <w:r w:rsidRPr="007B5D03">
        <w:rPr>
          <w:spacing w:val="-4"/>
          <w:sz w:val="30"/>
          <w:szCs w:val="30"/>
        </w:rPr>
        <w:t>62</w:t>
      </w:r>
      <w:r w:rsidRPr="007B5D03">
        <w:rPr>
          <w:rFonts w:hAnsi="標楷體"/>
          <w:spacing w:val="-4"/>
          <w:sz w:val="30"/>
          <w:szCs w:val="30"/>
        </w:rPr>
        <w:t>年判例」），致使人</w:t>
      </w:r>
      <w:r w:rsidRPr="007B5D03">
        <w:rPr>
          <w:rFonts w:hAnsi="標楷體"/>
          <w:sz w:val="30"/>
          <w:szCs w:val="30"/>
        </w:rPr>
        <w:t>民訴訟權遭過度之影響，有違憲法第</w:t>
      </w:r>
      <w:r w:rsidRPr="007B5D03">
        <w:rPr>
          <w:sz w:val="30"/>
          <w:szCs w:val="30"/>
        </w:rPr>
        <w:t>16</w:t>
      </w:r>
      <w:r w:rsidRPr="007B5D03">
        <w:rPr>
          <w:rFonts w:hAnsi="標楷體"/>
          <w:sz w:val="30"/>
          <w:szCs w:val="30"/>
        </w:rPr>
        <w:t>條訴訟權保障及第</w:t>
      </w:r>
      <w:r w:rsidRPr="007B5D03">
        <w:rPr>
          <w:sz w:val="30"/>
          <w:szCs w:val="30"/>
        </w:rPr>
        <w:t>23</w:t>
      </w:r>
      <w:r w:rsidRPr="007B5D03">
        <w:rPr>
          <w:rFonts w:hAnsi="標楷體"/>
          <w:sz w:val="30"/>
          <w:szCs w:val="30"/>
        </w:rPr>
        <w:t>條</w:t>
      </w:r>
      <w:r w:rsidRPr="007B5D03">
        <w:rPr>
          <w:rFonts w:hAnsi="標楷體"/>
          <w:spacing w:val="-6"/>
          <w:sz w:val="30"/>
          <w:szCs w:val="30"/>
        </w:rPr>
        <w:t>比例原則。因確定判決適用之法令有上開違憲之情節，爰聲請　鈞</w:t>
      </w:r>
      <w:r w:rsidRPr="007B5D03">
        <w:rPr>
          <w:rFonts w:hAnsi="標楷體"/>
          <w:sz w:val="30"/>
          <w:szCs w:val="30"/>
        </w:rPr>
        <w:t>院大法官解釋，以保障人民基本權。</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壹、聲請解釋憲法之目的</w:t>
      </w:r>
    </w:p>
    <w:p w:rsidR="00514426" w:rsidRPr="007B5D03" w:rsidRDefault="00514426" w:rsidP="00D10809">
      <w:pPr>
        <w:snapToGrid w:val="0"/>
        <w:spacing w:line="437" w:lineRule="exact"/>
        <w:ind w:left="567" w:firstLine="318"/>
        <w:rPr>
          <w:sz w:val="30"/>
          <w:szCs w:val="30"/>
        </w:rPr>
      </w:pPr>
      <w:r w:rsidRPr="007B5D03">
        <w:rPr>
          <w:rFonts w:hAnsi="標楷體"/>
          <w:sz w:val="30"/>
          <w:szCs w:val="30"/>
        </w:rPr>
        <w:t>按現代實質意義之法治國家，以追求人性尊嚴為中心，亦即德國基本法第</w:t>
      </w:r>
      <w:r w:rsidRPr="007B5D03">
        <w:rPr>
          <w:sz w:val="30"/>
          <w:szCs w:val="30"/>
        </w:rPr>
        <w:t>1</w:t>
      </w:r>
      <w:r w:rsidRPr="007B5D03">
        <w:rPr>
          <w:rFonts w:hAnsi="標楷體"/>
          <w:sz w:val="30"/>
          <w:szCs w:val="30"/>
        </w:rPr>
        <w:t>條第</w:t>
      </w:r>
      <w:r w:rsidRPr="007B5D03">
        <w:rPr>
          <w:sz w:val="30"/>
          <w:szCs w:val="30"/>
        </w:rPr>
        <w:t>1</w:t>
      </w:r>
      <w:r w:rsidRPr="007B5D03">
        <w:rPr>
          <w:rFonts w:hAnsi="標楷體"/>
          <w:sz w:val="30"/>
          <w:szCs w:val="30"/>
        </w:rPr>
        <w:t>項所言之「人之尊嚴不可侵犯，尊重及保護此項尊嚴為所有國家機關之義務。」本於上開實質正義之信念，國家透過公平正當之稅捐負擔，實現其作為給付國家所擔當之任務。亦基於正義國家之概念，稅法規定必須與憲法之價值體系相協調一致，立法者於所得稅法上之裁量空間必須予以限制，亦即應受憲法價值觀之拘束，厥為重要者乃憲法上</w:t>
      </w:r>
      <w:r w:rsidRPr="007B5D03">
        <w:rPr>
          <w:rFonts w:hAnsi="標楷體"/>
          <w:sz w:val="30"/>
          <w:szCs w:val="30"/>
        </w:rPr>
        <w:lastRenderedPageBreak/>
        <w:t>基本權之拘束，故人民基本權遭受國家租稅立法權侵害時，必須由　鈞院大法官以租稅正義與憲法基本權</w:t>
      </w:r>
      <w:r w:rsidRPr="007B5D03">
        <w:rPr>
          <w:rFonts w:hAnsi="標楷體"/>
          <w:spacing w:val="4"/>
          <w:sz w:val="30"/>
          <w:szCs w:val="30"/>
        </w:rPr>
        <w:t>為審查之標準，保障人民之權利（附件</w:t>
      </w:r>
      <w:r w:rsidRPr="007B5D03">
        <w:rPr>
          <w:spacing w:val="4"/>
          <w:sz w:val="30"/>
          <w:szCs w:val="30"/>
        </w:rPr>
        <w:t>4</w:t>
      </w:r>
      <w:r w:rsidRPr="007B5D03">
        <w:rPr>
          <w:rFonts w:hAnsi="標楷體"/>
          <w:spacing w:val="4"/>
          <w:sz w:val="30"/>
          <w:szCs w:val="30"/>
        </w:rPr>
        <w:t>，葛克昌，所得稅</w:t>
      </w:r>
      <w:r w:rsidRPr="007B5D03">
        <w:rPr>
          <w:rFonts w:hAnsi="標楷體"/>
          <w:sz w:val="30"/>
          <w:szCs w:val="30"/>
        </w:rPr>
        <w:t>與憲法，頁</w:t>
      </w:r>
      <w:r w:rsidRPr="007B5D03">
        <w:rPr>
          <w:sz w:val="30"/>
          <w:szCs w:val="30"/>
        </w:rPr>
        <w:t>29</w:t>
      </w:r>
      <w:r w:rsidRPr="007B5D03">
        <w:rPr>
          <w:rFonts w:hAnsi="標楷體"/>
          <w:sz w:val="30"/>
          <w:szCs w:val="30"/>
        </w:rPr>
        <w:t>至</w:t>
      </w:r>
      <w:r w:rsidRPr="007B5D03">
        <w:rPr>
          <w:sz w:val="30"/>
          <w:szCs w:val="30"/>
        </w:rPr>
        <w:t>30</w:t>
      </w:r>
      <w:r w:rsidRPr="007B5D03">
        <w:rPr>
          <w:rFonts w:hAnsi="標楷體"/>
          <w:sz w:val="30"/>
          <w:szCs w:val="30"/>
        </w:rPr>
        <w:t>）。聲請人前因最高行政法院確定判決及</w:t>
      </w:r>
      <w:r w:rsidRPr="007B5D03">
        <w:rPr>
          <w:rFonts w:hAnsi="標楷體"/>
          <w:spacing w:val="4"/>
          <w:sz w:val="30"/>
          <w:szCs w:val="30"/>
        </w:rPr>
        <w:t>臺北高等行政法院</w:t>
      </w:r>
      <w:r w:rsidRPr="007B5D03">
        <w:rPr>
          <w:rFonts w:hAnsi="標楷體" w:hint="eastAsia"/>
          <w:spacing w:val="4"/>
          <w:sz w:val="30"/>
          <w:szCs w:val="30"/>
        </w:rPr>
        <w:t>確定</w:t>
      </w:r>
      <w:r w:rsidRPr="007B5D03">
        <w:rPr>
          <w:rFonts w:hAnsi="標楷體"/>
          <w:spacing w:val="4"/>
          <w:sz w:val="30"/>
          <w:szCs w:val="30"/>
        </w:rPr>
        <w:t>判決實體援用財政部</w:t>
      </w:r>
      <w:r w:rsidRPr="007B5D03">
        <w:rPr>
          <w:spacing w:val="4"/>
          <w:sz w:val="30"/>
          <w:szCs w:val="30"/>
        </w:rPr>
        <w:t>86</w:t>
      </w:r>
      <w:r w:rsidRPr="007B5D03">
        <w:rPr>
          <w:rFonts w:hAnsi="標楷體"/>
          <w:spacing w:val="4"/>
          <w:sz w:val="30"/>
          <w:szCs w:val="30"/>
        </w:rPr>
        <w:t>年函釋，爰</w:t>
      </w:r>
      <w:r w:rsidRPr="007B5D03">
        <w:rPr>
          <w:rFonts w:hAnsi="標楷體"/>
          <w:sz w:val="30"/>
          <w:szCs w:val="30"/>
        </w:rPr>
        <w:t>依司法院大法官審理案件法第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款之規定，請</w:t>
      </w:r>
      <w:r w:rsidRPr="007B5D03">
        <w:rPr>
          <w:rFonts w:hAnsi="標楷體"/>
          <w:spacing w:val="4"/>
          <w:sz w:val="30"/>
          <w:szCs w:val="30"/>
        </w:rPr>
        <w:t>求　鈞院大法官宣告財政部</w:t>
      </w:r>
      <w:r w:rsidRPr="007B5D03">
        <w:rPr>
          <w:spacing w:val="4"/>
          <w:sz w:val="30"/>
          <w:szCs w:val="30"/>
        </w:rPr>
        <w:t>86</w:t>
      </w:r>
      <w:r w:rsidRPr="007B5D03">
        <w:rPr>
          <w:rFonts w:hAnsi="標楷體"/>
          <w:spacing w:val="4"/>
          <w:sz w:val="30"/>
          <w:szCs w:val="30"/>
        </w:rPr>
        <w:t>年函釋應不予適用，另對最</w:t>
      </w:r>
      <w:r w:rsidRPr="007B5D03">
        <w:rPr>
          <w:rFonts w:hAnsi="標楷體"/>
          <w:spacing w:val="10"/>
          <w:sz w:val="30"/>
          <w:szCs w:val="30"/>
        </w:rPr>
        <w:t>高行政法院確定判決適用之爭點主義係實質援用</w:t>
      </w:r>
      <w:r w:rsidRPr="007B5D03">
        <w:rPr>
          <w:spacing w:val="10"/>
          <w:sz w:val="30"/>
          <w:szCs w:val="30"/>
        </w:rPr>
        <w:t>62</w:t>
      </w:r>
      <w:r w:rsidRPr="007B5D03">
        <w:rPr>
          <w:rFonts w:hAnsi="標楷體"/>
          <w:spacing w:val="10"/>
          <w:sz w:val="30"/>
          <w:szCs w:val="30"/>
        </w:rPr>
        <w:t>年判</w:t>
      </w:r>
      <w:r w:rsidRPr="007B5D03">
        <w:rPr>
          <w:rFonts w:hAnsi="標楷體"/>
          <w:sz w:val="30"/>
          <w:szCs w:val="30"/>
        </w:rPr>
        <w:t>例，違反憲法亦應不予援用。如蒙　鈞院作成違憲解釋時，聲請人並得就據以聲請解釋之案件依釋字第</w:t>
      </w:r>
      <w:r w:rsidRPr="007B5D03">
        <w:rPr>
          <w:sz w:val="30"/>
          <w:szCs w:val="30"/>
        </w:rPr>
        <w:t>177</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z w:val="30"/>
          <w:szCs w:val="30"/>
        </w:rPr>
        <w:t>185</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z w:val="30"/>
          <w:szCs w:val="30"/>
        </w:rPr>
        <w:t>193</w:t>
      </w:r>
      <w:r w:rsidRPr="007B5D03">
        <w:rPr>
          <w:rFonts w:hAnsi="標楷體"/>
          <w:sz w:val="30"/>
          <w:szCs w:val="30"/>
        </w:rPr>
        <w:t>號解釋及行政訴訟法第</w:t>
      </w:r>
      <w:r w:rsidRPr="007B5D03">
        <w:rPr>
          <w:sz w:val="30"/>
          <w:szCs w:val="30"/>
        </w:rPr>
        <w:t>273</w:t>
      </w:r>
      <w:r w:rsidRPr="007B5D03">
        <w:rPr>
          <w:rFonts w:hAnsi="標楷體"/>
          <w:sz w:val="30"/>
          <w:szCs w:val="30"/>
        </w:rPr>
        <w:t>條第</w:t>
      </w:r>
      <w:r w:rsidRPr="007B5D03">
        <w:rPr>
          <w:sz w:val="30"/>
          <w:szCs w:val="30"/>
        </w:rPr>
        <w:t>2</w:t>
      </w:r>
      <w:r w:rsidRPr="007B5D03">
        <w:rPr>
          <w:rFonts w:hAnsi="標楷體"/>
          <w:sz w:val="30"/>
          <w:szCs w:val="30"/>
        </w:rPr>
        <w:t>項之規定，聲請再審。</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貳、疑義之性質與經過，及涉及之憲法條文</w:t>
      </w:r>
    </w:p>
    <w:p w:rsidR="00514426" w:rsidRPr="007B5D03" w:rsidRDefault="00514426" w:rsidP="00FB2D5A">
      <w:pPr>
        <w:snapToGrid w:val="0"/>
        <w:spacing w:line="437" w:lineRule="exact"/>
        <w:ind w:leftChars="100" w:left="960" w:hanging="680"/>
        <w:rPr>
          <w:rFonts w:hAnsi="標楷體" w:hint="eastAsia"/>
          <w:sz w:val="30"/>
          <w:szCs w:val="30"/>
        </w:rPr>
      </w:pPr>
      <w:r w:rsidRPr="007B5D03">
        <w:rPr>
          <w:rFonts w:hAnsi="標楷體"/>
          <w:sz w:val="30"/>
          <w:szCs w:val="30"/>
        </w:rPr>
        <w:t>一、釋憲程序問題之爭議部分</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（一）事實及行政救濟程序</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t>1.</w:t>
      </w:r>
      <w:r w:rsidRPr="007B5D03">
        <w:rPr>
          <w:rFonts w:hAnsi="標楷體"/>
          <w:sz w:val="30"/>
          <w:szCs w:val="30"/>
        </w:rPr>
        <w:t>聲請人經會計師簽證之</w:t>
      </w:r>
      <w:r w:rsidRPr="007B5D03">
        <w:rPr>
          <w:sz w:val="30"/>
          <w:szCs w:val="30"/>
        </w:rPr>
        <w:t>91</w:t>
      </w:r>
      <w:r w:rsidRPr="007B5D03">
        <w:rPr>
          <w:rFonts w:hAnsi="標楷體"/>
          <w:sz w:val="30"/>
          <w:szCs w:val="30"/>
        </w:rPr>
        <w:t>年度營利事業所得稅結算申報書中，將認購權證之評價利益</w:t>
      </w:r>
      <w:r w:rsidRPr="007B5D03">
        <w:rPr>
          <w:sz w:val="30"/>
          <w:szCs w:val="30"/>
        </w:rPr>
        <w:t>1,884,821,718</w:t>
      </w:r>
      <w:r w:rsidRPr="007B5D03">
        <w:rPr>
          <w:rFonts w:hAnsi="標楷體"/>
          <w:sz w:val="30"/>
          <w:szCs w:val="30"/>
        </w:rPr>
        <w:t>元（包括本年度已到期及未到期之權證在財務會計上之評價）自「</w:t>
      </w:r>
      <w:r w:rsidRPr="007B5D03">
        <w:rPr>
          <w:sz w:val="30"/>
          <w:szCs w:val="30"/>
        </w:rPr>
        <w:t>1</w:t>
      </w:r>
      <w:r w:rsidRPr="007B5D03">
        <w:rPr>
          <w:rFonts w:hAnsi="標楷體"/>
          <w:sz w:val="30"/>
          <w:szCs w:val="30"/>
        </w:rPr>
        <w:t>營業收入」項中進行帳外調整，</w:t>
      </w:r>
      <w:r w:rsidRPr="007B5D03">
        <w:rPr>
          <w:rFonts w:hAnsi="標楷體"/>
          <w:spacing w:val="4"/>
          <w:sz w:val="30"/>
          <w:szCs w:val="30"/>
        </w:rPr>
        <w:t>改列至「</w:t>
      </w:r>
      <w:r w:rsidRPr="007B5D03">
        <w:rPr>
          <w:spacing w:val="4"/>
          <w:sz w:val="30"/>
          <w:szCs w:val="30"/>
        </w:rPr>
        <w:t>99</w:t>
      </w:r>
      <w:r w:rsidRPr="007B5D03">
        <w:rPr>
          <w:rFonts w:hAnsi="標楷體"/>
          <w:spacing w:val="4"/>
          <w:sz w:val="30"/>
          <w:szCs w:val="30"/>
        </w:rPr>
        <w:t>停徵之證券、期貨交易所得」項下，</w:t>
      </w:r>
      <w:r w:rsidRPr="007B5D03">
        <w:rPr>
          <w:rFonts w:hAnsi="標楷體"/>
          <w:sz w:val="30"/>
          <w:szCs w:val="30"/>
        </w:rPr>
        <w:t>其理由為因稅法並無明確規定，暫依所得稅法第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規定，全數視為證券交易所得，同時在「</w:t>
      </w:r>
      <w:r w:rsidRPr="007B5D03">
        <w:rPr>
          <w:sz w:val="30"/>
          <w:szCs w:val="30"/>
        </w:rPr>
        <w:t>5</w:t>
      </w:r>
      <w:r w:rsidRPr="007B5D03">
        <w:rPr>
          <w:rFonts w:hAnsi="標楷體"/>
          <w:sz w:val="30"/>
          <w:szCs w:val="30"/>
        </w:rPr>
        <w:t>營業成本」項下，因權證收入認列至證券交易所得</w:t>
      </w:r>
      <w:r w:rsidRPr="007B5D03">
        <w:rPr>
          <w:rFonts w:hAnsi="標楷體"/>
          <w:spacing w:val="4"/>
          <w:sz w:val="30"/>
          <w:szCs w:val="30"/>
        </w:rPr>
        <w:t>中，亦將買賣認購權證之損失及費用帳外調整至「</w:t>
      </w:r>
      <w:r w:rsidRPr="007B5D03">
        <w:rPr>
          <w:spacing w:val="4"/>
          <w:sz w:val="30"/>
          <w:szCs w:val="30"/>
        </w:rPr>
        <w:t>99</w:t>
      </w:r>
      <w:r w:rsidRPr="007B5D03">
        <w:rPr>
          <w:rFonts w:hAnsi="標楷體"/>
          <w:spacing w:val="4"/>
          <w:sz w:val="30"/>
          <w:szCs w:val="30"/>
        </w:rPr>
        <w:t>停徵之證券、期貨交易所得」項下。是以就</w:t>
      </w:r>
      <w:r w:rsidRPr="007B5D03">
        <w:rPr>
          <w:rFonts w:hAnsi="標楷體"/>
          <w:sz w:val="30"/>
          <w:szCs w:val="30"/>
        </w:rPr>
        <w:t>聲請人之營利事業所得稅結算申報而言，乃已揭明聲請人因法令適用上仍有疑問，聲請人暫時將權證</w:t>
      </w:r>
      <w:r w:rsidRPr="007B5D03">
        <w:rPr>
          <w:rFonts w:hAnsi="標楷體"/>
          <w:spacing w:val="4"/>
          <w:sz w:val="30"/>
          <w:szCs w:val="30"/>
        </w:rPr>
        <w:t>之收入與</w:t>
      </w:r>
      <w:r w:rsidRPr="007B5D03">
        <w:rPr>
          <w:rFonts w:hAnsi="標楷體"/>
          <w:spacing w:val="4"/>
          <w:sz w:val="30"/>
          <w:szCs w:val="30"/>
        </w:rPr>
        <w:lastRenderedPageBreak/>
        <w:t>成本費用均暫列於免稅之證券交易所得</w:t>
      </w:r>
      <w:r w:rsidRPr="007B5D03">
        <w:rPr>
          <w:rFonts w:hAnsi="標楷體"/>
          <w:sz w:val="30"/>
          <w:szCs w:val="30"/>
        </w:rPr>
        <w:t>項下，故收入與成本費用在聲請之結算申報書上以觀，自屬緊密不可分割之相關</w:t>
      </w:r>
      <w:r w:rsidRPr="007B5D03">
        <w:rPr>
          <w:rFonts w:hAnsi="標楷體" w:hint="eastAsia"/>
          <w:sz w:val="30"/>
          <w:szCs w:val="30"/>
        </w:rPr>
        <w:t>連</w:t>
      </w:r>
      <w:r w:rsidRPr="007B5D03">
        <w:rPr>
          <w:rFonts w:hAnsi="標楷體"/>
          <w:sz w:val="30"/>
          <w:szCs w:val="30"/>
        </w:rPr>
        <w:t>部分，合先敘明。</w:t>
      </w:r>
      <w:r w:rsidRPr="007B5D03">
        <w:rPr>
          <w:rFonts w:hAnsi="標楷體"/>
          <w:spacing w:val="4"/>
          <w:sz w:val="30"/>
          <w:szCs w:val="30"/>
        </w:rPr>
        <w:t>另外聲請人結算申報書係將財務會計上之權證評</w:t>
      </w:r>
      <w:r w:rsidRPr="007B5D03">
        <w:rPr>
          <w:rFonts w:hAnsi="標楷體"/>
          <w:sz w:val="30"/>
          <w:szCs w:val="30"/>
        </w:rPr>
        <w:t>價利益作帳外調整，所以其作法並非如同財政部</w:t>
      </w:r>
      <w:r w:rsidRPr="007B5D03">
        <w:rPr>
          <w:spacing w:val="4"/>
          <w:sz w:val="30"/>
          <w:szCs w:val="30"/>
        </w:rPr>
        <w:t>86</w:t>
      </w:r>
      <w:r w:rsidRPr="007B5D03">
        <w:rPr>
          <w:rFonts w:hAnsi="標楷體"/>
          <w:spacing w:val="4"/>
          <w:sz w:val="30"/>
          <w:szCs w:val="30"/>
        </w:rPr>
        <w:t>年函釋以履約時（亦即到期之權證）認列權證</w:t>
      </w:r>
      <w:r w:rsidRPr="007B5D03">
        <w:rPr>
          <w:rFonts w:hAnsi="標楷體"/>
          <w:sz w:val="30"/>
          <w:szCs w:val="30"/>
        </w:rPr>
        <w:t>之權利金收入，故在數字上會有財稅上差異，特予敘明。</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t>2.</w:t>
      </w:r>
      <w:r w:rsidRPr="007B5D03">
        <w:rPr>
          <w:rFonts w:hAnsi="標楷體"/>
          <w:sz w:val="30"/>
          <w:szCs w:val="30"/>
        </w:rPr>
        <w:t>惟財政部臺北市國稅局已於</w:t>
      </w:r>
      <w:r w:rsidRPr="007B5D03">
        <w:rPr>
          <w:sz w:val="30"/>
          <w:szCs w:val="30"/>
        </w:rPr>
        <w:t>91</w:t>
      </w:r>
      <w:r w:rsidRPr="007B5D03">
        <w:rPr>
          <w:rFonts w:hAnsi="標楷體"/>
          <w:sz w:val="30"/>
          <w:szCs w:val="30"/>
        </w:rPr>
        <w:t>年度營利事業所得</w:t>
      </w:r>
      <w:r w:rsidRPr="007B5D03">
        <w:rPr>
          <w:rFonts w:hAnsi="標楷體"/>
          <w:spacing w:val="4"/>
          <w:sz w:val="30"/>
          <w:szCs w:val="30"/>
        </w:rPr>
        <w:t>稅核定通知書暨調整法令及依據說明書上已認定到期之權證權利金收入為</w:t>
      </w:r>
      <w:r w:rsidRPr="007B5D03">
        <w:rPr>
          <w:spacing w:val="4"/>
          <w:sz w:val="30"/>
          <w:szCs w:val="30"/>
        </w:rPr>
        <w:t>1,352,592,500</w:t>
      </w:r>
      <w:r w:rsidRPr="007B5D03">
        <w:rPr>
          <w:rFonts w:hAnsi="標楷體"/>
          <w:spacing w:val="4"/>
          <w:sz w:val="30"/>
          <w:szCs w:val="30"/>
        </w:rPr>
        <w:t>元，並將</w:t>
      </w:r>
      <w:r w:rsidRPr="007B5D03">
        <w:rPr>
          <w:rFonts w:hAnsi="標楷體"/>
          <w:sz w:val="30"/>
          <w:szCs w:val="30"/>
        </w:rPr>
        <w:t>之調整至營業收入總額中。財政部臺北市國稅局調整</w:t>
      </w:r>
      <w:r w:rsidRPr="007B5D03">
        <w:rPr>
          <w:sz w:val="30"/>
          <w:szCs w:val="30"/>
        </w:rPr>
        <w:t>91</w:t>
      </w:r>
      <w:r w:rsidRPr="007B5D03">
        <w:rPr>
          <w:rFonts w:hAnsi="標楷體"/>
          <w:sz w:val="30"/>
          <w:szCs w:val="30"/>
        </w:rPr>
        <w:t>年度到期權證之權利金收入至營業收入，因</w:t>
      </w:r>
      <w:r w:rsidRPr="007B5D03">
        <w:rPr>
          <w:rFonts w:hAnsi="標楷體"/>
          <w:spacing w:val="4"/>
          <w:sz w:val="30"/>
          <w:szCs w:val="30"/>
        </w:rPr>
        <w:t>聲請人結算申報將權證之成本列於證券交易所得</w:t>
      </w:r>
      <w:r w:rsidRPr="007B5D03">
        <w:rPr>
          <w:rFonts w:hAnsi="標楷體"/>
          <w:sz w:val="30"/>
          <w:szCs w:val="30"/>
        </w:rPr>
        <w:t>項下，與財政部</w:t>
      </w:r>
      <w:r w:rsidRPr="007B5D03">
        <w:rPr>
          <w:sz w:val="30"/>
          <w:szCs w:val="30"/>
        </w:rPr>
        <w:t>86</w:t>
      </w:r>
      <w:r w:rsidRPr="007B5D03">
        <w:rPr>
          <w:rFonts w:hAnsi="標楷體"/>
          <w:sz w:val="30"/>
          <w:szCs w:val="30"/>
        </w:rPr>
        <w:t>年函釋將避險部位損失作為證券交易損失之規定相符，故不進行調整。</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t>3.</w:t>
      </w:r>
      <w:r w:rsidRPr="007B5D03">
        <w:rPr>
          <w:rFonts w:hAnsi="標楷體"/>
          <w:sz w:val="30"/>
          <w:szCs w:val="30"/>
        </w:rPr>
        <w:t>在行政救濟程序中，聲請人已於復查程序主張權證避險損失屬應稅權利金之成本，應自應稅收入中減除，案經復查決定、訴願決定及臺北高等行政法院均實體加以審理而駁回聲請</w:t>
      </w:r>
      <w:r w:rsidRPr="007B5D03">
        <w:rPr>
          <w:rFonts w:hAnsi="標楷體" w:hint="eastAsia"/>
          <w:sz w:val="30"/>
          <w:szCs w:val="30"/>
        </w:rPr>
        <w:t>人</w:t>
      </w:r>
      <w:r w:rsidRPr="007B5D03">
        <w:rPr>
          <w:rFonts w:hAnsi="標楷體"/>
          <w:sz w:val="30"/>
          <w:szCs w:val="30"/>
        </w:rPr>
        <w:t>之請求，僅在最高行政法院確定判決突然提到爭點主義之問題，其判決理由略以：「至上訴人主張對於『避險交易損失不予認列』不服，被上訴人未將因發行認購權證所生為避險而買賣標的股票之證券交易損失</w:t>
      </w:r>
      <w:r w:rsidRPr="007B5D03">
        <w:rPr>
          <w:sz w:val="30"/>
          <w:szCs w:val="30"/>
        </w:rPr>
        <w:t>274,733,338</w:t>
      </w:r>
      <w:r w:rsidRPr="007B5D03">
        <w:rPr>
          <w:rFonts w:hAnsi="標楷體"/>
          <w:sz w:val="30"/>
          <w:szCs w:val="30"/>
        </w:rPr>
        <w:t>元及認購權證再買回出售損失</w:t>
      </w:r>
      <w:r w:rsidRPr="007B5D03">
        <w:rPr>
          <w:sz w:val="30"/>
          <w:szCs w:val="30"/>
        </w:rPr>
        <w:t>677,966,397</w:t>
      </w:r>
      <w:r w:rsidRPr="007B5D03">
        <w:rPr>
          <w:rFonts w:hAnsi="標楷體"/>
          <w:sz w:val="30"/>
          <w:szCs w:val="30"/>
        </w:rPr>
        <w:t>元列為權利金收入之成本，有違收入與費用配合原則等語。經查，原核定並未將上開避險</w:t>
      </w:r>
      <w:r w:rsidRPr="007B5D03">
        <w:rPr>
          <w:rFonts w:hAnsi="標楷體"/>
          <w:sz w:val="30"/>
          <w:szCs w:val="30"/>
        </w:rPr>
        <w:lastRenderedPageBreak/>
        <w:t>交易損失予以調整，此有原處分卷第</w:t>
      </w:r>
      <w:r w:rsidRPr="007B5D03">
        <w:rPr>
          <w:sz w:val="30"/>
          <w:szCs w:val="30"/>
        </w:rPr>
        <w:t>373</w:t>
      </w:r>
      <w:r w:rsidRPr="007B5D03">
        <w:rPr>
          <w:rFonts w:hAnsi="標楷體"/>
          <w:sz w:val="30"/>
          <w:szCs w:val="30"/>
        </w:rPr>
        <w:t>頁所附「</w:t>
      </w:r>
      <w:r w:rsidRPr="007B5D03">
        <w:rPr>
          <w:sz w:val="30"/>
          <w:szCs w:val="30"/>
        </w:rPr>
        <w:t>91</w:t>
      </w:r>
      <w:r w:rsidRPr="007B5D03">
        <w:rPr>
          <w:rFonts w:hAnsi="標楷體"/>
          <w:sz w:val="30"/>
          <w:szCs w:val="30"/>
        </w:rPr>
        <w:t>年度營利事業所得稅申報核定通知書調整法令及依據說明書」可稽，該調整說明書經核亦與原</w:t>
      </w:r>
      <w:r w:rsidRPr="007B5D03">
        <w:rPr>
          <w:rFonts w:hAnsi="標楷體"/>
          <w:spacing w:val="4"/>
          <w:sz w:val="30"/>
          <w:szCs w:val="30"/>
        </w:rPr>
        <w:t>核定即原處分卷第</w:t>
      </w:r>
      <w:r w:rsidRPr="007B5D03">
        <w:rPr>
          <w:spacing w:val="4"/>
          <w:sz w:val="30"/>
          <w:szCs w:val="30"/>
        </w:rPr>
        <w:t>379</w:t>
      </w:r>
      <w:r w:rsidRPr="007B5D03">
        <w:rPr>
          <w:rFonts w:hAnsi="標楷體"/>
          <w:spacing w:val="4"/>
          <w:sz w:val="30"/>
          <w:szCs w:val="30"/>
        </w:rPr>
        <w:t>頁卷附之「</w:t>
      </w:r>
      <w:r w:rsidRPr="007B5D03">
        <w:rPr>
          <w:spacing w:val="4"/>
          <w:sz w:val="30"/>
          <w:szCs w:val="30"/>
        </w:rPr>
        <w:t>91</w:t>
      </w:r>
      <w:r w:rsidRPr="007B5D03">
        <w:rPr>
          <w:rFonts w:hAnsi="標楷體"/>
          <w:spacing w:val="4"/>
          <w:sz w:val="30"/>
          <w:szCs w:val="30"/>
        </w:rPr>
        <w:t>年度營利事</w:t>
      </w:r>
      <w:r w:rsidRPr="007B5D03">
        <w:rPr>
          <w:rFonts w:hAnsi="標楷體"/>
          <w:sz w:val="30"/>
          <w:szCs w:val="30"/>
        </w:rPr>
        <w:t>業所得稅申報核定通知書」無不相符；且依原處分卷第</w:t>
      </w:r>
      <w:r w:rsidRPr="007B5D03">
        <w:rPr>
          <w:sz w:val="30"/>
          <w:szCs w:val="30"/>
        </w:rPr>
        <w:t>58</w:t>
      </w:r>
      <w:r w:rsidRPr="007B5D03">
        <w:rPr>
          <w:rFonts w:hAnsi="標楷體"/>
          <w:sz w:val="30"/>
          <w:szCs w:val="30"/>
        </w:rPr>
        <w:t>頁所附稅務簽證會計師之查核報告書亦有記載「發行認購權證產生之損益、再買回認購權證處分損益，暫依所得稅法第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規定，以視同證券交易所得停止課徵所得稅方式辦理，俟相關法令修正後，</w:t>
      </w:r>
      <w:r w:rsidRPr="007B5D03">
        <w:rPr>
          <w:rFonts w:hint="eastAsia"/>
          <w:sz w:val="30"/>
          <w:szCs w:val="30"/>
        </w:rPr>
        <w:t>……</w:t>
      </w:r>
      <w:r w:rsidRPr="007B5D03">
        <w:rPr>
          <w:rFonts w:hAnsi="標楷體"/>
          <w:sz w:val="30"/>
          <w:szCs w:val="30"/>
        </w:rPr>
        <w:t>，再自行補正之。」云云，是依上開卷證資料所示，應可認此部分係如申報數核定，依稅捐訴訟實務係採爭點主義以觀，自非得於稅捐</w:t>
      </w:r>
      <w:r w:rsidRPr="007B5D03">
        <w:rPr>
          <w:rFonts w:hAnsi="標楷體"/>
          <w:spacing w:val="6"/>
          <w:sz w:val="30"/>
          <w:szCs w:val="30"/>
        </w:rPr>
        <w:t>稽徵法第</w:t>
      </w:r>
      <w:r w:rsidRPr="007B5D03">
        <w:rPr>
          <w:spacing w:val="6"/>
          <w:sz w:val="30"/>
          <w:szCs w:val="30"/>
        </w:rPr>
        <w:t>35</w:t>
      </w:r>
      <w:r w:rsidRPr="007B5D03">
        <w:rPr>
          <w:rFonts w:hAnsi="標楷體"/>
          <w:spacing w:val="6"/>
          <w:sz w:val="30"/>
          <w:szCs w:val="30"/>
        </w:rPr>
        <w:t>條所定復查程序加以主張變更或救</w:t>
      </w:r>
      <w:r w:rsidRPr="007B5D03">
        <w:rPr>
          <w:rFonts w:hAnsi="標楷體"/>
          <w:sz w:val="30"/>
          <w:szCs w:val="30"/>
        </w:rPr>
        <w:t>濟。是復查決定、訴願決定及原審判決就此部分均以實體無理由加以駁回，理由雖異，惟</w:t>
      </w:r>
      <w:r w:rsidRPr="007B5D03">
        <w:rPr>
          <w:rFonts w:hAnsi="標楷體" w:hint="eastAsia"/>
          <w:sz w:val="30"/>
          <w:szCs w:val="30"/>
        </w:rPr>
        <w:t>查</w:t>
      </w:r>
      <w:r w:rsidRPr="007B5D03">
        <w:rPr>
          <w:rFonts w:hAnsi="標楷體"/>
          <w:sz w:val="30"/>
          <w:szCs w:val="30"/>
        </w:rPr>
        <w:t>其結果並無不同，此部分上訴仍為無理由，附此敘明。」綜</w:t>
      </w:r>
      <w:r w:rsidRPr="007B5D03">
        <w:rPr>
          <w:rFonts w:hAnsi="標楷體"/>
          <w:spacing w:val="4"/>
          <w:sz w:val="30"/>
          <w:szCs w:val="30"/>
        </w:rPr>
        <w:t>觀其判決理由究竟有無實體上就權證避險損失部</w:t>
      </w:r>
      <w:r w:rsidRPr="007B5D03">
        <w:rPr>
          <w:rFonts w:hAnsi="標楷體"/>
          <w:sz w:val="30"/>
          <w:szCs w:val="30"/>
        </w:rPr>
        <w:t>分予以審理並適用財政部</w:t>
      </w:r>
      <w:r w:rsidRPr="007B5D03">
        <w:rPr>
          <w:sz w:val="30"/>
          <w:szCs w:val="30"/>
        </w:rPr>
        <w:t>86</w:t>
      </w:r>
      <w:r w:rsidRPr="007B5D03">
        <w:rPr>
          <w:rFonts w:hAnsi="標楷體"/>
          <w:sz w:val="30"/>
          <w:szCs w:val="30"/>
        </w:rPr>
        <w:t>年函釋乙節，可能存有相當之疑義，依照</w:t>
      </w:r>
      <w:r w:rsidRPr="007B5D03">
        <w:rPr>
          <w:rFonts w:hAnsi="標楷體" w:hint="eastAsia"/>
          <w:sz w:val="30"/>
          <w:szCs w:val="30"/>
        </w:rPr>
        <w:t>司法院</w:t>
      </w:r>
      <w:r w:rsidRPr="007B5D03">
        <w:rPr>
          <w:rFonts w:hAnsi="標楷體"/>
          <w:sz w:val="30"/>
          <w:szCs w:val="30"/>
        </w:rPr>
        <w:t>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款人民聲請憲法解釋之程序中，聲請客體為「確定終局裁判所適用之法律或命令」，究</w:t>
      </w:r>
      <w:r w:rsidRPr="007B5D03">
        <w:rPr>
          <w:rFonts w:hAnsi="標楷體"/>
          <w:spacing w:val="4"/>
          <w:sz w:val="30"/>
          <w:szCs w:val="30"/>
        </w:rPr>
        <w:t>竟聲請人得否以最高行政法院確定判決實體適用</w:t>
      </w:r>
      <w:r w:rsidRPr="007B5D03">
        <w:rPr>
          <w:rFonts w:hAnsi="標楷體"/>
          <w:sz w:val="30"/>
          <w:szCs w:val="30"/>
        </w:rPr>
        <w:t>財政部</w:t>
      </w:r>
      <w:r w:rsidRPr="007B5D03">
        <w:rPr>
          <w:sz w:val="30"/>
          <w:szCs w:val="30"/>
        </w:rPr>
        <w:t>86</w:t>
      </w:r>
      <w:r w:rsidRPr="007B5D03">
        <w:rPr>
          <w:rFonts w:hAnsi="標楷體"/>
          <w:sz w:val="30"/>
          <w:szCs w:val="30"/>
        </w:rPr>
        <w:t>年函釋或臺北高等行政法院確定判決援用財政部</w:t>
      </w:r>
      <w:r w:rsidRPr="007B5D03">
        <w:rPr>
          <w:sz w:val="30"/>
          <w:szCs w:val="30"/>
        </w:rPr>
        <w:t>86</w:t>
      </w:r>
      <w:r w:rsidRPr="007B5D03">
        <w:rPr>
          <w:rFonts w:hAnsi="標楷體"/>
          <w:sz w:val="30"/>
          <w:szCs w:val="30"/>
        </w:rPr>
        <w:t>年函釋進行釋憲聲請？本聲請書在文後會敘明聲請人之主張。</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（二）此部分程序上所生之疑義與涉及之憲法條文</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lastRenderedPageBreak/>
        <w:t>1.</w:t>
      </w:r>
      <w:r w:rsidRPr="007B5D03">
        <w:rPr>
          <w:rFonts w:hAnsi="標楷體"/>
          <w:sz w:val="30"/>
          <w:szCs w:val="30"/>
        </w:rPr>
        <w:t>最高行政法院確定判決係增加「爭點主義」之理由用以支持該確定判決之適法性，並認為此部分聲請人之上訴為無理由，從而權證避險損失部分究竟有</w:t>
      </w:r>
      <w:r w:rsidRPr="007B5D03">
        <w:rPr>
          <w:rFonts w:hAnsi="標楷體"/>
          <w:spacing w:val="4"/>
          <w:sz w:val="30"/>
          <w:szCs w:val="30"/>
        </w:rPr>
        <w:t>無實體上經最高行政法院審理而生既判力？抑或</w:t>
      </w:r>
      <w:r w:rsidRPr="007B5D03">
        <w:rPr>
          <w:rFonts w:hAnsi="標楷體"/>
          <w:sz w:val="30"/>
          <w:szCs w:val="30"/>
        </w:rPr>
        <w:t>屬違反爭點主義僅生行政處分之實質確定力？</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t>2.</w:t>
      </w:r>
      <w:r w:rsidRPr="007B5D03">
        <w:rPr>
          <w:rFonts w:hAnsi="標楷體"/>
          <w:spacing w:val="4"/>
          <w:sz w:val="30"/>
          <w:szCs w:val="30"/>
        </w:rPr>
        <w:t>如最高行政法院確定判決在實體上確有審理權證</w:t>
      </w:r>
      <w:r w:rsidRPr="007B5D03">
        <w:rPr>
          <w:rFonts w:hAnsi="標楷體"/>
          <w:sz w:val="30"/>
          <w:szCs w:val="30"/>
        </w:rPr>
        <w:t>避險損失部分，其雖未在權證避險損失部分就財政部</w:t>
      </w:r>
      <w:r w:rsidRPr="007B5D03">
        <w:rPr>
          <w:sz w:val="30"/>
          <w:szCs w:val="30"/>
        </w:rPr>
        <w:t>86</w:t>
      </w:r>
      <w:r w:rsidRPr="007B5D03">
        <w:rPr>
          <w:rFonts w:hAnsi="標楷體"/>
          <w:sz w:val="30"/>
          <w:szCs w:val="30"/>
        </w:rPr>
        <w:t>年函釋之適用予以說明，然其追加爭點主義作為上訴無理由之論據，是否致使財政部</w:t>
      </w:r>
      <w:r w:rsidRPr="007B5D03">
        <w:rPr>
          <w:sz w:val="30"/>
          <w:szCs w:val="30"/>
        </w:rPr>
        <w:t>86</w:t>
      </w:r>
      <w:r w:rsidRPr="007B5D03">
        <w:rPr>
          <w:rFonts w:hAnsi="標楷體"/>
          <w:sz w:val="30"/>
          <w:szCs w:val="30"/>
        </w:rPr>
        <w:t>年函</w:t>
      </w:r>
      <w:r w:rsidRPr="007B5D03">
        <w:rPr>
          <w:rFonts w:hAnsi="標楷體"/>
          <w:spacing w:val="4"/>
          <w:sz w:val="30"/>
          <w:szCs w:val="30"/>
        </w:rPr>
        <w:t>釋屬於最高行政法院確定判決所未適用之法令且</w:t>
      </w:r>
      <w:r w:rsidRPr="007B5D03">
        <w:rPr>
          <w:rFonts w:hAnsi="標楷體"/>
          <w:sz w:val="30"/>
          <w:szCs w:val="30"/>
        </w:rPr>
        <w:t>無法自重要關</w:t>
      </w:r>
      <w:r w:rsidRPr="007B5D03">
        <w:rPr>
          <w:rFonts w:hAnsi="標楷體" w:hint="eastAsia"/>
          <w:sz w:val="30"/>
          <w:szCs w:val="30"/>
        </w:rPr>
        <w:t>聯</w:t>
      </w:r>
      <w:r w:rsidRPr="007B5D03">
        <w:rPr>
          <w:rFonts w:hAnsi="標楷體"/>
          <w:sz w:val="30"/>
          <w:szCs w:val="30"/>
        </w:rPr>
        <w:t>性作為釋憲標的？</w:t>
      </w:r>
    </w:p>
    <w:p w:rsidR="00514426" w:rsidRPr="007B5D03" w:rsidRDefault="00514426" w:rsidP="002102F8">
      <w:pPr>
        <w:snapToGrid w:val="0"/>
        <w:spacing w:line="437" w:lineRule="exact"/>
        <w:ind w:left="1900" w:hanging="312"/>
        <w:rPr>
          <w:sz w:val="30"/>
          <w:szCs w:val="30"/>
        </w:rPr>
      </w:pPr>
      <w:r w:rsidRPr="007B5D03">
        <w:rPr>
          <w:rFonts w:ascii="標楷體" w:hAnsi="標楷體"/>
          <w:sz w:val="30"/>
          <w:szCs w:val="30"/>
        </w:rPr>
        <w:t>3.</w:t>
      </w:r>
      <w:r w:rsidRPr="007B5D03">
        <w:rPr>
          <w:rFonts w:hAnsi="標楷體"/>
          <w:spacing w:val="10"/>
          <w:sz w:val="30"/>
          <w:szCs w:val="30"/>
        </w:rPr>
        <w:t>如最高行政法院實體上未審理權證避險損失部</w:t>
      </w:r>
      <w:r w:rsidRPr="007B5D03">
        <w:rPr>
          <w:rFonts w:hAnsi="標楷體"/>
          <w:sz w:val="30"/>
          <w:szCs w:val="30"/>
        </w:rPr>
        <w:t>分，僅以爭點主義作為駁回上訴之依據，得否認為本件仍屬已窮盡救濟手段，而聲請人得以臺北高等行政法院確定判決所適用之財政部</w:t>
      </w:r>
      <w:r w:rsidRPr="007B5D03">
        <w:rPr>
          <w:sz w:val="30"/>
          <w:szCs w:val="30"/>
        </w:rPr>
        <w:t>86</w:t>
      </w:r>
      <w:r w:rsidRPr="007B5D03">
        <w:rPr>
          <w:rFonts w:hAnsi="標楷體"/>
          <w:sz w:val="30"/>
          <w:szCs w:val="30"/>
        </w:rPr>
        <w:t>年函釋聲請釋憲？</w:t>
      </w:r>
    </w:p>
    <w:p w:rsidR="00514426" w:rsidRPr="007B5D03" w:rsidRDefault="00514426" w:rsidP="0041513E">
      <w:pPr>
        <w:snapToGrid w:val="0"/>
        <w:spacing w:line="437" w:lineRule="exact"/>
        <w:ind w:leftChars="100" w:left="904" w:hanging="624"/>
        <w:rPr>
          <w:sz w:val="30"/>
          <w:szCs w:val="30"/>
        </w:rPr>
      </w:pPr>
      <w:r w:rsidRPr="007B5D03">
        <w:rPr>
          <w:rFonts w:hAnsi="標楷體"/>
          <w:sz w:val="30"/>
          <w:szCs w:val="30"/>
        </w:rPr>
        <w:t>二、有關認購權證相關法令之簡介與財政部</w:t>
      </w:r>
      <w:r w:rsidRPr="007B5D03">
        <w:rPr>
          <w:sz w:val="30"/>
          <w:szCs w:val="30"/>
        </w:rPr>
        <w:t>86</w:t>
      </w:r>
      <w:r w:rsidRPr="007B5D03">
        <w:rPr>
          <w:rFonts w:hAnsi="標楷體"/>
          <w:sz w:val="30"/>
          <w:szCs w:val="30"/>
        </w:rPr>
        <w:t>年函釋之違憲爭議</w:t>
      </w:r>
    </w:p>
    <w:p w:rsidR="00514426" w:rsidRPr="007B5D03" w:rsidRDefault="00514426" w:rsidP="0041513E">
      <w:pPr>
        <w:snapToGrid w:val="0"/>
        <w:spacing w:line="437" w:lineRule="exact"/>
        <w:ind w:left="1560" w:hanging="936"/>
        <w:rPr>
          <w:sz w:val="30"/>
          <w:szCs w:val="30"/>
        </w:rPr>
      </w:pPr>
      <w:r w:rsidRPr="007B5D03">
        <w:rPr>
          <w:rFonts w:hAnsi="標楷體"/>
          <w:sz w:val="30"/>
          <w:szCs w:val="30"/>
        </w:rPr>
        <w:t>（一）認購權證之簡介</w:t>
      </w:r>
    </w:p>
    <w:p w:rsidR="00514426" w:rsidRPr="007B5D03" w:rsidRDefault="00514426" w:rsidP="0041513E">
      <w:pPr>
        <w:snapToGrid w:val="0"/>
        <w:spacing w:line="437" w:lineRule="exact"/>
        <w:ind w:left="1219" w:firstLine="340"/>
        <w:rPr>
          <w:sz w:val="30"/>
          <w:szCs w:val="30"/>
        </w:rPr>
      </w:pPr>
      <w:smartTag w:uri="urn:schemas-microsoft-com:office:smarttags" w:element="chsdate">
        <w:smartTagPr>
          <w:attr w:name="IsROCDate" w:val="True"/>
          <w:attr w:name="IsLunarDate" w:val="False"/>
          <w:attr w:name="Day" w:val="31"/>
          <w:attr w:name="Month" w:val="5"/>
          <w:attr w:name="Year" w:val="1997"/>
        </w:smartTagPr>
        <w:r w:rsidRPr="007B5D03">
          <w:rPr>
            <w:rFonts w:hAnsi="標楷體"/>
            <w:sz w:val="30"/>
            <w:szCs w:val="30"/>
          </w:rPr>
          <w:t>民國</w:t>
        </w: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財政部證券暨期貨管理委員會</w:t>
      </w:r>
      <w:r w:rsidRPr="007B5D03">
        <w:rPr>
          <w:sz w:val="30"/>
          <w:szCs w:val="30"/>
        </w:rPr>
        <w:t>(</w:t>
      </w:r>
      <w:r w:rsidRPr="007B5D03">
        <w:rPr>
          <w:rFonts w:hAnsi="標楷體"/>
          <w:sz w:val="30"/>
          <w:szCs w:val="30"/>
        </w:rPr>
        <w:t>現行政院金融監督管理委員會證券期貨局</w:t>
      </w:r>
      <w:r w:rsidRPr="007B5D03">
        <w:rPr>
          <w:sz w:val="30"/>
          <w:szCs w:val="30"/>
        </w:rPr>
        <w:t>)</w:t>
      </w:r>
      <w:r w:rsidRPr="007B5D03">
        <w:rPr>
          <w:rFonts w:hAnsi="標楷體"/>
          <w:sz w:val="30"/>
          <w:szCs w:val="30"/>
        </w:rPr>
        <w:t>核准國內券商發行新金融商品</w:t>
      </w:r>
      <w:r w:rsidRPr="007B5D03">
        <w:rPr>
          <w:sz w:val="30"/>
          <w:szCs w:val="30"/>
        </w:rPr>
        <w:t>—</w:t>
      </w:r>
      <w:r w:rsidRPr="007B5D03">
        <w:rPr>
          <w:rFonts w:hAnsi="標楷體"/>
          <w:sz w:val="30"/>
          <w:szCs w:val="30"/>
        </w:rPr>
        <w:t>認購</w:t>
      </w:r>
      <w:r w:rsidRPr="007B5D03">
        <w:rPr>
          <w:rFonts w:hint="eastAsia"/>
          <w:sz w:val="30"/>
          <w:szCs w:val="30"/>
        </w:rPr>
        <w:t>（</w:t>
      </w:r>
      <w:r w:rsidRPr="007B5D03">
        <w:rPr>
          <w:rFonts w:hAnsi="標楷體"/>
          <w:sz w:val="30"/>
          <w:szCs w:val="30"/>
        </w:rPr>
        <w:t>售</w:t>
      </w:r>
      <w:r w:rsidRPr="007B5D03">
        <w:rPr>
          <w:rFonts w:hAnsi="標楷體" w:hint="eastAsia"/>
          <w:sz w:val="30"/>
          <w:szCs w:val="30"/>
        </w:rPr>
        <w:t>）</w:t>
      </w:r>
      <w:r w:rsidRPr="007B5D03">
        <w:rPr>
          <w:rFonts w:hAnsi="標楷體"/>
          <w:sz w:val="30"/>
          <w:szCs w:val="30"/>
        </w:rPr>
        <w:t>權證，財政部為因應此一金融商品出現，即分別於同年</w:t>
      </w:r>
      <w:smartTag w:uri="urn:schemas-microsoft-com:office:smarttags" w:element="chsdate">
        <w:smartTagPr>
          <w:attr w:name="IsROCDate" w:val="False"/>
          <w:attr w:name="IsLunarDate" w:val="False"/>
          <w:attr w:name="Day" w:val="31"/>
          <w:attr w:name="Month" w:val="7"/>
          <w:attr w:name="Year" w:val="2007"/>
        </w:smartTagP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發布台財稅第</w:t>
      </w:r>
      <w:r w:rsidRPr="007B5D03">
        <w:rPr>
          <w:spacing w:val="4"/>
          <w:sz w:val="30"/>
          <w:szCs w:val="30"/>
        </w:rPr>
        <w:t>861909311</w:t>
      </w:r>
      <w:r w:rsidRPr="007B5D03">
        <w:rPr>
          <w:rFonts w:hAnsi="標楷體"/>
          <w:spacing w:val="4"/>
          <w:sz w:val="30"/>
          <w:szCs w:val="30"/>
        </w:rPr>
        <w:t>號</w:t>
      </w:r>
      <w:r w:rsidRPr="007B5D03">
        <w:rPr>
          <w:rFonts w:hAnsi="標楷體" w:hint="eastAsia"/>
          <w:spacing w:val="4"/>
          <w:sz w:val="30"/>
          <w:szCs w:val="30"/>
        </w:rPr>
        <w:t>函</w:t>
      </w:r>
      <w:r w:rsidRPr="007B5D03">
        <w:rPr>
          <w:rFonts w:hAnsi="標楷體"/>
          <w:spacing w:val="4"/>
          <w:sz w:val="30"/>
          <w:szCs w:val="30"/>
        </w:rPr>
        <w:t>「就認購權證及其標的股票之交易所得</w:t>
      </w:r>
      <w:r w:rsidRPr="007B5D03">
        <w:rPr>
          <w:rFonts w:hAnsi="標楷體"/>
          <w:sz w:val="30"/>
          <w:szCs w:val="30"/>
        </w:rPr>
        <w:t>停徵所得稅」（附件</w:t>
      </w:r>
      <w:r w:rsidRPr="007B5D03">
        <w:rPr>
          <w:sz w:val="30"/>
          <w:szCs w:val="30"/>
        </w:rPr>
        <w:t>5</w:t>
      </w:r>
      <w:r w:rsidRPr="007B5D03">
        <w:rPr>
          <w:rFonts w:hAnsi="標楷體"/>
          <w:sz w:val="30"/>
          <w:szCs w:val="30"/>
        </w:rPr>
        <w:t>）及財政部</w:t>
      </w:r>
      <w:r w:rsidRPr="007B5D03">
        <w:rPr>
          <w:sz w:val="30"/>
          <w:szCs w:val="30"/>
        </w:rPr>
        <w:t>86</w:t>
      </w:r>
      <w:r w:rsidRPr="007B5D03">
        <w:rPr>
          <w:rFonts w:hAnsi="標楷體"/>
          <w:sz w:val="30"/>
          <w:szCs w:val="30"/>
        </w:rPr>
        <w:t>年函釋「認購權證</w:t>
      </w:r>
      <w:r w:rsidRPr="007B5D03">
        <w:rPr>
          <w:rFonts w:hAnsi="標楷體"/>
          <w:spacing w:val="6"/>
          <w:sz w:val="30"/>
          <w:szCs w:val="30"/>
        </w:rPr>
        <w:t>發行人取得發行價款何時認列損益釋疑」兩號解釋函</w:t>
      </w:r>
      <w:r w:rsidRPr="007B5D03">
        <w:rPr>
          <w:rFonts w:hAnsi="標楷體"/>
          <w:sz w:val="30"/>
          <w:szCs w:val="30"/>
        </w:rPr>
        <w:lastRenderedPageBreak/>
        <w:t>令。惟稽徵實務適用該兩函釋，核定發行權證之券商所得稅結果，其因發行權證交易須負擔之實質稅負竟逾其實質所得，是以權證課稅爭議聲浪不斷。</w:t>
      </w:r>
    </w:p>
    <w:p w:rsidR="00514426" w:rsidRPr="007B5D03" w:rsidRDefault="00514426" w:rsidP="0041513E">
      <w:pPr>
        <w:snapToGrid w:val="0"/>
        <w:spacing w:line="437" w:lineRule="exact"/>
        <w:ind w:left="1219" w:firstLine="340"/>
        <w:rPr>
          <w:sz w:val="30"/>
          <w:szCs w:val="30"/>
        </w:rPr>
      </w:pPr>
      <w:r w:rsidRPr="007B5D03">
        <w:rPr>
          <w:rFonts w:hAnsi="標楷體"/>
          <w:sz w:val="30"/>
          <w:szCs w:val="30"/>
        </w:rPr>
        <w:t>本件系爭之「權證」，係金融市場中之衍生性金融商</w:t>
      </w:r>
      <w:r w:rsidRPr="007B5D03">
        <w:rPr>
          <w:rFonts w:hAnsi="標楷體"/>
          <w:spacing w:val="4"/>
          <w:sz w:val="30"/>
          <w:szCs w:val="30"/>
        </w:rPr>
        <w:t>品的一種。權證之操作方式乃由符合資格之金融機構</w:t>
      </w:r>
      <w:r w:rsidRPr="007B5D03">
        <w:rPr>
          <w:rFonts w:hint="eastAsia"/>
          <w:sz w:val="30"/>
          <w:szCs w:val="30"/>
        </w:rPr>
        <w:t>（</w:t>
      </w:r>
      <w:r w:rsidRPr="007B5D03">
        <w:rPr>
          <w:rFonts w:hAnsi="標楷體"/>
          <w:sz w:val="30"/>
          <w:szCs w:val="30"/>
        </w:rPr>
        <w:t>如券商</w:t>
      </w:r>
      <w:r w:rsidRPr="007B5D03">
        <w:rPr>
          <w:rFonts w:hint="eastAsia"/>
          <w:sz w:val="30"/>
          <w:szCs w:val="30"/>
        </w:rPr>
        <w:t>）</w:t>
      </w:r>
      <w:r w:rsidRPr="007B5D03">
        <w:rPr>
          <w:rFonts w:hAnsi="標楷體"/>
          <w:sz w:val="30"/>
          <w:szCs w:val="30"/>
        </w:rPr>
        <w:t>發行權證，投資人則支付少許金額</w:t>
      </w:r>
      <w:r w:rsidRPr="007B5D03">
        <w:rPr>
          <w:rFonts w:hint="eastAsia"/>
          <w:sz w:val="30"/>
          <w:szCs w:val="30"/>
        </w:rPr>
        <w:t>（</w:t>
      </w:r>
      <w:r w:rsidRPr="007B5D03">
        <w:rPr>
          <w:rFonts w:hAnsi="標楷體"/>
          <w:sz w:val="30"/>
          <w:szCs w:val="30"/>
        </w:rPr>
        <w:t>即權利金</w:t>
      </w:r>
      <w:r w:rsidRPr="007B5D03">
        <w:rPr>
          <w:rFonts w:hint="eastAsia"/>
          <w:sz w:val="30"/>
          <w:szCs w:val="30"/>
        </w:rPr>
        <w:t>）</w:t>
      </w:r>
      <w:r w:rsidRPr="007B5D03">
        <w:rPr>
          <w:rFonts w:hAnsi="標楷體"/>
          <w:sz w:val="30"/>
          <w:szCs w:val="30"/>
        </w:rPr>
        <w:t>購買該權證，其中約定投資人享有以約定之特定價格買入</w:t>
      </w:r>
      <w:r w:rsidRPr="007B5D03">
        <w:rPr>
          <w:rFonts w:hint="eastAsia"/>
          <w:sz w:val="30"/>
          <w:szCs w:val="30"/>
        </w:rPr>
        <w:t>（</w:t>
      </w:r>
      <w:r w:rsidRPr="007B5D03">
        <w:rPr>
          <w:rFonts w:hAnsi="標楷體"/>
          <w:sz w:val="30"/>
          <w:szCs w:val="30"/>
        </w:rPr>
        <w:t>認購權證</w:t>
      </w:r>
      <w:r w:rsidRPr="007B5D03">
        <w:rPr>
          <w:rFonts w:hint="eastAsia"/>
          <w:sz w:val="30"/>
          <w:szCs w:val="30"/>
        </w:rPr>
        <w:t>）</w:t>
      </w:r>
      <w:r w:rsidRPr="007B5D03">
        <w:rPr>
          <w:rFonts w:hAnsi="標楷體"/>
          <w:sz w:val="30"/>
          <w:szCs w:val="30"/>
        </w:rPr>
        <w:t>或賣出</w:t>
      </w:r>
      <w:r w:rsidRPr="007B5D03">
        <w:rPr>
          <w:rFonts w:hint="eastAsia"/>
          <w:sz w:val="30"/>
          <w:szCs w:val="30"/>
        </w:rPr>
        <w:t>（</w:t>
      </w:r>
      <w:r w:rsidRPr="007B5D03">
        <w:rPr>
          <w:rFonts w:hAnsi="標楷體"/>
          <w:sz w:val="30"/>
          <w:szCs w:val="30"/>
        </w:rPr>
        <w:t>認售權證</w:t>
      </w:r>
      <w:r w:rsidRPr="007B5D03">
        <w:rPr>
          <w:rFonts w:hint="eastAsia"/>
          <w:sz w:val="30"/>
          <w:szCs w:val="30"/>
        </w:rPr>
        <w:t>）</w:t>
      </w:r>
      <w:r w:rsidRPr="007B5D03">
        <w:rPr>
          <w:rFonts w:hAnsi="標楷體"/>
          <w:sz w:val="30"/>
          <w:szCs w:val="30"/>
        </w:rPr>
        <w:t>一定數量之特定股票</w:t>
      </w:r>
      <w:r w:rsidRPr="007B5D03">
        <w:rPr>
          <w:rFonts w:hint="eastAsia"/>
          <w:sz w:val="30"/>
          <w:szCs w:val="30"/>
        </w:rPr>
        <w:t>（</w:t>
      </w:r>
      <w:r w:rsidRPr="007B5D03">
        <w:rPr>
          <w:rFonts w:hAnsi="標楷體"/>
          <w:sz w:val="30"/>
          <w:szCs w:val="30"/>
        </w:rPr>
        <w:t>即標的股票</w:t>
      </w:r>
      <w:r w:rsidRPr="007B5D03">
        <w:rPr>
          <w:rFonts w:hAnsi="標楷體" w:hint="eastAsia"/>
          <w:sz w:val="30"/>
          <w:szCs w:val="30"/>
        </w:rPr>
        <w:t>）</w:t>
      </w:r>
      <w:r w:rsidRPr="007B5D03">
        <w:rPr>
          <w:rFonts w:hAnsi="標楷體"/>
          <w:sz w:val="30"/>
          <w:szCs w:val="30"/>
        </w:rPr>
        <w:t>的權利</w:t>
      </w:r>
      <w:r w:rsidRPr="007B5D03">
        <w:rPr>
          <w:rFonts w:hint="eastAsia"/>
          <w:sz w:val="30"/>
          <w:szCs w:val="30"/>
        </w:rPr>
        <w:t>（</w:t>
      </w:r>
      <w:r w:rsidRPr="007B5D03">
        <w:rPr>
          <w:rFonts w:hAnsi="標楷體"/>
          <w:sz w:val="30"/>
          <w:szCs w:val="30"/>
        </w:rPr>
        <w:t>非義務</w:t>
      </w:r>
      <w:r w:rsidRPr="007B5D03">
        <w:rPr>
          <w:rFonts w:hint="eastAsia"/>
          <w:sz w:val="30"/>
          <w:szCs w:val="30"/>
        </w:rPr>
        <w:t>）</w:t>
      </w:r>
      <w:r w:rsidRPr="007B5D03">
        <w:rPr>
          <w:rFonts w:hAnsi="標楷體"/>
          <w:sz w:val="30"/>
          <w:szCs w:val="30"/>
        </w:rPr>
        <w:t>，故權證本身係投資人用槓桿方式以小博大的金融商品，其價格會隨其標的股票價格漲跌呈正向或反向變動。</w:t>
      </w:r>
    </w:p>
    <w:p w:rsidR="00514426" w:rsidRPr="007B5D03" w:rsidRDefault="00514426" w:rsidP="0041513E">
      <w:pPr>
        <w:snapToGrid w:val="0"/>
        <w:spacing w:line="437" w:lineRule="exact"/>
        <w:ind w:left="1219" w:firstLine="340"/>
        <w:rPr>
          <w:sz w:val="30"/>
          <w:szCs w:val="30"/>
        </w:rPr>
      </w:pPr>
      <w:r w:rsidRPr="007B5D03">
        <w:rPr>
          <w:rFonts w:hAnsi="標楷體"/>
          <w:sz w:val="30"/>
          <w:szCs w:val="30"/>
        </w:rPr>
        <w:t>權證發行者</w:t>
      </w:r>
      <w:r w:rsidRPr="007B5D03">
        <w:rPr>
          <w:rFonts w:hint="eastAsia"/>
          <w:sz w:val="30"/>
          <w:szCs w:val="30"/>
        </w:rPr>
        <w:t>（</w:t>
      </w:r>
      <w:r w:rsidRPr="007B5D03">
        <w:rPr>
          <w:rFonts w:hAnsi="標楷體"/>
          <w:sz w:val="30"/>
          <w:szCs w:val="30"/>
        </w:rPr>
        <w:t>即券商</w:t>
      </w:r>
      <w:r w:rsidRPr="007B5D03">
        <w:rPr>
          <w:rFonts w:hint="eastAsia"/>
          <w:sz w:val="30"/>
          <w:szCs w:val="30"/>
        </w:rPr>
        <w:t>）</w:t>
      </w:r>
      <w:r w:rsidRPr="007B5D03">
        <w:rPr>
          <w:rFonts w:hAnsi="標楷體"/>
          <w:sz w:val="30"/>
          <w:szCs w:val="30"/>
        </w:rPr>
        <w:t>，雖因投資人購入權證而可向</w:t>
      </w:r>
      <w:r w:rsidRPr="007B5D03">
        <w:rPr>
          <w:rFonts w:hAnsi="標楷體"/>
          <w:spacing w:val="4"/>
          <w:sz w:val="30"/>
          <w:szCs w:val="30"/>
        </w:rPr>
        <w:t>其收取權利金，但相對該發行者亦負擔一契約上之義</w:t>
      </w:r>
      <w:r w:rsidRPr="007B5D03">
        <w:rPr>
          <w:rFonts w:hAnsi="標楷體"/>
          <w:sz w:val="30"/>
          <w:szCs w:val="30"/>
        </w:rPr>
        <w:t>務，即購入權證者在契約約定之一定期間內，一旦行使其依約定價格向發行權證者購入</w:t>
      </w:r>
      <w:r w:rsidRPr="007B5D03">
        <w:rPr>
          <w:rFonts w:hint="eastAsia"/>
          <w:sz w:val="30"/>
          <w:szCs w:val="30"/>
        </w:rPr>
        <w:t>（</w:t>
      </w:r>
      <w:r w:rsidRPr="007B5D03">
        <w:rPr>
          <w:rFonts w:hAnsi="標楷體"/>
          <w:sz w:val="30"/>
          <w:szCs w:val="30"/>
        </w:rPr>
        <w:t>售出</w:t>
      </w:r>
      <w:r w:rsidRPr="007B5D03">
        <w:rPr>
          <w:rFonts w:hint="eastAsia"/>
          <w:sz w:val="30"/>
          <w:szCs w:val="30"/>
        </w:rPr>
        <w:t>）</w:t>
      </w:r>
      <w:r w:rsidRPr="007B5D03">
        <w:rPr>
          <w:rFonts w:hAnsi="標楷體"/>
          <w:sz w:val="30"/>
          <w:szCs w:val="30"/>
        </w:rPr>
        <w:t>標的股票時，發行者即有義務依該約定價格出售</w:t>
      </w:r>
      <w:r w:rsidRPr="007B5D03">
        <w:rPr>
          <w:rFonts w:hint="eastAsia"/>
          <w:sz w:val="30"/>
          <w:szCs w:val="30"/>
        </w:rPr>
        <w:t>（</w:t>
      </w:r>
      <w:r w:rsidRPr="007B5D03">
        <w:rPr>
          <w:rFonts w:hAnsi="標楷體"/>
          <w:sz w:val="30"/>
          <w:szCs w:val="30"/>
        </w:rPr>
        <w:t>買入</w:t>
      </w:r>
      <w:r w:rsidRPr="007B5D03">
        <w:rPr>
          <w:rFonts w:hint="eastAsia"/>
          <w:sz w:val="30"/>
          <w:szCs w:val="30"/>
        </w:rPr>
        <w:t>）</w:t>
      </w:r>
      <w:r w:rsidRPr="007B5D03">
        <w:rPr>
          <w:sz w:val="30"/>
          <w:szCs w:val="30"/>
        </w:rPr>
        <w:t>;</w:t>
      </w:r>
      <w:r w:rsidRPr="007B5D03">
        <w:rPr>
          <w:rFonts w:hAnsi="標楷體"/>
          <w:sz w:val="30"/>
          <w:szCs w:val="30"/>
        </w:rPr>
        <w:t>抑或該購入權證者在契約約定期間內放棄行使，致逾期而失效。此時該權證交易之權利義務關係方為終結，進而權證發行者方能正確計算該次發行權證之真正損益。權證發行者依權證發行契約，既有依契約約定價格出售</w:t>
      </w:r>
      <w:r w:rsidRPr="007B5D03">
        <w:rPr>
          <w:rFonts w:hint="eastAsia"/>
          <w:sz w:val="30"/>
          <w:szCs w:val="30"/>
        </w:rPr>
        <w:t>（</w:t>
      </w:r>
      <w:r w:rsidRPr="007B5D03">
        <w:rPr>
          <w:rFonts w:hAnsi="標楷體"/>
          <w:sz w:val="30"/>
          <w:szCs w:val="30"/>
        </w:rPr>
        <w:t>買入</w:t>
      </w:r>
      <w:r w:rsidRPr="007B5D03">
        <w:rPr>
          <w:rFonts w:hint="eastAsia"/>
          <w:sz w:val="30"/>
          <w:szCs w:val="30"/>
        </w:rPr>
        <w:t>）</w:t>
      </w:r>
      <w:r w:rsidRPr="007B5D03">
        <w:rPr>
          <w:rFonts w:hAnsi="標楷體"/>
          <w:sz w:val="30"/>
          <w:szCs w:val="30"/>
        </w:rPr>
        <w:t>標的股票之義務，因無法預測標的股票未來可能之漲跌幅度，為確保將來有履約能力，必須事先依法規規定精算相對應持有一定數量之標的股票，備供權證持有人要求履約時得以履行股票交付之義務，而非待權證持有人要求時再從證券市場買入，蓋此時標的股票價格已過高，權證發行者可能無力負擔此一價差。故而，權證發行者乃採取其在可能</w:t>
      </w:r>
      <w:r w:rsidRPr="007B5D03">
        <w:rPr>
          <w:rFonts w:hAnsi="標楷體"/>
          <w:sz w:val="30"/>
          <w:szCs w:val="30"/>
        </w:rPr>
        <w:lastRenderedPageBreak/>
        <w:t>承擔價差之範圍內，事先依標的股票價格之漲跌，依據國際通用之避險交易公式</w:t>
      </w:r>
      <w:r w:rsidRPr="007B5D03">
        <w:rPr>
          <w:sz w:val="30"/>
          <w:szCs w:val="30"/>
        </w:rPr>
        <w:t>(Black and Scholes Model)</w:t>
      </w:r>
      <w:r w:rsidRPr="007B5D03">
        <w:rPr>
          <w:rFonts w:hAnsi="標楷體"/>
          <w:sz w:val="30"/>
          <w:szCs w:val="30"/>
        </w:rPr>
        <w:t>及避險交易實務</w:t>
      </w:r>
      <w:r w:rsidRPr="007B5D03">
        <w:rPr>
          <w:sz w:val="30"/>
          <w:szCs w:val="30"/>
        </w:rPr>
        <w:t>(delta hedge)</w:t>
      </w:r>
      <w:r w:rsidRPr="007B5D03">
        <w:rPr>
          <w:rFonts w:hAnsi="標楷體"/>
          <w:sz w:val="30"/>
          <w:szCs w:val="30"/>
        </w:rPr>
        <w:t>，計算標的股票高於或低於履約價格之可能性，同步買進或賣出一定數量之標的股票。避險操作原則</w:t>
      </w:r>
      <w:r w:rsidRPr="007B5D03">
        <w:rPr>
          <w:rFonts w:hint="eastAsia"/>
          <w:sz w:val="30"/>
          <w:szCs w:val="30"/>
        </w:rPr>
        <w:t>（</w:t>
      </w:r>
      <w:r w:rsidRPr="007B5D03">
        <w:rPr>
          <w:rFonts w:hAnsi="標楷體"/>
          <w:sz w:val="30"/>
          <w:szCs w:val="30"/>
        </w:rPr>
        <w:t>以認購權證為例</w:t>
      </w:r>
      <w:r w:rsidRPr="007B5D03">
        <w:rPr>
          <w:rFonts w:hint="eastAsia"/>
          <w:sz w:val="30"/>
          <w:szCs w:val="30"/>
        </w:rPr>
        <w:t>）</w:t>
      </w:r>
      <w:r w:rsidRPr="007B5D03">
        <w:rPr>
          <w:rFonts w:hAnsi="標楷體"/>
          <w:sz w:val="30"/>
          <w:szCs w:val="30"/>
        </w:rPr>
        <w:t>是：若標的股票股價下跌，則權證持有人要求履約購買股票之可能性降低</w:t>
      </w:r>
      <w:r w:rsidRPr="007B5D03">
        <w:rPr>
          <w:rFonts w:hint="eastAsia"/>
          <w:sz w:val="30"/>
          <w:szCs w:val="30"/>
        </w:rPr>
        <w:t>（</w:t>
      </w:r>
      <w:r w:rsidRPr="007B5D03">
        <w:rPr>
          <w:rFonts w:hAnsi="標楷體"/>
          <w:sz w:val="30"/>
          <w:szCs w:val="30"/>
        </w:rPr>
        <w:t>即購入標的股票之動機下降，因價差小獲利期待亦小</w:t>
      </w:r>
      <w:r w:rsidRPr="007B5D03">
        <w:rPr>
          <w:rFonts w:hint="eastAsia"/>
          <w:sz w:val="30"/>
          <w:szCs w:val="30"/>
        </w:rPr>
        <w:t>）</w:t>
      </w:r>
      <w:r w:rsidRPr="007B5D03">
        <w:rPr>
          <w:rFonts w:hAnsi="標楷體"/>
          <w:sz w:val="30"/>
          <w:szCs w:val="30"/>
        </w:rPr>
        <w:t>，權證發行者必須持有之標的股票應減少，因此應出售標的股票；反之，若標的股票股價</w:t>
      </w:r>
      <w:r w:rsidRPr="007B5D03">
        <w:rPr>
          <w:rFonts w:hAnsi="標楷體"/>
          <w:spacing w:val="4"/>
          <w:sz w:val="30"/>
          <w:szCs w:val="30"/>
        </w:rPr>
        <w:t>上漲，則權證持有人要求履約購買股票之可能性升高</w:t>
      </w:r>
      <w:r w:rsidRPr="007B5D03">
        <w:rPr>
          <w:rFonts w:hint="eastAsia"/>
          <w:spacing w:val="10"/>
          <w:sz w:val="30"/>
          <w:szCs w:val="30"/>
        </w:rPr>
        <w:t>（</w:t>
      </w:r>
      <w:r w:rsidRPr="007B5D03">
        <w:rPr>
          <w:rFonts w:hAnsi="標楷體"/>
          <w:spacing w:val="10"/>
          <w:sz w:val="30"/>
          <w:szCs w:val="30"/>
        </w:rPr>
        <w:t>即購入標的股票之動機高，因價差大獲利期待亦</w:t>
      </w:r>
      <w:r w:rsidRPr="007B5D03">
        <w:rPr>
          <w:rFonts w:hAnsi="標楷體"/>
          <w:sz w:val="30"/>
          <w:szCs w:val="30"/>
        </w:rPr>
        <w:t>大</w:t>
      </w:r>
      <w:r w:rsidRPr="007B5D03">
        <w:rPr>
          <w:rFonts w:hint="eastAsia"/>
          <w:sz w:val="30"/>
          <w:szCs w:val="30"/>
        </w:rPr>
        <w:t>）</w:t>
      </w:r>
      <w:r w:rsidRPr="007B5D03">
        <w:rPr>
          <w:rFonts w:hAnsi="標楷體"/>
          <w:sz w:val="30"/>
          <w:szCs w:val="30"/>
        </w:rPr>
        <w:t>，權證發行者必須持有之標的股票應增加，因此應購入標的股票，以準備投資人行使認購權時，可以供履約使用。因此，標的股票之市場價格若上漲，其漲價利益實質係歸屬於投資人享有，而非聲請人證券商享有。</w:t>
      </w:r>
      <w:r w:rsidRPr="007B5D03">
        <w:rPr>
          <w:rFonts w:hAnsi="標楷體"/>
          <w:spacing w:val="-4"/>
          <w:sz w:val="30"/>
          <w:szCs w:val="30"/>
        </w:rPr>
        <w:t>其結果，權證發行者為了避險，將永遠在「追漲殺跌」，</w:t>
      </w:r>
      <w:r w:rsidRPr="007B5D03">
        <w:rPr>
          <w:rFonts w:hAnsi="標楷體"/>
          <w:sz w:val="30"/>
          <w:szCs w:val="30"/>
        </w:rPr>
        <w:t>在高價時更買進，在低價時更賣出，其依國際通用之避險交易公式</w:t>
      </w:r>
      <w:r w:rsidRPr="007B5D03">
        <w:rPr>
          <w:sz w:val="30"/>
          <w:szCs w:val="30"/>
        </w:rPr>
        <w:t>(Black and Scholes Model)</w:t>
      </w:r>
      <w:r w:rsidRPr="007B5D03">
        <w:rPr>
          <w:rFonts w:hAnsi="標楷體"/>
          <w:sz w:val="30"/>
          <w:szCs w:val="30"/>
        </w:rPr>
        <w:t>及避險交易實務</w:t>
      </w:r>
      <w:r w:rsidRPr="007B5D03">
        <w:rPr>
          <w:spacing w:val="10"/>
          <w:sz w:val="30"/>
          <w:szCs w:val="30"/>
        </w:rPr>
        <w:t>(delta hedge)</w:t>
      </w:r>
      <w:r w:rsidRPr="007B5D03">
        <w:rPr>
          <w:rFonts w:hAnsi="標楷體"/>
          <w:spacing w:val="10"/>
          <w:sz w:val="30"/>
          <w:szCs w:val="30"/>
        </w:rPr>
        <w:t>從事避險行為其最終結果實難有任何利</w:t>
      </w:r>
      <w:r w:rsidRPr="007B5D03">
        <w:rPr>
          <w:rFonts w:hAnsi="標楷體"/>
          <w:spacing w:val="-4"/>
          <w:sz w:val="30"/>
          <w:szCs w:val="30"/>
        </w:rPr>
        <w:t>得。而是以「減少損失」為目的，但此實為「斷臂求生」</w:t>
      </w:r>
      <w:r w:rsidRPr="007B5D03">
        <w:rPr>
          <w:rFonts w:hAnsi="標楷體"/>
          <w:sz w:val="30"/>
          <w:szCs w:val="30"/>
        </w:rPr>
        <w:t>策略，證券公司必須藉由避險損失控制，始不</w:t>
      </w:r>
      <w:r w:rsidRPr="007B5D03">
        <w:rPr>
          <w:rFonts w:hAnsi="標楷體" w:hint="eastAsia"/>
          <w:sz w:val="30"/>
          <w:szCs w:val="30"/>
        </w:rPr>
        <w:t>至</w:t>
      </w:r>
      <w:r w:rsidRPr="007B5D03">
        <w:rPr>
          <w:rFonts w:hAnsi="標楷體"/>
          <w:sz w:val="30"/>
          <w:szCs w:val="30"/>
        </w:rPr>
        <w:t>於因向權證購買者收取權證之對價</w:t>
      </w:r>
      <w:r w:rsidRPr="007B5D03">
        <w:rPr>
          <w:rFonts w:hint="eastAsia"/>
          <w:sz w:val="30"/>
          <w:szCs w:val="30"/>
        </w:rPr>
        <w:t>（</w:t>
      </w:r>
      <w:r w:rsidRPr="007B5D03">
        <w:rPr>
          <w:rFonts w:hAnsi="標楷體"/>
          <w:sz w:val="30"/>
          <w:szCs w:val="30"/>
        </w:rPr>
        <w:t>即權利金</w:t>
      </w:r>
      <w:r w:rsidRPr="007B5D03">
        <w:rPr>
          <w:rFonts w:hint="eastAsia"/>
          <w:sz w:val="30"/>
          <w:szCs w:val="30"/>
        </w:rPr>
        <w:t>）</w:t>
      </w:r>
      <w:r w:rsidRPr="007B5D03">
        <w:rPr>
          <w:rFonts w:hAnsi="標楷體"/>
          <w:sz w:val="30"/>
          <w:szCs w:val="30"/>
        </w:rPr>
        <w:t>卻須承擔無限制風險。</w:t>
      </w:r>
    </w:p>
    <w:p w:rsidR="00514426" w:rsidRPr="007B5D03" w:rsidRDefault="00514426" w:rsidP="0041513E">
      <w:pPr>
        <w:snapToGrid w:val="0"/>
        <w:spacing w:line="437" w:lineRule="exact"/>
        <w:ind w:left="1219" w:firstLine="340"/>
        <w:rPr>
          <w:sz w:val="30"/>
          <w:szCs w:val="30"/>
        </w:rPr>
      </w:pPr>
      <w:r w:rsidRPr="007B5D03">
        <w:rPr>
          <w:rFonts w:hAnsi="標楷體"/>
          <w:sz w:val="30"/>
          <w:szCs w:val="30"/>
        </w:rPr>
        <w:t>申言之，權證本身價格會與其標的股票之價格，具有直接連動之關係，認購權證與一般股票不同的是，它具有「時間價值」，並非由單一時點決定其價值，因此發</w:t>
      </w:r>
      <w:r w:rsidRPr="007B5D03">
        <w:rPr>
          <w:rFonts w:hAnsi="標楷體"/>
          <w:spacing w:val="4"/>
          <w:sz w:val="30"/>
          <w:szCs w:val="30"/>
        </w:rPr>
        <w:t>行人和投資人最後誰賺誰虧，都必須至履約時才能確</w:t>
      </w:r>
      <w:r w:rsidRPr="007B5D03">
        <w:rPr>
          <w:rFonts w:hAnsi="標楷體"/>
          <w:sz w:val="30"/>
          <w:szCs w:val="30"/>
        </w:rPr>
        <w:t>定，故</w:t>
      </w:r>
      <w:r w:rsidRPr="007B5D03">
        <w:rPr>
          <w:rFonts w:hAnsi="標楷體"/>
          <w:sz w:val="30"/>
          <w:szCs w:val="30"/>
        </w:rPr>
        <w:lastRenderedPageBreak/>
        <w:t>其與一般股票不同之處即在於其交易實態係以一段期間來決定其取得成本，並非如一般股票在購入當時成本已經決定。是故，依前揭由著名經濟學家</w:t>
      </w:r>
      <w:r w:rsidRPr="007B5D03">
        <w:rPr>
          <w:sz w:val="30"/>
          <w:szCs w:val="30"/>
        </w:rPr>
        <w:t xml:space="preserve">Fischer </w:t>
      </w:r>
      <w:r w:rsidRPr="007B5D03">
        <w:rPr>
          <w:spacing w:val="4"/>
          <w:sz w:val="30"/>
          <w:szCs w:val="30"/>
        </w:rPr>
        <w:t>Black</w:t>
      </w:r>
      <w:r w:rsidRPr="007B5D03">
        <w:rPr>
          <w:rFonts w:hAnsi="標楷體"/>
          <w:spacing w:val="4"/>
          <w:sz w:val="30"/>
          <w:szCs w:val="30"/>
        </w:rPr>
        <w:t>及</w:t>
      </w:r>
      <w:r w:rsidRPr="007B5D03">
        <w:rPr>
          <w:spacing w:val="4"/>
          <w:sz w:val="30"/>
          <w:szCs w:val="30"/>
        </w:rPr>
        <w:t>1997</w:t>
      </w:r>
      <w:r w:rsidRPr="007B5D03">
        <w:rPr>
          <w:rFonts w:hAnsi="標楷體"/>
          <w:spacing w:val="4"/>
          <w:sz w:val="30"/>
          <w:szCs w:val="30"/>
        </w:rPr>
        <w:t>年經濟學諾貝爾獎得主</w:t>
      </w:r>
      <w:r w:rsidRPr="007B5D03">
        <w:rPr>
          <w:spacing w:val="4"/>
          <w:sz w:val="30"/>
          <w:szCs w:val="30"/>
        </w:rPr>
        <w:t>Myron Scholes</w:t>
      </w:r>
      <w:r w:rsidRPr="007B5D03">
        <w:rPr>
          <w:rFonts w:hAnsi="標楷體"/>
          <w:spacing w:val="4"/>
          <w:sz w:val="30"/>
          <w:szCs w:val="30"/>
        </w:rPr>
        <w:t>所</w:t>
      </w:r>
      <w:r w:rsidRPr="007B5D03">
        <w:rPr>
          <w:rFonts w:hAnsi="標楷體"/>
          <w:sz w:val="30"/>
          <w:szCs w:val="30"/>
        </w:rPr>
        <w:t>發明之避險交易公式</w:t>
      </w:r>
      <w:r w:rsidRPr="007B5D03">
        <w:rPr>
          <w:sz w:val="30"/>
          <w:szCs w:val="30"/>
        </w:rPr>
        <w:t>(Black and Scholes Model)</w:t>
      </w:r>
      <w:r w:rsidRPr="007B5D03">
        <w:rPr>
          <w:rFonts w:hAnsi="標楷體"/>
          <w:sz w:val="30"/>
          <w:szCs w:val="30"/>
        </w:rPr>
        <w:t>對權證之評價認為係「時間價值」加上「內含價值」，所謂「內含價值」即為標的股票價格與履約價格間之差價，至於</w:t>
      </w:r>
      <w:r w:rsidRPr="007B5D03">
        <w:rPr>
          <w:rFonts w:hAnsi="標楷體"/>
          <w:spacing w:val="10"/>
          <w:sz w:val="30"/>
          <w:szCs w:val="30"/>
        </w:rPr>
        <w:t>時間價值係依照股價超越履約價格的可能性加以評</w:t>
      </w:r>
      <w:r w:rsidRPr="007B5D03">
        <w:rPr>
          <w:rFonts w:hAnsi="標楷體"/>
          <w:sz w:val="30"/>
          <w:szCs w:val="30"/>
        </w:rPr>
        <w:t>價，蓋只要到期日尚未到臨，股價仍有可能超越履約價格，而且到期日愈長，或是股票波動程度愈大，則時間價值可能愈高。從而，權證交易相當重視發行日至到期日之期間可能發生之標的股票價值變動，券商為避免時間價值產生之不利益，乃須進行避險操作，以控制前述風險。</w:t>
      </w:r>
    </w:p>
    <w:p w:rsidR="00514426" w:rsidRPr="007B5D03" w:rsidRDefault="00514426" w:rsidP="0041513E">
      <w:pPr>
        <w:snapToGrid w:val="0"/>
        <w:spacing w:line="437" w:lineRule="exact"/>
        <w:ind w:left="1219" w:firstLine="340"/>
        <w:rPr>
          <w:rFonts w:hint="eastAsia"/>
          <w:sz w:val="30"/>
          <w:szCs w:val="30"/>
        </w:rPr>
      </w:pPr>
      <w:r w:rsidRPr="007B5D03">
        <w:rPr>
          <w:rFonts w:hAnsi="標楷體"/>
          <w:sz w:val="30"/>
          <w:szCs w:val="30"/>
        </w:rPr>
        <w:t>證券交易主管機關自然深知權證交易之特性，為了維持證券市場穩定，避免權證發行券商無法履約，遂以行政命令，強制要求發行權證之券商必須有避險配套措施方能發行，並透過行政權，嚴密監督發行權證券商是否</w:t>
      </w:r>
      <w:r w:rsidRPr="007B5D03">
        <w:rPr>
          <w:rFonts w:hAnsi="標楷體" w:hint="eastAsia"/>
          <w:spacing w:val="4"/>
          <w:sz w:val="30"/>
          <w:szCs w:val="30"/>
        </w:rPr>
        <w:t>確</w:t>
      </w:r>
      <w:r w:rsidRPr="007B5D03">
        <w:rPr>
          <w:rFonts w:hAnsi="標楷體"/>
          <w:spacing w:val="4"/>
          <w:sz w:val="30"/>
          <w:szCs w:val="30"/>
        </w:rPr>
        <w:t>實執行避險措施，輕為記點，重則停止券商發行權</w:t>
      </w:r>
      <w:r w:rsidRPr="007B5D03">
        <w:rPr>
          <w:rFonts w:hAnsi="標楷體"/>
          <w:sz w:val="30"/>
          <w:szCs w:val="30"/>
        </w:rPr>
        <w:t>證。此有發行人申請發行認購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權證處理要點及臺灣證券交易所股份有限公司認購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權證上市審查準則有關規定可稽（附件</w:t>
      </w:r>
      <w:r w:rsidRPr="007B5D03">
        <w:rPr>
          <w:sz w:val="30"/>
          <w:szCs w:val="30"/>
        </w:rPr>
        <w:t>6</w:t>
      </w:r>
      <w:r w:rsidRPr="007B5D03">
        <w:rPr>
          <w:rFonts w:hAnsi="標楷體"/>
          <w:sz w:val="30"/>
          <w:szCs w:val="30"/>
        </w:rPr>
        <w:t>及</w:t>
      </w:r>
      <w:r w:rsidRPr="007B5D03">
        <w:rPr>
          <w:sz w:val="30"/>
          <w:szCs w:val="30"/>
        </w:rPr>
        <w:t>7</w:t>
      </w:r>
      <w:r w:rsidRPr="007B5D03">
        <w:rPr>
          <w:rFonts w:hAnsi="標楷體"/>
          <w:sz w:val="30"/>
          <w:szCs w:val="30"/>
        </w:rPr>
        <w:t>）</w:t>
      </w:r>
      <w:r w:rsidRPr="007B5D03">
        <w:rPr>
          <w:rFonts w:hAnsi="標楷體" w:hint="eastAsia"/>
          <w:sz w:val="30"/>
          <w:szCs w:val="30"/>
        </w:rPr>
        <w:t>。</w:t>
      </w:r>
    </w:p>
    <w:p w:rsidR="00514426" w:rsidRPr="007B5D03" w:rsidRDefault="00514426" w:rsidP="0041513E">
      <w:pPr>
        <w:snapToGrid w:val="0"/>
        <w:spacing w:line="437" w:lineRule="exact"/>
        <w:ind w:left="1219" w:firstLine="340"/>
        <w:rPr>
          <w:sz w:val="30"/>
          <w:szCs w:val="30"/>
        </w:rPr>
      </w:pPr>
      <w:r w:rsidRPr="007B5D03">
        <w:rPr>
          <w:rFonts w:hAnsi="標楷體"/>
          <w:sz w:val="30"/>
          <w:szCs w:val="30"/>
        </w:rPr>
        <w:t>是以，由經濟實質面觀察，權證發行所收取之權利金收入，其最主要之成本，或說影響本檔次權證交易獲利與否最重要的關鍵實繫於其避險損失是否控制得宜，蓋權證價值主要取決於時間價值，權利金之設定亦是本於對權證時間價值及內含價值之評估而精算出來，實必須</w:t>
      </w:r>
      <w:r w:rsidRPr="007B5D03">
        <w:rPr>
          <w:rFonts w:hAnsi="標楷體"/>
          <w:spacing w:val="10"/>
          <w:sz w:val="30"/>
          <w:szCs w:val="30"/>
        </w:rPr>
        <w:t>以</w:t>
      </w:r>
      <w:r w:rsidRPr="007B5D03">
        <w:rPr>
          <w:rFonts w:hAnsi="標楷體"/>
          <w:spacing w:val="10"/>
          <w:sz w:val="30"/>
          <w:szCs w:val="30"/>
        </w:rPr>
        <w:lastRenderedPageBreak/>
        <w:t>一個整體權證發行期間來觀察權證交易之獲利狀</w:t>
      </w:r>
      <w:r w:rsidRPr="007B5D03">
        <w:rPr>
          <w:rFonts w:hAnsi="標楷體"/>
          <w:sz w:val="30"/>
          <w:szCs w:val="30"/>
        </w:rPr>
        <w:t>況；另由法規範面觀察，權證發行必須有避險交易之配套措施，否則主管機關根本不准其發行。從而，不管由發行權證之經濟活動實質面向觀察，或由法規範強制面向觀察，權證發行所收取之權利金收入，與其相關必要之避險損失，實係互為條件，具有直接因果關係。故於</w:t>
      </w:r>
      <w:r w:rsidRPr="007B5D03">
        <w:rPr>
          <w:rFonts w:hAnsi="標楷體"/>
          <w:spacing w:val="4"/>
          <w:sz w:val="30"/>
          <w:szCs w:val="30"/>
        </w:rPr>
        <w:t>經濟實質上完全無法想像避險損失竟無法自權利金收</w:t>
      </w:r>
      <w:r w:rsidRPr="007B5D03">
        <w:rPr>
          <w:rFonts w:hAnsi="標楷體"/>
          <w:sz w:val="30"/>
          <w:szCs w:val="30"/>
        </w:rPr>
        <w:t>入項下抵扣之可能。</w:t>
      </w:r>
    </w:p>
    <w:p w:rsidR="00514426" w:rsidRPr="007B5D03" w:rsidRDefault="00514426" w:rsidP="0041513E">
      <w:pPr>
        <w:snapToGrid w:val="0"/>
        <w:spacing w:line="437" w:lineRule="exact"/>
        <w:ind w:left="1219" w:firstLine="340"/>
        <w:rPr>
          <w:sz w:val="30"/>
          <w:szCs w:val="30"/>
        </w:rPr>
      </w:pPr>
      <w:r w:rsidRPr="007B5D03">
        <w:rPr>
          <w:rFonts w:hAnsi="標楷體"/>
          <w:sz w:val="30"/>
          <w:szCs w:val="30"/>
        </w:rPr>
        <w:t>權證課稅爭議自民國</w:t>
      </w:r>
      <w:r w:rsidRPr="007B5D03">
        <w:rPr>
          <w:sz w:val="30"/>
          <w:szCs w:val="30"/>
        </w:rPr>
        <w:t>86</w:t>
      </w:r>
      <w:r w:rsidRPr="007B5D03">
        <w:rPr>
          <w:rFonts w:hAnsi="標楷體"/>
          <w:sz w:val="30"/>
          <w:szCs w:val="30"/>
        </w:rPr>
        <w:t>年權證此一金融商品在我國上市買賣後，因實質造成租稅不公，財稅實務界、業者及學界爭論不休，相關文獻亦汗牛充棟，財稅主管機關</w:t>
      </w:r>
      <w:r w:rsidRPr="007B5D03">
        <w:rPr>
          <w:rFonts w:hAnsi="標楷體"/>
          <w:spacing w:val="4"/>
          <w:sz w:val="30"/>
          <w:szCs w:val="30"/>
        </w:rPr>
        <w:t>雖知財政部</w:t>
      </w:r>
      <w:r w:rsidRPr="007B5D03">
        <w:rPr>
          <w:spacing w:val="4"/>
          <w:sz w:val="30"/>
          <w:szCs w:val="30"/>
        </w:rPr>
        <w:t>86</w:t>
      </w:r>
      <w:r w:rsidRPr="007B5D03">
        <w:rPr>
          <w:rFonts w:hAnsi="標楷體"/>
          <w:spacing w:val="4"/>
          <w:sz w:val="30"/>
          <w:szCs w:val="30"/>
        </w:rPr>
        <w:t>年函釋可能有錯誤課稅之情事，惟其未</w:t>
      </w:r>
      <w:r w:rsidRPr="007B5D03">
        <w:rPr>
          <w:rFonts w:hAnsi="標楷體"/>
          <w:sz w:val="30"/>
          <w:szCs w:val="30"/>
        </w:rPr>
        <w:t>能勇於任事，僅同意以修法且不溯及既往之方式解決權證案件爭議，修法之前之爭議案件則推諉予司法機關，</w:t>
      </w:r>
      <w:r w:rsidRPr="007B5D03">
        <w:rPr>
          <w:rFonts w:hAnsi="標楷體"/>
          <w:spacing w:val="4"/>
          <w:sz w:val="30"/>
          <w:szCs w:val="30"/>
        </w:rPr>
        <w:t>原本權證案件於臺北高等行政法院獲得為數甚多之實</w:t>
      </w:r>
      <w:r w:rsidRPr="007B5D03">
        <w:rPr>
          <w:rFonts w:hAnsi="標楷體"/>
          <w:sz w:val="30"/>
          <w:szCs w:val="30"/>
        </w:rPr>
        <w:t>體上有利納稅義務人之判決，豈料經稽徵機關上訴至最高行政法院後，目前已獲確定判決之案件均逆轉為納稅</w:t>
      </w:r>
      <w:r w:rsidRPr="007B5D03">
        <w:rPr>
          <w:rFonts w:hAnsi="標楷體"/>
          <w:spacing w:val="4"/>
          <w:sz w:val="30"/>
          <w:szCs w:val="30"/>
        </w:rPr>
        <w:t>義務人敗訴（附件</w:t>
      </w:r>
      <w:r w:rsidRPr="007B5D03">
        <w:rPr>
          <w:spacing w:val="4"/>
          <w:sz w:val="30"/>
          <w:szCs w:val="30"/>
        </w:rPr>
        <w:t>8</w:t>
      </w:r>
      <w:r w:rsidRPr="007B5D03">
        <w:rPr>
          <w:rFonts w:hAnsi="標楷體"/>
          <w:spacing w:val="4"/>
          <w:sz w:val="30"/>
          <w:szCs w:val="30"/>
        </w:rPr>
        <w:t>，截至聲請日行政法院權證交易相</w:t>
      </w:r>
      <w:r w:rsidRPr="007B5D03">
        <w:rPr>
          <w:rFonts w:hAnsi="標楷體"/>
          <w:sz w:val="30"/>
          <w:szCs w:val="30"/>
        </w:rPr>
        <w:t>關判決一覽），此種會產生上下審級法院判決歧異之有重大爭議案件，實有賴　鈞院以憲法解釋之角度，對於</w:t>
      </w:r>
      <w:r w:rsidRPr="007B5D03">
        <w:rPr>
          <w:rFonts w:hAnsi="標楷體"/>
          <w:spacing w:val="4"/>
          <w:sz w:val="30"/>
          <w:szCs w:val="30"/>
        </w:rPr>
        <w:t>確定判決所援用之財政部</w:t>
      </w:r>
      <w:r w:rsidRPr="007B5D03">
        <w:rPr>
          <w:spacing w:val="4"/>
          <w:sz w:val="30"/>
          <w:szCs w:val="30"/>
        </w:rPr>
        <w:t>86</w:t>
      </w:r>
      <w:r w:rsidRPr="007B5D03">
        <w:rPr>
          <w:rFonts w:hAnsi="標楷體"/>
          <w:spacing w:val="4"/>
          <w:sz w:val="30"/>
          <w:szCs w:val="30"/>
        </w:rPr>
        <w:t>年函釋進行解釋。本案聲請人</w:t>
      </w:r>
      <w:r w:rsidRPr="007B5D03">
        <w:rPr>
          <w:spacing w:val="4"/>
          <w:sz w:val="30"/>
          <w:szCs w:val="30"/>
        </w:rPr>
        <w:t>91</w:t>
      </w:r>
      <w:r w:rsidRPr="007B5D03">
        <w:rPr>
          <w:rFonts w:hAnsi="標楷體"/>
          <w:spacing w:val="4"/>
          <w:sz w:val="30"/>
          <w:szCs w:val="30"/>
        </w:rPr>
        <w:t>年營利事業所得稅核定事件，經臺北高等行政</w:t>
      </w:r>
      <w:r w:rsidRPr="007B5D03">
        <w:rPr>
          <w:rFonts w:hAnsi="標楷體"/>
          <w:spacing w:val="10"/>
          <w:sz w:val="30"/>
          <w:szCs w:val="30"/>
        </w:rPr>
        <w:t>法院確定判決逕依財政部</w:t>
      </w:r>
      <w:r w:rsidRPr="007B5D03">
        <w:rPr>
          <w:spacing w:val="10"/>
          <w:sz w:val="30"/>
          <w:szCs w:val="30"/>
        </w:rPr>
        <w:t>86</w:t>
      </w:r>
      <w:r w:rsidRPr="007B5D03">
        <w:rPr>
          <w:rFonts w:hAnsi="標楷體"/>
          <w:spacing w:val="10"/>
          <w:sz w:val="30"/>
          <w:szCs w:val="30"/>
        </w:rPr>
        <w:t>年函釋駁回聲請</w:t>
      </w:r>
      <w:r w:rsidRPr="007B5D03">
        <w:rPr>
          <w:rFonts w:hAnsi="標楷體" w:hint="eastAsia"/>
          <w:spacing w:val="10"/>
          <w:sz w:val="30"/>
          <w:szCs w:val="30"/>
        </w:rPr>
        <w:t>人</w:t>
      </w:r>
      <w:r w:rsidRPr="007B5D03">
        <w:rPr>
          <w:rFonts w:hAnsi="標楷體"/>
          <w:spacing w:val="10"/>
          <w:sz w:val="30"/>
          <w:szCs w:val="30"/>
        </w:rPr>
        <w:t>之起</w:t>
      </w:r>
      <w:r w:rsidRPr="007B5D03">
        <w:rPr>
          <w:rFonts w:hAnsi="標楷體"/>
          <w:sz w:val="30"/>
          <w:szCs w:val="30"/>
        </w:rPr>
        <w:t>訴，最高行政法院確定判決則維持臺北高等行政法院</w:t>
      </w:r>
      <w:r w:rsidRPr="007B5D03">
        <w:rPr>
          <w:rFonts w:hAnsi="標楷體" w:hint="eastAsia"/>
          <w:sz w:val="30"/>
          <w:szCs w:val="30"/>
        </w:rPr>
        <w:t>確定</w:t>
      </w:r>
      <w:r w:rsidRPr="007B5D03">
        <w:rPr>
          <w:rFonts w:hAnsi="標楷體"/>
          <w:sz w:val="30"/>
          <w:szCs w:val="30"/>
        </w:rPr>
        <w:t>判決。</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（二）財政部</w:t>
      </w:r>
      <w:r w:rsidRPr="007B5D03">
        <w:rPr>
          <w:sz w:val="30"/>
          <w:szCs w:val="30"/>
        </w:rPr>
        <w:t>86</w:t>
      </w:r>
      <w:r w:rsidRPr="007B5D03">
        <w:rPr>
          <w:rFonts w:hAnsi="標楷體"/>
          <w:sz w:val="30"/>
          <w:szCs w:val="30"/>
        </w:rPr>
        <w:t>年函釋之解釋內容涉有下列數點違憲疑義：</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1.</w:t>
      </w:r>
      <w:r w:rsidRPr="007B5D03">
        <w:rPr>
          <w:rFonts w:hAnsi="標楷體"/>
          <w:sz w:val="30"/>
          <w:szCs w:val="30"/>
        </w:rPr>
        <w:t>財政部</w:t>
      </w:r>
      <w:r w:rsidRPr="007B5D03">
        <w:rPr>
          <w:sz w:val="30"/>
          <w:szCs w:val="30"/>
        </w:rPr>
        <w:t>86</w:t>
      </w:r>
      <w:r w:rsidRPr="007B5D03">
        <w:rPr>
          <w:rFonts w:hAnsi="標楷體"/>
          <w:sz w:val="30"/>
          <w:szCs w:val="30"/>
        </w:rPr>
        <w:t>年函釋有無違反上位階之法律或法規命</w:t>
      </w:r>
      <w:r w:rsidRPr="007B5D03">
        <w:rPr>
          <w:rFonts w:hAnsi="標楷體"/>
          <w:sz w:val="30"/>
          <w:szCs w:val="30"/>
        </w:rPr>
        <w:lastRenderedPageBreak/>
        <w:t>令？亦即從租稅法律主義及法律保留原則角度觀察，財政部</w:t>
      </w:r>
      <w:r w:rsidRPr="007B5D03">
        <w:rPr>
          <w:sz w:val="30"/>
          <w:szCs w:val="30"/>
        </w:rPr>
        <w:t>86</w:t>
      </w:r>
      <w:r w:rsidRPr="007B5D03">
        <w:rPr>
          <w:rFonts w:hAnsi="標楷體"/>
          <w:sz w:val="30"/>
          <w:szCs w:val="30"/>
        </w:rPr>
        <w:t>年函釋係依所得稅法第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所為之合法解釋，抑或違反行為時所得稅法第</w:t>
      </w:r>
      <w:r w:rsidRPr="007B5D03">
        <w:rPr>
          <w:sz w:val="30"/>
          <w:szCs w:val="30"/>
        </w:rPr>
        <w:t>24</w:t>
      </w:r>
      <w:r w:rsidRPr="007B5D03">
        <w:rPr>
          <w:rFonts w:hAnsi="標楷體"/>
          <w:sz w:val="30"/>
          <w:szCs w:val="30"/>
        </w:rPr>
        <w:t>條及其施行細則第</w:t>
      </w:r>
      <w:r w:rsidRPr="007B5D03">
        <w:rPr>
          <w:sz w:val="30"/>
          <w:szCs w:val="30"/>
        </w:rPr>
        <w:t>31</w:t>
      </w:r>
      <w:r w:rsidRPr="007B5D03">
        <w:rPr>
          <w:rFonts w:hAnsi="標楷體"/>
          <w:sz w:val="30"/>
          <w:szCs w:val="30"/>
        </w:rPr>
        <w:t>條之違法解釋？又所得稅法第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之規定範圍是否有如最高行政法院所理解地那麼廣，並且構成行為時所得稅法第</w:t>
      </w:r>
      <w:r w:rsidRPr="007B5D03">
        <w:rPr>
          <w:sz w:val="30"/>
          <w:szCs w:val="30"/>
        </w:rPr>
        <w:t>24</w:t>
      </w:r>
      <w:r w:rsidRPr="007B5D03">
        <w:rPr>
          <w:rFonts w:hAnsi="標楷體"/>
          <w:sz w:val="30"/>
          <w:szCs w:val="30"/>
        </w:rPr>
        <w:t>條之特別規定；抑或應理解所得稅法第</w:t>
      </w:r>
      <w:r w:rsidRPr="007B5D03">
        <w:rPr>
          <w:sz w:val="30"/>
          <w:szCs w:val="30"/>
        </w:rPr>
        <w:t>24</w:t>
      </w:r>
      <w:r w:rsidRPr="007B5D03">
        <w:rPr>
          <w:rFonts w:hAnsi="標楷體"/>
          <w:sz w:val="30"/>
          <w:szCs w:val="30"/>
        </w:rPr>
        <w:t>條為所得稅法第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之特別規定？何種論點始與　鈞院釋字</w:t>
      </w:r>
      <w:r w:rsidRPr="007B5D03">
        <w:rPr>
          <w:rFonts w:hAnsi="標楷體"/>
          <w:spacing w:val="-4"/>
          <w:sz w:val="30"/>
          <w:szCs w:val="30"/>
        </w:rPr>
        <w:t>第</w:t>
      </w:r>
      <w:r w:rsidRPr="007B5D03">
        <w:rPr>
          <w:spacing w:val="-4"/>
          <w:sz w:val="30"/>
          <w:szCs w:val="30"/>
        </w:rPr>
        <w:t>493</w:t>
      </w:r>
      <w:r w:rsidRPr="007B5D03">
        <w:rPr>
          <w:rFonts w:hAnsi="標楷體"/>
          <w:spacing w:val="-4"/>
          <w:sz w:val="30"/>
          <w:szCs w:val="30"/>
        </w:rPr>
        <w:t>號解釋意旨相符？自所得稅法第</w:t>
      </w:r>
      <w:r w:rsidRPr="007B5D03">
        <w:rPr>
          <w:spacing w:val="-4"/>
          <w:sz w:val="30"/>
          <w:szCs w:val="30"/>
        </w:rPr>
        <w:t>4</w:t>
      </w:r>
      <w:r w:rsidRPr="007B5D03">
        <w:rPr>
          <w:rFonts w:hAnsi="標楷體"/>
          <w:spacing w:val="-4"/>
          <w:sz w:val="30"/>
          <w:szCs w:val="30"/>
        </w:rPr>
        <w:t>條之</w:t>
      </w:r>
      <w:r w:rsidRPr="007B5D03">
        <w:rPr>
          <w:spacing w:val="-4"/>
          <w:sz w:val="30"/>
          <w:szCs w:val="30"/>
        </w:rPr>
        <w:t>1</w:t>
      </w:r>
      <w:r w:rsidRPr="007B5D03">
        <w:rPr>
          <w:rFonts w:hAnsi="標楷體"/>
          <w:spacing w:val="-4"/>
          <w:sz w:val="30"/>
          <w:szCs w:val="30"/>
        </w:rPr>
        <w:t>之</w:t>
      </w:r>
      <w:r w:rsidRPr="007B5D03">
        <w:rPr>
          <w:rFonts w:hAnsi="標楷體"/>
          <w:sz w:val="30"/>
          <w:szCs w:val="30"/>
        </w:rPr>
        <w:t>客觀解釋，是否可得出立法者採取財政部</w:t>
      </w:r>
      <w:r w:rsidRPr="007B5D03">
        <w:rPr>
          <w:sz w:val="30"/>
          <w:szCs w:val="30"/>
        </w:rPr>
        <w:t>86</w:t>
      </w:r>
      <w:r w:rsidRPr="007B5D03">
        <w:rPr>
          <w:rFonts w:hAnsi="標楷體"/>
          <w:sz w:val="30"/>
          <w:szCs w:val="30"/>
        </w:rPr>
        <w:t>年函釋之見解？</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2.</w:t>
      </w:r>
      <w:r w:rsidRPr="007B5D03">
        <w:rPr>
          <w:rFonts w:hAnsi="標楷體"/>
          <w:sz w:val="30"/>
          <w:szCs w:val="30"/>
        </w:rPr>
        <w:t>從實質課稅原則之角度觀察避險交易是否屬於整體權證交易之一部分？亦即在法律上應以一個法律事實（行為）看待或以數個法律行為看待？財稅稽徵機關是否有適用實質課稅原則之義務？如財政部</w:t>
      </w:r>
      <w:r w:rsidRPr="007B5D03">
        <w:rPr>
          <w:sz w:val="30"/>
          <w:szCs w:val="30"/>
        </w:rPr>
        <w:t>86</w:t>
      </w:r>
      <w:r w:rsidRPr="007B5D03">
        <w:rPr>
          <w:rFonts w:hAnsi="標楷體"/>
          <w:sz w:val="30"/>
          <w:szCs w:val="30"/>
        </w:rPr>
        <w:t>年函釋未適用實質課稅原則時，得否以其解釋所得稅法第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之理由來脫免違憲情狀？</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3.</w:t>
      </w:r>
      <w:r w:rsidRPr="007B5D03">
        <w:rPr>
          <w:rFonts w:hAnsi="標楷體"/>
          <w:sz w:val="30"/>
          <w:szCs w:val="30"/>
        </w:rPr>
        <w:t>從量能課稅原則而論：</w:t>
      </w:r>
    </w:p>
    <w:p w:rsidR="00514426" w:rsidRPr="007B5D03" w:rsidRDefault="00514426" w:rsidP="00BC6092">
      <w:pPr>
        <w:snapToGrid w:val="0"/>
        <w:spacing w:line="437" w:lineRule="exact"/>
        <w:ind w:leftChars="700" w:left="2305" w:hangingChars="115" w:hanging="345"/>
        <w:rPr>
          <w:sz w:val="30"/>
          <w:szCs w:val="30"/>
        </w:rPr>
      </w:pPr>
      <w:r w:rsidRPr="007B5D03">
        <w:rPr>
          <w:rFonts w:hAnsi="標楷體" w:hint="eastAsia"/>
          <w:sz w:val="30"/>
          <w:szCs w:val="30"/>
        </w:rPr>
        <w:t>(</w:t>
      </w:r>
      <w:r w:rsidRPr="007B5D03">
        <w:rPr>
          <w:rFonts w:hint="eastAsia"/>
          <w:sz w:val="30"/>
          <w:szCs w:val="30"/>
        </w:rPr>
        <w:t>1</w:t>
      </w:r>
      <w:r w:rsidRPr="007B5D03">
        <w:rPr>
          <w:rFonts w:hAnsi="標楷體" w:hint="eastAsia"/>
          <w:sz w:val="30"/>
          <w:szCs w:val="30"/>
        </w:rPr>
        <w:t>)</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年函釋是否構成量能課稅原則之違</w:t>
      </w:r>
      <w:r w:rsidRPr="007B5D03">
        <w:rPr>
          <w:rFonts w:hAnsi="標楷體"/>
          <w:sz w:val="30"/>
          <w:szCs w:val="30"/>
        </w:rPr>
        <w:t>反？立法者是否在所得稅法第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明確表達權證之避險損失成本費用認列加以限制？</w:t>
      </w:r>
    </w:p>
    <w:p w:rsidR="00514426" w:rsidRPr="007B5D03" w:rsidRDefault="00514426" w:rsidP="00BC6092">
      <w:pPr>
        <w:snapToGrid w:val="0"/>
        <w:spacing w:line="437" w:lineRule="exact"/>
        <w:ind w:leftChars="700" w:left="2305" w:hangingChars="115" w:hanging="345"/>
        <w:rPr>
          <w:sz w:val="30"/>
          <w:szCs w:val="30"/>
        </w:rPr>
      </w:pPr>
      <w:r w:rsidRPr="007B5D03">
        <w:rPr>
          <w:rFonts w:hAnsi="標楷體" w:hint="eastAsia"/>
          <w:sz w:val="30"/>
          <w:szCs w:val="30"/>
        </w:rPr>
        <w:t>(</w:t>
      </w:r>
      <w:r w:rsidRPr="007B5D03">
        <w:rPr>
          <w:sz w:val="30"/>
          <w:szCs w:val="30"/>
        </w:rPr>
        <w:t>2</w:t>
      </w:r>
      <w:r w:rsidRPr="007B5D03">
        <w:rPr>
          <w:rFonts w:hAnsi="標楷體" w:hint="eastAsia"/>
          <w:sz w:val="30"/>
          <w:szCs w:val="30"/>
        </w:rPr>
        <w:t>)</w:t>
      </w:r>
      <w:r w:rsidRPr="007B5D03">
        <w:rPr>
          <w:rFonts w:hAnsi="標楷體"/>
          <w:spacing w:val="-4"/>
          <w:sz w:val="30"/>
          <w:szCs w:val="30"/>
        </w:rPr>
        <w:t>如在欠缺立法者</w:t>
      </w:r>
      <w:r w:rsidRPr="007B5D03">
        <w:rPr>
          <w:spacing w:val="-4"/>
          <w:sz w:val="30"/>
          <w:szCs w:val="30"/>
        </w:rPr>
        <w:t>明確</w:t>
      </w:r>
      <w:r w:rsidRPr="007B5D03">
        <w:rPr>
          <w:rFonts w:hAnsi="標楷體"/>
          <w:spacing w:val="-4"/>
          <w:sz w:val="30"/>
          <w:szCs w:val="30"/>
        </w:rPr>
        <w:t>規範意思之情況下，財政部</w:t>
      </w:r>
      <w:r w:rsidRPr="007B5D03">
        <w:rPr>
          <w:sz w:val="30"/>
          <w:szCs w:val="30"/>
        </w:rPr>
        <w:t>86</w:t>
      </w:r>
      <w:r w:rsidRPr="007B5D03">
        <w:rPr>
          <w:rFonts w:hAnsi="標楷體"/>
          <w:sz w:val="30"/>
          <w:szCs w:val="30"/>
        </w:rPr>
        <w:t>年函釋是否為貫徹立法者在所得稅法第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形成之量能課稅原則之例外？財政部</w:t>
      </w:r>
      <w:r w:rsidRPr="007B5D03">
        <w:rPr>
          <w:sz w:val="30"/>
          <w:szCs w:val="30"/>
        </w:rPr>
        <w:t>86</w:t>
      </w:r>
      <w:r w:rsidRPr="007B5D03">
        <w:rPr>
          <w:rFonts w:hAnsi="標楷體"/>
          <w:sz w:val="30"/>
          <w:szCs w:val="30"/>
        </w:rPr>
        <w:t>年函釋對於違反量能課稅原則之形成空間為何？</w:t>
      </w:r>
      <w:r w:rsidRPr="007B5D03">
        <w:rPr>
          <w:rFonts w:hAnsi="標楷體"/>
          <w:spacing w:val="6"/>
          <w:sz w:val="30"/>
          <w:szCs w:val="30"/>
        </w:rPr>
        <w:lastRenderedPageBreak/>
        <w:t>有無可支持之理由可支持其違反量能課稅原</w:t>
      </w:r>
      <w:r w:rsidRPr="007B5D03">
        <w:rPr>
          <w:rFonts w:hAnsi="標楷體"/>
          <w:sz w:val="30"/>
          <w:szCs w:val="30"/>
        </w:rPr>
        <w:t>則？</w:t>
      </w:r>
    </w:p>
    <w:p w:rsidR="00514426" w:rsidRPr="007B5D03" w:rsidRDefault="00514426" w:rsidP="00BC6092">
      <w:pPr>
        <w:snapToGrid w:val="0"/>
        <w:spacing w:line="437" w:lineRule="exact"/>
        <w:ind w:leftChars="700" w:left="2305" w:hangingChars="115" w:hanging="345"/>
        <w:rPr>
          <w:sz w:val="30"/>
          <w:szCs w:val="30"/>
        </w:rPr>
      </w:pPr>
      <w:r w:rsidRPr="007B5D03">
        <w:rPr>
          <w:rFonts w:hAnsi="標楷體" w:hint="eastAsia"/>
          <w:sz w:val="30"/>
          <w:szCs w:val="30"/>
        </w:rPr>
        <w:t>(</w:t>
      </w:r>
      <w:r w:rsidRPr="007B5D03">
        <w:rPr>
          <w:sz w:val="30"/>
          <w:szCs w:val="30"/>
        </w:rPr>
        <w:t>3</w:t>
      </w:r>
      <w:r w:rsidRPr="007B5D03">
        <w:rPr>
          <w:rFonts w:hAnsi="標楷體" w:hint="eastAsia"/>
          <w:sz w:val="30"/>
          <w:szCs w:val="30"/>
        </w:rPr>
        <w:t>)</w:t>
      </w:r>
      <w:r w:rsidRPr="007B5D03">
        <w:rPr>
          <w:rFonts w:hAnsi="標楷體"/>
          <w:sz w:val="30"/>
          <w:szCs w:val="30"/>
        </w:rPr>
        <w:t>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規範意旨真屬限制權證避</w:t>
      </w:r>
      <w:r w:rsidRPr="007B5D03">
        <w:rPr>
          <w:rFonts w:hAnsi="標楷體"/>
          <w:spacing w:val="-4"/>
          <w:sz w:val="30"/>
          <w:szCs w:val="30"/>
        </w:rPr>
        <w:t>險成本之認列，有無任何支持其違反量能課稅原</w:t>
      </w:r>
      <w:r w:rsidRPr="007B5D03">
        <w:rPr>
          <w:rFonts w:hAnsi="標楷體"/>
          <w:sz w:val="30"/>
          <w:szCs w:val="30"/>
        </w:rPr>
        <w:t>則之理由？對於租稅法律內容之違憲審查標準為何？</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4.</w:t>
      </w:r>
      <w:r w:rsidRPr="007B5D03">
        <w:rPr>
          <w:rFonts w:hAnsi="標楷體"/>
          <w:sz w:val="30"/>
          <w:szCs w:val="30"/>
        </w:rPr>
        <w:t>依平等原則以言：</w:t>
      </w:r>
    </w:p>
    <w:p w:rsidR="00514426" w:rsidRPr="007B5D03" w:rsidRDefault="00514426" w:rsidP="00BC6092">
      <w:pPr>
        <w:snapToGrid w:val="0"/>
        <w:spacing w:line="437" w:lineRule="exact"/>
        <w:ind w:leftChars="700" w:left="2305" w:hangingChars="115" w:hanging="345"/>
        <w:rPr>
          <w:sz w:val="30"/>
          <w:szCs w:val="30"/>
        </w:rPr>
      </w:pPr>
      <w:r w:rsidRPr="007B5D03">
        <w:rPr>
          <w:rFonts w:hAnsi="標楷體" w:hint="eastAsia"/>
          <w:sz w:val="30"/>
          <w:szCs w:val="30"/>
        </w:rPr>
        <w:t>(</w:t>
      </w:r>
      <w:r w:rsidRPr="007B5D03">
        <w:rPr>
          <w:sz w:val="30"/>
          <w:szCs w:val="30"/>
        </w:rPr>
        <w:t>1</w:t>
      </w:r>
      <w:r w:rsidRPr="007B5D03">
        <w:rPr>
          <w:rFonts w:hAnsi="標楷體" w:hint="eastAsia"/>
          <w:sz w:val="30"/>
          <w:szCs w:val="30"/>
        </w:rPr>
        <w:t>)</w:t>
      </w:r>
      <w:r w:rsidRPr="007B5D03">
        <w:rPr>
          <w:rFonts w:hAnsi="標楷體"/>
          <w:sz w:val="30"/>
          <w:szCs w:val="30"/>
        </w:rPr>
        <w:t>本件是否因租稅侵害人民權利甚鉅而應適用較高標準之違憲審查基準？本件是否有應尊重政</w:t>
      </w:r>
      <w:r w:rsidRPr="007B5D03">
        <w:rPr>
          <w:rFonts w:hAnsi="標楷體"/>
          <w:spacing w:val="6"/>
          <w:sz w:val="30"/>
          <w:szCs w:val="30"/>
        </w:rPr>
        <w:t>治部門之裁量而予採取寬鬆審查標準之可能</w:t>
      </w:r>
      <w:r w:rsidRPr="007B5D03">
        <w:rPr>
          <w:rFonts w:hAnsi="標楷體"/>
          <w:spacing w:val="-4"/>
          <w:sz w:val="30"/>
          <w:szCs w:val="30"/>
        </w:rPr>
        <w:t>性？租稅法規之違憲審查標準，是否應與經濟及</w:t>
      </w:r>
      <w:r w:rsidRPr="007B5D03">
        <w:rPr>
          <w:rFonts w:hAnsi="標楷體"/>
          <w:sz w:val="30"/>
          <w:szCs w:val="30"/>
        </w:rPr>
        <w:t>社會權利之立法同視？</w:t>
      </w:r>
    </w:p>
    <w:p w:rsidR="00514426" w:rsidRPr="007B5D03" w:rsidRDefault="00514426" w:rsidP="00BC6092">
      <w:pPr>
        <w:snapToGrid w:val="0"/>
        <w:spacing w:line="437" w:lineRule="exact"/>
        <w:ind w:leftChars="700" w:left="2305" w:hangingChars="115" w:hanging="345"/>
        <w:rPr>
          <w:sz w:val="30"/>
          <w:szCs w:val="30"/>
        </w:rPr>
      </w:pPr>
      <w:r w:rsidRPr="007B5D03">
        <w:rPr>
          <w:rFonts w:hAnsi="標楷體" w:hint="eastAsia"/>
          <w:sz w:val="30"/>
          <w:szCs w:val="30"/>
        </w:rPr>
        <w:t>(</w:t>
      </w:r>
      <w:r w:rsidRPr="007B5D03">
        <w:rPr>
          <w:sz w:val="30"/>
          <w:szCs w:val="30"/>
        </w:rPr>
        <w:t>2</w:t>
      </w:r>
      <w:r w:rsidRPr="007B5D03">
        <w:rPr>
          <w:rFonts w:hAnsi="標楷體" w:hint="eastAsia"/>
          <w:sz w:val="30"/>
          <w:szCs w:val="30"/>
        </w:rPr>
        <w:t>)</w:t>
      </w:r>
      <w:r w:rsidRPr="007B5D03">
        <w:rPr>
          <w:rFonts w:hAnsi="標楷體"/>
          <w:sz w:val="30"/>
          <w:szCs w:val="30"/>
        </w:rPr>
        <w:t>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的適用上，立法者在制定所得稅法第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時有無預見權證交易所生之課稅爭議，是否屬於「法律漏洞」？如有法律漏洞是否應有相對應之法律補充方法？是否可將立法者對所得稅法第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之意旨理解為進行財稅差異之依據？財政部</w:t>
      </w:r>
      <w:r w:rsidRPr="007B5D03">
        <w:rPr>
          <w:sz w:val="30"/>
          <w:szCs w:val="30"/>
        </w:rPr>
        <w:t>86</w:t>
      </w:r>
      <w:r w:rsidRPr="007B5D03">
        <w:rPr>
          <w:rFonts w:hAnsi="標楷體"/>
          <w:sz w:val="30"/>
          <w:szCs w:val="30"/>
        </w:rPr>
        <w:t>年函釋有何實質追求平等之理由？如何合憲地形成差別待遇？對於新所得稅法第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之立法過程，是否未能有空間適用於修法前案件？</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5.</w:t>
      </w:r>
      <w:r w:rsidRPr="007B5D03">
        <w:rPr>
          <w:rFonts w:hAnsi="標楷體"/>
          <w:spacing w:val="-4"/>
          <w:sz w:val="30"/>
          <w:szCs w:val="30"/>
        </w:rPr>
        <w:t>比例原則部分：財政部</w:t>
      </w:r>
      <w:r w:rsidRPr="007B5D03">
        <w:rPr>
          <w:spacing w:val="-4"/>
          <w:sz w:val="30"/>
          <w:szCs w:val="30"/>
        </w:rPr>
        <w:t>86</w:t>
      </w:r>
      <w:r w:rsidRPr="007B5D03">
        <w:rPr>
          <w:rFonts w:hAnsi="標楷體"/>
          <w:spacing w:val="-4"/>
          <w:sz w:val="30"/>
          <w:szCs w:val="30"/>
        </w:rPr>
        <w:t>年函釋之規範目的何在？</w:t>
      </w:r>
      <w:r w:rsidRPr="007B5D03">
        <w:rPr>
          <w:rFonts w:hAnsi="標楷體"/>
          <w:spacing w:val="6"/>
          <w:sz w:val="30"/>
          <w:szCs w:val="30"/>
        </w:rPr>
        <w:t>公益理由為何？其對於人民權利構成如何之侵</w:t>
      </w:r>
      <w:r w:rsidRPr="007B5D03">
        <w:rPr>
          <w:rFonts w:hAnsi="標楷體"/>
          <w:sz w:val="30"/>
          <w:szCs w:val="30"/>
        </w:rPr>
        <w:t>害？有無其他副作用之產生？應如何以違憲審查基準加以審查。</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三、</w:t>
      </w:r>
      <w:r w:rsidRPr="007B5D03">
        <w:rPr>
          <w:sz w:val="30"/>
          <w:szCs w:val="30"/>
        </w:rPr>
        <w:t>62</w:t>
      </w:r>
      <w:r w:rsidRPr="007B5D03">
        <w:rPr>
          <w:rFonts w:hAnsi="標楷體"/>
          <w:sz w:val="30"/>
          <w:szCs w:val="30"/>
        </w:rPr>
        <w:t>年判例（爭點主義）部分</w:t>
      </w:r>
    </w:p>
    <w:p w:rsidR="00514426" w:rsidRPr="007B5D03" w:rsidRDefault="00514426" w:rsidP="00FB2D5A">
      <w:pPr>
        <w:snapToGrid w:val="0"/>
        <w:spacing w:line="437" w:lineRule="exact"/>
        <w:ind w:leftChars="300" w:left="840" w:firstLineChars="100" w:firstLine="300"/>
        <w:rPr>
          <w:sz w:val="30"/>
          <w:szCs w:val="30"/>
        </w:rPr>
      </w:pPr>
      <w:r w:rsidRPr="007B5D03">
        <w:rPr>
          <w:rFonts w:hAnsi="標楷體"/>
          <w:sz w:val="30"/>
          <w:szCs w:val="30"/>
        </w:rPr>
        <w:lastRenderedPageBreak/>
        <w:t>按</w:t>
      </w:r>
      <w:r w:rsidRPr="007B5D03">
        <w:rPr>
          <w:sz w:val="30"/>
          <w:szCs w:val="30"/>
        </w:rPr>
        <w:t>62</w:t>
      </w:r>
      <w:r w:rsidRPr="007B5D03">
        <w:rPr>
          <w:rFonts w:hAnsi="標楷體"/>
          <w:sz w:val="30"/>
          <w:szCs w:val="30"/>
        </w:rPr>
        <w:t>年判例略以：「按行為時適用之所得稅法第八十二條第一項及第三項規定，納稅義務人對於稽徵機關調查核定之應納稅額，應依規定程序於法定期限內申請復查，對於復查決定稅額仍有不服時，始得依法提起訴願及行政訴訟。是為提起訴願以前必先踐行之特定程序，若不經過復查而逕為行政爭訟，即非法之所許。本件原告五十六年度營利事業所得稅為結算申報經被告官署調查核定後，僅以原料耗用部分申請復查，對於折舊部分並無異議之事實，為原告所不否認，是其以未經過復查決定之事由而逕將原料耗用部分與添列之折舊部分，一併提起訴願，自非法之所許。訴願決定就折舊部分不予受理，再訴願決定仍予維</w:t>
      </w:r>
      <w:r w:rsidRPr="007B5D03">
        <w:rPr>
          <w:rFonts w:hAnsi="標楷體"/>
          <w:spacing w:val="4"/>
          <w:sz w:val="30"/>
          <w:szCs w:val="30"/>
        </w:rPr>
        <w:t>持，俱屬正當。原告遽行提起本件訴訟，難謂有理。」在</w:t>
      </w:r>
      <w:r w:rsidRPr="007B5D03">
        <w:rPr>
          <w:rFonts w:hAnsi="標楷體"/>
          <w:sz w:val="30"/>
          <w:szCs w:val="30"/>
        </w:rPr>
        <w:t>實務上既將課稅處分每個課稅基礎或甚至科目作為可分處分之基礎，本件最高行政法院確定判決所適用之爭點主義係實質援用</w:t>
      </w:r>
      <w:r w:rsidRPr="007B5D03">
        <w:rPr>
          <w:sz w:val="30"/>
          <w:szCs w:val="30"/>
        </w:rPr>
        <w:t>62</w:t>
      </w:r>
      <w:r w:rsidRPr="007B5D03">
        <w:rPr>
          <w:rFonts w:hAnsi="標楷體"/>
          <w:sz w:val="30"/>
          <w:szCs w:val="30"/>
        </w:rPr>
        <w:t>年判例，似在營利事業所得稅上以核定通知書上每一個科目分別作為一個訴訟標的，在實體法上亦尋無課稅處分可分性之依據，在無法律或明確授權之法規命令規定下嚴重侵害人民之訴訟權，不准於行政救濟程序中針對原處分所得稅核定對象</w:t>
      </w:r>
      <w:r w:rsidRPr="007B5D03">
        <w:rPr>
          <w:rFonts w:hint="eastAsia"/>
          <w:sz w:val="30"/>
          <w:szCs w:val="30"/>
        </w:rPr>
        <w:t>──</w:t>
      </w:r>
      <w:r w:rsidRPr="007B5D03">
        <w:rPr>
          <w:rFonts w:hAnsi="標楷體"/>
          <w:sz w:val="30"/>
          <w:szCs w:val="30"/>
        </w:rPr>
        <w:t>課稅處分（即核定通知書）加以合目的性之審理變更追加審理之科目，並無任何正當目的，有違憲法第</w:t>
      </w:r>
      <w:r w:rsidRPr="007B5D03">
        <w:rPr>
          <w:sz w:val="30"/>
          <w:szCs w:val="30"/>
        </w:rPr>
        <w:t>16</w:t>
      </w:r>
      <w:r w:rsidRPr="007B5D03">
        <w:rPr>
          <w:rFonts w:hAnsi="標楷體"/>
          <w:sz w:val="30"/>
          <w:szCs w:val="30"/>
        </w:rPr>
        <w:t>條及第</w:t>
      </w:r>
      <w:r w:rsidRPr="007B5D03">
        <w:rPr>
          <w:sz w:val="30"/>
          <w:szCs w:val="30"/>
        </w:rPr>
        <w:t>23</w:t>
      </w:r>
      <w:r w:rsidRPr="007B5D03">
        <w:rPr>
          <w:rFonts w:hAnsi="標楷體"/>
          <w:sz w:val="30"/>
          <w:szCs w:val="30"/>
        </w:rPr>
        <w:t>條。</w:t>
      </w:r>
    </w:p>
    <w:p w:rsidR="00514426" w:rsidRPr="007B5D03" w:rsidRDefault="00514426" w:rsidP="00FB2D5A">
      <w:pPr>
        <w:snapToGrid w:val="0"/>
        <w:spacing w:line="437" w:lineRule="exact"/>
        <w:ind w:left="680" w:hanging="680"/>
        <w:rPr>
          <w:spacing w:val="-6"/>
          <w:sz w:val="30"/>
          <w:szCs w:val="30"/>
        </w:rPr>
      </w:pPr>
      <w:r w:rsidRPr="007B5D03">
        <w:rPr>
          <w:rFonts w:hAnsi="標楷體"/>
          <w:spacing w:val="-6"/>
          <w:sz w:val="30"/>
          <w:szCs w:val="30"/>
        </w:rPr>
        <w:t>叁、聲請解釋憲法之理由及聲請人對本案所持之立場與見解</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一、聲請解釋憲法之理由</w:t>
      </w:r>
    </w:p>
    <w:p w:rsidR="00514426" w:rsidRPr="007B5D03" w:rsidRDefault="00514426" w:rsidP="00FB2D5A">
      <w:pPr>
        <w:snapToGrid w:val="0"/>
        <w:spacing w:line="437" w:lineRule="exact"/>
        <w:ind w:leftChars="300" w:left="840" w:firstLineChars="100" w:firstLine="300"/>
        <w:rPr>
          <w:sz w:val="30"/>
          <w:szCs w:val="30"/>
        </w:rPr>
      </w:pPr>
      <w:r w:rsidRPr="007B5D03">
        <w:rPr>
          <w:rFonts w:hAnsi="標楷體"/>
          <w:sz w:val="30"/>
          <w:szCs w:val="30"/>
        </w:rPr>
        <w:t>在探討基本權利違憲審查時，應分基本權利保障範圍之詮釋、基本權利是否受限與限制基本權利之憲法上合法化理由之審查三個層次思考。當立法機關之立法行為如侵及人民基</w:t>
      </w:r>
      <w:r w:rsidRPr="007B5D03">
        <w:rPr>
          <w:rFonts w:hAnsi="標楷體"/>
          <w:sz w:val="30"/>
          <w:szCs w:val="30"/>
        </w:rPr>
        <w:lastRenderedPageBreak/>
        <w:t>本權利之基礎範圍時，即將之視為一種違憲徵兆，在第二層次上，即須檢視國家行為限制基本權之合憲性（即有無阻卻違憲事由）（附件</w:t>
      </w:r>
      <w:r w:rsidRPr="007B5D03">
        <w:rPr>
          <w:sz w:val="30"/>
          <w:szCs w:val="30"/>
        </w:rPr>
        <w:t>9</w:t>
      </w:r>
      <w:r w:rsidRPr="007B5D03">
        <w:rPr>
          <w:rFonts w:hAnsi="標楷體"/>
          <w:sz w:val="30"/>
          <w:szCs w:val="30"/>
        </w:rPr>
        <w:t>，李建良，基本權利理論之構成</w:t>
      </w:r>
      <w:r w:rsidRPr="007B5D03">
        <w:rPr>
          <w:rFonts w:hAnsi="標楷體"/>
          <w:sz w:val="30"/>
          <w:szCs w:val="30"/>
          <w:lang w:val="de-DE"/>
        </w:rPr>
        <w:t>及</w:t>
      </w:r>
      <w:r w:rsidRPr="007B5D03">
        <w:rPr>
          <w:rFonts w:hAnsi="標楷體"/>
          <w:sz w:val="30"/>
          <w:szCs w:val="30"/>
        </w:rPr>
        <w:t>其思考層次，人文及社會科學集刊，第九卷第一期，頁</w:t>
      </w:r>
      <w:r w:rsidRPr="007B5D03">
        <w:rPr>
          <w:sz w:val="30"/>
          <w:szCs w:val="30"/>
        </w:rPr>
        <w:t>39</w:t>
      </w:r>
      <w:r w:rsidRPr="007B5D03">
        <w:rPr>
          <w:rFonts w:hAnsi="標楷體"/>
          <w:sz w:val="30"/>
          <w:szCs w:val="30"/>
        </w:rPr>
        <w:t>以下）。在方法論上本聲請書擬採取前述的違憲審查流程作為論證基礎。</w:t>
      </w:r>
    </w:p>
    <w:p w:rsidR="00514426" w:rsidRPr="007B5D03" w:rsidRDefault="00514426" w:rsidP="00FB2D5A">
      <w:pPr>
        <w:snapToGrid w:val="0"/>
        <w:spacing w:line="437" w:lineRule="exact"/>
        <w:ind w:leftChars="300" w:left="840" w:firstLineChars="100" w:firstLine="300"/>
        <w:rPr>
          <w:sz w:val="30"/>
          <w:szCs w:val="30"/>
        </w:rPr>
      </w:pPr>
      <w:r w:rsidRPr="007B5D03">
        <w:rPr>
          <w:rFonts w:hAnsi="標楷體"/>
          <w:sz w:val="30"/>
          <w:szCs w:val="30"/>
        </w:rPr>
        <w:t>聲請人擬就本件聲請釋憲之標的分別論證其違憲狀態，</w:t>
      </w:r>
      <w:r w:rsidRPr="007B5D03">
        <w:rPr>
          <w:rFonts w:hAnsi="標楷體"/>
          <w:spacing w:val="4"/>
          <w:sz w:val="30"/>
          <w:szCs w:val="30"/>
        </w:rPr>
        <w:t>亦即以下將以財政部</w:t>
      </w:r>
      <w:r w:rsidRPr="007B5D03">
        <w:rPr>
          <w:spacing w:val="4"/>
          <w:sz w:val="30"/>
          <w:szCs w:val="30"/>
        </w:rPr>
        <w:t>86</w:t>
      </w:r>
      <w:r w:rsidRPr="007B5D03">
        <w:rPr>
          <w:rFonts w:hAnsi="標楷體"/>
          <w:spacing w:val="4"/>
          <w:sz w:val="30"/>
          <w:szCs w:val="30"/>
        </w:rPr>
        <w:t>年函釋及改制前行政法院</w:t>
      </w:r>
      <w:r w:rsidRPr="007B5D03">
        <w:rPr>
          <w:spacing w:val="4"/>
          <w:sz w:val="30"/>
          <w:szCs w:val="30"/>
        </w:rPr>
        <w:t>62</w:t>
      </w:r>
      <w:r w:rsidRPr="007B5D03">
        <w:rPr>
          <w:rFonts w:hAnsi="標楷體"/>
          <w:spacing w:val="4"/>
          <w:sz w:val="30"/>
          <w:szCs w:val="30"/>
        </w:rPr>
        <w:t>年</w:t>
      </w:r>
      <w:r w:rsidRPr="007B5D03">
        <w:rPr>
          <w:rFonts w:hAnsi="標楷體" w:hint="eastAsia"/>
          <w:spacing w:val="4"/>
          <w:sz w:val="30"/>
          <w:szCs w:val="30"/>
        </w:rPr>
        <w:t>判</w:t>
      </w:r>
      <w:r w:rsidRPr="007B5D03">
        <w:rPr>
          <w:rFonts w:hAnsi="標楷體" w:hint="eastAsia"/>
          <w:sz w:val="30"/>
          <w:szCs w:val="30"/>
        </w:rPr>
        <w:t>字</w:t>
      </w:r>
      <w:r w:rsidRPr="007B5D03">
        <w:rPr>
          <w:rFonts w:hAnsi="標楷體"/>
          <w:sz w:val="30"/>
          <w:szCs w:val="30"/>
        </w:rPr>
        <w:t>第</w:t>
      </w:r>
      <w:r w:rsidRPr="007B5D03">
        <w:rPr>
          <w:sz w:val="30"/>
          <w:szCs w:val="30"/>
        </w:rPr>
        <w:t>96</w:t>
      </w:r>
      <w:r w:rsidRPr="007B5D03">
        <w:rPr>
          <w:rFonts w:hAnsi="標楷體"/>
          <w:sz w:val="30"/>
          <w:szCs w:val="30"/>
        </w:rPr>
        <w:t>號判例分別論述聲請</w:t>
      </w:r>
      <w:r w:rsidRPr="007B5D03">
        <w:rPr>
          <w:rFonts w:hAnsi="標楷體" w:hint="eastAsia"/>
          <w:sz w:val="30"/>
          <w:szCs w:val="30"/>
        </w:rPr>
        <w:t>人</w:t>
      </w:r>
      <w:r w:rsidRPr="007B5D03">
        <w:rPr>
          <w:rFonts w:hAnsi="標楷體"/>
          <w:sz w:val="30"/>
          <w:szCs w:val="30"/>
        </w:rPr>
        <w:t>認其違憲之主張，並在有關</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年函釋部分說明本件該當適用司法院大法官審</w:t>
      </w:r>
      <w:r w:rsidRPr="007B5D03">
        <w:rPr>
          <w:rFonts w:hAnsi="標楷體"/>
          <w:sz w:val="30"/>
          <w:szCs w:val="30"/>
        </w:rPr>
        <w:t>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款人民聲請憲法解釋之要件。</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（一）有關財政部</w:t>
      </w:r>
      <w:r w:rsidRPr="007B5D03">
        <w:rPr>
          <w:sz w:val="30"/>
          <w:szCs w:val="30"/>
        </w:rPr>
        <w:t>86</w:t>
      </w:r>
      <w:r w:rsidRPr="007B5D03">
        <w:rPr>
          <w:rFonts w:hAnsi="標楷體"/>
          <w:sz w:val="30"/>
          <w:szCs w:val="30"/>
        </w:rPr>
        <w:t>年函釋部分</w:t>
      </w:r>
    </w:p>
    <w:p w:rsidR="00514426" w:rsidRPr="007B5D03" w:rsidRDefault="00514426" w:rsidP="00D55354">
      <w:pPr>
        <w:snapToGrid w:val="0"/>
        <w:spacing w:line="437" w:lineRule="exact"/>
        <w:ind w:left="1928" w:hanging="340"/>
        <w:rPr>
          <w:sz w:val="30"/>
          <w:szCs w:val="30"/>
        </w:rPr>
      </w:pPr>
      <w:r w:rsidRPr="007B5D03">
        <w:rPr>
          <w:rFonts w:ascii="標楷體" w:hAnsi="標楷體"/>
          <w:sz w:val="30"/>
          <w:szCs w:val="30"/>
        </w:rPr>
        <w:t>1.</w:t>
      </w:r>
      <w:r w:rsidRPr="007B5D03">
        <w:rPr>
          <w:rFonts w:hAnsi="標楷體"/>
          <w:sz w:val="30"/>
          <w:szCs w:val="30"/>
        </w:rPr>
        <w:t>本件符合司法院大法官審理案件法第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款人民聲請憲法解釋之要件</w:t>
      </w:r>
    </w:p>
    <w:p w:rsidR="00514426" w:rsidRPr="007B5D03" w:rsidRDefault="00514426" w:rsidP="00A057BD">
      <w:pPr>
        <w:snapToGrid w:val="0"/>
        <w:spacing w:line="437" w:lineRule="exact"/>
        <w:ind w:leftChars="650" w:left="2165" w:hangingChars="115" w:hanging="345"/>
        <w:rPr>
          <w:sz w:val="30"/>
          <w:szCs w:val="30"/>
        </w:rPr>
      </w:pPr>
      <w:r w:rsidRPr="007B5D03">
        <w:rPr>
          <w:rFonts w:hAnsi="標楷體" w:hint="eastAsia"/>
          <w:sz w:val="30"/>
          <w:szCs w:val="30"/>
        </w:rPr>
        <w:t>(1)</w:t>
      </w:r>
      <w:r w:rsidRPr="007B5D03">
        <w:rPr>
          <w:rFonts w:hAnsi="標楷體"/>
          <w:spacing w:val="4"/>
          <w:sz w:val="30"/>
          <w:szCs w:val="30"/>
        </w:rPr>
        <w:t>最高</w:t>
      </w:r>
      <w:r w:rsidRPr="007B5D03">
        <w:rPr>
          <w:spacing w:val="4"/>
          <w:sz w:val="30"/>
          <w:szCs w:val="30"/>
        </w:rPr>
        <w:t>行政法院</w:t>
      </w:r>
      <w:r w:rsidRPr="007B5D03">
        <w:rPr>
          <w:rFonts w:hAnsi="標楷體"/>
          <w:spacing w:val="4"/>
          <w:sz w:val="30"/>
          <w:szCs w:val="30"/>
        </w:rPr>
        <w:t>確定判決已實體審理權證避險部</w:t>
      </w:r>
      <w:r w:rsidRPr="007B5D03">
        <w:rPr>
          <w:rFonts w:hAnsi="標楷體"/>
          <w:sz w:val="30"/>
          <w:szCs w:val="30"/>
        </w:rPr>
        <w:t>位損失，亦未依行政訴訟法第</w:t>
      </w:r>
      <w:r w:rsidRPr="007B5D03">
        <w:rPr>
          <w:sz w:val="30"/>
          <w:szCs w:val="30"/>
        </w:rPr>
        <w:t>255</w:t>
      </w:r>
      <w:r w:rsidRPr="007B5D03">
        <w:rPr>
          <w:rFonts w:hAnsi="標楷體"/>
          <w:sz w:val="30"/>
          <w:szCs w:val="30"/>
        </w:rPr>
        <w:t>條第</w:t>
      </w:r>
      <w:r w:rsidRPr="007B5D03">
        <w:rPr>
          <w:sz w:val="30"/>
          <w:szCs w:val="30"/>
        </w:rPr>
        <w:t>2</w:t>
      </w:r>
      <w:r w:rsidRPr="007B5D03">
        <w:rPr>
          <w:rFonts w:hAnsi="標楷體"/>
          <w:sz w:val="30"/>
          <w:szCs w:val="30"/>
        </w:rPr>
        <w:t>項變更為其他理由，仍應認最高行政法院確定判決實體上適用財政部</w:t>
      </w:r>
      <w:r w:rsidRPr="007B5D03">
        <w:rPr>
          <w:sz w:val="30"/>
          <w:szCs w:val="30"/>
        </w:rPr>
        <w:t>86</w:t>
      </w:r>
      <w:r w:rsidRPr="007B5D03">
        <w:rPr>
          <w:rFonts w:hAnsi="標楷體"/>
          <w:sz w:val="30"/>
          <w:szCs w:val="30"/>
        </w:rPr>
        <w:t>年函釋</w:t>
      </w:r>
    </w:p>
    <w:p w:rsidR="00514426" w:rsidRPr="007B5D03" w:rsidRDefault="00514426" w:rsidP="008242EB">
      <w:pPr>
        <w:snapToGrid w:val="0"/>
        <w:spacing w:line="437" w:lineRule="exact"/>
        <w:ind w:left="2750"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按行政訴訟上訴審係審查高等行政法院判決是否違背法令，亦即行政訴訟上訴審之程序標的並不是案件本身，而是系爭原審的裁判</w:t>
      </w:r>
      <w:r w:rsidRPr="007B5D03">
        <w:rPr>
          <w:rFonts w:hAnsi="標楷體"/>
          <w:spacing w:val="-14"/>
          <w:sz w:val="30"/>
          <w:szCs w:val="30"/>
        </w:rPr>
        <w:t>（附件</w:t>
      </w:r>
      <w:r w:rsidRPr="007B5D03">
        <w:rPr>
          <w:spacing w:val="-14"/>
          <w:sz w:val="30"/>
          <w:szCs w:val="30"/>
        </w:rPr>
        <w:t>10</w:t>
      </w:r>
      <w:r w:rsidRPr="007B5D03">
        <w:rPr>
          <w:rFonts w:hAnsi="標楷體"/>
          <w:spacing w:val="-14"/>
          <w:sz w:val="30"/>
          <w:szCs w:val="30"/>
        </w:rPr>
        <w:t>，陳清秀，行政訴訟法，第</w:t>
      </w:r>
      <w:r w:rsidRPr="007B5D03">
        <w:rPr>
          <w:spacing w:val="-14"/>
          <w:sz w:val="30"/>
          <w:szCs w:val="30"/>
        </w:rPr>
        <w:t>526</w:t>
      </w:r>
      <w:r w:rsidRPr="007B5D03">
        <w:rPr>
          <w:rFonts w:hAnsi="標楷體"/>
          <w:spacing w:val="-14"/>
          <w:sz w:val="30"/>
          <w:szCs w:val="30"/>
        </w:rPr>
        <w:t>頁），</w:t>
      </w:r>
      <w:r w:rsidRPr="007B5D03">
        <w:rPr>
          <w:rFonts w:hAnsi="標楷體"/>
          <w:sz w:val="30"/>
          <w:szCs w:val="30"/>
        </w:rPr>
        <w:t>因此除了上訴合法要件有所欠缺之情形而以裁定駁回外，一般係以上訴有理由或無理由作為判決主文。所以最高行政法院判決之主文若為上訴無理由時，其既判力與實體審理</w:t>
      </w:r>
      <w:r w:rsidRPr="007B5D03">
        <w:rPr>
          <w:rFonts w:hAnsi="標楷體"/>
          <w:sz w:val="30"/>
          <w:szCs w:val="30"/>
        </w:rPr>
        <w:lastRenderedPageBreak/>
        <w:t>範圍仍應參照高等行政法院判決內容始能確定。</w:t>
      </w:r>
    </w:p>
    <w:p w:rsidR="00514426" w:rsidRPr="007B5D03" w:rsidRDefault="00514426" w:rsidP="008242EB">
      <w:pPr>
        <w:snapToGrid w:val="0"/>
        <w:spacing w:line="437" w:lineRule="exact"/>
        <w:ind w:left="2750"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經查最高行政法院確定判決雖就權證避險損失部分提出爭點主義之理由，然亦係以上訴無理由駁回聲請人之上訴，是臺北高等行政法院確定判決將權證避險損失納入實體審判範圍部分，亦經最高行政法院確定判決所維持，故就判決主文而論，權證避險損失部分確屬既判力所及之範圍。</w:t>
      </w:r>
    </w:p>
    <w:p w:rsidR="00514426" w:rsidRPr="007B5D03" w:rsidRDefault="00514426" w:rsidP="008242EB">
      <w:pPr>
        <w:snapToGrid w:val="0"/>
        <w:spacing w:line="437" w:lineRule="exact"/>
        <w:ind w:left="2750"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再查，最高行政法院確定判決並非認為臺北高等行政法</w:t>
      </w:r>
      <w:r w:rsidRPr="007B5D03">
        <w:rPr>
          <w:rFonts w:hAnsi="標楷體" w:hint="eastAsia"/>
          <w:sz w:val="30"/>
          <w:szCs w:val="30"/>
        </w:rPr>
        <w:t>院確定</w:t>
      </w:r>
      <w:r w:rsidRPr="007B5D03">
        <w:rPr>
          <w:rFonts w:hAnsi="標楷體"/>
          <w:sz w:val="30"/>
          <w:szCs w:val="30"/>
        </w:rPr>
        <w:t>判決就權證避險損失部分之判決理由不當，而適用行政訴訟法第</w:t>
      </w:r>
      <w:r w:rsidRPr="007B5D03">
        <w:rPr>
          <w:sz w:val="30"/>
          <w:szCs w:val="30"/>
        </w:rPr>
        <w:t>255</w:t>
      </w:r>
      <w:r w:rsidRPr="007B5D03">
        <w:rPr>
          <w:rFonts w:hAnsi="標楷體"/>
          <w:spacing w:val="-4"/>
          <w:sz w:val="30"/>
          <w:szCs w:val="30"/>
        </w:rPr>
        <w:t>條第</w:t>
      </w:r>
      <w:r w:rsidRPr="007B5D03">
        <w:rPr>
          <w:spacing w:val="-4"/>
          <w:sz w:val="30"/>
          <w:szCs w:val="30"/>
        </w:rPr>
        <w:t>2</w:t>
      </w:r>
      <w:r w:rsidRPr="007B5D03">
        <w:rPr>
          <w:rFonts w:hAnsi="標楷體"/>
          <w:spacing w:val="-4"/>
          <w:sz w:val="30"/>
          <w:szCs w:val="30"/>
        </w:rPr>
        <w:t>項：「原判決依其理由雖屬不當，而依其他理由認為正當者，應以上訴為無理由。」</w:t>
      </w:r>
      <w:r w:rsidRPr="007B5D03">
        <w:rPr>
          <w:rFonts w:hAnsi="標楷體"/>
          <w:sz w:val="30"/>
          <w:szCs w:val="30"/>
        </w:rPr>
        <w:t>從而最高行政法院確定判決僅稱復查決定、訴願決定及臺北高等行政法院</w:t>
      </w:r>
      <w:r w:rsidRPr="007B5D03">
        <w:rPr>
          <w:rFonts w:hAnsi="標楷體" w:hint="eastAsia"/>
          <w:sz w:val="30"/>
          <w:szCs w:val="30"/>
        </w:rPr>
        <w:t>確定</w:t>
      </w:r>
      <w:r w:rsidRPr="007B5D03">
        <w:rPr>
          <w:rFonts w:hAnsi="標楷體"/>
          <w:sz w:val="30"/>
          <w:szCs w:val="30"/>
        </w:rPr>
        <w:t>判決實體</w:t>
      </w:r>
      <w:r w:rsidRPr="007B5D03">
        <w:rPr>
          <w:rFonts w:hAnsi="標楷體"/>
          <w:spacing w:val="-4"/>
          <w:sz w:val="30"/>
          <w:szCs w:val="30"/>
        </w:rPr>
        <w:t>上援用財政部</w:t>
      </w:r>
      <w:r w:rsidRPr="007B5D03">
        <w:rPr>
          <w:spacing w:val="-4"/>
          <w:sz w:val="30"/>
          <w:szCs w:val="30"/>
        </w:rPr>
        <w:t>86</w:t>
      </w:r>
      <w:r w:rsidRPr="007B5D03">
        <w:rPr>
          <w:rFonts w:hAnsi="標楷體"/>
          <w:spacing w:val="-4"/>
          <w:sz w:val="30"/>
          <w:szCs w:val="30"/>
        </w:rPr>
        <w:t>年函釋，與其所採之爭點主</w:t>
      </w:r>
      <w:r w:rsidRPr="007B5D03">
        <w:rPr>
          <w:rFonts w:hAnsi="標楷體"/>
          <w:sz w:val="30"/>
          <w:szCs w:val="30"/>
        </w:rPr>
        <w:t>義之理由雖異，惟</w:t>
      </w:r>
      <w:r w:rsidRPr="007B5D03">
        <w:rPr>
          <w:rFonts w:hAnsi="標楷體" w:hint="eastAsia"/>
          <w:sz w:val="30"/>
          <w:szCs w:val="30"/>
        </w:rPr>
        <w:t>查</w:t>
      </w:r>
      <w:r w:rsidRPr="007B5D03">
        <w:rPr>
          <w:rFonts w:hAnsi="標楷體"/>
          <w:sz w:val="30"/>
          <w:szCs w:val="30"/>
        </w:rPr>
        <w:t>其結果並無不同，據此認為上訴無理由，並非真指摘臺北高等行政法院</w:t>
      </w:r>
      <w:r w:rsidRPr="007B5D03">
        <w:rPr>
          <w:rFonts w:hAnsi="標楷體" w:hint="eastAsia"/>
          <w:sz w:val="30"/>
          <w:szCs w:val="30"/>
        </w:rPr>
        <w:t>確定</w:t>
      </w:r>
      <w:r w:rsidRPr="007B5D03">
        <w:rPr>
          <w:rFonts w:hAnsi="標楷體"/>
          <w:sz w:val="30"/>
          <w:szCs w:val="30"/>
        </w:rPr>
        <w:t>判決之理由不當，而改依其他理由支持臺北高等行政法院</w:t>
      </w:r>
      <w:r w:rsidRPr="007B5D03">
        <w:rPr>
          <w:rFonts w:hAnsi="標楷體" w:hint="eastAsia"/>
          <w:sz w:val="30"/>
          <w:szCs w:val="30"/>
        </w:rPr>
        <w:t>確定</w:t>
      </w:r>
      <w:r w:rsidRPr="007B5D03">
        <w:rPr>
          <w:rFonts w:hAnsi="標楷體"/>
          <w:sz w:val="30"/>
          <w:szCs w:val="30"/>
        </w:rPr>
        <w:t>判決之合法性，充其量僅能認為係追加理由來支持臺北高等行政法院之判決主文，此觀最高行政法院確定判決適用行政訴訟法第</w:t>
      </w:r>
      <w:r w:rsidRPr="007B5D03">
        <w:rPr>
          <w:sz w:val="30"/>
          <w:szCs w:val="30"/>
        </w:rPr>
        <w:t>255</w:t>
      </w:r>
      <w:r w:rsidRPr="007B5D03">
        <w:rPr>
          <w:rFonts w:hAnsi="標楷體"/>
          <w:sz w:val="30"/>
          <w:szCs w:val="30"/>
        </w:rPr>
        <w:t>條第</w:t>
      </w:r>
      <w:r w:rsidRPr="007B5D03">
        <w:rPr>
          <w:sz w:val="30"/>
          <w:szCs w:val="30"/>
        </w:rPr>
        <w:t>1</w:t>
      </w:r>
      <w:r w:rsidRPr="007B5D03">
        <w:rPr>
          <w:rFonts w:hAnsi="標楷體"/>
          <w:sz w:val="30"/>
          <w:szCs w:val="30"/>
        </w:rPr>
        <w:t>項駁回聲請人本件上訴，此即表示其支持臺北高等行政法院</w:t>
      </w:r>
      <w:r w:rsidRPr="007B5D03">
        <w:rPr>
          <w:rFonts w:hAnsi="標楷體" w:hint="eastAsia"/>
          <w:sz w:val="30"/>
          <w:szCs w:val="30"/>
        </w:rPr>
        <w:t>確定</w:t>
      </w:r>
      <w:r w:rsidRPr="007B5D03">
        <w:rPr>
          <w:rFonts w:hAnsi="標楷體"/>
          <w:sz w:val="30"/>
          <w:szCs w:val="30"/>
        </w:rPr>
        <w:t>判決之法令適用，故最高行政</w:t>
      </w:r>
      <w:r w:rsidRPr="007B5D03">
        <w:rPr>
          <w:rFonts w:hAnsi="標楷體"/>
          <w:sz w:val="30"/>
          <w:szCs w:val="30"/>
        </w:rPr>
        <w:lastRenderedPageBreak/>
        <w:t>法院確定判決雖未明白適用財政部</w:t>
      </w:r>
      <w:r w:rsidRPr="007B5D03">
        <w:rPr>
          <w:sz w:val="30"/>
          <w:szCs w:val="30"/>
        </w:rPr>
        <w:t>86</w:t>
      </w:r>
      <w:r w:rsidRPr="007B5D03">
        <w:rPr>
          <w:rFonts w:hAnsi="標楷體"/>
          <w:sz w:val="30"/>
          <w:szCs w:val="30"/>
        </w:rPr>
        <w:t>年函釋，亦不能謂其非屬司法院大法官審理案件法第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款之確定終局裁判所適用之法令。</w:t>
      </w:r>
    </w:p>
    <w:p w:rsidR="00514426" w:rsidRPr="007B5D03" w:rsidRDefault="00514426" w:rsidP="008242EB">
      <w:pPr>
        <w:snapToGrid w:val="0"/>
        <w:spacing w:line="437" w:lineRule="exact"/>
        <w:ind w:left="2750"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又查，最高行政法院就權證避險損失部分適用財政部</w:t>
      </w:r>
      <w:r w:rsidRPr="007B5D03">
        <w:rPr>
          <w:sz w:val="30"/>
          <w:szCs w:val="30"/>
        </w:rPr>
        <w:t>86</w:t>
      </w:r>
      <w:r w:rsidRPr="007B5D03">
        <w:rPr>
          <w:rFonts w:hAnsi="標楷體"/>
          <w:sz w:val="30"/>
          <w:szCs w:val="30"/>
        </w:rPr>
        <w:t>年函釋，已屬通案一致性之見解，業有十餘件判決在案可查，而臺北高等行政法院</w:t>
      </w:r>
      <w:r w:rsidRPr="007B5D03">
        <w:rPr>
          <w:rFonts w:hAnsi="標楷體" w:hint="eastAsia"/>
          <w:sz w:val="30"/>
          <w:szCs w:val="30"/>
        </w:rPr>
        <w:t>確定</w:t>
      </w:r>
      <w:r w:rsidRPr="007B5D03">
        <w:rPr>
          <w:rFonts w:hAnsi="標楷體"/>
          <w:sz w:val="30"/>
          <w:szCs w:val="30"/>
        </w:rPr>
        <w:t>判決既係採取與最高行政法院相同之見解，最高行政法院確定判決理應不會認定臺北高等行政法院之判決理由不當，此觀最高行政法院確定判決理由僅謂理由有異，而非稱臺北高等行政法院判決理由不當等語自明。</w:t>
      </w:r>
    </w:p>
    <w:p w:rsidR="00514426" w:rsidRPr="007B5D03" w:rsidRDefault="00514426" w:rsidP="008242EB">
      <w:pPr>
        <w:snapToGrid w:val="0"/>
        <w:spacing w:line="437" w:lineRule="exact"/>
        <w:ind w:left="2750"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雖然最高行政法院確定判決並未明文就權證</w:t>
      </w:r>
      <w:r w:rsidRPr="007B5D03">
        <w:rPr>
          <w:rFonts w:hAnsi="標楷體"/>
          <w:spacing w:val="-4"/>
          <w:sz w:val="30"/>
          <w:szCs w:val="30"/>
        </w:rPr>
        <w:t>避險損失部分特別適用財政部</w:t>
      </w:r>
      <w:r w:rsidRPr="007B5D03">
        <w:rPr>
          <w:spacing w:val="-4"/>
          <w:sz w:val="30"/>
          <w:szCs w:val="30"/>
        </w:rPr>
        <w:t>86</w:t>
      </w:r>
      <w:r w:rsidRPr="007B5D03">
        <w:rPr>
          <w:rFonts w:hAnsi="標楷體"/>
          <w:spacing w:val="-4"/>
          <w:sz w:val="30"/>
          <w:szCs w:val="30"/>
        </w:rPr>
        <w:t>年函釋，惟</w:t>
      </w:r>
      <w:r w:rsidRPr="007B5D03">
        <w:rPr>
          <w:rFonts w:hAnsi="標楷體"/>
          <w:sz w:val="30"/>
          <w:szCs w:val="30"/>
        </w:rPr>
        <w:t>從上述說明而言，最高行政法院確定判決既然實體審理權證避險損失部分，僅係追加爭點主義之理由，以無理由駁回上訴，並未因</w:t>
      </w:r>
      <w:r w:rsidRPr="007B5D03">
        <w:rPr>
          <w:rFonts w:hAnsi="標楷體"/>
          <w:spacing w:val="-4"/>
          <w:sz w:val="30"/>
          <w:szCs w:val="30"/>
        </w:rPr>
        <w:t>此排除財政部</w:t>
      </w:r>
      <w:r w:rsidRPr="007B5D03">
        <w:rPr>
          <w:spacing w:val="-4"/>
          <w:sz w:val="30"/>
          <w:szCs w:val="30"/>
        </w:rPr>
        <w:t>86</w:t>
      </w:r>
      <w:r w:rsidRPr="007B5D03">
        <w:rPr>
          <w:rFonts w:hAnsi="標楷體"/>
          <w:spacing w:val="-4"/>
          <w:sz w:val="30"/>
          <w:szCs w:val="30"/>
        </w:rPr>
        <w:t>年函釋之適用，而改依行政</w:t>
      </w:r>
      <w:r w:rsidRPr="007B5D03">
        <w:rPr>
          <w:rFonts w:hAnsi="標楷體"/>
          <w:sz w:val="30"/>
          <w:szCs w:val="30"/>
        </w:rPr>
        <w:t>訴訟法第</w:t>
      </w:r>
      <w:r w:rsidRPr="007B5D03">
        <w:rPr>
          <w:sz w:val="30"/>
          <w:szCs w:val="30"/>
        </w:rPr>
        <w:t>255</w:t>
      </w:r>
      <w:r w:rsidRPr="007B5D03">
        <w:rPr>
          <w:rFonts w:hAnsi="標楷體"/>
          <w:sz w:val="30"/>
          <w:szCs w:val="30"/>
        </w:rPr>
        <w:t>條第</w:t>
      </w:r>
      <w:r w:rsidRPr="007B5D03">
        <w:rPr>
          <w:sz w:val="30"/>
          <w:szCs w:val="30"/>
        </w:rPr>
        <w:t>2</w:t>
      </w:r>
      <w:r w:rsidRPr="007B5D03">
        <w:rPr>
          <w:rFonts w:hAnsi="標楷體"/>
          <w:sz w:val="30"/>
          <w:szCs w:val="30"/>
        </w:rPr>
        <w:t>項以爭點主義作為支持臺北高等行政法院</w:t>
      </w:r>
      <w:r w:rsidRPr="007B5D03">
        <w:rPr>
          <w:rFonts w:hAnsi="標楷體" w:hint="eastAsia"/>
          <w:sz w:val="30"/>
          <w:szCs w:val="30"/>
        </w:rPr>
        <w:t>確定</w:t>
      </w:r>
      <w:r w:rsidRPr="007B5D03">
        <w:rPr>
          <w:rFonts w:hAnsi="標楷體"/>
          <w:sz w:val="30"/>
          <w:szCs w:val="30"/>
        </w:rPr>
        <w:t>判決主文駁回上訴。</w:t>
      </w:r>
    </w:p>
    <w:p w:rsidR="00514426" w:rsidRPr="007B5D03" w:rsidRDefault="00514426" w:rsidP="008242EB">
      <w:pPr>
        <w:snapToGrid w:val="0"/>
        <w:spacing w:line="437" w:lineRule="exact"/>
        <w:ind w:left="2750"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況且爭點主義乃係對納稅義務人請求審理範</w:t>
      </w:r>
      <w:r w:rsidRPr="007B5D03">
        <w:rPr>
          <w:rFonts w:hAnsi="標楷體"/>
          <w:spacing w:val="-4"/>
          <w:sz w:val="30"/>
          <w:szCs w:val="30"/>
        </w:rPr>
        <w:t>圍之限制，稅務救濟實務上依照</w:t>
      </w:r>
      <w:r w:rsidRPr="007B5D03">
        <w:rPr>
          <w:spacing w:val="-4"/>
          <w:sz w:val="30"/>
          <w:szCs w:val="30"/>
        </w:rPr>
        <w:t>62</w:t>
      </w:r>
      <w:r w:rsidRPr="007B5D03">
        <w:rPr>
          <w:rFonts w:hAnsi="標楷體"/>
          <w:spacing w:val="-4"/>
          <w:sz w:val="30"/>
          <w:szCs w:val="30"/>
        </w:rPr>
        <w:t>年判例，</w:t>
      </w:r>
      <w:r w:rsidRPr="007B5D03">
        <w:rPr>
          <w:rFonts w:hAnsi="標楷體"/>
          <w:spacing w:val="4"/>
          <w:sz w:val="30"/>
          <w:szCs w:val="30"/>
        </w:rPr>
        <w:t>確實得依爭點主義作為訴訟審理範圍之界</w:t>
      </w:r>
      <w:r w:rsidRPr="007B5D03">
        <w:rPr>
          <w:rFonts w:hAnsi="標楷體"/>
          <w:sz w:val="30"/>
          <w:szCs w:val="30"/>
        </w:rPr>
        <w:t>定，但如已經一審判決進行實體審理者，判決效力已涵蓋至該等經實體審理之事項，上</w:t>
      </w:r>
      <w:r w:rsidRPr="007B5D03">
        <w:rPr>
          <w:rFonts w:hAnsi="標楷體"/>
          <w:sz w:val="30"/>
          <w:szCs w:val="30"/>
        </w:rPr>
        <w:lastRenderedPageBreak/>
        <w:t>訴審僅係審查一審判決是否違法，必須就上訴人所受不利判決之部分審查，如同本案之情形，臺北高等行政法院</w:t>
      </w:r>
      <w:r w:rsidRPr="007B5D03">
        <w:rPr>
          <w:rFonts w:hAnsi="標楷體" w:hint="eastAsia"/>
          <w:sz w:val="30"/>
          <w:szCs w:val="30"/>
        </w:rPr>
        <w:t>確定</w:t>
      </w:r>
      <w:r w:rsidRPr="007B5D03">
        <w:rPr>
          <w:rFonts w:hAnsi="標楷體"/>
          <w:sz w:val="30"/>
          <w:szCs w:val="30"/>
        </w:rPr>
        <w:t>判決係實體無理由駁回聲請人之起訴，最高行政法院確定判決基於上訴審查範圍及不利益變更禁止之訴訟法理，不得認為爭點主義作為訴訟審理範圍之界定，將本已經實體判決駁回起訴之案件，改按裁定或訴訟判決駁回起訴。是以最高行政法院確定判決仍維持臺北高等行政法院</w:t>
      </w:r>
      <w:r w:rsidRPr="007B5D03">
        <w:rPr>
          <w:rFonts w:hAnsi="標楷體" w:hint="eastAsia"/>
          <w:sz w:val="30"/>
          <w:szCs w:val="30"/>
        </w:rPr>
        <w:t>確定</w:t>
      </w:r>
      <w:r w:rsidRPr="007B5D03">
        <w:rPr>
          <w:rFonts w:hAnsi="標楷體"/>
          <w:sz w:val="30"/>
          <w:szCs w:val="30"/>
        </w:rPr>
        <w:t>判決，亦即既判力及實體審判範圍應及於權證避險損失部分。準此，最高行政法院確定判決並非真引用爭點主義代替臺北</w:t>
      </w:r>
      <w:r w:rsidRPr="007B5D03">
        <w:rPr>
          <w:rFonts w:hAnsi="標楷體"/>
          <w:spacing w:val="-4"/>
          <w:sz w:val="30"/>
          <w:szCs w:val="30"/>
        </w:rPr>
        <w:t>高等行政法院</w:t>
      </w:r>
      <w:r w:rsidRPr="007B5D03">
        <w:rPr>
          <w:rFonts w:hAnsi="標楷體" w:hint="eastAsia"/>
          <w:spacing w:val="-4"/>
          <w:sz w:val="30"/>
          <w:szCs w:val="30"/>
        </w:rPr>
        <w:t>確定</w:t>
      </w:r>
      <w:r w:rsidRPr="007B5D03">
        <w:rPr>
          <w:rFonts w:hAnsi="標楷體"/>
          <w:spacing w:val="-4"/>
          <w:sz w:val="30"/>
          <w:szCs w:val="30"/>
        </w:rPr>
        <w:t>判決所援用之財政部</w:t>
      </w:r>
      <w:r w:rsidRPr="007B5D03">
        <w:rPr>
          <w:spacing w:val="-4"/>
          <w:sz w:val="30"/>
          <w:szCs w:val="30"/>
        </w:rPr>
        <w:t>86</w:t>
      </w:r>
      <w:r w:rsidRPr="007B5D03">
        <w:rPr>
          <w:rFonts w:hAnsi="標楷體"/>
          <w:spacing w:val="-4"/>
          <w:sz w:val="30"/>
          <w:szCs w:val="30"/>
        </w:rPr>
        <w:t>年</w:t>
      </w:r>
      <w:r w:rsidRPr="007B5D03">
        <w:rPr>
          <w:rFonts w:hAnsi="標楷體"/>
          <w:sz w:val="30"/>
          <w:szCs w:val="30"/>
        </w:rPr>
        <w:t>函釋，僅係用來加強聲請人提起上訴屬無理由之依據爾。</w:t>
      </w:r>
    </w:p>
    <w:p w:rsidR="00514426" w:rsidRPr="007B5D03" w:rsidRDefault="00514426" w:rsidP="008242EB">
      <w:pPr>
        <w:snapToGrid w:val="0"/>
        <w:spacing w:line="437" w:lineRule="exact"/>
        <w:ind w:leftChars="650" w:left="2165" w:hangingChars="115" w:hanging="345"/>
        <w:rPr>
          <w:sz w:val="30"/>
          <w:szCs w:val="30"/>
        </w:rPr>
      </w:pPr>
      <w:r w:rsidRPr="007B5D03">
        <w:rPr>
          <w:rFonts w:hAnsi="標楷體" w:hint="eastAsia"/>
          <w:sz w:val="30"/>
          <w:szCs w:val="30"/>
        </w:rPr>
        <w:t>(2)</w:t>
      </w:r>
      <w:r w:rsidRPr="007B5D03">
        <w:rPr>
          <w:rFonts w:hAnsi="標楷體"/>
          <w:spacing w:val="4"/>
          <w:sz w:val="30"/>
          <w:szCs w:val="30"/>
        </w:rPr>
        <w:t>縱認為最高行政法院確定判決未明確適用財政</w:t>
      </w:r>
      <w:r w:rsidRPr="007B5D03">
        <w:rPr>
          <w:rFonts w:hAnsi="標楷體"/>
          <w:sz w:val="30"/>
          <w:szCs w:val="30"/>
        </w:rPr>
        <w:t>部</w:t>
      </w:r>
      <w:r w:rsidRPr="007B5D03">
        <w:rPr>
          <w:sz w:val="30"/>
          <w:szCs w:val="30"/>
        </w:rPr>
        <w:t>86</w:t>
      </w:r>
      <w:r w:rsidRPr="007B5D03">
        <w:rPr>
          <w:rFonts w:hAnsi="標楷體"/>
          <w:sz w:val="30"/>
          <w:szCs w:val="30"/>
        </w:rPr>
        <w:t>年函釋，惟依重要關聯性理論，得以財政部</w:t>
      </w:r>
      <w:r w:rsidRPr="007B5D03">
        <w:rPr>
          <w:sz w:val="30"/>
          <w:szCs w:val="30"/>
        </w:rPr>
        <w:t>86</w:t>
      </w:r>
      <w:r w:rsidRPr="007B5D03">
        <w:rPr>
          <w:rFonts w:hAnsi="標楷體"/>
          <w:sz w:val="30"/>
          <w:szCs w:val="30"/>
        </w:rPr>
        <w:t>年函釋作為本件對最高行政法院確定判決聲請釋憲案之釋憲客體</w:t>
      </w:r>
    </w:p>
    <w:p w:rsidR="00514426" w:rsidRPr="007B5D03" w:rsidRDefault="00514426" w:rsidP="00EA5720">
      <w:pPr>
        <w:snapToGrid w:val="0"/>
        <w:spacing w:line="437" w:lineRule="exact"/>
        <w:ind w:left="2750"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聲請釋憲客體重要關聯性，乃指大法官於釋憲實務中認定，與聲請人聲請釋憲之法令具有重要或密切關聯者，不論是否為確定終局裁判援引為裁判基礎之法令，得於受理人民聲請釋憲程序之同時，決定將之納入大法官解釋之客體，對確定終局裁判未適用的聲請釋憲客體，依重要關聯性將之納為釋憲標</w:t>
      </w:r>
      <w:r w:rsidRPr="007B5D03">
        <w:rPr>
          <w:rFonts w:hAnsi="標楷體"/>
          <w:spacing w:val="-14"/>
          <w:sz w:val="30"/>
          <w:szCs w:val="30"/>
        </w:rPr>
        <w:lastRenderedPageBreak/>
        <w:t>的（附件</w:t>
      </w:r>
      <w:r w:rsidRPr="007B5D03">
        <w:rPr>
          <w:spacing w:val="-14"/>
          <w:sz w:val="30"/>
          <w:szCs w:val="30"/>
        </w:rPr>
        <w:t>11</w:t>
      </w:r>
      <w:r w:rsidRPr="007B5D03">
        <w:rPr>
          <w:rFonts w:hAnsi="標楷體"/>
          <w:spacing w:val="-14"/>
          <w:sz w:val="30"/>
          <w:szCs w:val="30"/>
        </w:rPr>
        <w:t>，楊子慧，憲法訴訟，第</w:t>
      </w:r>
      <w:r w:rsidRPr="007B5D03">
        <w:rPr>
          <w:spacing w:val="-14"/>
          <w:sz w:val="30"/>
          <w:szCs w:val="30"/>
        </w:rPr>
        <w:t>278</w:t>
      </w:r>
      <w:r w:rsidRPr="007B5D03">
        <w:rPr>
          <w:rFonts w:hAnsi="標楷體"/>
          <w:spacing w:val="-14"/>
          <w:sz w:val="30"/>
          <w:szCs w:val="30"/>
        </w:rPr>
        <w:t>頁），</w:t>
      </w:r>
      <w:r w:rsidRPr="007B5D03">
        <w:rPr>
          <w:rFonts w:hAnsi="標楷體"/>
          <w:spacing w:val="-4"/>
          <w:sz w:val="30"/>
          <w:szCs w:val="30"/>
        </w:rPr>
        <w:t>此觀　鈞院釋字第</w:t>
      </w:r>
      <w:r w:rsidRPr="007B5D03">
        <w:rPr>
          <w:spacing w:val="-4"/>
          <w:sz w:val="30"/>
          <w:szCs w:val="30"/>
        </w:rPr>
        <w:t>569</w:t>
      </w:r>
      <w:r w:rsidRPr="007B5D03">
        <w:rPr>
          <w:rFonts w:hAnsi="標楷體"/>
          <w:spacing w:val="-4"/>
          <w:sz w:val="30"/>
          <w:szCs w:val="30"/>
        </w:rPr>
        <w:t>號解釋理由書：「本件</w:t>
      </w:r>
      <w:r w:rsidRPr="007B5D03">
        <w:rPr>
          <w:rFonts w:hAnsi="標楷體"/>
          <w:sz w:val="30"/>
          <w:szCs w:val="30"/>
        </w:rPr>
        <w:t>聲請人因妨害婚姻案件，認系爭確定終局判決所適用之最高法院二十九年上字第二三三三號及二十九年非字第一五號判例有牴觸憲法之疑義，聲請解釋。按上開判例係以告訴不可分之原則限制人民不得對於與其配偶共犯告訴乃論罪之人提起自訴，其意旨與本院院字第三六四號及院字第一八四四號解釋之有關部分相同。上開解釋雖非本件聲請解釋之標的，惟與系爭判例關聯密切，為貫徹釋</w:t>
      </w:r>
      <w:r w:rsidRPr="007B5D03">
        <w:rPr>
          <w:rFonts w:hAnsi="標楷體"/>
          <w:spacing w:val="-4"/>
          <w:sz w:val="30"/>
          <w:szCs w:val="30"/>
        </w:rPr>
        <w:t>憲意旨，應一併納入審查範圍，合先說明。」</w:t>
      </w:r>
      <w:r w:rsidRPr="007B5D03">
        <w:rPr>
          <w:rFonts w:hAnsi="標楷體"/>
          <w:sz w:val="30"/>
          <w:szCs w:val="30"/>
        </w:rPr>
        <w:t>自明。故縱認最高行政法院確定判決未適用</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年函釋，然權證避險損失部分已為</w:t>
      </w:r>
      <w:r w:rsidRPr="007B5D03">
        <w:rPr>
          <w:rFonts w:hAnsi="標楷體"/>
          <w:sz w:val="30"/>
          <w:szCs w:val="30"/>
        </w:rPr>
        <w:t>最高行政法院確定判決所實體審理，已如前述，最高行政法院實務上就權證避險損失之</w:t>
      </w:r>
      <w:r w:rsidRPr="007B5D03">
        <w:rPr>
          <w:rFonts w:hAnsi="標楷體"/>
          <w:spacing w:val="-4"/>
          <w:sz w:val="30"/>
          <w:szCs w:val="30"/>
        </w:rPr>
        <w:t>審理，均會援用財政部</w:t>
      </w:r>
      <w:r w:rsidRPr="007B5D03">
        <w:rPr>
          <w:spacing w:val="-4"/>
          <w:sz w:val="30"/>
          <w:szCs w:val="30"/>
        </w:rPr>
        <w:t>86</w:t>
      </w:r>
      <w:r w:rsidRPr="007B5D03">
        <w:rPr>
          <w:rFonts w:hAnsi="標楷體"/>
          <w:spacing w:val="-4"/>
          <w:sz w:val="30"/>
          <w:szCs w:val="30"/>
        </w:rPr>
        <w:t>年函釋，依照重要關聯性理論，財政部</w:t>
      </w:r>
      <w:r w:rsidRPr="007B5D03">
        <w:rPr>
          <w:spacing w:val="-4"/>
          <w:sz w:val="30"/>
          <w:szCs w:val="30"/>
        </w:rPr>
        <w:t>86</w:t>
      </w:r>
      <w:r w:rsidRPr="007B5D03">
        <w:rPr>
          <w:rFonts w:hAnsi="標楷體"/>
          <w:spacing w:val="-4"/>
          <w:sz w:val="30"/>
          <w:szCs w:val="30"/>
        </w:rPr>
        <w:t>年函釋與權證避險損</w:t>
      </w:r>
      <w:r w:rsidRPr="007B5D03">
        <w:rPr>
          <w:rFonts w:hAnsi="標楷體"/>
          <w:sz w:val="30"/>
          <w:szCs w:val="30"/>
        </w:rPr>
        <w:t>失部分密切相關，仍宜認為司法院大法官審理案件法第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款確定終局裁判所適用之法令。</w:t>
      </w:r>
    </w:p>
    <w:p w:rsidR="00514426" w:rsidRPr="007B5D03" w:rsidRDefault="00514426" w:rsidP="00EA5720">
      <w:pPr>
        <w:snapToGrid w:val="0"/>
        <w:spacing w:line="437" w:lineRule="exact"/>
        <w:ind w:left="2750"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況在訴訟實務上，最高行政法院判決亦有不特別表示其法律見解，而認為高等行政法院判決均已對人民上訴理由詳為論斷，據此駁回人民之上訴（例如最高行政法院</w:t>
      </w:r>
      <w:r w:rsidRPr="007B5D03">
        <w:rPr>
          <w:sz w:val="30"/>
          <w:szCs w:val="30"/>
        </w:rPr>
        <w:t>94</w:t>
      </w:r>
      <w:r w:rsidRPr="007B5D03">
        <w:rPr>
          <w:rFonts w:hAnsi="標楷體"/>
          <w:sz w:val="30"/>
          <w:szCs w:val="30"/>
        </w:rPr>
        <w:t>年度判字第</w:t>
      </w:r>
      <w:r w:rsidRPr="007B5D03">
        <w:rPr>
          <w:sz w:val="30"/>
          <w:szCs w:val="30"/>
        </w:rPr>
        <w:t>1986</w:t>
      </w:r>
      <w:r w:rsidRPr="007B5D03">
        <w:rPr>
          <w:rFonts w:hAnsi="標楷體"/>
          <w:sz w:val="30"/>
          <w:szCs w:val="30"/>
        </w:rPr>
        <w:t>號判決參照），如該案爭執之法規</w:t>
      </w:r>
      <w:r w:rsidRPr="007B5D03">
        <w:rPr>
          <w:rFonts w:hAnsi="標楷體"/>
          <w:sz w:val="30"/>
          <w:szCs w:val="30"/>
        </w:rPr>
        <w:lastRenderedPageBreak/>
        <w:t>並未特別由最高行政法院所適用時，亦應認為此等法規亦為最高行政法院判決所援引，符合司法院大法官審理案件法第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款確定終局裁判所適用之法令。故縱認本件最高行政法院確定判決未特別說明如何</w:t>
      </w:r>
      <w:r w:rsidRPr="007B5D03">
        <w:rPr>
          <w:rFonts w:hAnsi="標楷體"/>
          <w:spacing w:val="-4"/>
          <w:sz w:val="30"/>
          <w:szCs w:val="30"/>
        </w:rPr>
        <w:t>適用財政部</w:t>
      </w:r>
      <w:r w:rsidRPr="007B5D03">
        <w:rPr>
          <w:spacing w:val="-4"/>
          <w:sz w:val="30"/>
          <w:szCs w:val="30"/>
        </w:rPr>
        <w:t>86</w:t>
      </w:r>
      <w:r w:rsidRPr="007B5D03">
        <w:rPr>
          <w:rFonts w:hAnsi="標楷體"/>
          <w:spacing w:val="-4"/>
          <w:sz w:val="30"/>
          <w:szCs w:val="30"/>
        </w:rPr>
        <w:t>年函釋，惟亦可認為其採納臺北高等行政法院</w:t>
      </w:r>
      <w:r w:rsidRPr="007B5D03">
        <w:rPr>
          <w:rFonts w:hAnsi="標楷體" w:hint="eastAsia"/>
          <w:spacing w:val="-4"/>
          <w:sz w:val="30"/>
          <w:szCs w:val="30"/>
        </w:rPr>
        <w:t>確定</w:t>
      </w:r>
      <w:r w:rsidRPr="007B5D03">
        <w:rPr>
          <w:rFonts w:hAnsi="標楷體"/>
          <w:spacing w:val="-4"/>
          <w:sz w:val="30"/>
          <w:szCs w:val="30"/>
        </w:rPr>
        <w:t>判決適用財政部</w:t>
      </w:r>
      <w:r w:rsidRPr="007B5D03">
        <w:rPr>
          <w:spacing w:val="-4"/>
          <w:sz w:val="30"/>
          <w:szCs w:val="30"/>
        </w:rPr>
        <w:t>86</w:t>
      </w:r>
      <w:r w:rsidRPr="007B5D03">
        <w:rPr>
          <w:rFonts w:hAnsi="標楷體"/>
          <w:spacing w:val="-4"/>
          <w:sz w:val="30"/>
          <w:szCs w:val="30"/>
        </w:rPr>
        <w:t>年函</w:t>
      </w:r>
      <w:r w:rsidRPr="007B5D03">
        <w:rPr>
          <w:rFonts w:hAnsi="標楷體"/>
          <w:sz w:val="30"/>
          <w:szCs w:val="30"/>
        </w:rPr>
        <w:t>釋之意旨，在人民聲請釋憲案件上，得就財</w:t>
      </w:r>
      <w:r w:rsidRPr="007B5D03">
        <w:rPr>
          <w:rFonts w:hAnsi="標楷體"/>
          <w:spacing w:val="-4"/>
          <w:sz w:val="30"/>
          <w:szCs w:val="30"/>
        </w:rPr>
        <w:t>政部</w:t>
      </w:r>
      <w:r w:rsidRPr="007B5D03">
        <w:rPr>
          <w:spacing w:val="-4"/>
          <w:sz w:val="30"/>
          <w:szCs w:val="30"/>
        </w:rPr>
        <w:t>86</w:t>
      </w:r>
      <w:r w:rsidRPr="007B5D03">
        <w:rPr>
          <w:rFonts w:hAnsi="標楷體"/>
          <w:spacing w:val="-4"/>
          <w:sz w:val="30"/>
          <w:szCs w:val="30"/>
        </w:rPr>
        <w:t>年函釋作為確定終局裁判所適用之法</w:t>
      </w:r>
      <w:r w:rsidRPr="007B5D03">
        <w:rPr>
          <w:rFonts w:hAnsi="標楷體"/>
          <w:sz w:val="30"/>
          <w:szCs w:val="30"/>
        </w:rPr>
        <w:t>令，聲請本件釋憲。</w:t>
      </w:r>
    </w:p>
    <w:p w:rsidR="00514426" w:rsidRPr="007B5D03" w:rsidRDefault="00514426" w:rsidP="008242EB">
      <w:pPr>
        <w:snapToGrid w:val="0"/>
        <w:spacing w:line="437" w:lineRule="exact"/>
        <w:ind w:leftChars="650" w:left="2165" w:hangingChars="115" w:hanging="345"/>
        <w:rPr>
          <w:sz w:val="30"/>
          <w:szCs w:val="30"/>
        </w:rPr>
      </w:pPr>
      <w:r w:rsidRPr="007B5D03">
        <w:rPr>
          <w:rFonts w:hAnsi="標楷體" w:hint="eastAsia"/>
          <w:sz w:val="30"/>
          <w:szCs w:val="30"/>
        </w:rPr>
        <w:t>(3)</w:t>
      </w:r>
      <w:r w:rsidRPr="007B5D03">
        <w:rPr>
          <w:rFonts w:hAnsi="標楷體"/>
          <w:sz w:val="30"/>
          <w:szCs w:val="30"/>
        </w:rPr>
        <w:t>本件已經窮盡救濟途徑，縱不認為最高行政法院確定判決有適用財政部</w:t>
      </w:r>
      <w:r w:rsidRPr="007B5D03">
        <w:rPr>
          <w:sz w:val="30"/>
          <w:szCs w:val="30"/>
        </w:rPr>
        <w:t>86</w:t>
      </w:r>
      <w:r w:rsidRPr="007B5D03">
        <w:rPr>
          <w:rFonts w:hAnsi="標楷體"/>
          <w:sz w:val="30"/>
          <w:szCs w:val="30"/>
        </w:rPr>
        <w:t>年函釋，亦應得以臺北高等行政法院確定判決適用之財政部</w:t>
      </w:r>
      <w:r w:rsidRPr="007B5D03">
        <w:rPr>
          <w:sz w:val="30"/>
          <w:szCs w:val="30"/>
        </w:rPr>
        <w:t>86</w:t>
      </w:r>
      <w:r w:rsidRPr="007B5D03">
        <w:rPr>
          <w:rFonts w:hAnsi="標楷體"/>
          <w:sz w:val="30"/>
          <w:szCs w:val="30"/>
        </w:rPr>
        <w:t>年函釋作為本件釋憲標的</w:t>
      </w:r>
    </w:p>
    <w:p w:rsidR="00514426" w:rsidRPr="007B5D03" w:rsidRDefault="00514426" w:rsidP="00EA5720">
      <w:pPr>
        <w:snapToGrid w:val="0"/>
        <w:spacing w:line="437" w:lineRule="exact"/>
        <w:ind w:left="2750"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pacing w:val="-4"/>
          <w:sz w:val="30"/>
          <w:szCs w:val="30"/>
        </w:rPr>
        <w:t>2</w:t>
      </w:r>
      <w:r w:rsidRPr="007B5D03">
        <w:rPr>
          <w:rFonts w:hAnsi="標楷體"/>
          <w:spacing w:val="-4"/>
          <w:sz w:val="30"/>
          <w:szCs w:val="30"/>
        </w:rPr>
        <w:t>款所稱「確定終局裁判」，在德國聯邦憲法</w:t>
      </w:r>
      <w:r w:rsidRPr="007B5D03">
        <w:rPr>
          <w:rFonts w:hAnsi="標楷體"/>
          <w:spacing w:val="4"/>
          <w:sz w:val="30"/>
          <w:szCs w:val="30"/>
        </w:rPr>
        <w:t>法院法第</w:t>
      </w:r>
      <w:r w:rsidRPr="007B5D03">
        <w:rPr>
          <w:spacing w:val="4"/>
          <w:sz w:val="30"/>
          <w:szCs w:val="30"/>
        </w:rPr>
        <w:t>90</w:t>
      </w:r>
      <w:r w:rsidRPr="007B5D03">
        <w:rPr>
          <w:rFonts w:hAnsi="標楷體"/>
          <w:spacing w:val="4"/>
          <w:sz w:val="30"/>
          <w:szCs w:val="30"/>
        </w:rPr>
        <w:t>條第</w:t>
      </w:r>
      <w:r w:rsidRPr="007B5D03">
        <w:rPr>
          <w:spacing w:val="4"/>
          <w:sz w:val="30"/>
          <w:szCs w:val="30"/>
        </w:rPr>
        <w:t>2</w:t>
      </w:r>
      <w:r w:rsidRPr="007B5D03">
        <w:rPr>
          <w:rFonts w:hAnsi="標楷體"/>
          <w:spacing w:val="4"/>
          <w:sz w:val="30"/>
          <w:szCs w:val="30"/>
        </w:rPr>
        <w:t>項第</w:t>
      </w:r>
      <w:r w:rsidRPr="007B5D03">
        <w:rPr>
          <w:spacing w:val="4"/>
          <w:sz w:val="30"/>
          <w:szCs w:val="30"/>
        </w:rPr>
        <w:t>1</w:t>
      </w:r>
      <w:r w:rsidRPr="007B5D03">
        <w:rPr>
          <w:rFonts w:hAnsi="標楷體"/>
          <w:spacing w:val="4"/>
          <w:sz w:val="30"/>
          <w:szCs w:val="30"/>
        </w:rPr>
        <w:t>句有相類似之規</w:t>
      </w:r>
      <w:r w:rsidRPr="007B5D03">
        <w:rPr>
          <w:rFonts w:hAnsi="標楷體"/>
          <w:spacing w:val="-4"/>
          <w:sz w:val="30"/>
          <w:szCs w:val="30"/>
        </w:rPr>
        <w:t>定，其係指基本權利受侵害之當事人須先依據法律所規定之一般法院審級救濟途徑提起訴訟救濟，於窮盡所有審級救濟程序後，認其基本權利受侵害仍無法獲得充分完整的救</w:t>
      </w:r>
      <w:r w:rsidRPr="007B5D03">
        <w:rPr>
          <w:rFonts w:hAnsi="標楷體"/>
          <w:spacing w:val="-14"/>
          <w:sz w:val="30"/>
          <w:szCs w:val="30"/>
        </w:rPr>
        <w:t>濟，始得提起。</w:t>
      </w:r>
      <w:r w:rsidRPr="007B5D03">
        <w:rPr>
          <w:rFonts w:hint="eastAsia"/>
          <w:spacing w:val="-14"/>
          <w:sz w:val="30"/>
          <w:szCs w:val="30"/>
        </w:rPr>
        <w:t>（</w:t>
      </w:r>
      <w:r w:rsidRPr="007B5D03">
        <w:rPr>
          <w:rFonts w:hAnsi="標楷體"/>
          <w:spacing w:val="-14"/>
          <w:sz w:val="30"/>
          <w:szCs w:val="30"/>
        </w:rPr>
        <w:t>附件</w:t>
      </w:r>
      <w:r w:rsidRPr="007B5D03">
        <w:rPr>
          <w:spacing w:val="-14"/>
          <w:sz w:val="30"/>
          <w:szCs w:val="30"/>
        </w:rPr>
        <w:t>12</w:t>
      </w:r>
      <w:r w:rsidRPr="007B5D03">
        <w:rPr>
          <w:rFonts w:hAnsi="標楷體"/>
          <w:spacing w:val="-14"/>
          <w:sz w:val="30"/>
          <w:szCs w:val="30"/>
        </w:rPr>
        <w:t>，楊子慧，憲法訴訟，</w:t>
      </w:r>
      <w:r w:rsidRPr="007B5D03">
        <w:rPr>
          <w:rFonts w:hAnsi="標楷體"/>
          <w:spacing w:val="-4"/>
          <w:sz w:val="30"/>
          <w:szCs w:val="30"/>
        </w:rPr>
        <w:t>第</w:t>
      </w:r>
      <w:r w:rsidRPr="007B5D03">
        <w:rPr>
          <w:spacing w:val="-4"/>
          <w:sz w:val="30"/>
          <w:szCs w:val="30"/>
        </w:rPr>
        <w:t>284</w:t>
      </w:r>
      <w:r w:rsidRPr="007B5D03">
        <w:rPr>
          <w:rFonts w:hAnsi="標楷體"/>
          <w:spacing w:val="-4"/>
          <w:sz w:val="30"/>
          <w:szCs w:val="30"/>
        </w:rPr>
        <w:t>頁</w:t>
      </w:r>
      <w:r w:rsidRPr="007B5D03">
        <w:rPr>
          <w:rFonts w:hint="eastAsia"/>
          <w:spacing w:val="-4"/>
          <w:sz w:val="30"/>
          <w:szCs w:val="30"/>
        </w:rPr>
        <w:t>）</w:t>
      </w:r>
      <w:r w:rsidRPr="007B5D03">
        <w:rPr>
          <w:rFonts w:hAnsi="標楷體"/>
          <w:spacing w:val="-4"/>
          <w:sz w:val="30"/>
          <w:szCs w:val="30"/>
        </w:rPr>
        <w:t>所以　鈞院</w:t>
      </w:r>
      <w:r w:rsidRPr="007B5D03">
        <w:rPr>
          <w:rFonts w:hAnsi="標楷體" w:hint="eastAsia"/>
          <w:spacing w:val="-4"/>
          <w:sz w:val="30"/>
          <w:szCs w:val="30"/>
        </w:rPr>
        <w:t>大法官第</w:t>
      </w:r>
      <w:r w:rsidRPr="007B5D03">
        <w:rPr>
          <w:rFonts w:hAnsi="標楷體" w:hint="eastAsia"/>
          <w:spacing w:val="-4"/>
          <w:sz w:val="30"/>
          <w:szCs w:val="30"/>
        </w:rPr>
        <w:t>1125</w:t>
      </w:r>
      <w:r w:rsidRPr="007B5D03">
        <w:rPr>
          <w:rFonts w:hAnsi="標楷體" w:hint="eastAsia"/>
          <w:spacing w:val="-4"/>
          <w:sz w:val="30"/>
          <w:szCs w:val="30"/>
        </w:rPr>
        <w:t>次</w:t>
      </w:r>
      <w:r w:rsidRPr="007B5D03">
        <w:rPr>
          <w:rFonts w:hAnsi="標楷體"/>
          <w:spacing w:val="-4"/>
          <w:sz w:val="30"/>
          <w:szCs w:val="30"/>
        </w:rPr>
        <w:t>會議決議亦對於確定終局裁判闡釋為聲請人已依法定程序盡其審級</w:t>
      </w:r>
      <w:r w:rsidRPr="007B5D03">
        <w:rPr>
          <w:rFonts w:hAnsi="標楷體" w:hint="eastAsia"/>
          <w:spacing w:val="-4"/>
          <w:sz w:val="30"/>
          <w:szCs w:val="30"/>
        </w:rPr>
        <w:t>救濟</w:t>
      </w:r>
      <w:r w:rsidRPr="007B5D03">
        <w:rPr>
          <w:rFonts w:hAnsi="標楷體"/>
          <w:spacing w:val="-4"/>
          <w:sz w:val="30"/>
          <w:szCs w:val="30"/>
        </w:rPr>
        <w:t>之最終裁判。</w:t>
      </w:r>
    </w:p>
    <w:p w:rsidR="00514426" w:rsidRPr="007B5D03" w:rsidRDefault="00514426" w:rsidP="00EA5720">
      <w:pPr>
        <w:snapToGrid w:val="0"/>
        <w:spacing w:line="437" w:lineRule="exact"/>
        <w:ind w:left="2750"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次按案件經上訴第三審，經審理結果認為第</w:t>
      </w:r>
      <w:r w:rsidRPr="007B5D03">
        <w:rPr>
          <w:rFonts w:hAnsi="標楷體"/>
          <w:sz w:val="30"/>
          <w:szCs w:val="30"/>
        </w:rPr>
        <w:lastRenderedPageBreak/>
        <w:t>二審判決並無違誤之處，而駁回上訴，但第三審的判決未必引用被指摘為牴觸憲法的法規，遇此情形，第二審判決所適用的法規，仍然是確定終局裁判所適用之法規。（附件</w:t>
      </w:r>
      <w:r w:rsidRPr="007B5D03">
        <w:rPr>
          <w:sz w:val="30"/>
          <w:szCs w:val="30"/>
        </w:rPr>
        <w:t>13</w:t>
      </w:r>
      <w:r w:rsidRPr="007B5D03">
        <w:rPr>
          <w:rFonts w:hAnsi="標楷體"/>
          <w:sz w:val="30"/>
          <w:szCs w:val="30"/>
        </w:rPr>
        <w:t>，吳庚，憲法的解釋與適用，</w:t>
      </w:r>
      <w:r w:rsidRPr="007B5D03">
        <w:rPr>
          <w:sz w:val="30"/>
          <w:szCs w:val="30"/>
        </w:rPr>
        <w:t>93</w:t>
      </w:r>
      <w:r w:rsidRPr="007B5D03">
        <w:rPr>
          <w:rFonts w:hAnsi="標楷體"/>
          <w:sz w:val="30"/>
          <w:szCs w:val="30"/>
        </w:rPr>
        <w:t>年</w:t>
      </w:r>
      <w:r w:rsidRPr="007B5D03">
        <w:rPr>
          <w:sz w:val="30"/>
          <w:szCs w:val="30"/>
        </w:rPr>
        <w:t>6</w:t>
      </w:r>
      <w:r w:rsidRPr="007B5D03">
        <w:rPr>
          <w:rFonts w:hAnsi="標楷體"/>
          <w:sz w:val="30"/>
          <w:szCs w:val="30"/>
        </w:rPr>
        <w:t>月第</w:t>
      </w:r>
      <w:r w:rsidRPr="007B5D03">
        <w:rPr>
          <w:spacing w:val="-8"/>
          <w:sz w:val="30"/>
          <w:szCs w:val="30"/>
        </w:rPr>
        <w:t>3</w:t>
      </w:r>
      <w:r w:rsidRPr="007B5D03">
        <w:rPr>
          <w:rFonts w:hAnsi="標楷體"/>
          <w:spacing w:val="-8"/>
          <w:sz w:val="30"/>
          <w:szCs w:val="30"/>
        </w:rPr>
        <w:t>版，第</w:t>
      </w:r>
      <w:r w:rsidRPr="007B5D03">
        <w:rPr>
          <w:spacing w:val="-8"/>
          <w:sz w:val="30"/>
          <w:szCs w:val="30"/>
        </w:rPr>
        <w:t>387</w:t>
      </w:r>
      <w:r w:rsidRPr="007B5D03">
        <w:rPr>
          <w:rFonts w:hAnsi="標楷體"/>
          <w:spacing w:val="-8"/>
          <w:sz w:val="30"/>
          <w:szCs w:val="30"/>
        </w:rPr>
        <w:t>頁）職是，對於「確定終局裁判」</w:t>
      </w:r>
      <w:r w:rsidRPr="007B5D03">
        <w:rPr>
          <w:rFonts w:hAnsi="標楷體"/>
          <w:sz w:val="30"/>
          <w:szCs w:val="30"/>
        </w:rPr>
        <w:t>一詞之重點應在於用盡審級程序，而非僅能以最終審之裁判所適用之法令為釋憲標的，以本件而言，臺北高等行政法院</w:t>
      </w:r>
      <w:r w:rsidRPr="007B5D03">
        <w:rPr>
          <w:rFonts w:hAnsi="標楷體" w:hint="eastAsia"/>
          <w:sz w:val="30"/>
          <w:szCs w:val="30"/>
        </w:rPr>
        <w:t>確定</w:t>
      </w:r>
      <w:r w:rsidRPr="007B5D03">
        <w:rPr>
          <w:rFonts w:hAnsi="標楷體"/>
          <w:sz w:val="30"/>
          <w:szCs w:val="30"/>
        </w:rPr>
        <w:t>判決以</w:t>
      </w:r>
      <w:r w:rsidRPr="007B5D03">
        <w:rPr>
          <w:rFonts w:hAnsi="標楷體"/>
          <w:spacing w:val="-4"/>
          <w:sz w:val="30"/>
          <w:szCs w:val="30"/>
        </w:rPr>
        <w:t>財政部</w:t>
      </w:r>
      <w:r w:rsidRPr="007B5D03">
        <w:rPr>
          <w:spacing w:val="-4"/>
          <w:sz w:val="30"/>
          <w:szCs w:val="30"/>
        </w:rPr>
        <w:t>86</w:t>
      </w:r>
      <w:r w:rsidRPr="007B5D03">
        <w:rPr>
          <w:rFonts w:hAnsi="標楷體"/>
          <w:spacing w:val="-4"/>
          <w:sz w:val="30"/>
          <w:szCs w:val="30"/>
        </w:rPr>
        <w:t>年函釋判決聲請人對權證避險損失</w:t>
      </w:r>
      <w:r w:rsidRPr="007B5D03">
        <w:rPr>
          <w:rFonts w:hAnsi="標楷體"/>
          <w:sz w:val="30"/>
          <w:szCs w:val="30"/>
        </w:rPr>
        <w:t>之主張無理由，最高行政法院確定判決雖未</w:t>
      </w:r>
      <w:r w:rsidRPr="007B5D03">
        <w:rPr>
          <w:rFonts w:hAnsi="標楷體"/>
          <w:spacing w:val="-4"/>
          <w:sz w:val="30"/>
          <w:szCs w:val="30"/>
        </w:rPr>
        <w:t>就財政部</w:t>
      </w:r>
      <w:r w:rsidRPr="007B5D03">
        <w:rPr>
          <w:spacing w:val="-4"/>
          <w:sz w:val="30"/>
          <w:szCs w:val="30"/>
        </w:rPr>
        <w:t>86</w:t>
      </w:r>
      <w:r w:rsidRPr="007B5D03">
        <w:rPr>
          <w:rFonts w:hAnsi="標楷體"/>
          <w:spacing w:val="-4"/>
          <w:sz w:val="30"/>
          <w:szCs w:val="30"/>
        </w:rPr>
        <w:t>年函釋特別說明如何適用，但其</w:t>
      </w:r>
      <w:r w:rsidRPr="007B5D03">
        <w:rPr>
          <w:rFonts w:hAnsi="標楷體"/>
          <w:sz w:val="30"/>
          <w:szCs w:val="30"/>
        </w:rPr>
        <w:t>並未認定臺北高等行政法院</w:t>
      </w:r>
      <w:r w:rsidRPr="007B5D03">
        <w:rPr>
          <w:rFonts w:hAnsi="標楷體" w:hint="eastAsia"/>
          <w:sz w:val="30"/>
          <w:szCs w:val="30"/>
        </w:rPr>
        <w:t>確定</w:t>
      </w:r>
      <w:r w:rsidRPr="007B5D03">
        <w:rPr>
          <w:rFonts w:hAnsi="標楷體"/>
          <w:sz w:val="30"/>
          <w:szCs w:val="30"/>
        </w:rPr>
        <w:t>判決有所違誤，已詳如前述，故縱認最高行政法院確定</w:t>
      </w:r>
      <w:r w:rsidRPr="007B5D03">
        <w:rPr>
          <w:rFonts w:hAnsi="標楷體"/>
          <w:spacing w:val="-4"/>
          <w:sz w:val="30"/>
          <w:szCs w:val="30"/>
        </w:rPr>
        <w:t>判決未適用財政部</w:t>
      </w:r>
      <w:r w:rsidRPr="007B5D03">
        <w:rPr>
          <w:spacing w:val="-4"/>
          <w:sz w:val="30"/>
          <w:szCs w:val="30"/>
        </w:rPr>
        <w:t>86</w:t>
      </w:r>
      <w:r w:rsidRPr="007B5D03">
        <w:rPr>
          <w:rFonts w:hAnsi="標楷體"/>
          <w:spacing w:val="-4"/>
          <w:sz w:val="30"/>
          <w:szCs w:val="30"/>
        </w:rPr>
        <w:t>年函釋，自本件已用盡</w:t>
      </w:r>
      <w:r w:rsidRPr="007B5D03">
        <w:rPr>
          <w:rFonts w:hAnsi="標楷體"/>
          <w:sz w:val="30"/>
          <w:szCs w:val="30"/>
        </w:rPr>
        <w:t>審級救濟途徑及學者見解，亦應認為臺北高</w:t>
      </w:r>
      <w:r w:rsidRPr="007B5D03">
        <w:rPr>
          <w:rFonts w:hAnsi="標楷體"/>
          <w:spacing w:val="-4"/>
          <w:sz w:val="30"/>
          <w:szCs w:val="30"/>
        </w:rPr>
        <w:t>等行政法院</w:t>
      </w:r>
      <w:r w:rsidRPr="007B5D03">
        <w:rPr>
          <w:rFonts w:hAnsi="標楷體" w:hint="eastAsia"/>
          <w:spacing w:val="-4"/>
          <w:sz w:val="30"/>
          <w:szCs w:val="30"/>
        </w:rPr>
        <w:t>確定</w:t>
      </w:r>
      <w:r w:rsidRPr="007B5D03">
        <w:rPr>
          <w:rFonts w:hAnsi="標楷體"/>
          <w:spacing w:val="-4"/>
          <w:sz w:val="30"/>
          <w:szCs w:val="30"/>
        </w:rPr>
        <w:t>判決所適用之財政部</w:t>
      </w:r>
      <w:r w:rsidRPr="007B5D03">
        <w:rPr>
          <w:spacing w:val="-4"/>
          <w:sz w:val="30"/>
          <w:szCs w:val="30"/>
        </w:rPr>
        <w:t>86</w:t>
      </w:r>
      <w:r w:rsidRPr="007B5D03">
        <w:rPr>
          <w:rFonts w:hAnsi="標楷體"/>
          <w:spacing w:val="-4"/>
          <w:sz w:val="30"/>
          <w:szCs w:val="30"/>
        </w:rPr>
        <w:t>年函</w:t>
      </w:r>
      <w:r w:rsidRPr="007B5D03">
        <w:rPr>
          <w:rFonts w:hAnsi="標楷體"/>
          <w:sz w:val="30"/>
          <w:szCs w:val="30"/>
        </w:rPr>
        <w:t>釋為本釋憲聲請案之釋憲標的。</w:t>
      </w:r>
    </w:p>
    <w:p w:rsidR="00514426" w:rsidRPr="007B5D03" w:rsidRDefault="00514426" w:rsidP="00EA5720">
      <w:pPr>
        <w:snapToGrid w:val="0"/>
        <w:spacing w:line="437" w:lineRule="exact"/>
        <w:ind w:left="2750"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又按，參照　鈞院對適用簡易程序之裁判提起上訴，經最高行政法院不許可而駁回上訴之案件，均允許以臺北高等行政法院判決所適用之法令作為釋憲標的，例如　鈞院釋字第</w:t>
      </w:r>
      <w:r w:rsidRPr="007B5D03">
        <w:rPr>
          <w:sz w:val="30"/>
          <w:szCs w:val="30"/>
        </w:rPr>
        <w:t>615</w:t>
      </w:r>
      <w:r w:rsidRPr="007B5D03">
        <w:rPr>
          <w:rFonts w:hAnsi="標楷體"/>
          <w:sz w:val="30"/>
          <w:szCs w:val="30"/>
        </w:rPr>
        <w:t>號解釋理由書略以：「本件聲請人就臺北高等行政法院九十二年度簡字第七三三號判決及最高行政法院九十四年度裁字第</w:t>
      </w:r>
      <w:r w:rsidRPr="007B5D03">
        <w:rPr>
          <w:rFonts w:ascii="標楷體" w:hAnsi="標楷體" w:hint="eastAsia"/>
          <w:sz w:val="30"/>
          <w:szCs w:val="30"/>
        </w:rPr>
        <w:t>０</w:t>
      </w:r>
      <w:r w:rsidRPr="007B5D03">
        <w:rPr>
          <w:rFonts w:hAnsi="標楷體"/>
          <w:sz w:val="30"/>
          <w:szCs w:val="30"/>
        </w:rPr>
        <w:t>一三六五號裁定所適用之所得稅法施行細則</w:t>
      </w:r>
      <w:r w:rsidRPr="007B5D03">
        <w:rPr>
          <w:rFonts w:hAnsi="標楷體"/>
          <w:sz w:val="30"/>
          <w:szCs w:val="30"/>
        </w:rPr>
        <w:lastRenderedPageBreak/>
        <w:t>第二十五條（第二項）規定及財政部八十一年二月十一日台財稅第八</w:t>
      </w:r>
      <w:r w:rsidRPr="007B5D03">
        <w:rPr>
          <w:rFonts w:ascii="標楷體" w:hAnsi="標楷體" w:hint="eastAsia"/>
          <w:sz w:val="30"/>
          <w:szCs w:val="30"/>
        </w:rPr>
        <w:t>０</w:t>
      </w:r>
      <w:r w:rsidRPr="007B5D03">
        <w:rPr>
          <w:rFonts w:hAnsi="標楷體"/>
          <w:sz w:val="30"/>
          <w:szCs w:val="30"/>
        </w:rPr>
        <w:t>一七九九九七三號、八十七年三月十九日台財稅第八七一九三四六</w:t>
      </w:r>
      <w:r w:rsidRPr="007B5D03">
        <w:rPr>
          <w:rFonts w:ascii="標楷體" w:hAnsi="標楷體" w:hint="eastAsia"/>
          <w:sz w:val="30"/>
          <w:szCs w:val="30"/>
        </w:rPr>
        <w:t>０</w:t>
      </w:r>
      <w:r w:rsidRPr="007B5D03">
        <w:rPr>
          <w:rFonts w:hAnsi="標楷體"/>
          <w:sz w:val="30"/>
          <w:szCs w:val="30"/>
        </w:rPr>
        <w:t>六號函釋，聲請解釋憲法。查上開最高行政法院裁定係以聲請人對上開臺北高等行政法院適用簡易程序之判決提起上訴，不符合訴訟事件所涉及之法律見解具有原則性之要件，不予許可，並未適用上開法規及函釋，而以上訴不合法從程序上予以駁回。因聲請人已依法定程序盡其審級救濟，且非對裁判適用法律所表示之見解，而係對上開法令是否違憲聲請解釋，故應以上開臺北高等行政法院判決為確定終局判決，就其所適</w:t>
      </w:r>
      <w:r w:rsidRPr="007B5D03">
        <w:rPr>
          <w:rFonts w:hAnsi="標楷體"/>
          <w:spacing w:val="-4"/>
          <w:sz w:val="30"/>
          <w:szCs w:val="30"/>
        </w:rPr>
        <w:t>用之上開法規及函釋予以解釋，合先敘明。」</w:t>
      </w:r>
      <w:r w:rsidRPr="007B5D03">
        <w:rPr>
          <w:rFonts w:hAnsi="標楷體"/>
          <w:sz w:val="30"/>
          <w:szCs w:val="30"/>
        </w:rPr>
        <w:t xml:space="preserve">　</w:t>
      </w:r>
      <w:r w:rsidRPr="007B5D03">
        <w:rPr>
          <w:rFonts w:hAnsi="標楷體"/>
          <w:spacing w:val="-8"/>
          <w:sz w:val="30"/>
          <w:szCs w:val="30"/>
        </w:rPr>
        <w:t>鈞院釋字第</w:t>
      </w:r>
      <w:r w:rsidRPr="007B5D03">
        <w:rPr>
          <w:spacing w:val="-8"/>
          <w:sz w:val="30"/>
          <w:szCs w:val="30"/>
        </w:rPr>
        <w:t>649</w:t>
      </w:r>
      <w:r w:rsidRPr="007B5D03">
        <w:rPr>
          <w:rFonts w:hAnsi="標楷體"/>
          <w:spacing w:val="-8"/>
          <w:sz w:val="30"/>
          <w:szCs w:val="30"/>
        </w:rPr>
        <w:t>號</w:t>
      </w:r>
      <w:r w:rsidRPr="007B5D03">
        <w:rPr>
          <w:rFonts w:hAnsi="標楷體" w:hint="eastAsia"/>
          <w:spacing w:val="-8"/>
          <w:sz w:val="30"/>
          <w:szCs w:val="30"/>
        </w:rPr>
        <w:t>解釋</w:t>
      </w:r>
      <w:r w:rsidRPr="007B5D03">
        <w:rPr>
          <w:rFonts w:hAnsi="標楷體"/>
          <w:spacing w:val="-8"/>
          <w:sz w:val="30"/>
          <w:szCs w:val="30"/>
        </w:rPr>
        <w:t>亦屬相同情形；另　鈞</w:t>
      </w:r>
      <w:r w:rsidRPr="007B5D03">
        <w:rPr>
          <w:rFonts w:hAnsi="標楷體"/>
          <w:sz w:val="30"/>
          <w:szCs w:val="30"/>
        </w:rPr>
        <w:t>院對法律審法院以上訴理由未具體指摘原判決違法而裁定駁回之案件，亦准依高等法院或高等行政法院判決所適用之法規作為釋憲標的，可參諸</w:t>
      </w:r>
      <w:r w:rsidRPr="007B5D03">
        <w:rPr>
          <w:rFonts w:hAnsi="標楷體" w:hint="eastAsia"/>
          <w:sz w:val="30"/>
          <w:szCs w:val="30"/>
        </w:rPr>
        <w:t>釋字第</w:t>
      </w:r>
      <w:r w:rsidRPr="007B5D03">
        <w:rPr>
          <w:sz w:val="30"/>
          <w:szCs w:val="30"/>
        </w:rPr>
        <w:t>596</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z w:val="30"/>
          <w:szCs w:val="30"/>
        </w:rPr>
        <w:t>640</w:t>
      </w:r>
      <w:r w:rsidRPr="007B5D03">
        <w:rPr>
          <w:rFonts w:hint="eastAsia"/>
          <w:sz w:val="30"/>
          <w:szCs w:val="30"/>
        </w:rPr>
        <w:t>號</w:t>
      </w:r>
      <w:r w:rsidRPr="007B5D03">
        <w:rPr>
          <w:rFonts w:hAnsi="標楷體"/>
          <w:sz w:val="30"/>
          <w:szCs w:val="30"/>
        </w:rPr>
        <w:t>、</w:t>
      </w:r>
      <w:r w:rsidRPr="007B5D03">
        <w:rPr>
          <w:rFonts w:hAnsi="標楷體" w:hint="eastAsia"/>
          <w:sz w:val="30"/>
          <w:szCs w:val="30"/>
        </w:rPr>
        <w:t>第</w:t>
      </w:r>
      <w:r w:rsidRPr="007B5D03">
        <w:rPr>
          <w:spacing w:val="-4"/>
          <w:sz w:val="30"/>
          <w:szCs w:val="30"/>
        </w:rPr>
        <w:t>642</w:t>
      </w:r>
      <w:r w:rsidRPr="007B5D03">
        <w:rPr>
          <w:rFonts w:hint="eastAsia"/>
          <w:spacing w:val="-4"/>
          <w:sz w:val="30"/>
          <w:szCs w:val="30"/>
        </w:rPr>
        <w:t>號</w:t>
      </w:r>
      <w:r w:rsidRPr="007B5D03">
        <w:rPr>
          <w:rFonts w:hAnsi="標楷體"/>
          <w:spacing w:val="-4"/>
          <w:sz w:val="30"/>
          <w:szCs w:val="30"/>
        </w:rPr>
        <w:t>、</w:t>
      </w:r>
      <w:r w:rsidRPr="007B5D03">
        <w:rPr>
          <w:rFonts w:hAnsi="標楷體" w:hint="eastAsia"/>
          <w:spacing w:val="-4"/>
          <w:sz w:val="30"/>
          <w:szCs w:val="30"/>
        </w:rPr>
        <w:t>第</w:t>
      </w:r>
      <w:r w:rsidRPr="007B5D03">
        <w:rPr>
          <w:spacing w:val="-4"/>
          <w:sz w:val="30"/>
          <w:szCs w:val="30"/>
        </w:rPr>
        <w:t>648</w:t>
      </w:r>
      <w:r w:rsidRPr="007B5D03">
        <w:rPr>
          <w:rFonts w:hint="eastAsia"/>
          <w:spacing w:val="-4"/>
          <w:sz w:val="30"/>
          <w:szCs w:val="30"/>
        </w:rPr>
        <w:t>號</w:t>
      </w:r>
      <w:r w:rsidRPr="007B5D03">
        <w:rPr>
          <w:rFonts w:hAnsi="標楷體"/>
          <w:spacing w:val="-4"/>
          <w:sz w:val="30"/>
          <w:szCs w:val="30"/>
        </w:rPr>
        <w:t>、</w:t>
      </w:r>
      <w:r w:rsidRPr="007B5D03">
        <w:rPr>
          <w:rFonts w:hAnsi="標楷體" w:hint="eastAsia"/>
          <w:spacing w:val="-4"/>
          <w:sz w:val="30"/>
          <w:szCs w:val="30"/>
        </w:rPr>
        <w:t>第</w:t>
      </w:r>
      <w:r w:rsidRPr="007B5D03">
        <w:rPr>
          <w:spacing w:val="-4"/>
          <w:sz w:val="30"/>
          <w:szCs w:val="30"/>
        </w:rPr>
        <w:t>657</w:t>
      </w:r>
      <w:r w:rsidRPr="007B5D03">
        <w:rPr>
          <w:rFonts w:hAnsi="標楷體"/>
          <w:spacing w:val="-4"/>
          <w:sz w:val="30"/>
          <w:szCs w:val="30"/>
        </w:rPr>
        <w:t>號解釋之案情。準</w:t>
      </w:r>
      <w:r w:rsidRPr="007B5D03">
        <w:rPr>
          <w:rFonts w:hAnsi="標楷體"/>
          <w:sz w:val="30"/>
          <w:szCs w:val="30"/>
        </w:rPr>
        <w:t>此以言，　鈞院亦以是否用盡審級救濟作為確定終局裁判之判準，縱算因最高行政法院以上訴不合法裁定駁回案件，亦得以高等行政法院判決所適用之法規作為釋憲標的，循此，此種裁定駁回案件之實體既判力仍包括一審所實體審理部分，此點與最高行政法院</w:t>
      </w:r>
      <w:r w:rsidRPr="007B5D03">
        <w:rPr>
          <w:rFonts w:hAnsi="標楷體"/>
          <w:sz w:val="30"/>
          <w:szCs w:val="30"/>
        </w:rPr>
        <w:lastRenderedPageBreak/>
        <w:t>以無理由駁回上訴之情形相同，均以一審判決實體審理部分作為既判力所及範圍，而與最高行政法院自為判決之情形有別，故依前揭學者之見，無庸區分第三審（法律審）以判決或裁定駁回上訴，如最高行政法院裁判未特別引用違憲之法規時，仍得以高等法院（高等行政法院）適用之法規為釋憲標的。</w:t>
      </w:r>
    </w:p>
    <w:p w:rsidR="00514426" w:rsidRPr="007B5D03" w:rsidRDefault="00514426" w:rsidP="00EA5720">
      <w:pPr>
        <w:snapToGrid w:val="0"/>
        <w:spacing w:line="437" w:lineRule="exact"/>
        <w:ind w:left="2750"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承上，本件釋憲聲請縱不能認為最高行政法</w:t>
      </w:r>
      <w:r w:rsidRPr="007B5D03">
        <w:rPr>
          <w:rFonts w:hAnsi="標楷體"/>
          <w:spacing w:val="-4"/>
          <w:sz w:val="30"/>
          <w:szCs w:val="30"/>
        </w:rPr>
        <w:t>院確有援用財政部</w:t>
      </w:r>
      <w:r w:rsidRPr="007B5D03">
        <w:rPr>
          <w:spacing w:val="-4"/>
          <w:sz w:val="30"/>
          <w:szCs w:val="30"/>
        </w:rPr>
        <w:t>86</w:t>
      </w:r>
      <w:r w:rsidRPr="007B5D03">
        <w:rPr>
          <w:rFonts w:hAnsi="標楷體"/>
          <w:spacing w:val="-4"/>
          <w:sz w:val="30"/>
          <w:szCs w:val="30"/>
        </w:rPr>
        <w:t>年函釋，惟臺北高等行政法院</w:t>
      </w:r>
      <w:r w:rsidRPr="007B5D03">
        <w:rPr>
          <w:rFonts w:hAnsi="標楷體" w:hint="eastAsia"/>
          <w:spacing w:val="-4"/>
          <w:sz w:val="30"/>
          <w:szCs w:val="30"/>
        </w:rPr>
        <w:t>確定</w:t>
      </w:r>
      <w:r w:rsidRPr="007B5D03">
        <w:rPr>
          <w:rFonts w:hAnsi="標楷體"/>
          <w:spacing w:val="-4"/>
          <w:sz w:val="30"/>
          <w:szCs w:val="30"/>
        </w:rPr>
        <w:t>判決既已援用財政部</w:t>
      </w:r>
      <w:r w:rsidRPr="007B5D03">
        <w:rPr>
          <w:spacing w:val="-4"/>
          <w:sz w:val="30"/>
          <w:szCs w:val="30"/>
        </w:rPr>
        <w:t>86</w:t>
      </w:r>
      <w:r w:rsidRPr="007B5D03">
        <w:rPr>
          <w:rFonts w:hAnsi="標楷體"/>
          <w:spacing w:val="-4"/>
          <w:sz w:val="30"/>
          <w:szCs w:val="30"/>
        </w:rPr>
        <w:t>年函釋，</w:t>
      </w:r>
      <w:r w:rsidRPr="007B5D03">
        <w:rPr>
          <w:rFonts w:hAnsi="標楷體"/>
          <w:sz w:val="30"/>
          <w:szCs w:val="30"/>
        </w:rPr>
        <w:t>衡諸上開對確定終局裁判之解釋，在本件已盡審級救濟程序之情形下，應符合司法院大法官審理案件法第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款之聲請</w:t>
      </w:r>
      <w:r w:rsidRPr="007B5D03">
        <w:rPr>
          <w:rFonts w:hAnsi="標楷體"/>
          <w:spacing w:val="-4"/>
          <w:sz w:val="30"/>
          <w:szCs w:val="30"/>
        </w:rPr>
        <w:t>釋憲要件，得以財政部</w:t>
      </w:r>
      <w:r w:rsidRPr="007B5D03">
        <w:rPr>
          <w:spacing w:val="-4"/>
          <w:sz w:val="30"/>
          <w:szCs w:val="30"/>
        </w:rPr>
        <w:t>86</w:t>
      </w:r>
      <w:r w:rsidRPr="007B5D03">
        <w:rPr>
          <w:rFonts w:hAnsi="標楷體"/>
          <w:spacing w:val="-4"/>
          <w:sz w:val="30"/>
          <w:szCs w:val="30"/>
        </w:rPr>
        <w:t>年函釋作為釋憲標</w:t>
      </w:r>
      <w:r w:rsidRPr="007B5D03">
        <w:rPr>
          <w:rFonts w:hAnsi="標楷體"/>
          <w:sz w:val="30"/>
          <w:szCs w:val="30"/>
        </w:rPr>
        <w:t>的。</w:t>
      </w:r>
    </w:p>
    <w:p w:rsidR="00514426" w:rsidRPr="007B5D03" w:rsidRDefault="00514426" w:rsidP="007B5D03">
      <w:pPr>
        <w:snapToGrid w:val="0"/>
        <w:spacing w:line="437" w:lineRule="exact"/>
        <w:ind w:left="2002" w:hanging="312"/>
        <w:rPr>
          <w:sz w:val="30"/>
          <w:szCs w:val="30"/>
        </w:rPr>
      </w:pPr>
      <w:r w:rsidRPr="007B5D03">
        <w:rPr>
          <w:rFonts w:ascii="標楷體" w:hAnsi="標楷體"/>
          <w:sz w:val="30"/>
          <w:szCs w:val="30"/>
        </w:rPr>
        <w:t>2.</w:t>
      </w:r>
      <w:r w:rsidRPr="007B5D03">
        <w:rPr>
          <w:rFonts w:hAnsi="標楷體"/>
          <w:sz w:val="30"/>
          <w:szCs w:val="30"/>
        </w:rPr>
        <w:t>依形式合憲性檢驗標準，財政部</w:t>
      </w:r>
      <w:r w:rsidRPr="007B5D03">
        <w:rPr>
          <w:sz w:val="30"/>
          <w:szCs w:val="30"/>
        </w:rPr>
        <w:t>86</w:t>
      </w:r>
      <w:r w:rsidRPr="007B5D03">
        <w:rPr>
          <w:rFonts w:hAnsi="標楷體"/>
          <w:sz w:val="30"/>
          <w:szCs w:val="30"/>
        </w:rPr>
        <w:t>年函釋有違修正前所得稅法第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項之規定，且逾越所得稅法第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的可能文義範圍，增加法律所無之課稅要件</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(1)</w:t>
      </w:r>
      <w:r w:rsidRPr="007B5D03">
        <w:rPr>
          <w:rFonts w:hAnsi="標楷體"/>
          <w:sz w:val="30"/>
          <w:szCs w:val="30"/>
        </w:rPr>
        <w:t>按「憲法第十九條規定，人民有依法律納稅之義</w:t>
      </w:r>
      <w:r w:rsidRPr="00EB68DB">
        <w:rPr>
          <w:rFonts w:hAnsi="標楷體"/>
          <w:spacing w:val="-4"/>
          <w:sz w:val="30"/>
          <w:szCs w:val="30"/>
        </w:rPr>
        <w:t>務，係指國家課人民以繳納稅捐之義務或給予人</w:t>
      </w:r>
      <w:r w:rsidRPr="007B5D03">
        <w:rPr>
          <w:rFonts w:hAnsi="標楷體"/>
          <w:sz w:val="30"/>
          <w:szCs w:val="30"/>
        </w:rPr>
        <w:t>民減免稅捐之優惠時，應就租稅主體、租稅客</w:t>
      </w:r>
      <w:r w:rsidRPr="00EB68DB">
        <w:rPr>
          <w:rFonts w:hAnsi="標楷體"/>
          <w:spacing w:val="-4"/>
          <w:sz w:val="30"/>
          <w:szCs w:val="30"/>
        </w:rPr>
        <w:t>體、稅基、稅率等租稅構成要件，以法律或法律明確授權之命令定之；如以法律授權主管機關發布命令為補充規定時，其授權應符合具體明確之原則；若僅屬執行法律之細節性、技術性次要事項，始得</w:t>
      </w:r>
      <w:r w:rsidRPr="00EB68DB">
        <w:rPr>
          <w:rFonts w:hAnsi="標楷體"/>
          <w:spacing w:val="-4"/>
          <w:sz w:val="30"/>
          <w:szCs w:val="30"/>
        </w:rPr>
        <w:lastRenderedPageBreak/>
        <w:t>由主管機關發布命令為必要之規範，迭</w:t>
      </w:r>
      <w:r w:rsidRPr="00EB68DB">
        <w:rPr>
          <w:rFonts w:hAnsi="標楷體"/>
          <w:spacing w:val="-2"/>
          <w:sz w:val="30"/>
          <w:szCs w:val="30"/>
        </w:rPr>
        <w:t>經本院解釋在案</w:t>
      </w:r>
      <w:r w:rsidRPr="00EB68DB">
        <w:rPr>
          <w:rFonts w:hint="eastAsia"/>
          <w:spacing w:val="-2"/>
          <w:sz w:val="30"/>
          <w:szCs w:val="30"/>
        </w:rPr>
        <w:t>……</w:t>
      </w:r>
      <w:r w:rsidRPr="00EB68DB">
        <w:rPr>
          <w:rFonts w:hAnsi="標楷體"/>
          <w:spacing w:val="-2"/>
          <w:sz w:val="30"/>
          <w:szCs w:val="30"/>
        </w:rPr>
        <w:t>財政部八十一年一月十三</w:t>
      </w:r>
      <w:r w:rsidRPr="00EB68DB">
        <w:rPr>
          <w:rFonts w:hAnsi="標楷體"/>
          <w:spacing w:val="4"/>
          <w:sz w:val="30"/>
          <w:szCs w:val="30"/>
        </w:rPr>
        <w:t>日修正發布之營利事業所得稅查核準則第三十</w:t>
      </w:r>
      <w:r w:rsidRPr="00EB68DB">
        <w:rPr>
          <w:rFonts w:hAnsi="標楷體"/>
          <w:spacing w:val="-4"/>
          <w:sz w:val="30"/>
          <w:szCs w:val="30"/>
        </w:rPr>
        <w:t>六條之一規定：『公司組織之股東、董事、監察人代收公司款項，不於相當期間照繳或挪用公司款項，應按當年</w:t>
      </w:r>
      <w:smartTag w:uri="urn:schemas-microsoft-com:office:smarttags" w:element="chsdate">
        <w:smartTagPr>
          <w:attr w:name="Year" w:val="2008"/>
          <w:attr w:name="Month" w:val="1"/>
          <w:attr w:name="Day" w:val="1"/>
          <w:attr w:name="IsLunarDate" w:val="False"/>
          <w:attr w:name="IsROCDate" w:val="False"/>
        </w:smartTagPr>
        <w:r w:rsidRPr="00EB68DB">
          <w:rPr>
            <w:rFonts w:hAnsi="標楷體"/>
            <w:spacing w:val="-4"/>
            <w:sz w:val="30"/>
            <w:szCs w:val="30"/>
          </w:rPr>
          <w:t>一月一日</w:t>
        </w:r>
      </w:smartTag>
      <w:r w:rsidRPr="00EB68DB">
        <w:rPr>
          <w:rFonts w:hAnsi="標楷體"/>
          <w:spacing w:val="-4"/>
          <w:sz w:val="30"/>
          <w:szCs w:val="30"/>
        </w:rPr>
        <w:t>所適用臺灣銀行之基本放款利率計算利息收入課稅。公司之資金貸與股</w:t>
      </w:r>
      <w:r w:rsidRPr="00EB68DB">
        <w:rPr>
          <w:rFonts w:hAnsi="標楷體"/>
          <w:sz w:val="30"/>
          <w:szCs w:val="30"/>
        </w:rPr>
        <w:t>東或任何他人未收取利息，或約定之利息偏低</w:t>
      </w:r>
      <w:r w:rsidRPr="00EB68DB">
        <w:rPr>
          <w:rFonts w:hAnsi="標楷體"/>
          <w:spacing w:val="-4"/>
          <w:sz w:val="30"/>
          <w:szCs w:val="30"/>
        </w:rPr>
        <w:t>者，比照前項規定辦理。』稽徵機關依本條第二</w:t>
      </w:r>
      <w:r w:rsidRPr="00EB68DB">
        <w:rPr>
          <w:rFonts w:hAnsi="標楷體"/>
          <w:sz w:val="30"/>
          <w:szCs w:val="30"/>
        </w:rPr>
        <w:t>項規定得就公司資金貸與股東或他人而未收取</w:t>
      </w:r>
      <w:r w:rsidRPr="00EB68DB">
        <w:rPr>
          <w:rFonts w:hAnsi="標楷體"/>
          <w:spacing w:val="-4"/>
          <w:sz w:val="30"/>
          <w:szCs w:val="30"/>
        </w:rPr>
        <w:t>利息等情形，逕予設算利息收入，據以課徵營利事業所得稅。惟上開查核準則之訂定，並無所得稅法之明確授權；其第三十六條之一第二項擬制設算利息收入之規定，亦欠缺法律之依據，縱於實務上施行已久，或有助於增加國家財政收入、減少稽徵成本，甚或有防杜租稅規避之效果，惟此一規定擴張或擬制實際上並未收取之利息，涉及租稅客體之範圍，並非稽徵機關執行所得稅法之技術性或細節性事項，顯已逾越所得稅法之規定，增加納稅義務人法律所無之租稅義務，與憲法第十九條規定之意旨不符，應自本解釋公布之日起失其效力。」有　鈞院釋字第</w:t>
      </w:r>
      <w:r w:rsidRPr="00EB68DB">
        <w:rPr>
          <w:spacing w:val="-4"/>
          <w:sz w:val="30"/>
          <w:szCs w:val="30"/>
        </w:rPr>
        <w:t>650</w:t>
      </w:r>
      <w:r w:rsidRPr="00EB68DB">
        <w:rPr>
          <w:rFonts w:hAnsi="標楷體"/>
          <w:spacing w:val="-4"/>
          <w:sz w:val="30"/>
          <w:szCs w:val="30"/>
        </w:rPr>
        <w:t>號解釋理由書可考，是對於租稅客體必須以法律或明確授權之法規命令定之，始得防免對租稅法律主義之違反，而不得概括授權行政機關制定子法或甚至解釋令函之方式加以規範。</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(2)</w:t>
      </w:r>
      <w:r w:rsidRPr="00EB68DB">
        <w:rPr>
          <w:rFonts w:hAnsi="標楷體"/>
          <w:spacing w:val="-4"/>
          <w:sz w:val="30"/>
          <w:szCs w:val="30"/>
        </w:rPr>
        <w:t>次按行為時</w:t>
      </w:r>
      <w:r w:rsidRPr="00EB68DB">
        <w:rPr>
          <w:rFonts w:hAnsi="標楷體" w:hint="eastAsia"/>
          <w:spacing w:val="-4"/>
          <w:sz w:val="30"/>
          <w:szCs w:val="30"/>
        </w:rPr>
        <w:t>所得稅法</w:t>
      </w:r>
      <w:r w:rsidRPr="00EB68DB">
        <w:rPr>
          <w:rFonts w:hAnsi="標楷體"/>
          <w:spacing w:val="-4"/>
          <w:sz w:val="30"/>
          <w:szCs w:val="30"/>
        </w:rPr>
        <w:t>第</w:t>
      </w:r>
      <w:r w:rsidRPr="00EB68DB">
        <w:rPr>
          <w:spacing w:val="-4"/>
          <w:sz w:val="30"/>
          <w:szCs w:val="30"/>
        </w:rPr>
        <w:t>24</w:t>
      </w:r>
      <w:r w:rsidRPr="00EB68DB">
        <w:rPr>
          <w:rFonts w:hAnsi="標楷體"/>
          <w:spacing w:val="-4"/>
          <w:sz w:val="30"/>
          <w:szCs w:val="30"/>
        </w:rPr>
        <w:t>條第</w:t>
      </w:r>
      <w:r w:rsidRPr="00EB68DB">
        <w:rPr>
          <w:spacing w:val="-4"/>
          <w:sz w:val="30"/>
          <w:szCs w:val="30"/>
        </w:rPr>
        <w:t>1</w:t>
      </w:r>
      <w:r w:rsidRPr="00EB68DB">
        <w:rPr>
          <w:rFonts w:hAnsi="標楷體"/>
          <w:spacing w:val="-4"/>
          <w:sz w:val="30"/>
          <w:szCs w:val="30"/>
        </w:rPr>
        <w:t>項規定：「營利</w:t>
      </w:r>
      <w:r w:rsidRPr="00EB68DB">
        <w:rPr>
          <w:rFonts w:hAnsi="標楷體"/>
          <w:spacing w:val="-4"/>
          <w:sz w:val="30"/>
          <w:szCs w:val="30"/>
        </w:rPr>
        <w:lastRenderedPageBreak/>
        <w:t>事業所得之計算，以其本年度收入總額減除各項成本費用、損失及稅捐後之純益額為所得額。」依　鈞院釋字第</w:t>
      </w:r>
      <w:r w:rsidRPr="00EB68DB">
        <w:rPr>
          <w:spacing w:val="-4"/>
          <w:sz w:val="30"/>
          <w:szCs w:val="30"/>
        </w:rPr>
        <w:t>607</w:t>
      </w:r>
      <w:r w:rsidRPr="00EB68DB">
        <w:rPr>
          <w:rFonts w:hAnsi="標楷體"/>
          <w:spacing w:val="-4"/>
          <w:sz w:val="30"/>
          <w:szCs w:val="30"/>
        </w:rPr>
        <w:t>號解釋理由書闡釋</w:t>
      </w:r>
      <w:r w:rsidRPr="00EB68DB">
        <w:rPr>
          <w:rFonts w:hAnsi="標楷體" w:hint="eastAsia"/>
          <w:spacing w:val="-4"/>
          <w:sz w:val="30"/>
          <w:szCs w:val="30"/>
        </w:rPr>
        <w:t>：</w:t>
      </w:r>
      <w:r w:rsidRPr="00EB68DB">
        <w:rPr>
          <w:rFonts w:hAnsi="標楷體"/>
          <w:spacing w:val="-4"/>
          <w:sz w:val="30"/>
          <w:szCs w:val="30"/>
        </w:rPr>
        <w:t>「所得稅法關於營利事業所得稅之課徵客體，為營利事業之收益，包括營業增益及非營業增益，除具有法定減免事由外，均應予以課稅。按所得稅法第</w:t>
      </w:r>
      <w:r w:rsidRPr="00EB68DB">
        <w:rPr>
          <w:rFonts w:hint="eastAsia"/>
          <w:spacing w:val="-4"/>
          <w:sz w:val="30"/>
          <w:szCs w:val="30"/>
        </w:rPr>
        <w:t>二十四</w:t>
      </w:r>
      <w:r w:rsidRPr="00EB68DB">
        <w:rPr>
          <w:rFonts w:hAnsi="標楷體"/>
          <w:spacing w:val="-4"/>
          <w:sz w:val="30"/>
          <w:szCs w:val="30"/>
        </w:rPr>
        <w:t>條第</w:t>
      </w:r>
      <w:r w:rsidRPr="00EB68DB">
        <w:rPr>
          <w:rFonts w:hint="eastAsia"/>
          <w:spacing w:val="-4"/>
          <w:sz w:val="30"/>
          <w:szCs w:val="30"/>
        </w:rPr>
        <w:t>一</w:t>
      </w:r>
      <w:r w:rsidRPr="00EB68DB">
        <w:rPr>
          <w:rFonts w:hAnsi="標楷體"/>
          <w:spacing w:val="-4"/>
          <w:sz w:val="30"/>
          <w:szCs w:val="30"/>
        </w:rPr>
        <w:t>項規定：</w:t>
      </w:r>
      <w:r w:rsidRPr="00EB68DB">
        <w:rPr>
          <w:rFonts w:hAnsi="標楷體" w:hint="eastAsia"/>
          <w:spacing w:val="-4"/>
          <w:sz w:val="30"/>
          <w:szCs w:val="30"/>
        </w:rPr>
        <w:t>『</w:t>
      </w:r>
      <w:r w:rsidRPr="00EB68DB">
        <w:rPr>
          <w:rFonts w:hAnsi="標楷體"/>
          <w:spacing w:val="-4"/>
          <w:sz w:val="30"/>
          <w:szCs w:val="30"/>
        </w:rPr>
        <w:t>營利事業所得之計算，以其本年度收入總額減除各項成本費用、損失及稅捐後之純益額為所得額</w:t>
      </w:r>
      <w:r w:rsidRPr="00EB68DB">
        <w:rPr>
          <w:rFonts w:hAnsi="標楷體" w:hint="eastAsia"/>
          <w:spacing w:val="-4"/>
          <w:sz w:val="30"/>
          <w:szCs w:val="30"/>
        </w:rPr>
        <w:t>』</w:t>
      </w:r>
      <w:r w:rsidRPr="00EB68DB">
        <w:rPr>
          <w:rFonts w:hAnsi="標楷體"/>
          <w:spacing w:val="-4"/>
          <w:sz w:val="30"/>
          <w:szCs w:val="30"/>
        </w:rPr>
        <w:t>。所謂</w:t>
      </w:r>
      <w:r w:rsidRPr="00EB68DB">
        <w:rPr>
          <w:rFonts w:hAnsi="標楷體" w:hint="eastAsia"/>
          <w:spacing w:val="-4"/>
          <w:sz w:val="30"/>
          <w:szCs w:val="30"/>
        </w:rPr>
        <w:t>『</w:t>
      </w:r>
      <w:r w:rsidRPr="00EB68DB">
        <w:rPr>
          <w:rFonts w:hAnsi="標楷體"/>
          <w:spacing w:val="-4"/>
          <w:sz w:val="30"/>
          <w:szCs w:val="30"/>
        </w:rPr>
        <w:t>年度收入總額</w:t>
      </w:r>
      <w:r w:rsidRPr="00EB68DB">
        <w:rPr>
          <w:rFonts w:hAnsi="標楷體" w:hint="eastAsia"/>
          <w:spacing w:val="-4"/>
          <w:sz w:val="30"/>
          <w:szCs w:val="30"/>
        </w:rPr>
        <w:t>』</w:t>
      </w:r>
      <w:r w:rsidRPr="00EB68DB">
        <w:rPr>
          <w:rFonts w:hAnsi="標楷體"/>
          <w:spacing w:val="-4"/>
          <w:sz w:val="30"/>
          <w:szCs w:val="30"/>
        </w:rPr>
        <w:t>及供計算所得額之項目則由同法施行細則第</w:t>
      </w:r>
      <w:r w:rsidRPr="00EB68DB">
        <w:rPr>
          <w:rFonts w:hint="eastAsia"/>
          <w:sz w:val="30"/>
          <w:szCs w:val="30"/>
        </w:rPr>
        <w:t>三十一</w:t>
      </w:r>
      <w:r w:rsidRPr="00EB68DB">
        <w:rPr>
          <w:rFonts w:hAnsi="標楷體"/>
          <w:sz w:val="30"/>
          <w:szCs w:val="30"/>
        </w:rPr>
        <w:t>條規定為營業淨利＋非營業收益－非營</w:t>
      </w:r>
      <w:r w:rsidRPr="00EB68DB">
        <w:rPr>
          <w:rFonts w:hAnsi="標楷體"/>
          <w:spacing w:val="-4"/>
          <w:sz w:val="30"/>
          <w:szCs w:val="30"/>
        </w:rPr>
        <w:t>業損失＝純益額（即所得額），至於免稅項目則列舉規定於所得稅法第</w:t>
      </w:r>
      <w:r w:rsidRPr="00EB68DB">
        <w:rPr>
          <w:rFonts w:hint="eastAsia"/>
          <w:spacing w:val="-4"/>
          <w:sz w:val="30"/>
          <w:szCs w:val="30"/>
        </w:rPr>
        <w:t>四</w:t>
      </w:r>
      <w:r w:rsidRPr="00EB68DB">
        <w:rPr>
          <w:rFonts w:hAnsi="標楷體"/>
          <w:spacing w:val="-4"/>
          <w:sz w:val="30"/>
          <w:szCs w:val="30"/>
        </w:rPr>
        <w:t>條，觀諸所得稅法第</w:t>
      </w:r>
      <w:r w:rsidRPr="00EB68DB">
        <w:rPr>
          <w:rFonts w:hint="eastAsia"/>
          <w:spacing w:val="-4"/>
          <w:sz w:val="30"/>
          <w:szCs w:val="30"/>
        </w:rPr>
        <w:t>三</w:t>
      </w:r>
      <w:r w:rsidRPr="00EB68DB">
        <w:rPr>
          <w:rFonts w:hAnsi="標楷體"/>
          <w:spacing w:val="-4"/>
          <w:sz w:val="30"/>
          <w:szCs w:val="30"/>
        </w:rPr>
        <w:t>條、第</w:t>
      </w:r>
      <w:r w:rsidRPr="00EB68DB">
        <w:rPr>
          <w:rFonts w:hint="eastAsia"/>
          <w:spacing w:val="-4"/>
          <w:sz w:val="30"/>
          <w:szCs w:val="30"/>
        </w:rPr>
        <w:t>四</w:t>
      </w:r>
      <w:r w:rsidRPr="00EB68DB">
        <w:rPr>
          <w:rFonts w:hAnsi="標楷體"/>
          <w:spacing w:val="-4"/>
          <w:sz w:val="30"/>
          <w:szCs w:val="30"/>
        </w:rPr>
        <w:t>條及第</w:t>
      </w:r>
      <w:r w:rsidRPr="00EB68DB">
        <w:rPr>
          <w:rFonts w:hint="eastAsia"/>
          <w:spacing w:val="-4"/>
          <w:sz w:val="30"/>
          <w:szCs w:val="30"/>
        </w:rPr>
        <w:t>二十四</w:t>
      </w:r>
      <w:r w:rsidRPr="00EB68DB">
        <w:rPr>
          <w:rFonts w:hAnsi="標楷體"/>
          <w:spacing w:val="-4"/>
          <w:sz w:val="30"/>
          <w:szCs w:val="30"/>
        </w:rPr>
        <w:t>條第</w:t>
      </w:r>
      <w:r w:rsidRPr="00EB68DB">
        <w:rPr>
          <w:rFonts w:hint="eastAsia"/>
          <w:spacing w:val="-4"/>
          <w:sz w:val="30"/>
          <w:szCs w:val="30"/>
        </w:rPr>
        <w:t>一</w:t>
      </w:r>
      <w:r w:rsidRPr="00EB68DB">
        <w:rPr>
          <w:rFonts w:hAnsi="標楷體"/>
          <w:spacing w:val="-4"/>
          <w:sz w:val="30"/>
          <w:szCs w:val="30"/>
        </w:rPr>
        <w:t>項規定之立法目的及其整體規定之關聯意義，尚未違背憲法第</w:t>
      </w:r>
      <w:r w:rsidRPr="00EB68DB">
        <w:rPr>
          <w:rFonts w:hint="eastAsia"/>
          <w:spacing w:val="-4"/>
          <w:sz w:val="30"/>
          <w:szCs w:val="30"/>
        </w:rPr>
        <w:t>十九</w:t>
      </w:r>
      <w:r w:rsidRPr="00EB68DB">
        <w:rPr>
          <w:rFonts w:hAnsi="標楷體"/>
          <w:spacing w:val="-4"/>
          <w:sz w:val="30"/>
          <w:szCs w:val="30"/>
        </w:rPr>
        <w:t>條規定之租稅法律主義。」準此，行為時所得稅</w:t>
      </w:r>
      <w:r w:rsidRPr="00EB68DB">
        <w:rPr>
          <w:rFonts w:hAnsi="標楷體"/>
          <w:sz w:val="30"/>
          <w:szCs w:val="30"/>
        </w:rPr>
        <w:t>法第</w:t>
      </w:r>
      <w:r w:rsidRPr="00EB68DB">
        <w:rPr>
          <w:sz w:val="30"/>
          <w:szCs w:val="30"/>
        </w:rPr>
        <w:t>24</w:t>
      </w:r>
      <w:r w:rsidRPr="00EB68DB">
        <w:rPr>
          <w:rFonts w:hAnsi="標楷體"/>
          <w:sz w:val="30"/>
          <w:szCs w:val="30"/>
        </w:rPr>
        <w:t>條第</w:t>
      </w:r>
      <w:r w:rsidRPr="00EB68DB">
        <w:rPr>
          <w:sz w:val="30"/>
          <w:szCs w:val="30"/>
        </w:rPr>
        <w:t>1</w:t>
      </w:r>
      <w:r w:rsidRPr="00EB68DB">
        <w:rPr>
          <w:rFonts w:hAnsi="標楷體"/>
          <w:sz w:val="30"/>
          <w:szCs w:val="30"/>
        </w:rPr>
        <w:t>項之文義係規定收入應減除成本</w:t>
      </w:r>
      <w:r w:rsidRPr="00EB68DB">
        <w:rPr>
          <w:rFonts w:hAnsi="標楷體"/>
          <w:spacing w:val="-4"/>
          <w:sz w:val="30"/>
          <w:szCs w:val="30"/>
        </w:rPr>
        <w:t>費用、損失及稅捐</w:t>
      </w:r>
      <w:r w:rsidRPr="00EB68DB">
        <w:rPr>
          <w:rFonts w:hAnsi="標楷體" w:hint="eastAsia"/>
          <w:spacing w:val="-4"/>
          <w:sz w:val="30"/>
          <w:szCs w:val="30"/>
        </w:rPr>
        <w:t>後</w:t>
      </w:r>
      <w:r w:rsidRPr="00EB68DB">
        <w:rPr>
          <w:rFonts w:hAnsi="標楷體"/>
          <w:spacing w:val="-4"/>
          <w:sz w:val="30"/>
          <w:szCs w:val="30"/>
        </w:rPr>
        <w:t>之純益額為所得額，以該淨所得額作為營利事業所得稅之稅捐客體，此即量能課稅原則之客觀淨所得原則；而所得稅法施行</w:t>
      </w:r>
      <w:r w:rsidRPr="00EB68DB">
        <w:rPr>
          <w:rFonts w:hAnsi="標楷體"/>
          <w:sz w:val="30"/>
          <w:szCs w:val="30"/>
        </w:rPr>
        <w:t>細則第</w:t>
      </w:r>
      <w:r w:rsidRPr="00EB68DB">
        <w:rPr>
          <w:sz w:val="30"/>
          <w:szCs w:val="30"/>
        </w:rPr>
        <w:t>31</w:t>
      </w:r>
      <w:r w:rsidRPr="00EB68DB">
        <w:rPr>
          <w:rFonts w:hAnsi="標楷體"/>
          <w:sz w:val="30"/>
          <w:szCs w:val="30"/>
        </w:rPr>
        <w:t>條第</w:t>
      </w:r>
      <w:r w:rsidRPr="00EB68DB">
        <w:rPr>
          <w:sz w:val="30"/>
          <w:szCs w:val="30"/>
        </w:rPr>
        <w:t>3</w:t>
      </w:r>
      <w:r w:rsidRPr="00EB68DB">
        <w:rPr>
          <w:rFonts w:hAnsi="標楷體"/>
          <w:sz w:val="30"/>
          <w:szCs w:val="30"/>
        </w:rPr>
        <w:t>款規定其他供給勞務或信用各</w:t>
      </w:r>
      <w:r w:rsidRPr="00EB68DB">
        <w:rPr>
          <w:rFonts w:hAnsi="標楷體"/>
          <w:spacing w:val="-4"/>
          <w:sz w:val="30"/>
          <w:szCs w:val="30"/>
        </w:rPr>
        <w:t>業之營利事業所得額計算，亦應扣除必要之成本費用，亦屬客觀淨所得原則之具體規範。</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(3)</w:t>
      </w:r>
      <w:r w:rsidRPr="00EB68DB">
        <w:rPr>
          <w:rFonts w:hAnsi="標楷體"/>
          <w:spacing w:val="-4"/>
          <w:sz w:val="30"/>
          <w:szCs w:val="30"/>
        </w:rPr>
        <w:t>又按所得稅法第</w:t>
      </w:r>
      <w:r w:rsidRPr="00EB68DB">
        <w:rPr>
          <w:spacing w:val="-4"/>
          <w:sz w:val="30"/>
          <w:szCs w:val="30"/>
        </w:rPr>
        <w:t>4</w:t>
      </w:r>
      <w:r w:rsidRPr="00EB68DB">
        <w:rPr>
          <w:rFonts w:hAnsi="標楷體"/>
          <w:spacing w:val="-4"/>
          <w:sz w:val="30"/>
          <w:szCs w:val="30"/>
        </w:rPr>
        <w:t>條之</w:t>
      </w:r>
      <w:r w:rsidRPr="00EB68DB">
        <w:rPr>
          <w:spacing w:val="-4"/>
          <w:sz w:val="30"/>
          <w:szCs w:val="30"/>
        </w:rPr>
        <w:t>1</w:t>
      </w:r>
      <w:r w:rsidRPr="00EB68DB">
        <w:rPr>
          <w:rFonts w:hAnsi="標楷體"/>
          <w:spacing w:val="-4"/>
          <w:sz w:val="30"/>
          <w:szCs w:val="30"/>
        </w:rPr>
        <w:t>規定：「自</w:t>
      </w:r>
      <w:smartTag w:uri="urn:schemas-microsoft-com:office:smarttags" w:element="chsdate">
        <w:smartTagPr>
          <w:attr w:name="Year" w:val="1990"/>
          <w:attr w:name="Month" w:val="1"/>
          <w:attr w:name="Day" w:val="1"/>
          <w:attr w:name="IsLunarDate" w:val="False"/>
          <w:attr w:name="IsROCDate" w:val="True"/>
        </w:smartTagPr>
        <w:r w:rsidRPr="00EB68DB">
          <w:rPr>
            <w:rFonts w:hAnsi="標楷體"/>
            <w:spacing w:val="-4"/>
            <w:sz w:val="30"/>
            <w:szCs w:val="30"/>
          </w:rPr>
          <w:t>中華民國</w:t>
        </w:r>
        <w:smartTag w:uri="urn:schemas-microsoft-com:office:smarttags" w:element="chsdate">
          <w:smartTagPr>
            <w:attr w:name="IsROCDate" w:val="False"/>
            <w:attr w:name="IsLunarDate" w:val="False"/>
            <w:attr w:name="Day" w:val="1"/>
            <w:attr w:name="Month" w:val="1"/>
            <w:attr w:name="Year" w:val="1979"/>
          </w:smartTagPr>
          <w:r w:rsidRPr="00EB68DB">
            <w:rPr>
              <w:spacing w:val="-4"/>
              <w:sz w:val="30"/>
              <w:szCs w:val="30"/>
            </w:rPr>
            <w:t>79</w:t>
          </w:r>
          <w:r w:rsidRPr="00EB68DB">
            <w:rPr>
              <w:rFonts w:hAnsi="標楷體"/>
              <w:spacing w:val="-4"/>
              <w:sz w:val="30"/>
              <w:szCs w:val="30"/>
            </w:rPr>
            <w:t>年</w:t>
          </w:r>
          <w:r w:rsidRPr="00EB68DB">
            <w:rPr>
              <w:spacing w:val="-4"/>
              <w:sz w:val="30"/>
              <w:szCs w:val="30"/>
            </w:rPr>
            <w:t>1</w:t>
          </w:r>
          <w:r w:rsidRPr="00EB68DB">
            <w:rPr>
              <w:rFonts w:hAnsi="標楷體"/>
              <w:spacing w:val="-4"/>
              <w:sz w:val="30"/>
              <w:szCs w:val="30"/>
            </w:rPr>
            <w:t>月</w:t>
          </w:r>
          <w:r w:rsidRPr="00EB68DB">
            <w:rPr>
              <w:spacing w:val="-4"/>
              <w:sz w:val="30"/>
              <w:szCs w:val="30"/>
            </w:rPr>
            <w:t>1</w:t>
          </w:r>
          <w:r w:rsidRPr="00EB68DB">
            <w:rPr>
              <w:rFonts w:hAnsi="標楷體"/>
              <w:spacing w:val="-4"/>
              <w:sz w:val="30"/>
              <w:szCs w:val="30"/>
            </w:rPr>
            <w:t>日</w:t>
          </w:r>
        </w:smartTag>
      </w:smartTag>
      <w:r w:rsidRPr="00EB68DB">
        <w:rPr>
          <w:rFonts w:hAnsi="標楷體"/>
          <w:spacing w:val="-4"/>
          <w:sz w:val="30"/>
          <w:szCs w:val="30"/>
        </w:rPr>
        <w:t>起，證券交易所得停止課徵所得稅，證券交易損失亦不得自所得額中減除。」其立法理</w:t>
      </w:r>
      <w:r w:rsidRPr="00EB68DB">
        <w:rPr>
          <w:rFonts w:hAnsi="標楷體"/>
          <w:spacing w:val="-4"/>
          <w:sz w:val="30"/>
          <w:szCs w:val="30"/>
        </w:rPr>
        <w:lastRenderedPageBreak/>
        <w:t>由略謂：「明定證券交易所得不課徵所得稅，</w:t>
      </w:r>
      <w:r w:rsidRPr="00EB68DB">
        <w:rPr>
          <w:rFonts w:hAnsi="標楷體"/>
          <w:spacing w:val="-8"/>
          <w:sz w:val="30"/>
          <w:szCs w:val="30"/>
        </w:rPr>
        <w:t>其損失亦不得自所得額中減除。」（附件</w:t>
      </w:r>
      <w:r w:rsidRPr="00EB68DB">
        <w:rPr>
          <w:spacing w:val="-8"/>
          <w:sz w:val="30"/>
          <w:szCs w:val="30"/>
        </w:rPr>
        <w:t>14</w:t>
      </w:r>
      <w:r w:rsidRPr="00EB68DB">
        <w:rPr>
          <w:rFonts w:hAnsi="標楷體"/>
          <w:spacing w:val="-8"/>
          <w:sz w:val="30"/>
          <w:szCs w:val="30"/>
        </w:rPr>
        <w:t>），故</w:t>
      </w:r>
      <w:r w:rsidRPr="00EB68DB">
        <w:rPr>
          <w:rFonts w:hAnsi="標楷體"/>
          <w:spacing w:val="-4"/>
          <w:sz w:val="30"/>
          <w:szCs w:val="30"/>
        </w:rPr>
        <w:t>所得稅法第</w:t>
      </w:r>
      <w:r w:rsidRPr="00EB68DB">
        <w:rPr>
          <w:spacing w:val="-4"/>
          <w:sz w:val="30"/>
          <w:szCs w:val="30"/>
        </w:rPr>
        <w:t>4</w:t>
      </w:r>
      <w:r w:rsidRPr="00EB68DB">
        <w:rPr>
          <w:rFonts w:hAnsi="標楷體"/>
          <w:spacing w:val="-4"/>
          <w:sz w:val="30"/>
          <w:szCs w:val="30"/>
        </w:rPr>
        <w:t>條之</w:t>
      </w:r>
      <w:r w:rsidRPr="00EB68DB">
        <w:rPr>
          <w:spacing w:val="-4"/>
          <w:sz w:val="30"/>
          <w:szCs w:val="30"/>
        </w:rPr>
        <w:t>1</w:t>
      </w:r>
      <w:r w:rsidRPr="00EB68DB">
        <w:rPr>
          <w:rFonts w:hAnsi="標楷體"/>
          <w:spacing w:val="-4"/>
          <w:sz w:val="30"/>
          <w:szCs w:val="30"/>
        </w:rPr>
        <w:t>之構成要件係證券交易所得免稅，故其損失亦不得自應稅所得中扣減，亦即法律規定之「證券交易損失」為證券交易所得相</w:t>
      </w:r>
      <w:r w:rsidRPr="00EB68DB">
        <w:rPr>
          <w:rFonts w:hAnsi="標楷體"/>
          <w:spacing w:val="4"/>
          <w:sz w:val="30"/>
          <w:szCs w:val="30"/>
        </w:rPr>
        <w:t>對應之同一種類交易（亦即均為有價證券之交</w:t>
      </w:r>
      <w:r w:rsidRPr="00EB68DB">
        <w:rPr>
          <w:rFonts w:hAnsi="標楷體"/>
          <w:spacing w:val="-4"/>
          <w:sz w:val="30"/>
          <w:szCs w:val="30"/>
        </w:rPr>
        <w:t>易），是其構成要件要素必須整體以觀，亦即證券交易收入（免稅收入）對應之成本、損費均不得於稅上認列，至於應稅收入對應之成本費用並不在其構成要件要素所規範，自立法理由即可確知。</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(4)</w:t>
      </w:r>
      <w:r w:rsidRPr="00C139C4">
        <w:rPr>
          <w:rFonts w:hAnsi="標楷體"/>
          <w:spacing w:val="-4"/>
          <w:sz w:val="30"/>
          <w:szCs w:val="30"/>
        </w:rPr>
        <w:t>復從　鈞院釋字第</w:t>
      </w:r>
      <w:r w:rsidRPr="00C139C4">
        <w:rPr>
          <w:spacing w:val="-4"/>
          <w:sz w:val="30"/>
          <w:szCs w:val="30"/>
        </w:rPr>
        <w:t>493</w:t>
      </w:r>
      <w:r w:rsidRPr="00C139C4">
        <w:rPr>
          <w:rFonts w:hAnsi="標楷體"/>
          <w:spacing w:val="-4"/>
          <w:sz w:val="30"/>
          <w:szCs w:val="30"/>
        </w:rPr>
        <w:t>號解釋以言，「營利事業所得之計算，係以其本年度收入總額減除各項成本費用、損失及稅捐後之純益額為所得額，為所得稅法第</w:t>
      </w:r>
      <w:r w:rsidRPr="00C139C4">
        <w:rPr>
          <w:rFonts w:hint="eastAsia"/>
          <w:spacing w:val="-4"/>
          <w:sz w:val="30"/>
          <w:szCs w:val="30"/>
        </w:rPr>
        <w:t>二十四</w:t>
      </w:r>
      <w:r w:rsidRPr="00C139C4">
        <w:rPr>
          <w:rFonts w:hAnsi="標楷體"/>
          <w:spacing w:val="-4"/>
          <w:sz w:val="30"/>
          <w:szCs w:val="30"/>
        </w:rPr>
        <w:t>條第</w:t>
      </w:r>
      <w:r w:rsidRPr="00C139C4">
        <w:rPr>
          <w:rFonts w:hint="eastAsia"/>
          <w:spacing w:val="-4"/>
          <w:sz w:val="30"/>
          <w:szCs w:val="30"/>
        </w:rPr>
        <w:t>一</w:t>
      </w:r>
      <w:r w:rsidRPr="00C139C4">
        <w:rPr>
          <w:rFonts w:hAnsi="標楷體"/>
          <w:spacing w:val="-4"/>
          <w:sz w:val="30"/>
          <w:szCs w:val="30"/>
        </w:rPr>
        <w:t>項所明定。依所得稅法第</w:t>
      </w:r>
      <w:r w:rsidRPr="00C139C4">
        <w:rPr>
          <w:rFonts w:hint="eastAsia"/>
          <w:spacing w:val="-4"/>
          <w:sz w:val="30"/>
          <w:szCs w:val="30"/>
        </w:rPr>
        <w:t>四</w:t>
      </w:r>
      <w:r w:rsidRPr="00C139C4">
        <w:rPr>
          <w:rFonts w:hAnsi="標楷體"/>
          <w:spacing w:val="-4"/>
          <w:sz w:val="30"/>
          <w:szCs w:val="30"/>
        </w:rPr>
        <w:t>條之</w:t>
      </w:r>
      <w:r w:rsidRPr="00C139C4">
        <w:rPr>
          <w:rFonts w:hint="eastAsia"/>
          <w:spacing w:val="-4"/>
          <w:sz w:val="30"/>
          <w:szCs w:val="30"/>
        </w:rPr>
        <w:t>一</w:t>
      </w:r>
      <w:r w:rsidRPr="00C139C4">
        <w:rPr>
          <w:rFonts w:hAnsi="標楷體"/>
          <w:spacing w:val="-4"/>
          <w:sz w:val="30"/>
          <w:szCs w:val="30"/>
        </w:rPr>
        <w:t>前段規定，自</w:t>
      </w:r>
      <w:smartTag w:uri="urn:schemas-microsoft-com:office:smarttags" w:element="chsdate">
        <w:smartTagPr>
          <w:attr w:name="Year" w:val="1990"/>
          <w:attr w:name="Month" w:val="1"/>
          <w:attr w:name="Day" w:val="1"/>
          <w:attr w:name="IsLunarDate" w:val="False"/>
          <w:attr w:name="IsROCDate" w:val="True"/>
        </w:smartTagPr>
        <w:r w:rsidRPr="00C139C4">
          <w:rPr>
            <w:rFonts w:hAnsi="標楷體"/>
            <w:spacing w:val="-4"/>
            <w:sz w:val="30"/>
            <w:szCs w:val="30"/>
          </w:rPr>
          <w:t>中華民國</w:t>
        </w:r>
        <w:r w:rsidRPr="00C139C4">
          <w:rPr>
            <w:rFonts w:hint="eastAsia"/>
            <w:spacing w:val="-4"/>
            <w:sz w:val="30"/>
            <w:szCs w:val="30"/>
          </w:rPr>
          <w:t>七十九</w:t>
        </w:r>
        <w:r w:rsidRPr="00C139C4">
          <w:rPr>
            <w:rFonts w:hAnsi="標楷體"/>
            <w:spacing w:val="-4"/>
            <w:sz w:val="30"/>
            <w:szCs w:val="30"/>
          </w:rPr>
          <w:t>年</w:t>
        </w:r>
        <w:r w:rsidRPr="00C139C4">
          <w:rPr>
            <w:rFonts w:hint="eastAsia"/>
            <w:spacing w:val="-4"/>
            <w:sz w:val="30"/>
            <w:szCs w:val="30"/>
          </w:rPr>
          <w:t>一</w:t>
        </w:r>
        <w:r w:rsidRPr="00C139C4">
          <w:rPr>
            <w:rFonts w:hAnsi="標楷體"/>
            <w:spacing w:val="-4"/>
            <w:sz w:val="30"/>
            <w:szCs w:val="30"/>
          </w:rPr>
          <w:t>月</w:t>
        </w:r>
        <w:r w:rsidRPr="00C139C4">
          <w:rPr>
            <w:rFonts w:hint="eastAsia"/>
            <w:spacing w:val="-4"/>
            <w:sz w:val="30"/>
            <w:szCs w:val="30"/>
          </w:rPr>
          <w:t>一</w:t>
        </w:r>
        <w:r w:rsidRPr="00C139C4">
          <w:rPr>
            <w:rFonts w:hAnsi="標楷體"/>
            <w:spacing w:val="-4"/>
            <w:sz w:val="30"/>
            <w:szCs w:val="30"/>
          </w:rPr>
          <w:t>日</w:t>
        </w:r>
      </w:smartTag>
      <w:r w:rsidRPr="00C139C4">
        <w:rPr>
          <w:rFonts w:hAnsi="標楷體"/>
          <w:spacing w:val="-4"/>
          <w:sz w:val="30"/>
          <w:szCs w:val="30"/>
        </w:rPr>
        <w:t>起，證券交易所得停止課徵所得稅；公司投資收益部分，依</w:t>
      </w:r>
      <w:r w:rsidRPr="00C139C4">
        <w:rPr>
          <w:rFonts w:hint="eastAsia"/>
          <w:spacing w:val="-4"/>
          <w:sz w:val="30"/>
          <w:szCs w:val="30"/>
        </w:rPr>
        <w:t>六十九</w:t>
      </w:r>
      <w:r w:rsidRPr="00C139C4">
        <w:rPr>
          <w:rFonts w:hAnsi="標楷體"/>
          <w:spacing w:val="-4"/>
          <w:sz w:val="30"/>
          <w:szCs w:val="30"/>
        </w:rPr>
        <w:t>年</w:t>
      </w:r>
      <w:r w:rsidRPr="00C139C4">
        <w:rPr>
          <w:rFonts w:hint="eastAsia"/>
          <w:spacing w:val="-4"/>
          <w:sz w:val="30"/>
          <w:szCs w:val="30"/>
        </w:rPr>
        <w:t>十二</w:t>
      </w:r>
      <w:r w:rsidRPr="00C139C4">
        <w:rPr>
          <w:rFonts w:hAnsi="標楷體"/>
          <w:spacing w:val="-4"/>
          <w:sz w:val="30"/>
          <w:szCs w:val="30"/>
        </w:rPr>
        <w:t>月</w:t>
      </w:r>
      <w:r w:rsidRPr="00C139C4">
        <w:rPr>
          <w:rFonts w:hint="eastAsia"/>
          <w:spacing w:val="-4"/>
          <w:sz w:val="30"/>
          <w:szCs w:val="30"/>
        </w:rPr>
        <w:t>三十</w:t>
      </w:r>
      <w:r w:rsidRPr="00C139C4">
        <w:rPr>
          <w:rFonts w:hAnsi="標楷體"/>
          <w:spacing w:val="-4"/>
          <w:sz w:val="30"/>
          <w:szCs w:val="30"/>
        </w:rPr>
        <w:t>日修正公布之所得稅法第</w:t>
      </w:r>
      <w:r w:rsidRPr="00C139C4">
        <w:rPr>
          <w:rFonts w:hint="eastAsia"/>
          <w:spacing w:val="-4"/>
          <w:sz w:val="30"/>
          <w:szCs w:val="30"/>
        </w:rPr>
        <w:t>四十二</w:t>
      </w:r>
      <w:r w:rsidRPr="00C139C4">
        <w:rPr>
          <w:rFonts w:hAnsi="標楷體"/>
          <w:spacing w:val="-4"/>
          <w:sz w:val="30"/>
          <w:szCs w:val="30"/>
        </w:rPr>
        <w:t>條，公司組織之營利事業，投</w:t>
      </w:r>
      <w:r w:rsidRPr="00C139C4">
        <w:rPr>
          <w:rFonts w:hAnsi="標楷體"/>
          <w:sz w:val="30"/>
          <w:szCs w:val="30"/>
        </w:rPr>
        <w:t>資於國內其他非受免徵營利事業所得稅待遇之</w:t>
      </w:r>
      <w:r w:rsidRPr="00C139C4">
        <w:rPr>
          <w:rFonts w:hAnsi="標楷體"/>
          <w:spacing w:val="-4"/>
          <w:sz w:val="30"/>
          <w:szCs w:val="30"/>
        </w:rPr>
        <w:t>股份有限公司組織者，其中百分之八十免予計入所得額課稅；則其相關成本費用，按諸收入與成本費用配合之上揭法律規定意旨及公平原則，自亦不得歸由其他應稅之收入項下減除。至應稅收入及免稅收入應分攤之相關成本費用，除可直接合理明確歸屬者得個別歸屬，應自有價證券出售收入項下減除外，因投資收益及證券交易收入源自同一</w:t>
      </w:r>
      <w:r w:rsidRPr="00C139C4">
        <w:rPr>
          <w:rFonts w:hAnsi="標楷體"/>
          <w:spacing w:val="-4"/>
          <w:sz w:val="30"/>
          <w:szCs w:val="30"/>
        </w:rPr>
        <w:lastRenderedPageBreak/>
        <w:t>投入成本，難以投入成本比例作為分攤基準。」因為券商同時有免稅收入及應稅收入，故在利息支出如無法明確歸屬，就必須有部分分攤至免稅收入項下，不得用以扣減應稅收入，是應</w:t>
      </w:r>
      <w:r w:rsidRPr="00C139C4">
        <w:rPr>
          <w:rFonts w:hAnsi="標楷體"/>
          <w:sz w:val="30"/>
          <w:szCs w:val="30"/>
        </w:rPr>
        <w:t>以收入之應免稅性質決定對應之成本費用能否</w:t>
      </w:r>
      <w:r w:rsidRPr="00C139C4">
        <w:rPr>
          <w:rFonts w:hAnsi="標楷體"/>
          <w:spacing w:val="-4"/>
          <w:sz w:val="30"/>
          <w:szCs w:val="30"/>
        </w:rPr>
        <w:t>扣除應稅收入。所得稅法第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構成要件為免稅收入對應之成本費用、損失而言，僅為所得</w:t>
      </w:r>
      <w:r w:rsidRPr="00C139C4">
        <w:rPr>
          <w:rFonts w:hAnsi="標楷體"/>
          <w:sz w:val="30"/>
          <w:szCs w:val="30"/>
        </w:rPr>
        <w:t>稅法第</w:t>
      </w:r>
      <w:r w:rsidRPr="00C139C4">
        <w:rPr>
          <w:sz w:val="30"/>
          <w:szCs w:val="30"/>
        </w:rPr>
        <w:t>24</w:t>
      </w:r>
      <w:r w:rsidRPr="00C139C4">
        <w:rPr>
          <w:rFonts w:hAnsi="標楷體"/>
          <w:sz w:val="30"/>
          <w:szCs w:val="30"/>
        </w:rPr>
        <w:t>條第</w:t>
      </w:r>
      <w:r w:rsidRPr="00C139C4">
        <w:rPr>
          <w:sz w:val="30"/>
          <w:szCs w:val="30"/>
        </w:rPr>
        <w:t>1</w:t>
      </w:r>
      <w:r w:rsidRPr="00C139C4">
        <w:rPr>
          <w:rFonts w:hAnsi="標楷體"/>
          <w:sz w:val="30"/>
          <w:szCs w:val="30"/>
        </w:rPr>
        <w:t>項之意旨重申，惟在應稅收入</w:t>
      </w:r>
      <w:r w:rsidRPr="00C139C4">
        <w:rPr>
          <w:rFonts w:hAnsi="標楷體"/>
          <w:spacing w:val="-4"/>
          <w:sz w:val="30"/>
          <w:szCs w:val="30"/>
        </w:rPr>
        <w:t>所對應之成本費用部分，所得稅法第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在</w:t>
      </w:r>
      <w:r w:rsidRPr="00C139C4">
        <w:rPr>
          <w:rFonts w:hAnsi="標楷體"/>
          <w:sz w:val="30"/>
          <w:szCs w:val="30"/>
        </w:rPr>
        <w:t>規範意旨上並未包括到如果證券交易損失屬於</w:t>
      </w:r>
      <w:r w:rsidRPr="00C139C4">
        <w:rPr>
          <w:rFonts w:hAnsi="標楷體"/>
          <w:spacing w:val="-4"/>
          <w:sz w:val="30"/>
          <w:szCs w:val="30"/>
        </w:rPr>
        <w:t>應稅收入對應之成本費用時，亦不得自應稅收入扣除之意思，換言之，如僅執所得稅法第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後段「證券交易損失亦不得自所得額中減除」之規定單獨適用，認為證券交易損失無論是否得對應到證券交易收入均不得自所得額減除，此種解釋方法即是以陷所得稅法第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後段為違憲之境，蓋　鈞院既依釋字第</w:t>
      </w:r>
      <w:r w:rsidRPr="00C139C4">
        <w:rPr>
          <w:spacing w:val="-4"/>
          <w:sz w:val="30"/>
          <w:szCs w:val="30"/>
        </w:rPr>
        <w:t>493</w:t>
      </w:r>
      <w:r w:rsidRPr="00C139C4">
        <w:rPr>
          <w:rFonts w:hAnsi="標楷體"/>
          <w:spacing w:val="-4"/>
          <w:sz w:val="30"/>
          <w:szCs w:val="30"/>
        </w:rPr>
        <w:t>號解釋闡明所得稅法第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前段之旨為應免稅收入應各自合理分攤各自</w:t>
      </w:r>
      <w:r w:rsidRPr="00C139C4">
        <w:rPr>
          <w:rFonts w:hAnsi="標楷體" w:hint="eastAsia"/>
          <w:spacing w:val="-4"/>
          <w:sz w:val="30"/>
          <w:szCs w:val="30"/>
        </w:rPr>
        <w:t>項</w:t>
      </w:r>
      <w:r w:rsidRPr="00C139C4">
        <w:rPr>
          <w:rFonts w:hAnsi="標楷體"/>
          <w:spacing w:val="-4"/>
          <w:sz w:val="30"/>
          <w:szCs w:val="30"/>
        </w:rPr>
        <w:t>下之成本費用。如後段可解為但</w:t>
      </w:r>
      <w:r w:rsidRPr="00C139C4">
        <w:rPr>
          <w:rFonts w:hAnsi="標楷體"/>
          <w:sz w:val="30"/>
          <w:szCs w:val="30"/>
        </w:rPr>
        <w:t>免稅損失應例外於前開原則而無論如何均無自</w:t>
      </w:r>
      <w:r w:rsidRPr="00C139C4">
        <w:rPr>
          <w:rFonts w:hAnsi="標楷體"/>
          <w:spacing w:val="-4"/>
          <w:sz w:val="30"/>
          <w:szCs w:val="30"/>
        </w:rPr>
        <w:t>所得額減除之餘地，顯然即違反量能課稅及租稅公平，依釋字第</w:t>
      </w:r>
      <w:r w:rsidRPr="00C139C4">
        <w:rPr>
          <w:spacing w:val="-4"/>
          <w:sz w:val="30"/>
          <w:szCs w:val="30"/>
        </w:rPr>
        <w:t>493</w:t>
      </w:r>
      <w:r w:rsidRPr="00C139C4">
        <w:rPr>
          <w:rFonts w:hAnsi="標楷體"/>
          <w:spacing w:val="-4"/>
          <w:sz w:val="30"/>
          <w:szCs w:val="30"/>
        </w:rPr>
        <w:t>號解釋之意旨即足以宣告所得稅法第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後段違憲。</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(5)</w:t>
      </w:r>
      <w:r w:rsidRPr="00C139C4">
        <w:rPr>
          <w:rFonts w:hAnsi="標楷體"/>
          <w:spacing w:val="-4"/>
          <w:sz w:val="30"/>
          <w:szCs w:val="30"/>
        </w:rPr>
        <w:t>末按在法律體系上，假使有二個以上的法條的構成要件互相重合或交集，則便可能發生同一法律事實同時為它們所規範的情形，於是相對於該法</w:t>
      </w:r>
      <w:r w:rsidRPr="00C139C4">
        <w:rPr>
          <w:rFonts w:hAnsi="標楷體"/>
          <w:spacing w:val="-4"/>
          <w:sz w:val="30"/>
          <w:szCs w:val="30"/>
        </w:rPr>
        <w:lastRenderedPageBreak/>
        <w:t>律事實的這些法條便處於競合的狀態。若系爭法條所規定之法律效果並不相同，則就系爭法條之一是否排除另一法條之適用，便會構成問題，假若系爭不同之法律效果在性質上不能並存時，便只有一個能夠受到適用，蓋認為法規範同時要求</w:t>
      </w:r>
      <w:r w:rsidRPr="00C139C4">
        <w:rPr>
          <w:sz w:val="30"/>
          <w:szCs w:val="30"/>
        </w:rPr>
        <w:t>A</w:t>
      </w:r>
      <w:r w:rsidRPr="00C139C4">
        <w:rPr>
          <w:rFonts w:hAnsi="標楷體"/>
          <w:sz w:val="30"/>
          <w:szCs w:val="30"/>
        </w:rPr>
        <w:t>與非</w:t>
      </w:r>
      <w:r w:rsidRPr="00C139C4">
        <w:rPr>
          <w:sz w:val="30"/>
          <w:szCs w:val="30"/>
        </w:rPr>
        <w:t>A</w:t>
      </w:r>
      <w:r w:rsidRPr="00C139C4">
        <w:rPr>
          <w:rFonts w:hAnsi="標楷體"/>
          <w:sz w:val="30"/>
          <w:szCs w:val="30"/>
        </w:rPr>
        <w:t>之法律效果，是不能被理解的（附件</w:t>
      </w:r>
      <w:r w:rsidRPr="00C139C4">
        <w:rPr>
          <w:spacing w:val="-4"/>
          <w:sz w:val="30"/>
          <w:szCs w:val="30"/>
        </w:rPr>
        <w:t>15</w:t>
      </w:r>
      <w:r w:rsidRPr="00C139C4">
        <w:rPr>
          <w:rFonts w:hAnsi="標楷體"/>
          <w:spacing w:val="-4"/>
          <w:sz w:val="30"/>
          <w:szCs w:val="30"/>
        </w:rPr>
        <w:t>，黃茂榮，法學方法與現代民法，頁</w:t>
      </w:r>
      <w:r w:rsidRPr="00C139C4">
        <w:rPr>
          <w:spacing w:val="-4"/>
          <w:sz w:val="30"/>
          <w:szCs w:val="30"/>
        </w:rPr>
        <w:t>185</w:t>
      </w:r>
      <w:r w:rsidRPr="00C139C4">
        <w:rPr>
          <w:rFonts w:hAnsi="標楷體"/>
          <w:spacing w:val="-4"/>
          <w:sz w:val="30"/>
          <w:szCs w:val="30"/>
        </w:rPr>
        <w:t>至</w:t>
      </w:r>
      <w:r w:rsidRPr="00C139C4">
        <w:rPr>
          <w:spacing w:val="-4"/>
          <w:sz w:val="30"/>
          <w:szCs w:val="30"/>
        </w:rPr>
        <w:t>188</w:t>
      </w:r>
      <w:r w:rsidRPr="00C139C4">
        <w:rPr>
          <w:rFonts w:hAnsi="標楷體"/>
          <w:spacing w:val="-4"/>
          <w:sz w:val="30"/>
          <w:szCs w:val="30"/>
        </w:rPr>
        <w:t>）。所以本於體系貫徹法律價值之觀點，對一個法律事實作成無矛盾之法律評價，其本身即為實現正義原則，從憲法上之原則而論，即是平等原則、體系正義之展現。</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(6)</w:t>
      </w:r>
      <w:r w:rsidRPr="00C139C4">
        <w:rPr>
          <w:rFonts w:hAnsi="標楷體"/>
          <w:spacing w:val="-4"/>
          <w:sz w:val="30"/>
          <w:szCs w:val="30"/>
        </w:rPr>
        <w:t>是以，就法學方法論以言，特別法優於普通法必須是，其中之一的構成要件要素為另一法條所全部具備，且該法條進一步具有前一法條所無之構成要件要素，則該另一法條相對於前一法條便具有特別性（附件</w:t>
      </w:r>
      <w:r w:rsidRPr="00C139C4">
        <w:rPr>
          <w:spacing w:val="-4"/>
          <w:sz w:val="30"/>
          <w:szCs w:val="30"/>
        </w:rPr>
        <w:t>10</w:t>
      </w:r>
      <w:r w:rsidRPr="00C139C4">
        <w:rPr>
          <w:rFonts w:hAnsi="標楷體"/>
          <w:spacing w:val="-4"/>
          <w:sz w:val="30"/>
          <w:szCs w:val="30"/>
        </w:rPr>
        <w:t>，黃茂榮，法學方法與現代民</w:t>
      </w:r>
      <w:r w:rsidRPr="00C139C4">
        <w:rPr>
          <w:rFonts w:hAnsi="標楷體"/>
          <w:spacing w:val="-8"/>
          <w:sz w:val="30"/>
          <w:szCs w:val="30"/>
        </w:rPr>
        <w:t>法，頁</w:t>
      </w:r>
      <w:r w:rsidRPr="00C139C4">
        <w:rPr>
          <w:spacing w:val="-8"/>
          <w:sz w:val="30"/>
          <w:szCs w:val="30"/>
        </w:rPr>
        <w:t>75</w:t>
      </w:r>
      <w:r w:rsidRPr="00C139C4">
        <w:rPr>
          <w:rFonts w:hAnsi="標楷體"/>
          <w:spacing w:val="-8"/>
          <w:sz w:val="30"/>
          <w:szCs w:val="30"/>
        </w:rPr>
        <w:t>至</w:t>
      </w:r>
      <w:r w:rsidRPr="00C139C4">
        <w:rPr>
          <w:spacing w:val="-8"/>
          <w:sz w:val="30"/>
          <w:szCs w:val="30"/>
        </w:rPr>
        <w:t>77</w:t>
      </w:r>
      <w:r w:rsidRPr="00C139C4">
        <w:rPr>
          <w:rFonts w:hAnsi="標楷體"/>
          <w:spacing w:val="-8"/>
          <w:sz w:val="30"/>
          <w:szCs w:val="30"/>
        </w:rPr>
        <w:t>）。所得稅</w:t>
      </w:r>
      <w:r w:rsidRPr="00C139C4">
        <w:rPr>
          <w:rFonts w:hAnsi="標楷體" w:hint="eastAsia"/>
          <w:spacing w:val="-8"/>
          <w:sz w:val="30"/>
          <w:szCs w:val="30"/>
        </w:rPr>
        <w:t>法</w:t>
      </w:r>
      <w:r w:rsidRPr="00C139C4">
        <w:rPr>
          <w:rFonts w:hAnsi="標楷體"/>
          <w:spacing w:val="-8"/>
          <w:sz w:val="30"/>
          <w:szCs w:val="30"/>
        </w:rPr>
        <w:t>第</w:t>
      </w:r>
      <w:r w:rsidRPr="00C139C4">
        <w:rPr>
          <w:spacing w:val="-8"/>
          <w:sz w:val="30"/>
          <w:szCs w:val="30"/>
        </w:rPr>
        <w:t>4</w:t>
      </w:r>
      <w:r w:rsidRPr="00C139C4">
        <w:rPr>
          <w:rFonts w:hAnsi="標楷體"/>
          <w:spacing w:val="-8"/>
          <w:sz w:val="30"/>
          <w:szCs w:val="30"/>
        </w:rPr>
        <w:t>條之</w:t>
      </w:r>
      <w:r w:rsidRPr="00C139C4">
        <w:rPr>
          <w:spacing w:val="-8"/>
          <w:sz w:val="30"/>
          <w:szCs w:val="30"/>
        </w:rPr>
        <w:t>1</w:t>
      </w:r>
      <w:r w:rsidRPr="00C139C4">
        <w:rPr>
          <w:rFonts w:hAnsi="標楷體"/>
          <w:spacing w:val="-8"/>
          <w:sz w:val="30"/>
          <w:szCs w:val="30"/>
        </w:rPr>
        <w:t>規範對象</w:t>
      </w:r>
      <w:r w:rsidRPr="00C139C4">
        <w:rPr>
          <w:rFonts w:hAnsi="標楷體"/>
          <w:spacing w:val="-4"/>
          <w:sz w:val="30"/>
          <w:szCs w:val="30"/>
        </w:rPr>
        <w:t>（目的）係證券交易所得免稅，故證券交易損失亦不得自應稅所得中扣減，其構成要件要素必須整體以觀，亦即證券交易收入（免稅收入）對應之成本、損費均不得於稅上認列，至於所得稅法</w:t>
      </w:r>
      <w:r w:rsidRPr="00C139C4">
        <w:rPr>
          <w:rFonts w:hAnsi="標楷體"/>
          <w:sz w:val="30"/>
          <w:szCs w:val="30"/>
        </w:rPr>
        <w:t>第</w:t>
      </w:r>
      <w:r w:rsidRPr="00C139C4">
        <w:rPr>
          <w:sz w:val="30"/>
          <w:szCs w:val="30"/>
        </w:rPr>
        <w:t>24</w:t>
      </w:r>
      <w:r w:rsidRPr="00C139C4">
        <w:rPr>
          <w:rFonts w:hAnsi="標楷體"/>
          <w:sz w:val="30"/>
          <w:szCs w:val="30"/>
        </w:rPr>
        <w:t>條第</w:t>
      </w:r>
      <w:r w:rsidRPr="00C139C4">
        <w:rPr>
          <w:sz w:val="30"/>
          <w:szCs w:val="30"/>
        </w:rPr>
        <w:t>1</w:t>
      </w:r>
      <w:r w:rsidRPr="00C139C4">
        <w:rPr>
          <w:rFonts w:hAnsi="標楷體"/>
          <w:sz w:val="30"/>
          <w:szCs w:val="30"/>
        </w:rPr>
        <w:t>項之構成要件係每一項成本、費用</w:t>
      </w:r>
      <w:r w:rsidRPr="00C139C4">
        <w:rPr>
          <w:rFonts w:hAnsi="標楷體"/>
          <w:spacing w:val="-4"/>
          <w:sz w:val="30"/>
          <w:szCs w:val="30"/>
        </w:rPr>
        <w:t>應對應其收入，是故從規範無矛盾之角度解釋，所得稅法第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不可能作成排除所得稅法第</w:t>
      </w:r>
      <w:r w:rsidRPr="00C139C4">
        <w:rPr>
          <w:spacing w:val="-4"/>
          <w:sz w:val="30"/>
          <w:szCs w:val="30"/>
        </w:rPr>
        <w:t>24</w:t>
      </w:r>
      <w:r w:rsidRPr="00C139C4">
        <w:rPr>
          <w:rFonts w:hAnsi="標楷體"/>
          <w:spacing w:val="-4"/>
          <w:sz w:val="30"/>
          <w:szCs w:val="30"/>
        </w:rPr>
        <w:t>條第</w:t>
      </w:r>
      <w:r w:rsidRPr="00C139C4">
        <w:rPr>
          <w:spacing w:val="-4"/>
          <w:sz w:val="30"/>
          <w:szCs w:val="30"/>
        </w:rPr>
        <w:t>1</w:t>
      </w:r>
      <w:r w:rsidRPr="00C139C4">
        <w:rPr>
          <w:rFonts w:hAnsi="標楷體"/>
          <w:spacing w:val="-4"/>
          <w:sz w:val="30"/>
          <w:szCs w:val="30"/>
        </w:rPr>
        <w:t>項收入配合原則之解釋。準此，除非有足夠之證據認立法者制定之所得稅法第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z w:val="30"/>
          <w:szCs w:val="30"/>
        </w:rPr>
        <w:t>時有意創設</w:t>
      </w:r>
      <w:r w:rsidRPr="00C139C4">
        <w:rPr>
          <w:rFonts w:hAnsi="標楷體"/>
          <w:sz w:val="30"/>
          <w:szCs w:val="30"/>
        </w:rPr>
        <w:lastRenderedPageBreak/>
        <w:t>收入成本配合原則應於證券交易所</w:t>
      </w:r>
      <w:r w:rsidRPr="00C139C4">
        <w:rPr>
          <w:rFonts w:hAnsi="標楷體"/>
          <w:spacing w:val="-4"/>
          <w:sz w:val="30"/>
          <w:szCs w:val="30"/>
        </w:rPr>
        <w:t>得計算時排除適用之規定，否則此種見解顯然過度擴張所得稅法第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後段之適用範圍，對母法所未規範之稅基、租稅客體事項予以規範，自屬違反租稅法律主義與法律保留原則。況且對法律文義違反一般法律解釋方法，依　鈞院釋字第</w:t>
      </w:r>
      <w:r w:rsidRPr="00C139C4">
        <w:rPr>
          <w:spacing w:val="-4"/>
          <w:sz w:val="30"/>
          <w:szCs w:val="30"/>
        </w:rPr>
        <w:t>635</w:t>
      </w:r>
      <w:r w:rsidRPr="00C139C4">
        <w:rPr>
          <w:rFonts w:hAnsi="標楷體"/>
          <w:spacing w:val="-4"/>
          <w:sz w:val="30"/>
          <w:szCs w:val="30"/>
        </w:rPr>
        <w:t>號解釋，當屬違反租稅法律主義至明。</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(7)</w:t>
      </w:r>
      <w:r w:rsidRPr="00C139C4">
        <w:rPr>
          <w:rFonts w:hAnsi="標楷體"/>
          <w:spacing w:val="-4"/>
          <w:sz w:val="30"/>
          <w:szCs w:val="30"/>
        </w:rPr>
        <w:t>經查，財政部</w:t>
      </w:r>
      <w:r w:rsidRPr="00C139C4">
        <w:rPr>
          <w:spacing w:val="-4"/>
          <w:sz w:val="30"/>
          <w:szCs w:val="30"/>
        </w:rPr>
        <w:t>86</w:t>
      </w:r>
      <w:r w:rsidRPr="00C139C4">
        <w:rPr>
          <w:rFonts w:hAnsi="標楷體"/>
          <w:spacing w:val="-4"/>
          <w:sz w:val="30"/>
          <w:szCs w:val="30"/>
        </w:rPr>
        <w:t>年函釋僅以所得稅法第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後段「證券交易損失亦不得自所得額中減除」之規定孤立解釋，而認定避險部分所生之證券交易損失屬於所得稅法第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之規範範疇，未整體解釋所得稅法第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適用範圍係以免稅收入對應之成本費用、損失為前提，故財政部</w:t>
      </w:r>
      <w:r w:rsidRPr="00C139C4">
        <w:rPr>
          <w:spacing w:val="-4"/>
          <w:sz w:val="30"/>
          <w:szCs w:val="30"/>
        </w:rPr>
        <w:t>86</w:t>
      </w:r>
      <w:r w:rsidRPr="00C139C4">
        <w:rPr>
          <w:rFonts w:hAnsi="標楷體"/>
          <w:spacing w:val="-4"/>
          <w:sz w:val="30"/>
          <w:szCs w:val="30"/>
        </w:rPr>
        <w:t>年函釋表面上係依據所得稅法第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所為之法律意旨闡釋，惟其增加所得稅法第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所</w:t>
      </w:r>
      <w:r w:rsidRPr="00C139C4">
        <w:rPr>
          <w:rFonts w:hAnsi="標楷體"/>
          <w:sz w:val="30"/>
          <w:szCs w:val="30"/>
        </w:rPr>
        <w:t>無規範之應稅收入對應成本費用如為證券交易</w:t>
      </w:r>
      <w:r w:rsidRPr="00C139C4">
        <w:rPr>
          <w:rFonts w:hAnsi="標楷體"/>
          <w:spacing w:val="-4"/>
          <w:sz w:val="30"/>
          <w:szCs w:val="30"/>
        </w:rPr>
        <w:t>損失時，不得自應稅收入扣除。又查所得稅法第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成本費用應得減除收入之意旨，財政部</w:t>
      </w:r>
      <w:r w:rsidRPr="00C139C4">
        <w:rPr>
          <w:spacing w:val="-4"/>
          <w:sz w:val="30"/>
          <w:szCs w:val="30"/>
        </w:rPr>
        <w:t>86</w:t>
      </w:r>
      <w:r w:rsidRPr="00C139C4">
        <w:rPr>
          <w:rFonts w:hAnsi="標楷體"/>
          <w:spacing w:val="-4"/>
          <w:sz w:val="30"/>
          <w:szCs w:val="30"/>
        </w:rPr>
        <w:t>年函釋對於權證交易避險部位之交易損失，認為應依照所得稅法第</w:t>
      </w:r>
      <w:r w:rsidRPr="00C139C4">
        <w:rPr>
          <w:spacing w:val="-4"/>
          <w:sz w:val="30"/>
          <w:szCs w:val="30"/>
        </w:rPr>
        <w:t>4</w:t>
      </w:r>
      <w:r w:rsidRPr="00C139C4">
        <w:rPr>
          <w:rFonts w:hAnsi="標楷體"/>
          <w:spacing w:val="-4"/>
          <w:sz w:val="30"/>
          <w:szCs w:val="30"/>
        </w:rPr>
        <w:t>條之</w:t>
      </w:r>
      <w:r w:rsidRPr="00C139C4">
        <w:rPr>
          <w:spacing w:val="-4"/>
          <w:sz w:val="30"/>
          <w:szCs w:val="30"/>
        </w:rPr>
        <w:t>1</w:t>
      </w:r>
      <w:r w:rsidRPr="00C139C4">
        <w:rPr>
          <w:rFonts w:hAnsi="標楷體"/>
          <w:spacing w:val="-4"/>
          <w:sz w:val="30"/>
          <w:szCs w:val="30"/>
        </w:rPr>
        <w:t>規定不准減除應稅</w:t>
      </w:r>
      <w:r w:rsidRPr="00C139C4">
        <w:rPr>
          <w:rFonts w:hAnsi="標楷體"/>
          <w:sz w:val="30"/>
          <w:szCs w:val="30"/>
        </w:rPr>
        <w:t>收入，財政部</w:t>
      </w:r>
      <w:r w:rsidRPr="00C139C4">
        <w:rPr>
          <w:sz w:val="30"/>
          <w:szCs w:val="30"/>
        </w:rPr>
        <w:t>86</w:t>
      </w:r>
      <w:r w:rsidRPr="00C139C4">
        <w:rPr>
          <w:rFonts w:hAnsi="標楷體"/>
          <w:sz w:val="30"/>
          <w:szCs w:val="30"/>
        </w:rPr>
        <w:t>年函釋既誤解所得稅法第</w:t>
      </w:r>
      <w:r w:rsidRPr="00C139C4">
        <w:rPr>
          <w:sz w:val="30"/>
          <w:szCs w:val="30"/>
        </w:rPr>
        <w:t>4</w:t>
      </w:r>
      <w:r w:rsidRPr="00C139C4">
        <w:rPr>
          <w:rFonts w:hAnsi="標楷體"/>
          <w:sz w:val="30"/>
          <w:szCs w:val="30"/>
        </w:rPr>
        <w:t>條</w:t>
      </w:r>
      <w:r w:rsidRPr="00C139C4">
        <w:rPr>
          <w:rFonts w:hAnsi="標楷體"/>
          <w:spacing w:val="-4"/>
          <w:sz w:val="30"/>
          <w:szCs w:val="30"/>
        </w:rPr>
        <w:t>之</w:t>
      </w:r>
      <w:r w:rsidRPr="00C139C4">
        <w:rPr>
          <w:spacing w:val="-4"/>
          <w:sz w:val="30"/>
          <w:szCs w:val="30"/>
        </w:rPr>
        <w:t>1</w:t>
      </w:r>
      <w:r w:rsidRPr="00C139C4">
        <w:rPr>
          <w:rFonts w:hAnsi="標楷體"/>
          <w:spacing w:val="-4"/>
          <w:sz w:val="30"/>
          <w:szCs w:val="30"/>
        </w:rPr>
        <w:t>規範要件之可能文義在先，復在無法律或法</w:t>
      </w:r>
      <w:r w:rsidRPr="00E43EB8">
        <w:rPr>
          <w:rFonts w:hAnsi="標楷體"/>
          <w:sz w:val="30"/>
          <w:szCs w:val="30"/>
        </w:rPr>
        <w:t>規命令依據下增加所得稅法第</w:t>
      </w:r>
      <w:r w:rsidRPr="00E43EB8">
        <w:rPr>
          <w:sz w:val="30"/>
          <w:szCs w:val="30"/>
        </w:rPr>
        <w:t>24</w:t>
      </w:r>
      <w:r w:rsidRPr="00E43EB8">
        <w:rPr>
          <w:rFonts w:hAnsi="標楷體"/>
          <w:sz w:val="30"/>
          <w:szCs w:val="30"/>
        </w:rPr>
        <w:t>條第</w:t>
      </w:r>
      <w:r w:rsidRPr="00E43EB8">
        <w:rPr>
          <w:sz w:val="30"/>
          <w:szCs w:val="30"/>
        </w:rPr>
        <w:t>1</w:t>
      </w:r>
      <w:r w:rsidRPr="00E43EB8">
        <w:rPr>
          <w:rFonts w:hAnsi="標楷體"/>
          <w:sz w:val="30"/>
          <w:szCs w:val="30"/>
        </w:rPr>
        <w:t>項及其</w:t>
      </w:r>
      <w:r w:rsidRPr="00C139C4">
        <w:rPr>
          <w:rFonts w:hAnsi="標楷體"/>
          <w:spacing w:val="-4"/>
          <w:sz w:val="30"/>
          <w:szCs w:val="30"/>
        </w:rPr>
        <w:t>施行細則第</w:t>
      </w:r>
      <w:r w:rsidRPr="00C139C4">
        <w:rPr>
          <w:spacing w:val="-4"/>
          <w:sz w:val="30"/>
          <w:szCs w:val="30"/>
        </w:rPr>
        <w:t>31</w:t>
      </w:r>
      <w:r w:rsidRPr="00C139C4">
        <w:rPr>
          <w:rFonts w:hAnsi="標楷體"/>
          <w:spacing w:val="-4"/>
          <w:sz w:val="30"/>
          <w:szCs w:val="30"/>
        </w:rPr>
        <w:t>條所無規定之要件，對於課稅客體（亦即稅基之計算）增加法律所無之要件，屬</w:t>
      </w:r>
      <w:r w:rsidRPr="00E43EB8">
        <w:rPr>
          <w:rFonts w:hAnsi="標楷體"/>
          <w:sz w:val="30"/>
          <w:szCs w:val="30"/>
        </w:rPr>
        <w:t>以行政釋示就不得減除之成本費用增加法律所</w:t>
      </w:r>
      <w:r w:rsidRPr="00C139C4">
        <w:rPr>
          <w:rFonts w:hAnsi="標楷體"/>
          <w:spacing w:val="-4"/>
          <w:sz w:val="30"/>
          <w:szCs w:val="30"/>
        </w:rPr>
        <w:t>無之要</w:t>
      </w:r>
      <w:r w:rsidRPr="00C139C4">
        <w:rPr>
          <w:rFonts w:hAnsi="標楷體"/>
          <w:spacing w:val="-4"/>
          <w:sz w:val="30"/>
          <w:szCs w:val="30"/>
        </w:rPr>
        <w:lastRenderedPageBreak/>
        <w:t>件，洵有違反憲法第</w:t>
      </w:r>
      <w:r w:rsidRPr="00C139C4">
        <w:rPr>
          <w:spacing w:val="-4"/>
          <w:sz w:val="30"/>
          <w:szCs w:val="30"/>
        </w:rPr>
        <w:t>19</w:t>
      </w:r>
      <w:r w:rsidRPr="00C139C4">
        <w:rPr>
          <w:rFonts w:hAnsi="標楷體"/>
          <w:spacing w:val="-4"/>
          <w:sz w:val="30"/>
          <w:szCs w:val="30"/>
        </w:rPr>
        <w:t>條及前開　鈞院釋字第</w:t>
      </w:r>
      <w:r w:rsidRPr="00C139C4">
        <w:rPr>
          <w:spacing w:val="-4"/>
          <w:sz w:val="30"/>
          <w:szCs w:val="30"/>
        </w:rPr>
        <w:t>622</w:t>
      </w:r>
      <w:r w:rsidRPr="00C139C4">
        <w:rPr>
          <w:rFonts w:hAnsi="標楷體"/>
          <w:spacing w:val="-4"/>
          <w:sz w:val="30"/>
          <w:szCs w:val="30"/>
        </w:rPr>
        <w:t>號</w:t>
      </w:r>
      <w:r w:rsidRPr="00C139C4">
        <w:rPr>
          <w:rFonts w:hAnsi="標楷體" w:hint="eastAsia"/>
          <w:spacing w:val="-4"/>
          <w:sz w:val="30"/>
          <w:szCs w:val="30"/>
        </w:rPr>
        <w:t>解釋</w:t>
      </w:r>
      <w:r w:rsidRPr="00C139C4">
        <w:rPr>
          <w:rFonts w:hAnsi="標楷體"/>
          <w:spacing w:val="-4"/>
          <w:sz w:val="30"/>
          <w:szCs w:val="30"/>
        </w:rPr>
        <w:t>之租稅法律主義、中央法規標準法第</w:t>
      </w:r>
      <w:r w:rsidRPr="00C139C4">
        <w:rPr>
          <w:spacing w:val="-4"/>
          <w:sz w:val="30"/>
          <w:szCs w:val="30"/>
        </w:rPr>
        <w:t>5</w:t>
      </w:r>
      <w:r w:rsidRPr="00C139C4">
        <w:rPr>
          <w:rFonts w:hAnsi="標楷體"/>
          <w:spacing w:val="-4"/>
          <w:sz w:val="30"/>
          <w:szCs w:val="30"/>
        </w:rPr>
        <w:t>條之法律保留原則及憲法第</w:t>
      </w:r>
      <w:r w:rsidRPr="00C139C4">
        <w:rPr>
          <w:spacing w:val="-4"/>
          <w:sz w:val="30"/>
          <w:szCs w:val="30"/>
        </w:rPr>
        <w:t>172</w:t>
      </w:r>
      <w:r w:rsidRPr="00C139C4">
        <w:rPr>
          <w:rFonts w:hAnsi="標楷體"/>
          <w:spacing w:val="-4"/>
          <w:sz w:val="30"/>
          <w:szCs w:val="30"/>
        </w:rPr>
        <w:t>條命令不得違法、違憲之規定。</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(8)</w:t>
      </w:r>
      <w:r w:rsidRPr="007B5D03">
        <w:rPr>
          <w:rFonts w:hAnsi="標楷體"/>
          <w:sz w:val="30"/>
          <w:szCs w:val="30"/>
        </w:rPr>
        <w:t>再查，立法者於制定所得稅法第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時，依</w:t>
      </w:r>
      <w:r w:rsidRPr="00E43EB8">
        <w:rPr>
          <w:rFonts w:hAnsi="標楷體"/>
          <w:spacing w:val="-4"/>
          <w:sz w:val="30"/>
          <w:szCs w:val="30"/>
        </w:rPr>
        <w:t>照主客觀的立法事實，主要乃是對股票之證券市場加以規範，對於另一金融商品</w:t>
      </w:r>
      <w:r w:rsidRPr="00E43EB8">
        <w:rPr>
          <w:spacing w:val="-4"/>
          <w:sz w:val="30"/>
          <w:szCs w:val="30"/>
        </w:rPr>
        <w:t>—</w:t>
      </w:r>
      <w:r w:rsidRPr="00E43EB8">
        <w:rPr>
          <w:rFonts w:hAnsi="標楷體"/>
          <w:spacing w:val="-4"/>
          <w:sz w:val="30"/>
          <w:szCs w:val="30"/>
        </w:rPr>
        <w:t>期貨，則以所得稅法第</w:t>
      </w:r>
      <w:r w:rsidRPr="00E43EB8">
        <w:rPr>
          <w:spacing w:val="-4"/>
          <w:sz w:val="30"/>
          <w:szCs w:val="30"/>
        </w:rPr>
        <w:t>4</w:t>
      </w:r>
      <w:r w:rsidRPr="00E43EB8">
        <w:rPr>
          <w:rFonts w:hAnsi="標楷體"/>
          <w:spacing w:val="-4"/>
          <w:sz w:val="30"/>
          <w:szCs w:val="30"/>
        </w:rPr>
        <w:t>條之</w:t>
      </w:r>
      <w:r w:rsidRPr="00E43EB8">
        <w:rPr>
          <w:spacing w:val="-4"/>
          <w:sz w:val="30"/>
          <w:szCs w:val="30"/>
        </w:rPr>
        <w:t>2</w:t>
      </w:r>
      <w:r w:rsidRPr="00E43EB8">
        <w:rPr>
          <w:rFonts w:hAnsi="標楷體" w:hint="eastAsia"/>
          <w:spacing w:val="-4"/>
          <w:sz w:val="30"/>
          <w:szCs w:val="30"/>
        </w:rPr>
        <w:t>制</w:t>
      </w:r>
      <w:r w:rsidRPr="00E43EB8">
        <w:rPr>
          <w:rFonts w:hAnsi="標楷體"/>
          <w:spacing w:val="-4"/>
          <w:sz w:val="30"/>
          <w:szCs w:val="30"/>
        </w:rPr>
        <w:t>定免稅規定，論其實際，權證僅是以股票作為購買人認購之標的，認購人可以約定之特定價格買入</w:t>
      </w:r>
      <w:r w:rsidRPr="00E43EB8">
        <w:rPr>
          <w:rFonts w:hint="eastAsia"/>
          <w:spacing w:val="-4"/>
          <w:sz w:val="30"/>
          <w:szCs w:val="30"/>
        </w:rPr>
        <w:t>（</w:t>
      </w:r>
      <w:r w:rsidRPr="00E43EB8">
        <w:rPr>
          <w:rFonts w:hAnsi="標楷體"/>
          <w:spacing w:val="-4"/>
          <w:sz w:val="30"/>
          <w:szCs w:val="30"/>
        </w:rPr>
        <w:t>認購權證</w:t>
      </w:r>
      <w:r w:rsidRPr="00E43EB8">
        <w:rPr>
          <w:rFonts w:hint="eastAsia"/>
          <w:spacing w:val="-4"/>
          <w:sz w:val="30"/>
          <w:szCs w:val="30"/>
        </w:rPr>
        <w:t>）</w:t>
      </w:r>
      <w:r w:rsidRPr="00E43EB8">
        <w:rPr>
          <w:rFonts w:hAnsi="標楷體"/>
          <w:spacing w:val="-4"/>
          <w:sz w:val="30"/>
          <w:szCs w:val="30"/>
        </w:rPr>
        <w:t>或賣出</w:t>
      </w:r>
      <w:r w:rsidRPr="00E43EB8">
        <w:rPr>
          <w:rFonts w:hint="eastAsia"/>
          <w:spacing w:val="-4"/>
          <w:sz w:val="30"/>
          <w:szCs w:val="30"/>
        </w:rPr>
        <w:t>（</w:t>
      </w:r>
      <w:r w:rsidRPr="00E43EB8">
        <w:rPr>
          <w:rFonts w:hAnsi="標楷體"/>
          <w:spacing w:val="-4"/>
          <w:sz w:val="30"/>
          <w:szCs w:val="30"/>
        </w:rPr>
        <w:t>認售權證</w:t>
      </w:r>
      <w:r w:rsidRPr="00E43EB8">
        <w:rPr>
          <w:rFonts w:hint="eastAsia"/>
          <w:spacing w:val="-4"/>
          <w:sz w:val="30"/>
          <w:szCs w:val="30"/>
        </w:rPr>
        <w:t>）</w:t>
      </w:r>
      <w:r w:rsidRPr="00E43EB8">
        <w:rPr>
          <w:rFonts w:hAnsi="標楷體"/>
          <w:spacing w:val="-4"/>
          <w:sz w:val="30"/>
          <w:szCs w:val="30"/>
        </w:rPr>
        <w:t>該標的股票之權利證書，此亦為財政部</w:t>
      </w:r>
      <w:r w:rsidRPr="00E43EB8">
        <w:rPr>
          <w:spacing w:val="6"/>
          <w:sz w:val="30"/>
          <w:szCs w:val="30"/>
        </w:rPr>
        <w:t>86</w:t>
      </w:r>
      <w:r w:rsidRPr="00E43EB8">
        <w:rPr>
          <w:rFonts w:hAnsi="標楷體"/>
          <w:spacing w:val="6"/>
          <w:sz w:val="30"/>
          <w:szCs w:val="30"/>
        </w:rPr>
        <w:t>年函釋解釋發行券商取得之權利金收入應</w:t>
      </w:r>
      <w:r w:rsidRPr="00E43EB8">
        <w:rPr>
          <w:rFonts w:hAnsi="標楷體"/>
          <w:spacing w:val="-4"/>
          <w:sz w:val="30"/>
          <w:szCs w:val="30"/>
        </w:rPr>
        <w:t>稅，並非屬於所得稅法第</w:t>
      </w:r>
      <w:r w:rsidRPr="00E43EB8">
        <w:rPr>
          <w:spacing w:val="-4"/>
          <w:sz w:val="30"/>
          <w:szCs w:val="30"/>
        </w:rPr>
        <w:t>4</w:t>
      </w:r>
      <w:r w:rsidRPr="00E43EB8">
        <w:rPr>
          <w:rFonts w:hAnsi="標楷體"/>
          <w:spacing w:val="-4"/>
          <w:sz w:val="30"/>
          <w:szCs w:val="30"/>
        </w:rPr>
        <w:t>條之</w:t>
      </w:r>
      <w:r w:rsidRPr="00E43EB8">
        <w:rPr>
          <w:spacing w:val="-4"/>
          <w:sz w:val="30"/>
          <w:szCs w:val="30"/>
        </w:rPr>
        <w:t>1</w:t>
      </w:r>
      <w:r w:rsidRPr="00E43EB8">
        <w:rPr>
          <w:rFonts w:hAnsi="標楷體"/>
          <w:spacing w:val="-4"/>
          <w:sz w:val="30"/>
          <w:szCs w:val="30"/>
        </w:rPr>
        <w:t>之證券交易所得，惟財政部</w:t>
      </w:r>
      <w:r w:rsidRPr="00E43EB8">
        <w:rPr>
          <w:spacing w:val="-4"/>
          <w:sz w:val="30"/>
          <w:szCs w:val="30"/>
        </w:rPr>
        <w:t>86</w:t>
      </w:r>
      <w:r w:rsidRPr="00E43EB8">
        <w:rPr>
          <w:rFonts w:hAnsi="標楷體"/>
          <w:spacing w:val="-4"/>
          <w:sz w:val="30"/>
          <w:szCs w:val="30"/>
        </w:rPr>
        <w:t>年函釋仍執意將權證交易中之避險交易部分單獨抽離，顯然與立法者在</w:t>
      </w:r>
      <w:r w:rsidRPr="00E43EB8">
        <w:rPr>
          <w:spacing w:val="-4"/>
          <w:sz w:val="30"/>
          <w:szCs w:val="30"/>
        </w:rPr>
        <w:t>87</w:t>
      </w:r>
      <w:r w:rsidRPr="00E43EB8">
        <w:rPr>
          <w:rFonts w:hAnsi="標楷體"/>
          <w:spacing w:val="-4"/>
          <w:sz w:val="30"/>
          <w:szCs w:val="30"/>
        </w:rPr>
        <w:t>年增訂之所得稅法第</w:t>
      </w:r>
      <w:r w:rsidRPr="00E43EB8">
        <w:rPr>
          <w:spacing w:val="-4"/>
          <w:sz w:val="30"/>
          <w:szCs w:val="30"/>
        </w:rPr>
        <w:t>4</w:t>
      </w:r>
      <w:r w:rsidRPr="00E43EB8">
        <w:rPr>
          <w:rFonts w:hAnsi="標楷體"/>
          <w:spacing w:val="-4"/>
          <w:sz w:val="30"/>
          <w:szCs w:val="30"/>
        </w:rPr>
        <w:t>條之</w:t>
      </w:r>
      <w:r w:rsidRPr="00E43EB8">
        <w:rPr>
          <w:spacing w:val="-4"/>
          <w:sz w:val="30"/>
          <w:szCs w:val="30"/>
        </w:rPr>
        <w:t>2</w:t>
      </w:r>
      <w:r w:rsidRPr="00E43EB8">
        <w:rPr>
          <w:rFonts w:hAnsi="標楷體"/>
          <w:spacing w:val="-4"/>
          <w:sz w:val="30"/>
          <w:szCs w:val="30"/>
        </w:rPr>
        <w:t>意旨有違，蓋客觀上</w:t>
      </w:r>
      <w:r w:rsidRPr="00E43EB8">
        <w:rPr>
          <w:rFonts w:hAnsi="標楷體"/>
          <w:sz w:val="30"/>
          <w:szCs w:val="30"/>
        </w:rPr>
        <w:t>可推知立法者認為期貨交易與證券交易係屬二</w:t>
      </w:r>
      <w:r w:rsidRPr="00E43EB8">
        <w:rPr>
          <w:rFonts w:hAnsi="標楷體"/>
          <w:spacing w:val="-4"/>
          <w:sz w:val="30"/>
          <w:szCs w:val="30"/>
        </w:rPr>
        <w:t>事，而權證交易其實是比較類似於股票選擇權之</w:t>
      </w:r>
      <w:r w:rsidRPr="00E43EB8">
        <w:rPr>
          <w:rFonts w:hAnsi="標楷體"/>
          <w:sz w:val="30"/>
          <w:szCs w:val="30"/>
        </w:rPr>
        <w:t>期貨交易，可參考財政部</w:t>
      </w:r>
      <w:smartTag w:uri="urn:schemas-microsoft-com:office:smarttags" w:element="chsdate">
        <w:smartTagPr>
          <w:attr w:name="IsROCDate" w:val="False"/>
          <w:attr w:name="IsLunarDate" w:val="False"/>
          <w:attr w:name="Day" w:val="26"/>
          <w:attr w:name="Month" w:val="12"/>
          <w:attr w:name="Year" w:val="1991"/>
        </w:smartTagPr>
        <w:r w:rsidRPr="00E43EB8">
          <w:rPr>
            <w:sz w:val="30"/>
            <w:szCs w:val="30"/>
          </w:rPr>
          <w:t>91</w:t>
        </w:r>
        <w:r w:rsidRPr="00E43EB8">
          <w:rPr>
            <w:rFonts w:hAnsi="標楷體"/>
            <w:sz w:val="30"/>
            <w:szCs w:val="30"/>
          </w:rPr>
          <w:t>年</w:t>
        </w:r>
        <w:r w:rsidRPr="00E43EB8">
          <w:rPr>
            <w:sz w:val="30"/>
            <w:szCs w:val="30"/>
          </w:rPr>
          <w:t>12</w:t>
        </w:r>
        <w:r w:rsidRPr="00E43EB8">
          <w:rPr>
            <w:rFonts w:hAnsi="標楷體"/>
            <w:sz w:val="30"/>
            <w:szCs w:val="30"/>
          </w:rPr>
          <w:t>月</w:t>
        </w:r>
        <w:r w:rsidRPr="00E43EB8">
          <w:rPr>
            <w:sz w:val="30"/>
            <w:szCs w:val="30"/>
          </w:rPr>
          <w:t>26</w:t>
        </w:r>
        <w:r w:rsidRPr="00E43EB8">
          <w:rPr>
            <w:rFonts w:hAnsi="標楷體"/>
            <w:sz w:val="30"/>
            <w:szCs w:val="30"/>
          </w:rPr>
          <w:t>日</w:t>
        </w:r>
      </w:smartTag>
      <w:r w:rsidRPr="00E43EB8">
        <w:rPr>
          <w:rFonts w:hAnsi="標楷體"/>
          <w:sz w:val="30"/>
          <w:szCs w:val="30"/>
        </w:rPr>
        <w:t>台財稅</w:t>
      </w:r>
      <w:r w:rsidRPr="00E43EB8">
        <w:rPr>
          <w:rFonts w:hAnsi="標楷體" w:hint="eastAsia"/>
          <w:sz w:val="30"/>
          <w:szCs w:val="30"/>
        </w:rPr>
        <w:t>字</w:t>
      </w:r>
      <w:r w:rsidRPr="00E43EB8">
        <w:rPr>
          <w:rFonts w:hAnsi="標楷體"/>
          <w:sz w:val="30"/>
          <w:szCs w:val="30"/>
        </w:rPr>
        <w:t>第</w:t>
      </w:r>
      <w:r w:rsidRPr="00E43EB8">
        <w:rPr>
          <w:sz w:val="30"/>
          <w:szCs w:val="30"/>
        </w:rPr>
        <w:t>0910455619</w:t>
      </w:r>
      <w:r w:rsidRPr="00E43EB8">
        <w:rPr>
          <w:rFonts w:hAnsi="標楷體"/>
          <w:sz w:val="30"/>
          <w:szCs w:val="30"/>
        </w:rPr>
        <w:t>號函釋「臺灣期貨交易所股</w:t>
      </w:r>
      <w:r w:rsidRPr="00E43EB8">
        <w:rPr>
          <w:rFonts w:hAnsi="標楷體"/>
          <w:spacing w:val="-4"/>
          <w:sz w:val="30"/>
          <w:szCs w:val="30"/>
        </w:rPr>
        <w:t>份有限公司擬推出「股票選擇權契約」，交易人</w:t>
      </w:r>
      <w:r w:rsidRPr="00E43EB8">
        <w:rPr>
          <w:rFonts w:hAnsi="標楷體"/>
          <w:sz w:val="30"/>
          <w:szCs w:val="30"/>
        </w:rPr>
        <w:t>買賣該項契約或於到期時結算差價者，均應依</w:t>
      </w:r>
      <w:r w:rsidRPr="00E43EB8">
        <w:rPr>
          <w:rFonts w:hAnsi="標楷體"/>
          <w:spacing w:val="4"/>
          <w:sz w:val="30"/>
          <w:szCs w:val="30"/>
        </w:rPr>
        <w:t>「期貨交易稅條例」第二條規定課徵期貨交易</w:t>
      </w:r>
      <w:r w:rsidRPr="00E43EB8">
        <w:rPr>
          <w:rFonts w:hAnsi="標楷體"/>
          <w:spacing w:val="-4"/>
          <w:sz w:val="30"/>
          <w:szCs w:val="30"/>
        </w:rPr>
        <w:t>稅；至到期履約採股票實物交割者，應依證券交易稅條例規定課徵證券交易稅，由期貨商於每次結算交割之當日代徵後，填具「期貨商代徵期貨交易稅稅額繳款</w:t>
      </w:r>
      <w:r w:rsidRPr="00E43EB8">
        <w:rPr>
          <w:rFonts w:hAnsi="標楷體"/>
          <w:spacing w:val="-4"/>
          <w:sz w:val="30"/>
          <w:szCs w:val="30"/>
        </w:rPr>
        <w:lastRenderedPageBreak/>
        <w:t>書」，並於項目欄內載明「股票選擇權履約證券交易稅」，應於代徵之次日向國</w:t>
      </w:r>
      <w:r w:rsidRPr="00E43EB8">
        <w:rPr>
          <w:rFonts w:hAnsi="標楷體"/>
          <w:spacing w:val="-8"/>
          <w:sz w:val="30"/>
          <w:szCs w:val="30"/>
        </w:rPr>
        <w:t>庫繳納之。」（附件</w:t>
      </w:r>
      <w:r w:rsidRPr="00E43EB8">
        <w:rPr>
          <w:spacing w:val="-8"/>
          <w:sz w:val="30"/>
          <w:szCs w:val="30"/>
        </w:rPr>
        <w:t>16</w:t>
      </w:r>
      <w:r w:rsidRPr="00E43EB8">
        <w:rPr>
          <w:rFonts w:hAnsi="標楷體"/>
          <w:spacing w:val="-8"/>
          <w:sz w:val="30"/>
          <w:szCs w:val="30"/>
        </w:rPr>
        <w:t>）是以財政部</w:t>
      </w:r>
      <w:r w:rsidRPr="00E43EB8">
        <w:rPr>
          <w:spacing w:val="-8"/>
          <w:sz w:val="30"/>
          <w:szCs w:val="30"/>
        </w:rPr>
        <w:t>86</w:t>
      </w:r>
      <w:r w:rsidRPr="00E43EB8">
        <w:rPr>
          <w:rFonts w:hAnsi="標楷體"/>
          <w:spacing w:val="-8"/>
          <w:sz w:val="30"/>
          <w:szCs w:val="30"/>
        </w:rPr>
        <w:t>年函釋單</w:t>
      </w:r>
      <w:r w:rsidRPr="00E43EB8">
        <w:rPr>
          <w:rFonts w:hAnsi="標楷體"/>
          <w:spacing w:val="-4"/>
          <w:sz w:val="30"/>
          <w:szCs w:val="30"/>
        </w:rPr>
        <w:t>獨抽離權證避險損失作為所得稅法第</w:t>
      </w:r>
      <w:r w:rsidRPr="00E43EB8">
        <w:rPr>
          <w:spacing w:val="-4"/>
          <w:sz w:val="30"/>
          <w:szCs w:val="30"/>
        </w:rPr>
        <w:t>4</w:t>
      </w:r>
      <w:r w:rsidRPr="00E43EB8">
        <w:rPr>
          <w:rFonts w:hAnsi="標楷體"/>
          <w:spacing w:val="-4"/>
          <w:sz w:val="30"/>
          <w:szCs w:val="30"/>
        </w:rPr>
        <w:t>條之</w:t>
      </w:r>
      <w:r w:rsidRPr="00E43EB8">
        <w:rPr>
          <w:spacing w:val="-4"/>
          <w:sz w:val="30"/>
          <w:szCs w:val="30"/>
        </w:rPr>
        <w:t>1</w:t>
      </w:r>
      <w:r w:rsidRPr="00E43EB8">
        <w:rPr>
          <w:rFonts w:hAnsi="標楷體"/>
          <w:spacing w:val="-4"/>
          <w:sz w:val="30"/>
          <w:szCs w:val="30"/>
        </w:rPr>
        <w:t>規範之客體，顯已超越立法者制定法律之初所預定規範之對象，形成上述違反租稅法律主義與法律保留原則之情</w:t>
      </w:r>
      <w:r w:rsidRPr="00E43EB8">
        <w:rPr>
          <w:rFonts w:hAnsi="標楷體" w:hint="eastAsia"/>
          <w:spacing w:val="-4"/>
          <w:sz w:val="30"/>
          <w:szCs w:val="30"/>
        </w:rPr>
        <w:t>事甚明</w:t>
      </w:r>
      <w:r w:rsidRPr="00E43EB8">
        <w:rPr>
          <w:rFonts w:hAnsi="標楷體"/>
          <w:spacing w:val="-4"/>
          <w:sz w:val="30"/>
          <w:szCs w:val="30"/>
        </w:rPr>
        <w:t>。</w:t>
      </w:r>
    </w:p>
    <w:p w:rsidR="00514426" w:rsidRPr="007B5D03" w:rsidRDefault="00514426" w:rsidP="00EB68DB">
      <w:pPr>
        <w:snapToGrid w:val="0"/>
        <w:spacing w:line="437" w:lineRule="exact"/>
        <w:ind w:leftChars="700" w:left="2305" w:hangingChars="115" w:hanging="345"/>
        <w:rPr>
          <w:sz w:val="30"/>
          <w:szCs w:val="30"/>
        </w:rPr>
      </w:pPr>
      <w:r w:rsidRPr="007B5D03">
        <w:rPr>
          <w:rFonts w:hAnsi="標楷體" w:hint="eastAsia"/>
          <w:sz w:val="30"/>
          <w:szCs w:val="30"/>
        </w:rPr>
        <w:t>(9)</w:t>
      </w:r>
      <w:r w:rsidRPr="007B5D03">
        <w:rPr>
          <w:rFonts w:hAnsi="標楷體" w:hint="eastAsia"/>
          <w:sz w:val="30"/>
          <w:szCs w:val="30"/>
        </w:rPr>
        <w:t>再詳言之，</w:t>
      </w:r>
      <w:r w:rsidRPr="007B5D03">
        <w:rPr>
          <w:rFonts w:hAnsi="標楷體"/>
          <w:sz w:val="30"/>
          <w:szCs w:val="30"/>
        </w:rPr>
        <w:t>因</w:t>
      </w:r>
      <w:r w:rsidRPr="007B5D03">
        <w:rPr>
          <w:rFonts w:hAnsi="標楷體" w:hint="eastAsia"/>
          <w:sz w:val="30"/>
          <w:szCs w:val="30"/>
        </w:rPr>
        <w:t>與本案類似之他案中（</w:t>
      </w:r>
      <w:r w:rsidRPr="007B5D03">
        <w:rPr>
          <w:rFonts w:hAnsi="標楷體"/>
          <w:sz w:val="30"/>
          <w:szCs w:val="30"/>
        </w:rPr>
        <w:t>臺北高等行</w:t>
      </w:r>
      <w:r w:rsidRPr="00E43EB8">
        <w:rPr>
          <w:rFonts w:hAnsi="標楷體"/>
          <w:spacing w:val="-8"/>
          <w:sz w:val="30"/>
          <w:szCs w:val="30"/>
        </w:rPr>
        <w:t>政</w:t>
      </w:r>
      <w:r w:rsidRPr="00E43EB8">
        <w:rPr>
          <w:rFonts w:hAnsi="標楷體" w:hint="eastAsia"/>
          <w:spacing w:val="-8"/>
          <w:sz w:val="30"/>
          <w:szCs w:val="30"/>
        </w:rPr>
        <w:t>法</w:t>
      </w:r>
      <w:r w:rsidRPr="00E43EB8">
        <w:rPr>
          <w:rFonts w:hAnsi="標楷體"/>
          <w:spacing w:val="-8"/>
          <w:sz w:val="30"/>
          <w:szCs w:val="30"/>
        </w:rPr>
        <w:t>院</w:t>
      </w:r>
      <w:r w:rsidRPr="00E43EB8">
        <w:rPr>
          <w:rFonts w:hAnsi="標楷體" w:hint="eastAsia"/>
          <w:spacing w:val="-8"/>
          <w:sz w:val="30"/>
          <w:szCs w:val="30"/>
        </w:rPr>
        <w:t>92</w:t>
      </w:r>
      <w:r w:rsidRPr="00E43EB8">
        <w:rPr>
          <w:rFonts w:hAnsi="標楷體" w:hint="eastAsia"/>
          <w:spacing w:val="-8"/>
          <w:sz w:val="30"/>
          <w:szCs w:val="30"/>
        </w:rPr>
        <w:t>年訴字第</w:t>
      </w:r>
      <w:r w:rsidRPr="00E43EB8">
        <w:rPr>
          <w:rFonts w:hAnsi="標楷體" w:hint="eastAsia"/>
          <w:spacing w:val="-8"/>
          <w:sz w:val="30"/>
          <w:szCs w:val="30"/>
        </w:rPr>
        <w:t>157</w:t>
      </w:r>
      <w:r w:rsidRPr="00E43EB8">
        <w:rPr>
          <w:rFonts w:hAnsi="標楷體" w:hint="eastAsia"/>
          <w:spacing w:val="-8"/>
          <w:sz w:val="30"/>
          <w:szCs w:val="30"/>
        </w:rPr>
        <w:t>號等，附件</w:t>
      </w:r>
      <w:r w:rsidRPr="00E43EB8">
        <w:rPr>
          <w:rFonts w:hAnsi="標楷體" w:hint="eastAsia"/>
          <w:spacing w:val="-8"/>
          <w:sz w:val="30"/>
          <w:szCs w:val="30"/>
        </w:rPr>
        <w:t>17</w:t>
      </w:r>
      <w:r w:rsidRPr="00E43EB8">
        <w:rPr>
          <w:rFonts w:hAnsi="標楷體" w:hint="eastAsia"/>
          <w:spacing w:val="-8"/>
          <w:sz w:val="30"/>
          <w:szCs w:val="30"/>
        </w:rPr>
        <w:t>），</w:t>
      </w:r>
      <w:r w:rsidRPr="00E43EB8">
        <w:rPr>
          <w:rFonts w:hAnsi="標楷體"/>
          <w:spacing w:val="-8"/>
          <w:sz w:val="30"/>
          <w:szCs w:val="30"/>
        </w:rPr>
        <w:t>納稅義</w:t>
      </w:r>
      <w:r w:rsidRPr="00E43EB8">
        <w:rPr>
          <w:rFonts w:hAnsi="標楷體"/>
          <w:spacing w:val="-4"/>
          <w:sz w:val="30"/>
          <w:szCs w:val="30"/>
        </w:rPr>
        <w:t>務人曾在臺北高等行政法院獲判勝訴</w:t>
      </w:r>
      <w:r w:rsidRPr="00E43EB8">
        <w:rPr>
          <w:rFonts w:hAnsi="標楷體" w:hint="eastAsia"/>
          <w:spacing w:val="-4"/>
          <w:sz w:val="30"/>
          <w:szCs w:val="30"/>
        </w:rPr>
        <w:t>，其主</w:t>
      </w:r>
      <w:r w:rsidRPr="00E43EB8">
        <w:rPr>
          <w:rFonts w:hAnsi="標楷體"/>
          <w:spacing w:val="-4"/>
          <w:sz w:val="30"/>
          <w:szCs w:val="30"/>
        </w:rPr>
        <w:t>要關鍵即在於，</w:t>
      </w:r>
      <w:r w:rsidRPr="00E43EB8">
        <w:rPr>
          <w:rFonts w:hAnsi="標楷體" w:hint="eastAsia"/>
          <w:spacing w:val="-4"/>
          <w:sz w:val="30"/>
          <w:szCs w:val="30"/>
        </w:rPr>
        <w:t>該等他案判決認定</w:t>
      </w:r>
      <w:r w:rsidRPr="00E43EB8">
        <w:rPr>
          <w:rFonts w:hAnsi="標楷體"/>
          <w:spacing w:val="-4"/>
          <w:sz w:val="30"/>
          <w:szCs w:val="30"/>
        </w:rPr>
        <w:t>權證之避險交易與一般消費者購買之證券交易性質有異，然而最高</w:t>
      </w:r>
      <w:r w:rsidRPr="00E43EB8">
        <w:rPr>
          <w:rFonts w:hAnsi="標楷體"/>
          <w:sz w:val="30"/>
          <w:szCs w:val="30"/>
        </w:rPr>
        <w:t>行政法院卻以券商發行權證前已知悉避險交易</w:t>
      </w:r>
      <w:r w:rsidRPr="00E43EB8">
        <w:rPr>
          <w:rFonts w:hAnsi="標楷體"/>
          <w:spacing w:val="-4"/>
          <w:sz w:val="30"/>
          <w:szCs w:val="30"/>
        </w:rPr>
        <w:t>可能發生損失，及證券交易只問有證券交易之形式外觀，而不問買賣雙方對該證券交易其動機及內在主觀意思為何，否則亦有違證券交易之安定性及國家稅收之一致性，據此駁斥</w:t>
      </w:r>
      <w:r w:rsidRPr="00E43EB8">
        <w:rPr>
          <w:rFonts w:hAnsi="標楷體" w:hint="eastAsia"/>
          <w:spacing w:val="-4"/>
          <w:sz w:val="30"/>
          <w:szCs w:val="30"/>
        </w:rPr>
        <w:t>臺</w:t>
      </w:r>
      <w:r w:rsidRPr="00E43EB8">
        <w:rPr>
          <w:rFonts w:hAnsi="標楷體"/>
          <w:spacing w:val="-4"/>
          <w:sz w:val="30"/>
          <w:szCs w:val="30"/>
        </w:rPr>
        <w:t>北高等行政法院判決之見解。上開司法機關間對證券交易之範圍有不同之見解，足見所得稅法第</w:t>
      </w:r>
      <w:r w:rsidRPr="00E43EB8">
        <w:rPr>
          <w:spacing w:val="-4"/>
          <w:sz w:val="30"/>
          <w:szCs w:val="30"/>
        </w:rPr>
        <w:t>4</w:t>
      </w:r>
      <w:r w:rsidRPr="00E43EB8">
        <w:rPr>
          <w:rFonts w:hAnsi="標楷體"/>
          <w:spacing w:val="-4"/>
          <w:sz w:val="30"/>
          <w:szCs w:val="30"/>
        </w:rPr>
        <w:t>條之</w:t>
      </w:r>
      <w:r w:rsidRPr="00E43EB8">
        <w:rPr>
          <w:spacing w:val="-4"/>
          <w:sz w:val="30"/>
          <w:szCs w:val="30"/>
        </w:rPr>
        <w:t>1</w:t>
      </w:r>
      <w:r w:rsidRPr="00E43EB8">
        <w:rPr>
          <w:rFonts w:hAnsi="標楷體"/>
          <w:spacing w:val="-4"/>
          <w:sz w:val="30"/>
          <w:szCs w:val="30"/>
        </w:rPr>
        <w:t>之適用範圍確實因新金融商品之出現及財政部</w:t>
      </w:r>
      <w:r w:rsidRPr="00E43EB8">
        <w:rPr>
          <w:spacing w:val="-4"/>
          <w:sz w:val="30"/>
          <w:szCs w:val="30"/>
        </w:rPr>
        <w:t>86</w:t>
      </w:r>
      <w:r w:rsidRPr="00E43EB8">
        <w:rPr>
          <w:rFonts w:hAnsi="標楷體"/>
          <w:sz w:val="30"/>
          <w:szCs w:val="30"/>
        </w:rPr>
        <w:t>年函釋之認定，導致上述重大爭議。聲請人以</w:t>
      </w:r>
      <w:r w:rsidRPr="00E43EB8">
        <w:rPr>
          <w:rFonts w:hAnsi="標楷體"/>
          <w:spacing w:val="-4"/>
          <w:sz w:val="30"/>
          <w:szCs w:val="30"/>
        </w:rPr>
        <w:t>為，其實只要釐清所得稅法第</w:t>
      </w:r>
      <w:r w:rsidRPr="00E43EB8">
        <w:rPr>
          <w:spacing w:val="-4"/>
          <w:sz w:val="30"/>
          <w:szCs w:val="30"/>
        </w:rPr>
        <w:t>4</w:t>
      </w:r>
      <w:r w:rsidRPr="00E43EB8">
        <w:rPr>
          <w:rFonts w:hAnsi="標楷體"/>
          <w:spacing w:val="-4"/>
          <w:sz w:val="30"/>
          <w:szCs w:val="30"/>
        </w:rPr>
        <w:t>條之</w:t>
      </w:r>
      <w:r w:rsidRPr="00E43EB8">
        <w:rPr>
          <w:spacing w:val="-4"/>
          <w:sz w:val="30"/>
          <w:szCs w:val="30"/>
        </w:rPr>
        <w:t>1</w:t>
      </w:r>
      <w:r w:rsidRPr="00E43EB8">
        <w:rPr>
          <w:rFonts w:hAnsi="標楷體"/>
          <w:spacing w:val="-4"/>
          <w:sz w:val="30"/>
          <w:szCs w:val="30"/>
        </w:rPr>
        <w:t>規範對象不包括權證避險交易，或不就所得稅法第</w:t>
      </w:r>
      <w:r w:rsidRPr="00E43EB8">
        <w:rPr>
          <w:spacing w:val="-4"/>
          <w:sz w:val="30"/>
          <w:szCs w:val="30"/>
        </w:rPr>
        <w:t>4</w:t>
      </w:r>
      <w:r w:rsidRPr="00E43EB8">
        <w:rPr>
          <w:rFonts w:hAnsi="標楷體"/>
          <w:spacing w:val="-4"/>
          <w:sz w:val="30"/>
          <w:szCs w:val="30"/>
        </w:rPr>
        <w:t>條之</w:t>
      </w:r>
      <w:r w:rsidRPr="00E43EB8">
        <w:rPr>
          <w:spacing w:val="-4"/>
          <w:sz w:val="30"/>
          <w:szCs w:val="30"/>
        </w:rPr>
        <w:t>1</w:t>
      </w:r>
      <w:r w:rsidRPr="00E43EB8">
        <w:rPr>
          <w:rFonts w:hAnsi="標楷體"/>
          <w:spacing w:val="-4"/>
          <w:sz w:val="30"/>
          <w:szCs w:val="30"/>
        </w:rPr>
        <w:t>後段「證券交易損失亦不得自所得額中減除」之規定孤立解釋適用，當然就不會發生上開實務對於證券交易行為認定之爭議，</w:t>
      </w:r>
      <w:r w:rsidRPr="00E43EB8">
        <w:rPr>
          <w:rFonts w:hAnsi="標楷體" w:hint="eastAsia"/>
          <w:spacing w:val="-4"/>
          <w:sz w:val="30"/>
          <w:szCs w:val="30"/>
        </w:rPr>
        <w:t>而如　鈞院認為所得</w:t>
      </w:r>
      <w:r w:rsidRPr="00E43EB8">
        <w:rPr>
          <w:rFonts w:hAnsi="標楷體" w:hint="eastAsia"/>
          <w:spacing w:val="-4"/>
          <w:sz w:val="30"/>
          <w:szCs w:val="30"/>
        </w:rPr>
        <w:lastRenderedPageBreak/>
        <w:t>稅法第</w:t>
      </w:r>
      <w:r w:rsidRPr="00E43EB8">
        <w:rPr>
          <w:rFonts w:hAnsi="標楷體" w:hint="eastAsia"/>
          <w:spacing w:val="-4"/>
          <w:sz w:val="30"/>
          <w:szCs w:val="30"/>
        </w:rPr>
        <w:t>4</w:t>
      </w:r>
      <w:r w:rsidRPr="00E43EB8">
        <w:rPr>
          <w:rFonts w:hAnsi="標楷體" w:hint="eastAsia"/>
          <w:spacing w:val="-4"/>
          <w:sz w:val="30"/>
          <w:szCs w:val="30"/>
        </w:rPr>
        <w:t>條之</w:t>
      </w:r>
      <w:r w:rsidRPr="00E43EB8">
        <w:rPr>
          <w:rFonts w:hAnsi="標楷體" w:hint="eastAsia"/>
          <w:spacing w:val="-4"/>
          <w:sz w:val="30"/>
          <w:szCs w:val="30"/>
        </w:rPr>
        <w:t>1</w:t>
      </w:r>
      <w:r w:rsidRPr="00E43EB8">
        <w:rPr>
          <w:rFonts w:hAnsi="標楷體" w:hint="eastAsia"/>
          <w:spacing w:val="-4"/>
          <w:sz w:val="30"/>
          <w:szCs w:val="30"/>
        </w:rPr>
        <w:t>後段適用範圍仍應如最高行政法院確定判決之認定方式，所得稅法第</w:t>
      </w:r>
      <w:r w:rsidRPr="00E43EB8">
        <w:rPr>
          <w:rFonts w:hAnsi="標楷體" w:hint="eastAsia"/>
          <w:spacing w:val="-4"/>
          <w:sz w:val="30"/>
          <w:szCs w:val="30"/>
        </w:rPr>
        <w:t>4</w:t>
      </w:r>
      <w:r w:rsidRPr="00E43EB8">
        <w:rPr>
          <w:rFonts w:hAnsi="標楷體" w:hint="eastAsia"/>
          <w:spacing w:val="-4"/>
          <w:sz w:val="30"/>
          <w:szCs w:val="30"/>
        </w:rPr>
        <w:t>條之</w:t>
      </w:r>
      <w:r w:rsidRPr="00E43EB8">
        <w:rPr>
          <w:rFonts w:hAnsi="標楷體" w:hint="eastAsia"/>
          <w:spacing w:val="-4"/>
          <w:sz w:val="30"/>
          <w:szCs w:val="30"/>
        </w:rPr>
        <w:t>1</w:t>
      </w:r>
      <w:r w:rsidRPr="00E43EB8">
        <w:rPr>
          <w:rFonts w:hAnsi="標楷體" w:hint="eastAsia"/>
          <w:spacing w:val="-4"/>
          <w:sz w:val="30"/>
          <w:szCs w:val="30"/>
        </w:rPr>
        <w:t>後段即有違反量能課稅原則應予宣告部分違憲之可能。</w:t>
      </w:r>
    </w:p>
    <w:p w:rsidR="00514426" w:rsidRDefault="00514426" w:rsidP="00FB2D5A">
      <w:pPr>
        <w:snapToGrid w:val="0"/>
        <w:spacing w:line="437" w:lineRule="exact"/>
        <w:ind w:left="2030" w:hanging="340"/>
        <w:rPr>
          <w:rFonts w:hAnsi="標楷體" w:hint="eastAsia"/>
          <w:sz w:val="30"/>
          <w:szCs w:val="30"/>
        </w:rPr>
      </w:pPr>
      <w:r w:rsidRPr="007B5D03">
        <w:rPr>
          <w:rFonts w:ascii="標楷體" w:hAnsi="標楷體"/>
          <w:sz w:val="30"/>
          <w:szCs w:val="30"/>
        </w:rPr>
        <w:t>3.</w:t>
      </w:r>
      <w:r w:rsidRPr="007B5D03">
        <w:rPr>
          <w:rFonts w:hAnsi="標楷體"/>
          <w:sz w:val="30"/>
          <w:szCs w:val="30"/>
        </w:rPr>
        <w:t>依實質課稅原則，權證課稅案件之爭議在於財政部</w:t>
      </w:r>
      <w:r w:rsidRPr="007B5D03">
        <w:rPr>
          <w:sz w:val="30"/>
          <w:szCs w:val="30"/>
        </w:rPr>
        <w:t>86</w:t>
      </w:r>
      <w:r w:rsidRPr="007B5D03">
        <w:rPr>
          <w:rFonts w:hAnsi="標楷體"/>
          <w:sz w:val="30"/>
          <w:szCs w:val="30"/>
        </w:rPr>
        <w:t>年函釋對於課稅事實關係之定性問題未予釐清，以致誤認避險部分為法律上應獨立評價之行為，有違實質課稅之租稅公平原則</w:t>
      </w:r>
    </w:p>
    <w:p w:rsidR="00514426" w:rsidRPr="007B5D03" w:rsidRDefault="00514426" w:rsidP="00FB2D5A">
      <w:pPr>
        <w:snapToGrid w:val="0"/>
        <w:spacing w:line="437" w:lineRule="exact"/>
        <w:ind w:left="2779" w:hanging="794"/>
        <w:rPr>
          <w:sz w:val="30"/>
          <w:szCs w:val="30"/>
        </w:rPr>
      </w:pPr>
      <w:r w:rsidRPr="007B5D03">
        <w:rPr>
          <w:sz w:val="30"/>
          <w:szCs w:val="30"/>
        </w:rPr>
        <w:t>(1)</w:t>
      </w:r>
      <w:r w:rsidRPr="007B5D03">
        <w:rPr>
          <w:rFonts w:hAnsi="標楷體"/>
          <w:sz w:val="30"/>
          <w:szCs w:val="30"/>
        </w:rPr>
        <w:t>課稅事實關係定性問題與實質課稅原則之關係</w:t>
      </w:r>
    </w:p>
    <w:p w:rsidR="00514426" w:rsidRPr="007B5D03" w:rsidRDefault="00514426" w:rsidP="00E43EB8">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按「地價稅之稽徵，係以土地所有權人在同</w:t>
      </w:r>
      <w:r w:rsidRPr="00E43EB8">
        <w:rPr>
          <w:rFonts w:hAnsi="標楷體"/>
          <w:spacing w:val="4"/>
          <w:sz w:val="30"/>
          <w:szCs w:val="30"/>
        </w:rPr>
        <w:t>一直轄市或縣（市）所有之土地之地價及面</w:t>
      </w:r>
      <w:r w:rsidRPr="007B5D03">
        <w:rPr>
          <w:rFonts w:hAnsi="標楷體"/>
          <w:sz w:val="30"/>
          <w:szCs w:val="30"/>
        </w:rPr>
        <w:t>積所計算之地價總額為課稅基礎，並按照地政機關編送之地價歸戶冊及地籍異動通知資料核定之。因地籍依法重測之結果，如與重測前之土地登記標示之面積有出入者，除非否定重測之結果或確認實施重測時作業有瑕疵，否則，即應以重測確定後所為土地標示變更登記所記載之土地面積為準。而同一土地如經地政機關於實施重測時發現與鄰地有界址重疊之情形而經重測後面積減少者，即表示依重測前之土地登記標示之面積為計算基礎而核列歸戶冊之地價總額並不正確，其致土地所有權人因而負擔更多稅負者，亦應解為係屬稅捐稽徵法第</w:t>
      </w:r>
      <w:r w:rsidRPr="007B5D03">
        <w:rPr>
          <w:sz w:val="30"/>
          <w:szCs w:val="30"/>
        </w:rPr>
        <w:t>28</w:t>
      </w:r>
      <w:r w:rsidRPr="007B5D03">
        <w:rPr>
          <w:rFonts w:hAnsi="標楷體"/>
          <w:sz w:val="30"/>
          <w:szCs w:val="30"/>
        </w:rPr>
        <w:t>條所規定之「因計算錯誤溢繳之稅款」，方與實質課稅之公平原</w:t>
      </w:r>
      <w:r w:rsidRPr="00E43EB8">
        <w:rPr>
          <w:rFonts w:hAnsi="標楷體"/>
          <w:spacing w:val="4"/>
          <w:sz w:val="30"/>
          <w:szCs w:val="30"/>
        </w:rPr>
        <w:t>則無違。」有　鈞院釋字第</w:t>
      </w:r>
      <w:r w:rsidRPr="00E43EB8">
        <w:rPr>
          <w:spacing w:val="4"/>
          <w:sz w:val="30"/>
          <w:szCs w:val="30"/>
        </w:rPr>
        <w:t>625</w:t>
      </w:r>
      <w:r w:rsidRPr="00E43EB8">
        <w:rPr>
          <w:rFonts w:hAnsi="標楷體"/>
          <w:spacing w:val="4"/>
          <w:sz w:val="30"/>
          <w:szCs w:val="30"/>
        </w:rPr>
        <w:t>號解釋可資</w:t>
      </w:r>
      <w:r w:rsidRPr="007B5D03">
        <w:rPr>
          <w:rFonts w:hAnsi="標楷體"/>
          <w:sz w:val="30"/>
          <w:szCs w:val="30"/>
        </w:rPr>
        <w:t>參照。是以土地面積</w:t>
      </w:r>
      <w:r w:rsidRPr="007B5D03">
        <w:rPr>
          <w:rFonts w:hAnsi="標楷體"/>
          <w:sz w:val="30"/>
          <w:szCs w:val="30"/>
        </w:rPr>
        <w:lastRenderedPageBreak/>
        <w:t>錯誤造成地價稅計算錯誤之情形，　鈞院亦認為此與實質課稅原則相違背，亦即實質課稅</w:t>
      </w:r>
      <w:r w:rsidRPr="007B5D03">
        <w:rPr>
          <w:rFonts w:hAnsi="標楷體" w:hint="eastAsia"/>
          <w:sz w:val="30"/>
          <w:szCs w:val="30"/>
        </w:rPr>
        <w:t>原</w:t>
      </w:r>
      <w:r w:rsidRPr="007B5D03">
        <w:rPr>
          <w:rFonts w:hAnsi="標楷體"/>
          <w:sz w:val="30"/>
          <w:szCs w:val="30"/>
        </w:rPr>
        <w:t>則對於租稅法令及課稅事實（課稅事實關係定性）均有其適用，應無疑義。</w:t>
      </w:r>
    </w:p>
    <w:p w:rsidR="00514426" w:rsidRPr="007B5D03" w:rsidRDefault="00514426" w:rsidP="00E43EB8">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故學者認為實質課稅原則對於稅捐客體之有無之適用上，係包括定性之問題，這影響到其是否該當應稅的構成要件，及其應適用之稅基的計算規定和稅率對於納稅義務人之實質稅捐利益自有重大影響。例如一棟建築是否被定性為自用住宅，不但影響其房屋稅，而且影響其基地之地價稅、土地增值稅之應適用稅率（附件</w:t>
      </w:r>
      <w:r w:rsidRPr="007B5D03">
        <w:rPr>
          <w:sz w:val="30"/>
          <w:szCs w:val="30"/>
        </w:rPr>
        <w:t>1</w:t>
      </w:r>
      <w:r w:rsidRPr="007B5D03">
        <w:rPr>
          <w:rFonts w:hint="eastAsia"/>
          <w:sz w:val="30"/>
          <w:szCs w:val="30"/>
        </w:rPr>
        <w:t>8</w:t>
      </w:r>
      <w:r w:rsidRPr="007B5D03">
        <w:rPr>
          <w:rFonts w:hAnsi="標楷體"/>
          <w:sz w:val="30"/>
          <w:szCs w:val="30"/>
        </w:rPr>
        <w:t>，黃茂榮，稅法總論第一冊，頁</w:t>
      </w:r>
      <w:r w:rsidRPr="007B5D03">
        <w:rPr>
          <w:sz w:val="30"/>
          <w:szCs w:val="30"/>
        </w:rPr>
        <w:t>405</w:t>
      </w:r>
      <w:r w:rsidRPr="007B5D03">
        <w:rPr>
          <w:rFonts w:hAnsi="標楷體"/>
          <w:sz w:val="30"/>
          <w:szCs w:val="30"/>
        </w:rPr>
        <w:t>）。</w:t>
      </w:r>
    </w:p>
    <w:p w:rsidR="00514426" w:rsidRPr="007B5D03" w:rsidRDefault="00514426" w:rsidP="00E43EB8">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E43EB8">
        <w:rPr>
          <w:rFonts w:hAnsi="標楷體"/>
          <w:spacing w:val="4"/>
          <w:sz w:val="30"/>
          <w:szCs w:val="30"/>
        </w:rPr>
        <w:t>而所謂之「定性」係指事實關係的定性，由</w:t>
      </w:r>
      <w:r w:rsidRPr="00E43EB8">
        <w:rPr>
          <w:rFonts w:hAnsi="標楷體"/>
          <w:spacing w:val="6"/>
          <w:sz w:val="30"/>
          <w:szCs w:val="30"/>
        </w:rPr>
        <w:t>於法律之適用並不僅限於法規範解釋之問</w:t>
      </w:r>
      <w:r w:rsidRPr="007B5D03">
        <w:rPr>
          <w:rFonts w:hAnsi="標楷體"/>
          <w:sz w:val="30"/>
          <w:szCs w:val="30"/>
        </w:rPr>
        <w:t>題，單純對於系爭法規範進行解釋，並無法</w:t>
      </w:r>
      <w:r w:rsidRPr="00E43EB8">
        <w:rPr>
          <w:rFonts w:hAnsi="標楷體"/>
          <w:spacing w:val="4"/>
          <w:sz w:val="30"/>
          <w:szCs w:val="30"/>
        </w:rPr>
        <w:t>獲得裁判規範，且小前提（亦即事實）之處</w:t>
      </w:r>
      <w:r w:rsidRPr="007B5D03">
        <w:rPr>
          <w:rFonts w:hAnsi="標楷體"/>
          <w:sz w:val="30"/>
          <w:szCs w:val="30"/>
        </w:rPr>
        <w:t>理也絕不是毫無問題，所以事實關係之認定並不是單純的程序法的事務，對事實關係的定性，都應考慮法規範的意旨及目的，如對</w:t>
      </w:r>
      <w:r w:rsidRPr="00E43EB8">
        <w:rPr>
          <w:rFonts w:hAnsi="標楷體"/>
          <w:spacing w:val="6"/>
          <w:sz w:val="30"/>
          <w:szCs w:val="30"/>
        </w:rPr>
        <w:t>於事實關係的特徵，按照規範的意旨與任</w:t>
      </w:r>
      <w:r w:rsidRPr="007B5D03">
        <w:rPr>
          <w:rFonts w:hAnsi="標楷體"/>
          <w:sz w:val="30"/>
          <w:szCs w:val="30"/>
        </w:rPr>
        <w:t>務，以合乎事理的方式，加以評價時，亦即針對構成要件的標準，對於事實關係的相關</w:t>
      </w:r>
      <w:r w:rsidRPr="00E43EB8">
        <w:rPr>
          <w:rFonts w:hAnsi="標楷體" w:hint="eastAsia"/>
          <w:spacing w:val="4"/>
          <w:sz w:val="30"/>
          <w:szCs w:val="30"/>
        </w:rPr>
        <w:t>連</w:t>
      </w:r>
      <w:r w:rsidRPr="00E43EB8">
        <w:rPr>
          <w:rFonts w:hAnsi="標楷體"/>
          <w:spacing w:val="4"/>
          <w:sz w:val="30"/>
          <w:szCs w:val="30"/>
        </w:rPr>
        <w:t>部分，加以評價時，則小前提（事實）即</w:t>
      </w:r>
      <w:r w:rsidRPr="007B5D03">
        <w:rPr>
          <w:rFonts w:hAnsi="標楷體"/>
          <w:sz w:val="30"/>
          <w:szCs w:val="30"/>
        </w:rPr>
        <w:t>可正確的加以建立。是以德國稅法碩儒</w:t>
      </w:r>
      <w:r w:rsidRPr="007B5D03">
        <w:rPr>
          <w:sz w:val="30"/>
          <w:szCs w:val="30"/>
        </w:rPr>
        <w:t>Tipke</w:t>
      </w:r>
      <w:r w:rsidRPr="007B5D03">
        <w:rPr>
          <w:rFonts w:hAnsi="標楷體"/>
          <w:sz w:val="30"/>
          <w:szCs w:val="30"/>
        </w:rPr>
        <w:t>認為在稅法上，事實關係的定性，必須以經</w:t>
      </w:r>
      <w:r w:rsidRPr="00E43EB8">
        <w:rPr>
          <w:rFonts w:hAnsi="標楷體"/>
          <w:spacing w:val="-4"/>
          <w:sz w:val="30"/>
          <w:szCs w:val="30"/>
        </w:rPr>
        <w:t>濟觀察法為之（附件</w:t>
      </w:r>
      <w:r w:rsidRPr="00E43EB8">
        <w:rPr>
          <w:spacing w:val="-4"/>
          <w:sz w:val="30"/>
          <w:szCs w:val="30"/>
        </w:rPr>
        <w:t>1</w:t>
      </w:r>
      <w:r w:rsidRPr="00E43EB8">
        <w:rPr>
          <w:rFonts w:hint="eastAsia"/>
          <w:spacing w:val="-4"/>
          <w:sz w:val="30"/>
          <w:szCs w:val="30"/>
        </w:rPr>
        <w:t>9</w:t>
      </w:r>
      <w:r w:rsidRPr="00E43EB8">
        <w:rPr>
          <w:rFonts w:hAnsi="標楷體"/>
          <w:spacing w:val="-4"/>
          <w:sz w:val="30"/>
          <w:szCs w:val="30"/>
        </w:rPr>
        <w:t>，陳清秀，稅法總論，</w:t>
      </w:r>
      <w:r w:rsidRPr="007B5D03">
        <w:rPr>
          <w:rFonts w:hAnsi="標楷體"/>
          <w:sz w:val="30"/>
          <w:szCs w:val="30"/>
        </w:rPr>
        <w:t>頁</w:t>
      </w:r>
      <w:r w:rsidRPr="007B5D03">
        <w:rPr>
          <w:sz w:val="30"/>
          <w:szCs w:val="30"/>
        </w:rPr>
        <w:t>196</w:t>
      </w:r>
      <w:r w:rsidRPr="007B5D03">
        <w:rPr>
          <w:rFonts w:hAnsi="標楷體"/>
          <w:sz w:val="30"/>
          <w:szCs w:val="30"/>
        </w:rPr>
        <w:t>）。有關實</w:t>
      </w:r>
      <w:r w:rsidRPr="007B5D03">
        <w:rPr>
          <w:rFonts w:hAnsi="標楷體"/>
          <w:sz w:val="30"/>
          <w:szCs w:val="30"/>
        </w:rPr>
        <w:lastRenderedPageBreak/>
        <w:t>質課稅原則之適用包含課稅事實關係（亦即稅捐客體之有無），在我國憲法上、稅法上應為相同解釋，此觀　鈞院釋字第</w:t>
      </w:r>
      <w:r w:rsidRPr="007B5D03">
        <w:rPr>
          <w:sz w:val="30"/>
          <w:szCs w:val="30"/>
        </w:rPr>
        <w:t>625</w:t>
      </w:r>
      <w:r w:rsidRPr="007B5D03">
        <w:rPr>
          <w:rFonts w:hAnsi="標楷體"/>
          <w:sz w:val="30"/>
          <w:szCs w:val="30"/>
        </w:rPr>
        <w:t>號解釋亦針對稅捐客體有無及事實關係之認定予以涵蓋自明。</w:t>
      </w:r>
    </w:p>
    <w:p w:rsidR="00514426" w:rsidRPr="007B5D03" w:rsidRDefault="00514426" w:rsidP="00E43EB8">
      <w:pPr>
        <w:snapToGrid w:val="0"/>
        <w:spacing w:line="437" w:lineRule="exact"/>
        <w:ind w:left="2382" w:hanging="397"/>
        <w:rPr>
          <w:sz w:val="30"/>
          <w:szCs w:val="30"/>
        </w:rPr>
      </w:pPr>
      <w:r w:rsidRPr="007B5D03">
        <w:rPr>
          <w:sz w:val="30"/>
          <w:szCs w:val="30"/>
        </w:rPr>
        <w:t>(2)</w:t>
      </w:r>
      <w:r w:rsidRPr="007B5D03">
        <w:rPr>
          <w:rFonts w:hAnsi="標楷體"/>
          <w:sz w:val="30"/>
          <w:szCs w:val="30"/>
        </w:rPr>
        <w:t>權證課稅案件其關鍵問題之一亦在於課稅事實關係定性問題</w:t>
      </w:r>
    </w:p>
    <w:p w:rsidR="00514426" w:rsidRDefault="00514426" w:rsidP="00FB2D5A">
      <w:pPr>
        <w:snapToGrid w:val="0"/>
        <w:spacing w:line="437" w:lineRule="exact"/>
        <w:ind w:left="2438" w:firstLine="329"/>
        <w:rPr>
          <w:rFonts w:hAnsi="標楷體" w:hint="eastAsia"/>
          <w:spacing w:val="-4"/>
          <w:sz w:val="30"/>
          <w:szCs w:val="30"/>
        </w:rPr>
      </w:pPr>
      <w:r w:rsidRPr="007B5D03">
        <w:rPr>
          <w:rFonts w:hAnsi="標楷體"/>
          <w:sz w:val="30"/>
          <w:szCs w:val="30"/>
        </w:rPr>
        <w:t>有關權證案件之法院判決中，臺北高等行政法院率先於</w:t>
      </w:r>
      <w:r w:rsidRPr="007B5D03">
        <w:rPr>
          <w:sz w:val="30"/>
          <w:szCs w:val="30"/>
        </w:rPr>
        <w:t>92</w:t>
      </w:r>
      <w:r w:rsidRPr="007B5D03">
        <w:rPr>
          <w:rFonts w:hAnsi="標楷體"/>
          <w:sz w:val="30"/>
          <w:szCs w:val="30"/>
        </w:rPr>
        <w:t>年度訴字第</w:t>
      </w:r>
      <w:r w:rsidRPr="007B5D03">
        <w:rPr>
          <w:sz w:val="30"/>
          <w:szCs w:val="30"/>
        </w:rPr>
        <w:t>157</w:t>
      </w:r>
      <w:r w:rsidRPr="007B5D03">
        <w:rPr>
          <w:rFonts w:hAnsi="標楷體"/>
          <w:sz w:val="30"/>
          <w:szCs w:val="30"/>
        </w:rPr>
        <w:t>號判決表示此課</w:t>
      </w:r>
      <w:r w:rsidRPr="005F7AAE">
        <w:rPr>
          <w:rFonts w:hAnsi="標楷體"/>
          <w:spacing w:val="-4"/>
          <w:sz w:val="30"/>
          <w:szCs w:val="30"/>
        </w:rPr>
        <w:t>稅問題與定性間之關係，該號判決略謂：「法律的實踐，「定性」先於「適用」，事實定性清楚</w:t>
      </w:r>
      <w:r w:rsidRPr="007B5D03">
        <w:rPr>
          <w:rFonts w:hAnsi="標楷體"/>
          <w:sz w:val="30"/>
          <w:szCs w:val="30"/>
        </w:rPr>
        <w:t>後，才能按照定性結果去尋找對應之法規範，進而形成法律效果。</w:t>
      </w:r>
      <w:r w:rsidRPr="007B5D03">
        <w:rPr>
          <w:rFonts w:hint="eastAsia"/>
          <w:sz w:val="30"/>
          <w:szCs w:val="30"/>
        </w:rPr>
        <w:t>……</w:t>
      </w:r>
      <w:r w:rsidRPr="007B5D03">
        <w:rPr>
          <w:rFonts w:hAnsi="標楷體"/>
          <w:sz w:val="30"/>
          <w:szCs w:val="30"/>
        </w:rPr>
        <w:t>所得稅法制下的稅捐規避理論，是以「承認收入定性主要要用民商</w:t>
      </w:r>
      <w:r w:rsidRPr="005F7AAE">
        <w:rPr>
          <w:rFonts w:hAnsi="標楷體"/>
          <w:spacing w:val="-4"/>
          <w:sz w:val="30"/>
          <w:szCs w:val="30"/>
        </w:rPr>
        <w:t>法因素來衡量」為其理論背景。（債券買賣價金</w:t>
      </w:r>
      <w:r w:rsidRPr="007B5D03">
        <w:rPr>
          <w:rFonts w:hAnsi="標楷體"/>
          <w:sz w:val="30"/>
          <w:szCs w:val="30"/>
        </w:rPr>
        <w:t>中相當於出賣人持有期間票面利率之金額被認定為「利息所得」也可視為稅捐規避理論之一</w:t>
      </w:r>
      <w:r w:rsidRPr="005F7AAE">
        <w:rPr>
          <w:rFonts w:hAnsi="標楷體"/>
          <w:spacing w:val="4"/>
          <w:sz w:val="30"/>
          <w:szCs w:val="30"/>
        </w:rPr>
        <w:t>般化，或從稅捐規避理論法理所延伸出的觀</w:t>
      </w:r>
      <w:r w:rsidRPr="007B5D03">
        <w:rPr>
          <w:rFonts w:hAnsi="標楷體"/>
          <w:sz w:val="30"/>
          <w:szCs w:val="30"/>
        </w:rPr>
        <w:t>點。）</w:t>
      </w:r>
      <w:r w:rsidRPr="007B5D03">
        <w:rPr>
          <w:rFonts w:hint="eastAsia"/>
          <w:sz w:val="30"/>
          <w:szCs w:val="30"/>
        </w:rPr>
        <w:t>……</w:t>
      </w:r>
      <w:r w:rsidRPr="007B5D03">
        <w:rPr>
          <w:rFonts w:hAnsi="標楷體"/>
          <w:sz w:val="30"/>
          <w:szCs w:val="30"/>
        </w:rPr>
        <w:t>事實上本院已用了極大的篇幅來說明，認購權證交易活動之全部流程，早在民商</w:t>
      </w:r>
      <w:r w:rsidRPr="005F7AAE">
        <w:rPr>
          <w:rFonts w:hAnsi="標楷體"/>
          <w:spacing w:val="4"/>
          <w:sz w:val="30"/>
          <w:szCs w:val="30"/>
        </w:rPr>
        <w:t>法層次上即被認定為一個單一的收入形成活</w:t>
      </w:r>
      <w:r w:rsidRPr="007B5D03">
        <w:rPr>
          <w:rFonts w:hAnsi="標楷體"/>
          <w:sz w:val="30"/>
          <w:szCs w:val="30"/>
        </w:rPr>
        <w:t>動，而應一體看待，無從獨立分割，因此活動過程中之成本費用當然也可以認列。」其實其判決意旨可以簡明地被解析為，究竟應將權證發行而收取權利金之事實與避險交易所從事證券交易之事實，在法律上應以一行為評價，抑或以多個行為</w:t>
      </w:r>
      <w:r w:rsidRPr="007B5D03">
        <w:rPr>
          <w:rFonts w:hAnsi="標楷體"/>
          <w:sz w:val="30"/>
          <w:szCs w:val="30"/>
        </w:rPr>
        <w:lastRenderedPageBreak/>
        <w:t>評價？此問題除了課稅事實定性本身之問題外，更衍生出一個法律適用一致性的平等原則問題，此部分將待文後平等原則之檢討，再行論述。不過在實質課稅原則之層次上要討論的是，如何判斷權證交易之避險交易</w:t>
      </w:r>
      <w:r w:rsidRPr="005F7AAE">
        <w:rPr>
          <w:rFonts w:hAnsi="標楷體"/>
          <w:spacing w:val="-4"/>
          <w:sz w:val="30"/>
          <w:szCs w:val="30"/>
        </w:rPr>
        <w:t>操作構成一個權證交易之整體行為（或事實）。</w:t>
      </w:r>
    </w:p>
    <w:p w:rsidR="00514426" w:rsidRPr="007B5D03" w:rsidRDefault="00514426" w:rsidP="00FB2D5A">
      <w:pPr>
        <w:snapToGrid w:val="0"/>
        <w:spacing w:line="437" w:lineRule="exact"/>
        <w:ind w:left="2467" w:hanging="482"/>
        <w:rPr>
          <w:sz w:val="30"/>
          <w:szCs w:val="30"/>
        </w:rPr>
      </w:pPr>
      <w:r w:rsidRPr="007B5D03">
        <w:rPr>
          <w:sz w:val="30"/>
          <w:szCs w:val="30"/>
        </w:rPr>
        <w:t>(3)</w:t>
      </w:r>
      <w:r w:rsidRPr="007B5D03">
        <w:rPr>
          <w:rFonts w:hAnsi="標楷體"/>
          <w:sz w:val="30"/>
          <w:szCs w:val="30"/>
        </w:rPr>
        <w:t>權證交易屬於一個法律事實（法律行為）</w:t>
      </w:r>
    </w:p>
    <w:p w:rsidR="00514426" w:rsidRPr="007B5D03" w:rsidRDefault="00514426" w:rsidP="005F7AAE">
      <w:pPr>
        <w:snapToGrid w:val="0"/>
        <w:spacing w:line="437" w:lineRule="exact"/>
        <w:ind w:left="2637" w:hanging="482"/>
        <w:rPr>
          <w:b/>
          <w:sz w:val="30"/>
          <w:szCs w:val="30"/>
        </w:rPr>
      </w:pPr>
      <w:r w:rsidRPr="007B5D03">
        <w:rPr>
          <w:sz w:val="30"/>
          <w:szCs w:val="30"/>
        </w:rPr>
        <w:t>A</w:t>
      </w:r>
      <w:r w:rsidRPr="007B5D03">
        <w:rPr>
          <w:rFonts w:hAnsi="標楷體" w:hint="eastAsia"/>
          <w:sz w:val="30"/>
          <w:szCs w:val="30"/>
        </w:rPr>
        <w:t>、</w:t>
      </w:r>
      <w:r w:rsidRPr="005F7AAE">
        <w:rPr>
          <w:rFonts w:hAnsi="標楷體"/>
          <w:spacing w:val="4"/>
          <w:sz w:val="30"/>
          <w:szCs w:val="30"/>
        </w:rPr>
        <w:t>按法律事實為生活事實中之為法律所規範</w:t>
      </w:r>
      <w:r w:rsidRPr="007B5D03">
        <w:rPr>
          <w:rFonts w:hAnsi="標楷體"/>
          <w:sz w:val="30"/>
          <w:szCs w:val="30"/>
        </w:rPr>
        <w:t>者，且因其為法律所規範，故可被定性為法律事實之生活事實是否存在，便具有規範上的意義。法律事實之主要特徵應在：（</w:t>
      </w:r>
      <w:r w:rsidRPr="007B5D03">
        <w:rPr>
          <w:sz w:val="30"/>
          <w:szCs w:val="30"/>
        </w:rPr>
        <w:t>1</w:t>
      </w:r>
      <w:r w:rsidRPr="007B5D03">
        <w:rPr>
          <w:rFonts w:hAnsi="標楷體"/>
          <w:sz w:val="30"/>
          <w:szCs w:val="30"/>
        </w:rPr>
        <w:t>）具體性，（</w:t>
      </w:r>
      <w:r w:rsidRPr="007B5D03">
        <w:rPr>
          <w:sz w:val="30"/>
          <w:szCs w:val="30"/>
        </w:rPr>
        <w:t>2</w:t>
      </w:r>
      <w:r w:rsidRPr="007B5D03">
        <w:rPr>
          <w:rFonts w:hAnsi="標楷體"/>
          <w:sz w:val="30"/>
          <w:szCs w:val="30"/>
        </w:rPr>
        <w:t>）事實性，若將法律事實同一化為</w:t>
      </w:r>
      <w:r w:rsidRPr="005F7AAE">
        <w:rPr>
          <w:rFonts w:hAnsi="標楷體"/>
          <w:spacing w:val="4"/>
          <w:sz w:val="30"/>
          <w:szCs w:val="30"/>
        </w:rPr>
        <w:t>（抽象的）構成要件，首先只有使人們喪失</w:t>
      </w:r>
      <w:r w:rsidRPr="007B5D03">
        <w:rPr>
          <w:rFonts w:hAnsi="標楷體"/>
          <w:sz w:val="30"/>
          <w:szCs w:val="30"/>
        </w:rPr>
        <w:t>描述本來意義之法律事實這個用語，並使之混淆，要之，法律事實並不是構成要件，它祇是充分了構成要件要素而已，所以法律事實只要簡單地將之瞭解成法律所規範之生活事實（附件</w:t>
      </w:r>
      <w:r w:rsidRPr="007B5D03">
        <w:rPr>
          <w:rFonts w:hint="eastAsia"/>
          <w:sz w:val="30"/>
          <w:szCs w:val="30"/>
        </w:rPr>
        <w:t>20</w:t>
      </w:r>
      <w:r w:rsidRPr="007B5D03">
        <w:rPr>
          <w:rFonts w:hAnsi="標楷體"/>
          <w:sz w:val="30"/>
          <w:szCs w:val="30"/>
        </w:rPr>
        <w:t>，黃茂榮，法學方法與現代民法，頁</w:t>
      </w:r>
      <w:r w:rsidRPr="007B5D03">
        <w:rPr>
          <w:sz w:val="30"/>
          <w:szCs w:val="30"/>
        </w:rPr>
        <w:t>219</w:t>
      </w:r>
      <w:r w:rsidRPr="007B5D03">
        <w:rPr>
          <w:rFonts w:hAnsi="標楷體"/>
          <w:sz w:val="30"/>
          <w:szCs w:val="30"/>
        </w:rPr>
        <w:t>至</w:t>
      </w:r>
      <w:r w:rsidRPr="007B5D03">
        <w:rPr>
          <w:sz w:val="30"/>
          <w:szCs w:val="30"/>
        </w:rPr>
        <w:t>222</w:t>
      </w:r>
      <w:r w:rsidRPr="007B5D03">
        <w:rPr>
          <w:rFonts w:hAnsi="標楷體"/>
          <w:sz w:val="30"/>
          <w:szCs w:val="30"/>
        </w:rPr>
        <w:t>）。</w:t>
      </w:r>
      <w:r w:rsidRPr="007B5D03">
        <w:rPr>
          <w:rFonts w:hAnsi="標楷體" w:hint="eastAsia"/>
          <w:sz w:val="30"/>
          <w:szCs w:val="30"/>
        </w:rPr>
        <w:t>依上可知，法律事實絕無可能以所含括之法條規定之個數</w:t>
      </w:r>
      <w:r w:rsidRPr="007B5D03">
        <w:rPr>
          <w:rFonts w:hAnsi="標楷體"/>
          <w:sz w:val="30"/>
          <w:szCs w:val="30"/>
        </w:rPr>
        <w:t>作為行為個數之判斷標準。</w:t>
      </w:r>
    </w:p>
    <w:p w:rsidR="00514426" w:rsidRPr="007B5D03" w:rsidRDefault="00514426" w:rsidP="005F7AAE">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至於是否屬於一個法律事實或法律行為之判斷，在各個法律體系都有其判斷之標準，例</w:t>
      </w:r>
      <w:r w:rsidRPr="005F7AAE">
        <w:rPr>
          <w:rFonts w:hAnsi="標楷體"/>
          <w:spacing w:val="4"/>
          <w:sz w:val="30"/>
          <w:szCs w:val="30"/>
        </w:rPr>
        <w:t>如在民法上即有「法律行為」之概念（法律行為為法律事實之一），即以意思表示為核</w:t>
      </w:r>
      <w:r w:rsidRPr="005F7AAE">
        <w:rPr>
          <w:rFonts w:hAnsi="標楷體"/>
          <w:spacing w:val="6"/>
          <w:sz w:val="30"/>
          <w:szCs w:val="30"/>
        </w:rPr>
        <w:t>心，所謂意思表示不僅要看客觀的表示行為，亦要由客觀行為狀態推論效果意思為何。另在</w:t>
      </w:r>
      <w:r w:rsidRPr="005F7AAE">
        <w:rPr>
          <w:rFonts w:hAnsi="標楷體"/>
          <w:spacing w:val="6"/>
          <w:sz w:val="30"/>
          <w:szCs w:val="30"/>
        </w:rPr>
        <w:lastRenderedPageBreak/>
        <w:t>刑法及行政罰法上之「行為單數」</w:t>
      </w:r>
      <w:r w:rsidRPr="007B5D03">
        <w:rPr>
          <w:rFonts w:hAnsi="標楷體"/>
          <w:sz w:val="30"/>
          <w:szCs w:val="30"/>
        </w:rPr>
        <w:t>包括自然意義之一行為、構成要件之行為單數及自然之行為單數，其中第二、三種本非自然意義的一行為，是經法學評價後始承認為行為單數之態樣，在刑法及行政罰法上，對於一行為就不可以為雙重評價，所以自然意義之一行為不會因為該當數個構成要件而被給予法律的雙重評價。又自然意義之一行為係指以身體動作實現的「一個意思活動」，是以在法律的評價上恆為一個行為，並無再割裂、支解觀察之可能（附件</w:t>
      </w:r>
      <w:r w:rsidRPr="007B5D03">
        <w:rPr>
          <w:sz w:val="30"/>
          <w:szCs w:val="30"/>
        </w:rPr>
        <w:t>2</w:t>
      </w:r>
      <w:r w:rsidRPr="007B5D03">
        <w:rPr>
          <w:rFonts w:hint="eastAsia"/>
          <w:sz w:val="30"/>
          <w:szCs w:val="30"/>
        </w:rPr>
        <w:t>1</w:t>
      </w:r>
      <w:r w:rsidRPr="007B5D03">
        <w:rPr>
          <w:rFonts w:hAnsi="標楷體"/>
          <w:sz w:val="30"/>
          <w:szCs w:val="30"/>
        </w:rPr>
        <w:t>，林明昕，論行政罰中單一行為之概念，頁</w:t>
      </w:r>
      <w:r w:rsidRPr="007B5D03">
        <w:rPr>
          <w:sz w:val="30"/>
          <w:szCs w:val="30"/>
        </w:rPr>
        <w:t>21</w:t>
      </w:r>
      <w:r w:rsidRPr="007B5D03">
        <w:rPr>
          <w:rFonts w:hAnsi="標楷體"/>
          <w:sz w:val="30"/>
          <w:szCs w:val="30"/>
        </w:rPr>
        <w:t>至</w:t>
      </w:r>
      <w:r w:rsidRPr="007B5D03">
        <w:rPr>
          <w:sz w:val="30"/>
          <w:szCs w:val="30"/>
        </w:rPr>
        <w:t>22</w:t>
      </w:r>
      <w:r w:rsidRPr="007B5D03">
        <w:rPr>
          <w:rFonts w:hAnsi="標楷體"/>
          <w:sz w:val="30"/>
          <w:szCs w:val="30"/>
        </w:rPr>
        <w:t>）。</w:t>
      </w:r>
    </w:p>
    <w:p w:rsidR="00514426" w:rsidRPr="007B5D03" w:rsidRDefault="00514426" w:rsidP="005F7AAE">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回到</w:t>
      </w:r>
      <w:r w:rsidRPr="005F7AAE">
        <w:rPr>
          <w:rFonts w:hAnsi="標楷體"/>
          <w:spacing w:val="4"/>
          <w:sz w:val="30"/>
          <w:szCs w:val="30"/>
        </w:rPr>
        <w:t>稅法</w:t>
      </w:r>
      <w:r w:rsidRPr="007B5D03">
        <w:rPr>
          <w:rFonts w:hAnsi="標楷體"/>
          <w:sz w:val="30"/>
          <w:szCs w:val="30"/>
        </w:rPr>
        <w:t>角度觀察，權證交易行為在稅法上究竟屬於一行為或二個以上之行為？吾人可先參考　鈞院釋字第</w:t>
      </w:r>
      <w:r w:rsidRPr="007B5D03">
        <w:rPr>
          <w:sz w:val="30"/>
          <w:szCs w:val="30"/>
        </w:rPr>
        <w:t>503</w:t>
      </w:r>
      <w:r w:rsidRPr="007B5D03">
        <w:rPr>
          <w:rFonts w:hAnsi="標楷體"/>
          <w:sz w:val="30"/>
          <w:szCs w:val="30"/>
        </w:rPr>
        <w:t>號解釋理由書，其略謂：「違反租稅義務之行為，涉及數處罰規定時可否併合處罰，因行為之態樣、處罰之種類及處罰之目的不同而有異，如係實質上之數行為違反數法條而處罰結果不一者，其得併合處罰，固不待言。惟納稅義務人對於同一違反租稅義務之行為，同時符合行為罰及漏稅罰之處罰要件者，例如營利事業依法律規定應給與他人憑證而未給與，致短報或漏報銷售額者，就納稅義務人違反作為義務而被處行為罰與因逃漏稅捐而被處漏稅罰而言，其處罰目的及處罰要件，雖有不同，前者係以有違反作為義務之</w:t>
      </w:r>
      <w:r w:rsidRPr="007B5D03">
        <w:rPr>
          <w:rFonts w:hAnsi="標楷體"/>
          <w:sz w:val="30"/>
          <w:szCs w:val="30"/>
        </w:rPr>
        <w:lastRenderedPageBreak/>
        <w:t>行為即應受處罰，後者則須有處罰法定要件之漏稅事實始屬相當，除二者處罰之性質與種類不同，例如一為罰鍰、一為沒入，或一為罰鍰、一為停止營業處分等情形，必須採用不同方法而為併合處罰，以達行政目的所必要者外，不得重複處罰，乃現代民主法治國家之基本原則。從而，違反作為義務之行為，如同時構成漏稅行為之一部或係漏稅行為之方法而處罰種類相同者，則從其一重處罰已足達成行政目的時，即不得再就其他行為併予處罰，始符</w:t>
      </w:r>
      <w:r w:rsidRPr="005144F2">
        <w:rPr>
          <w:rFonts w:hAnsi="標楷體"/>
          <w:spacing w:val="4"/>
          <w:sz w:val="30"/>
          <w:szCs w:val="30"/>
        </w:rPr>
        <w:t>憲法保障人民權利之意旨。」如果單純從外</w:t>
      </w:r>
      <w:r w:rsidRPr="007B5D03">
        <w:rPr>
          <w:rFonts w:hAnsi="標楷體"/>
          <w:sz w:val="30"/>
          <w:szCs w:val="30"/>
        </w:rPr>
        <w:t>觀上或以不同法條構成要件作為行為個數之認定標準時，納稅義務人取得或開立憑證之義務與申報營業稅之行為，似屬於二個構成要件所定之行為，然而該二行為間具有方法與結果之關連，在營業人之意思上取得、開立憑證僅為申報營業稅之過程，就客觀狀態觀察營業人之主觀意思活動，應屬基於一個意思所為之整體行為，不能僅以法律上有對憑證開立、取得或保存行為設有特別規定，</w:t>
      </w:r>
      <w:r w:rsidRPr="005144F2">
        <w:rPr>
          <w:rFonts w:hAnsi="標楷體"/>
          <w:spacing w:val="6"/>
          <w:sz w:val="30"/>
          <w:szCs w:val="30"/>
        </w:rPr>
        <w:t>即將之論為二個行為，給予二罰之法律評</w:t>
      </w:r>
      <w:r w:rsidRPr="005144F2">
        <w:rPr>
          <w:rFonts w:hAnsi="標楷體"/>
          <w:spacing w:val="-4"/>
          <w:sz w:val="30"/>
          <w:szCs w:val="30"/>
        </w:rPr>
        <w:t>價，此觀前揭　鈞院釋字第</w:t>
      </w:r>
      <w:r w:rsidRPr="005144F2">
        <w:rPr>
          <w:spacing w:val="-4"/>
          <w:sz w:val="30"/>
          <w:szCs w:val="30"/>
        </w:rPr>
        <w:t>503</w:t>
      </w:r>
      <w:r w:rsidRPr="005144F2">
        <w:rPr>
          <w:rFonts w:hAnsi="標楷體"/>
          <w:spacing w:val="-4"/>
          <w:sz w:val="30"/>
          <w:szCs w:val="30"/>
        </w:rPr>
        <w:t>號解釋自明。</w:t>
      </w:r>
    </w:p>
    <w:p w:rsidR="00514426" w:rsidRPr="007B5D03" w:rsidRDefault="00514426" w:rsidP="005F7AAE">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經查，權證交易之發行人之所以會從事避險交易，此乃權證交易契約性質所使然，發行人本應從事避險交易，詳如前述，就本件聲請人之客觀狀態觀察其主觀意思，當應將簽訂權證契</w:t>
      </w:r>
      <w:r w:rsidRPr="007B5D03">
        <w:rPr>
          <w:rFonts w:hAnsi="標楷體"/>
          <w:sz w:val="30"/>
          <w:szCs w:val="30"/>
        </w:rPr>
        <w:lastRenderedPageBreak/>
        <w:t>約收取權利金及之後避險交易、投資人執行權利時將標的股票轉讓予伊等整體交易，均屬一行為，對於此種一行為自不能為相互矛盾之評價。易言之，認購權證屬於一種具「時間價值」的「備」「兌」契約，對於權證發行人而言，該交易既然須待整體交易完結後始有結算損益之可能，而其間因避</w:t>
      </w:r>
      <w:r w:rsidRPr="005144F2">
        <w:rPr>
          <w:rFonts w:hAnsi="標楷體"/>
          <w:spacing w:val="6"/>
          <w:sz w:val="30"/>
          <w:szCs w:val="30"/>
        </w:rPr>
        <w:t>險交易所產生之損失又屬不能事先精確預</w:t>
      </w:r>
      <w:r w:rsidRPr="007B5D03">
        <w:rPr>
          <w:rFonts w:hAnsi="標楷體"/>
          <w:sz w:val="30"/>
          <w:szCs w:val="30"/>
        </w:rPr>
        <w:t>測，僅能依前述避險公式推算並進行避險操作。從契約的權利義務關係以觀，權證發行人必須在履約時將標的股票依約定價格出售予行使買權之投資人，如不進行相關避險操作，有一種可能是在發行權證之際，即購入同等數量之標的股票；或者另一種可能是在</w:t>
      </w:r>
      <w:r w:rsidRPr="005144F2">
        <w:rPr>
          <w:rFonts w:hAnsi="標楷體"/>
          <w:spacing w:val="6"/>
          <w:sz w:val="30"/>
          <w:szCs w:val="30"/>
        </w:rPr>
        <w:t>投資人要求履約時再從市場上購入標的股</w:t>
      </w:r>
      <w:r w:rsidRPr="007B5D03">
        <w:rPr>
          <w:rFonts w:hAnsi="標楷體"/>
          <w:sz w:val="30"/>
          <w:szCs w:val="30"/>
        </w:rPr>
        <w:t>票，可以想見不進行避險交易而採取上開二種作法，其可能造成之損失更大，前者是一開始購入股票量太大，不一定至履約時可全數出售予投資人，且要承擔長期持有股票之價格波動風險，後者雖不必一開始購入大量</w:t>
      </w:r>
      <w:r w:rsidRPr="005144F2">
        <w:rPr>
          <w:rFonts w:hAnsi="標楷體"/>
          <w:spacing w:val="6"/>
          <w:sz w:val="30"/>
          <w:szCs w:val="30"/>
        </w:rPr>
        <w:t>標的股票，然標的股票市價高於履約價格</w:t>
      </w:r>
      <w:r w:rsidRPr="007B5D03">
        <w:rPr>
          <w:rFonts w:hAnsi="標楷體"/>
          <w:sz w:val="30"/>
          <w:szCs w:val="30"/>
        </w:rPr>
        <w:t>時，權證發行人勢必會承受遭投資人大量行使買權而生之鉅額損失。準此，在權證交易中所採取之避險交易，乃權證發行人不得不採取之措施，並藉由避險交易賺取權證商品之利潤，避險交易當然構成權證交易本質之一部分。</w:t>
      </w:r>
    </w:p>
    <w:p w:rsidR="00514426" w:rsidRPr="007B5D03" w:rsidRDefault="00514426" w:rsidP="005F7AAE">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最後從法律事實判斷之角度觀察，法律事實之</w:t>
      </w:r>
      <w:r w:rsidRPr="007B5D03">
        <w:rPr>
          <w:rFonts w:hAnsi="標楷體"/>
          <w:sz w:val="30"/>
          <w:szCs w:val="30"/>
        </w:rPr>
        <w:lastRenderedPageBreak/>
        <w:t>主要特徵應在具體性及事實性，亦即行為</w:t>
      </w:r>
      <w:r w:rsidRPr="005144F2">
        <w:rPr>
          <w:rFonts w:hAnsi="標楷體"/>
          <w:spacing w:val="6"/>
          <w:sz w:val="30"/>
          <w:szCs w:val="30"/>
        </w:rPr>
        <w:t>數的認定不可能以不同法令規定之構成要</w:t>
      </w:r>
      <w:r w:rsidRPr="007B5D03">
        <w:rPr>
          <w:rFonts w:hAnsi="標楷體"/>
          <w:sz w:val="30"/>
          <w:szCs w:val="30"/>
        </w:rPr>
        <w:t>件，判斷同時該當二法條構成要件之事實即屬於二行為，仍然應該本於具體事實之狀態加以認定，是故，在法律事實之一環之法律行為，應依照當事人之意思表示活動加以認定，具體言之，聲請人在從事權證交易時，依照交易當事人之真意，避險交易本來就是</w:t>
      </w:r>
      <w:r w:rsidRPr="005144F2">
        <w:rPr>
          <w:rFonts w:hAnsi="標楷體"/>
          <w:spacing w:val="6"/>
          <w:sz w:val="30"/>
          <w:szCs w:val="30"/>
        </w:rPr>
        <w:t>權證交易行為之一環，或者說是其中的過程，絕對不因所得稅法第</w:t>
      </w:r>
      <w:r w:rsidRPr="005144F2">
        <w:rPr>
          <w:spacing w:val="6"/>
          <w:sz w:val="30"/>
          <w:szCs w:val="30"/>
        </w:rPr>
        <w:t>4</w:t>
      </w:r>
      <w:r w:rsidRPr="005144F2">
        <w:rPr>
          <w:rFonts w:hAnsi="標楷體"/>
          <w:spacing w:val="6"/>
          <w:sz w:val="30"/>
          <w:szCs w:val="30"/>
        </w:rPr>
        <w:t>條之</w:t>
      </w:r>
      <w:r w:rsidRPr="005144F2">
        <w:rPr>
          <w:spacing w:val="6"/>
          <w:sz w:val="30"/>
          <w:szCs w:val="30"/>
        </w:rPr>
        <w:t>1</w:t>
      </w:r>
      <w:r w:rsidRPr="005144F2">
        <w:rPr>
          <w:rFonts w:hAnsi="標楷體"/>
          <w:spacing w:val="6"/>
          <w:sz w:val="30"/>
          <w:szCs w:val="30"/>
        </w:rPr>
        <w:t>後段規範證券交易損失在稅上不認列後（假設語氣，</w:t>
      </w:r>
      <w:r w:rsidRPr="007B5D03">
        <w:rPr>
          <w:rFonts w:hAnsi="標楷體"/>
          <w:sz w:val="30"/>
          <w:szCs w:val="30"/>
        </w:rPr>
        <w:t>即假設　鈞院認同此種所得稅法第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之解釋方法），權證交易行為中之避險交易就應該被拆解出來，只能說此處會有對同一法</w:t>
      </w:r>
      <w:r w:rsidRPr="005144F2">
        <w:rPr>
          <w:rFonts w:hAnsi="標楷體"/>
          <w:spacing w:val="6"/>
          <w:sz w:val="30"/>
          <w:szCs w:val="30"/>
        </w:rPr>
        <w:t>律事實之不並存的規範間有如何競合之問</w:t>
      </w:r>
      <w:r w:rsidRPr="007B5D03">
        <w:rPr>
          <w:rFonts w:hAnsi="標楷體"/>
          <w:sz w:val="30"/>
          <w:szCs w:val="30"/>
        </w:rPr>
        <w:t>題。權證發行人採取避險措施亦為主管機關所要求，亦即法令上亦將權證交易發行及避險交易作為一行為。</w:t>
      </w:r>
    </w:p>
    <w:p w:rsidR="00514426" w:rsidRPr="007B5D03" w:rsidRDefault="00514426" w:rsidP="005F7AAE">
      <w:pPr>
        <w:snapToGrid w:val="0"/>
        <w:spacing w:line="437" w:lineRule="exact"/>
        <w:ind w:left="2637" w:hanging="482"/>
        <w:rPr>
          <w:rFonts w:hAnsi="標楷體" w:hint="eastAsia"/>
          <w:sz w:val="30"/>
          <w:szCs w:val="30"/>
        </w:rPr>
      </w:pPr>
      <w:r w:rsidRPr="007B5D03">
        <w:rPr>
          <w:sz w:val="30"/>
          <w:szCs w:val="30"/>
        </w:rPr>
        <w:t>F</w:t>
      </w:r>
      <w:r w:rsidRPr="007B5D03">
        <w:rPr>
          <w:rFonts w:hAnsi="標楷體" w:hint="eastAsia"/>
          <w:sz w:val="30"/>
          <w:szCs w:val="30"/>
        </w:rPr>
        <w:t>、</w:t>
      </w:r>
      <w:r w:rsidRPr="007B5D03">
        <w:rPr>
          <w:rFonts w:hAnsi="標楷體"/>
          <w:sz w:val="30"/>
          <w:szCs w:val="30"/>
        </w:rPr>
        <w:t>職是，肯認財政部</w:t>
      </w:r>
      <w:r w:rsidRPr="007B5D03">
        <w:rPr>
          <w:sz w:val="30"/>
          <w:szCs w:val="30"/>
        </w:rPr>
        <w:t>86</w:t>
      </w:r>
      <w:r w:rsidRPr="007B5D03">
        <w:rPr>
          <w:rFonts w:hAnsi="標楷體"/>
          <w:sz w:val="30"/>
          <w:szCs w:val="30"/>
        </w:rPr>
        <w:t>年函釋之合法性，乃是基於因有證券交易損失不能扣減應稅收入之</w:t>
      </w:r>
      <w:r w:rsidRPr="005144F2">
        <w:rPr>
          <w:rFonts w:hAnsi="標楷體"/>
          <w:spacing w:val="6"/>
          <w:sz w:val="30"/>
          <w:szCs w:val="30"/>
        </w:rPr>
        <w:t>規定，將自然意義的一個法律事實（行為）</w:t>
      </w:r>
      <w:r w:rsidRPr="007B5D03">
        <w:rPr>
          <w:rFonts w:hAnsi="標楷體"/>
          <w:sz w:val="30"/>
          <w:szCs w:val="30"/>
        </w:rPr>
        <w:t>誤認為有二個法律行為，所以才會建立出避險交易部分損失不與權利金收入併計之不同法律評價。然而聲請人必須指明者為，一個法律行為不得為互相矛盾之法律評價，此即屬正義原則及平等原則之內涵，否則一個法律行為該當數個法律之構成要件，是否就因此成為數行</w:t>
      </w:r>
      <w:r w:rsidRPr="007B5D03">
        <w:rPr>
          <w:rFonts w:hAnsi="標楷體"/>
          <w:sz w:val="30"/>
          <w:szCs w:val="30"/>
        </w:rPr>
        <w:lastRenderedPageBreak/>
        <w:t>為？如有矛盾產生時，豈非對於一個行為各部分給予歧異之評價，就會如同財政部</w:t>
      </w:r>
      <w:r w:rsidRPr="007B5D03">
        <w:rPr>
          <w:sz w:val="30"/>
          <w:szCs w:val="30"/>
        </w:rPr>
        <w:t>86</w:t>
      </w:r>
      <w:r w:rsidRPr="007B5D03">
        <w:rPr>
          <w:rFonts w:hAnsi="標楷體"/>
          <w:sz w:val="30"/>
          <w:szCs w:val="30"/>
        </w:rPr>
        <w:t>年函釋所犯之錯誤，就權利金收入以毛所得課稅，屬其成本之避險交易反而被認定為另一證券交易行為而不得認列應稅收入之成本費用，而對此部分是否應以規範競合方式加以處理，不加以討論。</w:t>
      </w:r>
    </w:p>
    <w:p w:rsidR="00514426" w:rsidRPr="007B5D03" w:rsidRDefault="00514426" w:rsidP="005F7AAE">
      <w:pPr>
        <w:snapToGrid w:val="0"/>
        <w:spacing w:line="437" w:lineRule="exact"/>
        <w:ind w:left="2637" w:hanging="482"/>
        <w:rPr>
          <w:rFonts w:hint="eastAsia"/>
          <w:sz w:val="30"/>
          <w:szCs w:val="30"/>
        </w:rPr>
      </w:pPr>
      <w:r w:rsidRPr="007B5D03">
        <w:rPr>
          <w:rFonts w:hint="eastAsia"/>
          <w:sz w:val="30"/>
          <w:szCs w:val="30"/>
        </w:rPr>
        <w:t>G</w:t>
      </w:r>
      <w:r w:rsidRPr="007B5D03">
        <w:rPr>
          <w:rFonts w:hint="eastAsia"/>
          <w:sz w:val="30"/>
          <w:szCs w:val="30"/>
        </w:rPr>
        <w:t>、小結：行政函釋如於事實定性（稅捐案件之通案性常會促使財稅主管機關對業者之通案</w:t>
      </w:r>
      <w:r w:rsidRPr="005144F2">
        <w:rPr>
          <w:rFonts w:hint="eastAsia"/>
          <w:spacing w:val="4"/>
          <w:sz w:val="30"/>
          <w:szCs w:val="30"/>
        </w:rPr>
        <w:t>事實統一定性）或法律構成要件之涵攝上違</w:t>
      </w:r>
      <w:r w:rsidRPr="007B5D03">
        <w:rPr>
          <w:rFonts w:hint="eastAsia"/>
          <w:sz w:val="30"/>
          <w:szCs w:val="30"/>
        </w:rPr>
        <w:t>反實質課稅原則或核實課稅原則，依釋字第</w:t>
      </w:r>
      <w:r w:rsidRPr="007B5D03">
        <w:rPr>
          <w:rFonts w:hint="eastAsia"/>
          <w:sz w:val="30"/>
          <w:szCs w:val="30"/>
        </w:rPr>
        <w:t>420</w:t>
      </w:r>
      <w:r w:rsidRPr="007B5D03">
        <w:rPr>
          <w:rFonts w:hint="eastAsia"/>
          <w:sz w:val="30"/>
          <w:szCs w:val="30"/>
        </w:rPr>
        <w:t>號、第</w:t>
      </w:r>
      <w:r w:rsidRPr="007B5D03">
        <w:rPr>
          <w:rFonts w:hint="eastAsia"/>
          <w:sz w:val="30"/>
          <w:szCs w:val="30"/>
        </w:rPr>
        <w:t>625</w:t>
      </w:r>
      <w:r w:rsidRPr="007B5D03">
        <w:rPr>
          <w:rFonts w:hint="eastAsia"/>
          <w:sz w:val="30"/>
          <w:szCs w:val="30"/>
        </w:rPr>
        <w:t>號等解釋均可確認可作為違憲解釋之對象，本件財政部</w:t>
      </w:r>
      <w:r w:rsidRPr="007B5D03">
        <w:rPr>
          <w:rFonts w:hint="eastAsia"/>
          <w:sz w:val="30"/>
          <w:szCs w:val="30"/>
        </w:rPr>
        <w:t>86</w:t>
      </w:r>
      <w:r w:rsidRPr="007B5D03">
        <w:rPr>
          <w:rFonts w:hint="eastAsia"/>
          <w:sz w:val="30"/>
          <w:szCs w:val="30"/>
        </w:rPr>
        <w:t>年函釋正屬錯誤解釋所得稅法第</w:t>
      </w:r>
      <w:r w:rsidRPr="007B5D03">
        <w:rPr>
          <w:rFonts w:hint="eastAsia"/>
          <w:sz w:val="30"/>
          <w:szCs w:val="30"/>
        </w:rPr>
        <w:t>4</w:t>
      </w:r>
      <w:r w:rsidRPr="007B5D03">
        <w:rPr>
          <w:rFonts w:hint="eastAsia"/>
          <w:sz w:val="30"/>
          <w:szCs w:val="30"/>
        </w:rPr>
        <w:t>條之</w:t>
      </w:r>
      <w:r w:rsidRPr="007B5D03">
        <w:rPr>
          <w:rFonts w:hint="eastAsia"/>
          <w:sz w:val="30"/>
          <w:szCs w:val="30"/>
        </w:rPr>
        <w:t>1</w:t>
      </w:r>
      <w:r w:rsidRPr="007B5D03">
        <w:rPr>
          <w:rFonts w:hint="eastAsia"/>
          <w:sz w:val="30"/>
          <w:szCs w:val="30"/>
        </w:rPr>
        <w:t>，造成嚴重背離實質課稅原則之結果，請　鈞院鑒核。</w:t>
      </w:r>
    </w:p>
    <w:p w:rsidR="00514426" w:rsidRPr="007B5D03" w:rsidRDefault="00514426" w:rsidP="00FB2D5A">
      <w:pPr>
        <w:snapToGrid w:val="0"/>
        <w:spacing w:line="437" w:lineRule="exact"/>
        <w:ind w:left="2467" w:hanging="482"/>
        <w:rPr>
          <w:sz w:val="30"/>
          <w:szCs w:val="30"/>
        </w:rPr>
      </w:pPr>
      <w:r w:rsidRPr="007B5D03">
        <w:rPr>
          <w:sz w:val="30"/>
          <w:szCs w:val="30"/>
        </w:rPr>
        <w:t>(4)</w:t>
      </w:r>
      <w:r w:rsidRPr="005144F2">
        <w:rPr>
          <w:rFonts w:hAnsi="標楷體"/>
          <w:spacing w:val="-4"/>
          <w:sz w:val="30"/>
          <w:szCs w:val="30"/>
        </w:rPr>
        <w:t>就經濟實質而言，權證發行者之避險行為乃法令</w:t>
      </w:r>
      <w:r w:rsidRPr="007B5D03">
        <w:rPr>
          <w:rFonts w:hAnsi="標楷體"/>
          <w:sz w:val="30"/>
          <w:szCs w:val="30"/>
        </w:rPr>
        <w:t>嚴格要求之必要事項，權證發行者幾無決定避險行為買賣股票之種類、價格、數量、時點的空間，其僅為法規要求控制風險而所不得不為之法令遵循事項，故當為發行認購權證之成本之一環，與一般自營買賣股票祈求買低賣高賺取經濟利益之情形有極大差異</w:t>
      </w:r>
    </w:p>
    <w:p w:rsidR="00514426" w:rsidRPr="007B5D03" w:rsidRDefault="00514426" w:rsidP="00FB2D5A">
      <w:pPr>
        <w:snapToGrid w:val="0"/>
        <w:spacing w:line="437" w:lineRule="exact"/>
        <w:ind w:left="2438" w:firstLine="329"/>
        <w:rPr>
          <w:sz w:val="30"/>
          <w:szCs w:val="30"/>
        </w:rPr>
      </w:pPr>
      <w:r w:rsidRPr="007B5D03">
        <w:rPr>
          <w:rFonts w:hAnsi="標楷體"/>
          <w:sz w:val="30"/>
          <w:szCs w:val="30"/>
        </w:rPr>
        <w:t>針對金融機構發行權證並從事買賣股票之避險行為而言，避險股票之買賣，表面上雖與自營買賣股票之無異，惟其經濟實質與自營買賣股票迥然不同。自營買賣股票之操作，乃證券商基</w:t>
      </w:r>
      <w:r w:rsidRPr="007B5D03">
        <w:rPr>
          <w:rFonts w:hAnsi="標楷體"/>
          <w:sz w:val="30"/>
          <w:szCs w:val="30"/>
        </w:rPr>
        <w:lastRenderedPageBreak/>
        <w:t>於股價起伏之研判，自行承擔風險以獲取價差為唯一之目的，故自營買賣股票當由自營商根據財務學所闡釋之基本分析</w:t>
      </w:r>
      <w:r w:rsidRPr="007B5D03">
        <w:rPr>
          <w:rFonts w:hint="eastAsia"/>
          <w:sz w:val="30"/>
          <w:szCs w:val="30"/>
        </w:rPr>
        <w:t>（</w:t>
      </w:r>
      <w:r w:rsidRPr="007B5D03">
        <w:rPr>
          <w:rFonts w:hAnsi="標楷體"/>
          <w:sz w:val="30"/>
          <w:szCs w:val="30"/>
        </w:rPr>
        <w:t>總體經濟分析、產業分析、公司分析等</w:t>
      </w:r>
      <w:r w:rsidRPr="007B5D03">
        <w:rPr>
          <w:rFonts w:hint="eastAsia"/>
          <w:sz w:val="30"/>
          <w:szCs w:val="30"/>
        </w:rPr>
        <w:t>）</w:t>
      </w:r>
      <w:r w:rsidRPr="007B5D03">
        <w:rPr>
          <w:rFonts w:hAnsi="標楷體"/>
          <w:sz w:val="30"/>
          <w:szCs w:val="30"/>
        </w:rPr>
        <w:t>或技術分析等證券投資分析方法，並綜合過往操作股票之經驗而為之，從而決定欲自營買賣之股票為何檔股票、購買價格、數量、時點等，並期能在股票市場上買低賣高，而賺取經濟利益當為其唯一要務；然發行權證後所為之避險行為，乃權證獲准發行之法定必要條件，為金融監理機關之強制規定，且該等避險之部位尚須由證券商逐日上網公開申報相關操作情形，供證券交易所等相關監理機關予以查核檢視，又針對避險行為而言，券商僅得依前揭國際通用之</w:t>
      </w:r>
      <w:r w:rsidRPr="007B5D03">
        <w:rPr>
          <w:sz w:val="30"/>
          <w:szCs w:val="30"/>
        </w:rPr>
        <w:t>Black and Scholes</w:t>
      </w:r>
      <w:r w:rsidRPr="007B5D03">
        <w:rPr>
          <w:rFonts w:hAnsi="標楷體"/>
          <w:sz w:val="30"/>
          <w:szCs w:val="30"/>
        </w:rPr>
        <w:t>避險模式及避險交易實務</w:t>
      </w:r>
      <w:r w:rsidRPr="007B5D03">
        <w:rPr>
          <w:sz w:val="30"/>
          <w:szCs w:val="30"/>
        </w:rPr>
        <w:t>delta hedge</w:t>
      </w:r>
      <w:r w:rsidRPr="007B5D03">
        <w:rPr>
          <w:rFonts w:hAnsi="標楷體"/>
          <w:sz w:val="30"/>
          <w:szCs w:val="30"/>
        </w:rPr>
        <w:t>之方法為之，券商並無自由決定避險行為所買賣之股票之種類、價格、數量、時點，由於避險行為本身不是在追求價差等經濟利益，而係在遵守法令、控制風險，故券商根本不可能使用前揭自營買賣股票所用以賺取價差利得之證券投資分析方法進行避險行為。由此可證，避險行為之經濟實質與一般自營買賣股票有極大之差異，對於權證之發行，避險行為實乃法令嚴格要求之必要事項，權證發行者幾無決定避險行為所買賣股票之價格、數量、時點的空間，僅為法規要求控制風險而所不得不為之法令遵循事項，避險損失與權證發行</w:t>
      </w:r>
      <w:r w:rsidRPr="007B5D03">
        <w:rPr>
          <w:rFonts w:hAnsi="標楷體"/>
          <w:sz w:val="30"/>
          <w:szCs w:val="30"/>
        </w:rPr>
        <w:lastRenderedPageBreak/>
        <w:t>在經濟實質上不可切割觀察，亦不可與自營買賣股票同視，故避險損失當為發行認購權證之成本之一環。</w:t>
      </w:r>
    </w:p>
    <w:p w:rsidR="00514426" w:rsidRPr="007B5D03" w:rsidRDefault="00514426" w:rsidP="00FB2D5A">
      <w:pPr>
        <w:snapToGrid w:val="0"/>
        <w:spacing w:line="437" w:lineRule="exact"/>
        <w:ind w:left="2467" w:hanging="482"/>
        <w:rPr>
          <w:sz w:val="30"/>
          <w:szCs w:val="30"/>
        </w:rPr>
      </w:pPr>
      <w:r w:rsidRPr="007B5D03">
        <w:rPr>
          <w:sz w:val="30"/>
          <w:szCs w:val="30"/>
        </w:rPr>
        <w:t>(5)</w:t>
      </w:r>
      <w:r w:rsidRPr="0008578A">
        <w:rPr>
          <w:rFonts w:hAnsi="標楷體"/>
          <w:spacing w:val="-4"/>
          <w:sz w:val="30"/>
          <w:szCs w:val="30"/>
        </w:rPr>
        <w:t>從日本立法例而論，避險交易必須與其對象合併</w:t>
      </w:r>
      <w:r w:rsidRPr="007B5D03">
        <w:rPr>
          <w:rFonts w:hAnsi="標楷體"/>
          <w:sz w:val="30"/>
          <w:szCs w:val="30"/>
        </w:rPr>
        <w:t>計算損益，足見避險交易成本為認購（售）權證交易之一環</w:t>
      </w:r>
    </w:p>
    <w:p w:rsidR="00514426" w:rsidRPr="007B5D03" w:rsidRDefault="00514426" w:rsidP="00FB2D5A">
      <w:pPr>
        <w:snapToGrid w:val="0"/>
        <w:spacing w:line="437" w:lineRule="exact"/>
        <w:ind w:left="2438" w:firstLine="329"/>
        <w:rPr>
          <w:sz w:val="30"/>
          <w:szCs w:val="30"/>
        </w:rPr>
      </w:pPr>
      <w:r w:rsidRPr="007B5D03">
        <w:rPr>
          <w:rFonts w:hAnsi="標楷體"/>
          <w:sz w:val="30"/>
          <w:szCs w:val="30"/>
        </w:rPr>
        <w:t>日本稅法原本對資產的評價損益並不認為屬於所得稅（法人稅）上之損益，然而近年來企業會計的領域朝向市場價格會計之方向，對於</w:t>
      </w:r>
      <w:r w:rsidRPr="00335FDF">
        <w:rPr>
          <w:rFonts w:hAnsi="標楷體"/>
          <w:spacing w:val="-4"/>
          <w:sz w:val="30"/>
          <w:szCs w:val="30"/>
        </w:rPr>
        <w:t>衍生性金融商品部分有所調整，並於</w:t>
      </w:r>
      <w:r w:rsidRPr="00335FDF">
        <w:rPr>
          <w:spacing w:val="-4"/>
          <w:sz w:val="30"/>
          <w:szCs w:val="30"/>
        </w:rPr>
        <w:t>2000</w:t>
      </w:r>
      <w:r w:rsidRPr="00335FDF">
        <w:rPr>
          <w:rFonts w:hAnsi="標楷體"/>
          <w:spacing w:val="-4"/>
          <w:sz w:val="30"/>
          <w:szCs w:val="30"/>
        </w:rPr>
        <w:t>年、</w:t>
      </w:r>
      <w:r w:rsidRPr="007B5D03">
        <w:rPr>
          <w:sz w:val="30"/>
          <w:szCs w:val="30"/>
        </w:rPr>
        <w:t>2007</w:t>
      </w:r>
      <w:r w:rsidRPr="007B5D03">
        <w:rPr>
          <w:rFonts w:hAnsi="標楷體"/>
          <w:sz w:val="30"/>
          <w:szCs w:val="30"/>
        </w:rPr>
        <w:t>年進行法人稅法修正，其中在有關有價證券避險交易部分之規定為法人稅法第</w:t>
      </w:r>
      <w:r w:rsidRPr="007B5D03">
        <w:rPr>
          <w:sz w:val="30"/>
          <w:szCs w:val="30"/>
        </w:rPr>
        <w:t>61</w:t>
      </w:r>
      <w:r w:rsidRPr="007B5D03">
        <w:rPr>
          <w:rFonts w:hAnsi="標楷體"/>
          <w:sz w:val="30"/>
          <w:szCs w:val="30"/>
        </w:rPr>
        <w:t>條之</w:t>
      </w:r>
      <w:r w:rsidRPr="007B5D03">
        <w:rPr>
          <w:sz w:val="30"/>
          <w:szCs w:val="30"/>
        </w:rPr>
        <w:t>7</w:t>
      </w:r>
      <w:r w:rsidRPr="007B5D03">
        <w:rPr>
          <w:rFonts w:hAnsi="標楷體"/>
          <w:sz w:val="30"/>
          <w:szCs w:val="30"/>
        </w:rPr>
        <w:t>第</w:t>
      </w:r>
      <w:r w:rsidRPr="007B5D03">
        <w:rPr>
          <w:sz w:val="30"/>
          <w:szCs w:val="30"/>
        </w:rPr>
        <w:t>1</w:t>
      </w:r>
      <w:r w:rsidRPr="007B5D03">
        <w:rPr>
          <w:rFonts w:hAnsi="標楷體"/>
          <w:sz w:val="30"/>
          <w:szCs w:val="30"/>
        </w:rPr>
        <w:t>項，有關減少有價證券價格變動之避險交易所產生之損益金額，在避險交易對於避險對象之有價證券損失額減少可被認為有效時，對有價證券市價與帳載價格之差額中，於避險交易損益可對應部分之金額，算入該年度所得金</w:t>
      </w:r>
      <w:r w:rsidRPr="00335FDF">
        <w:rPr>
          <w:rFonts w:hAnsi="標楷體"/>
          <w:spacing w:val="-4"/>
          <w:sz w:val="30"/>
          <w:szCs w:val="30"/>
        </w:rPr>
        <w:t>額內（附件</w:t>
      </w:r>
      <w:r w:rsidRPr="00335FDF">
        <w:rPr>
          <w:spacing w:val="-4"/>
          <w:sz w:val="30"/>
          <w:szCs w:val="30"/>
        </w:rPr>
        <w:t>2</w:t>
      </w:r>
      <w:r w:rsidRPr="00335FDF">
        <w:rPr>
          <w:rFonts w:hint="eastAsia"/>
          <w:spacing w:val="-4"/>
          <w:sz w:val="30"/>
          <w:szCs w:val="30"/>
        </w:rPr>
        <w:t>2</w:t>
      </w:r>
      <w:r w:rsidRPr="00335FDF">
        <w:rPr>
          <w:rFonts w:hAnsi="標楷體"/>
          <w:spacing w:val="-4"/>
          <w:sz w:val="30"/>
          <w:szCs w:val="30"/>
        </w:rPr>
        <w:t>，金子宏，租稅法，第</w:t>
      </w:r>
      <w:r w:rsidRPr="00335FDF">
        <w:rPr>
          <w:spacing w:val="-4"/>
          <w:sz w:val="30"/>
          <w:szCs w:val="30"/>
        </w:rPr>
        <w:t>13</w:t>
      </w:r>
      <w:r w:rsidRPr="00335FDF">
        <w:rPr>
          <w:rFonts w:hAnsi="標楷體"/>
          <w:spacing w:val="-4"/>
          <w:sz w:val="30"/>
          <w:szCs w:val="30"/>
        </w:rPr>
        <w:t>版，頁</w:t>
      </w:r>
      <w:r w:rsidRPr="007B5D03">
        <w:rPr>
          <w:sz w:val="30"/>
          <w:szCs w:val="30"/>
        </w:rPr>
        <w:t>262</w:t>
      </w:r>
      <w:r w:rsidRPr="007B5D03">
        <w:rPr>
          <w:rFonts w:hAnsi="標楷體"/>
          <w:sz w:val="30"/>
          <w:szCs w:val="30"/>
        </w:rPr>
        <w:t>至</w:t>
      </w:r>
      <w:r w:rsidRPr="007B5D03">
        <w:rPr>
          <w:sz w:val="30"/>
          <w:szCs w:val="30"/>
        </w:rPr>
        <w:t>265</w:t>
      </w:r>
      <w:r w:rsidRPr="007B5D03">
        <w:rPr>
          <w:rFonts w:hAnsi="標楷體"/>
          <w:sz w:val="30"/>
          <w:szCs w:val="30"/>
        </w:rPr>
        <w:t>）。縱日本法制原則上不以資產之市價與其取得成本間之評價損益作為稅上已實現之損益，但在避險交易有效用時仍將該部分損益算入，足見避險交易損益屬於其避險對象之必要成本，可以概見。</w:t>
      </w:r>
    </w:p>
    <w:p w:rsidR="00514426" w:rsidRPr="007B5D03" w:rsidRDefault="00514426" w:rsidP="008316AF">
      <w:pPr>
        <w:snapToGrid w:val="0"/>
        <w:spacing w:line="437" w:lineRule="exact"/>
        <w:ind w:left="2354" w:hanging="369"/>
        <w:rPr>
          <w:sz w:val="30"/>
          <w:szCs w:val="30"/>
        </w:rPr>
      </w:pPr>
      <w:r w:rsidRPr="007B5D03">
        <w:rPr>
          <w:sz w:val="30"/>
          <w:szCs w:val="30"/>
        </w:rPr>
        <w:t>(6)</w:t>
      </w:r>
      <w:r w:rsidRPr="00335FDF">
        <w:rPr>
          <w:rFonts w:hAnsi="標楷體"/>
          <w:spacing w:val="-4"/>
          <w:sz w:val="30"/>
          <w:szCs w:val="30"/>
        </w:rPr>
        <w:t>實質課稅原則應顧慮租稅之經濟實質，財務會計</w:t>
      </w:r>
      <w:r w:rsidRPr="007B5D03">
        <w:rPr>
          <w:rFonts w:hAnsi="標楷體"/>
          <w:sz w:val="30"/>
          <w:szCs w:val="30"/>
        </w:rPr>
        <w:t>對於權證交易之處理當足供　鈞院參考</w:t>
      </w:r>
    </w:p>
    <w:p w:rsidR="00514426" w:rsidRPr="007B5D03" w:rsidRDefault="00514426" w:rsidP="008316AF">
      <w:pPr>
        <w:snapToGrid w:val="0"/>
        <w:spacing w:line="437" w:lineRule="exact"/>
        <w:ind w:left="2637" w:hanging="482"/>
        <w:rPr>
          <w:b/>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　鈞院釋字第</w:t>
      </w:r>
      <w:r w:rsidRPr="007B5D03">
        <w:rPr>
          <w:sz w:val="30"/>
          <w:szCs w:val="30"/>
        </w:rPr>
        <w:t>420</w:t>
      </w:r>
      <w:r w:rsidRPr="007B5D03">
        <w:rPr>
          <w:rFonts w:hAnsi="標楷體"/>
          <w:sz w:val="30"/>
          <w:szCs w:val="30"/>
        </w:rPr>
        <w:t>號、第</w:t>
      </w:r>
      <w:r w:rsidRPr="007B5D03">
        <w:rPr>
          <w:sz w:val="30"/>
          <w:szCs w:val="30"/>
        </w:rPr>
        <w:t>607</w:t>
      </w:r>
      <w:r w:rsidRPr="007B5D03">
        <w:rPr>
          <w:rFonts w:hAnsi="標楷體"/>
          <w:sz w:val="30"/>
          <w:szCs w:val="30"/>
        </w:rPr>
        <w:t>號、第</w:t>
      </w:r>
      <w:r w:rsidRPr="007B5D03">
        <w:rPr>
          <w:sz w:val="30"/>
          <w:szCs w:val="30"/>
        </w:rPr>
        <w:t>625</w:t>
      </w:r>
      <w:r w:rsidRPr="007B5D03">
        <w:rPr>
          <w:rFonts w:hAnsi="標楷體"/>
          <w:sz w:val="30"/>
          <w:szCs w:val="30"/>
        </w:rPr>
        <w:t>號</w:t>
      </w:r>
      <w:r w:rsidRPr="007B5D03">
        <w:rPr>
          <w:rFonts w:hAnsi="標楷體"/>
          <w:sz w:val="30"/>
          <w:szCs w:val="30"/>
        </w:rPr>
        <w:lastRenderedPageBreak/>
        <w:t>、第</w:t>
      </w:r>
      <w:r w:rsidRPr="007B5D03">
        <w:rPr>
          <w:sz w:val="30"/>
          <w:szCs w:val="30"/>
        </w:rPr>
        <w:t>635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均揭示實質課稅原則，尤其釋字第</w:t>
      </w:r>
      <w:r w:rsidRPr="007B5D03">
        <w:rPr>
          <w:sz w:val="30"/>
          <w:szCs w:val="30"/>
        </w:rPr>
        <w:t>635</w:t>
      </w:r>
      <w:r w:rsidRPr="007B5D03">
        <w:rPr>
          <w:rFonts w:hAnsi="標楷體"/>
          <w:sz w:val="30"/>
          <w:szCs w:val="30"/>
        </w:rPr>
        <w:t>號解釋理由書更謂：「主管機關於職權範圍內適用之法律條文發生疑義者，本於法定職權就相關規定予以闡釋，如係秉</w:t>
      </w:r>
      <w:r w:rsidRPr="008316AF">
        <w:rPr>
          <w:rFonts w:hAnsi="標楷體"/>
          <w:spacing w:val="6"/>
          <w:sz w:val="30"/>
          <w:szCs w:val="30"/>
        </w:rPr>
        <w:t>持相關憲法原則，無違於一般法律解釋方</w:t>
      </w:r>
      <w:r w:rsidRPr="007B5D03">
        <w:rPr>
          <w:rFonts w:hAnsi="標楷體"/>
          <w:sz w:val="30"/>
          <w:szCs w:val="30"/>
        </w:rPr>
        <w:t>法，且符合各該法律之立法目的、租稅之經濟意義，即與租稅法律主義、租稅公平原則無違」，對於稅法解釋函令本於應參照租稅之</w:t>
      </w:r>
      <w:r w:rsidRPr="008316AF">
        <w:rPr>
          <w:rFonts w:hAnsi="標楷體"/>
          <w:spacing w:val="6"/>
          <w:sz w:val="30"/>
          <w:szCs w:val="30"/>
        </w:rPr>
        <w:t>經濟意義並依照一般法律解釋方法妥為解</w:t>
      </w:r>
      <w:r w:rsidRPr="007B5D03">
        <w:rPr>
          <w:rFonts w:hAnsi="標楷體"/>
          <w:sz w:val="30"/>
          <w:szCs w:val="30"/>
        </w:rPr>
        <w:t>釋，始不至違反實質課稅之租稅公平原則。</w:t>
      </w:r>
    </w:p>
    <w:p w:rsidR="00514426" w:rsidRPr="007B5D03" w:rsidRDefault="00514426" w:rsidP="008316AF">
      <w:pPr>
        <w:snapToGrid w:val="0"/>
        <w:spacing w:line="437" w:lineRule="exact"/>
        <w:ind w:left="2637" w:hanging="482"/>
        <w:rPr>
          <w:b/>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次按財務會計的目標是期能透過財務報表，公允表達所報導之會計個體真正財務狀況。申言之，即以公允表達營利事業</w:t>
      </w:r>
      <w:r w:rsidRPr="007B5D03">
        <w:rPr>
          <w:rFonts w:hint="eastAsia"/>
          <w:sz w:val="30"/>
          <w:szCs w:val="30"/>
        </w:rPr>
        <w:t>（</w:t>
      </w:r>
      <w:r w:rsidRPr="007B5D03">
        <w:rPr>
          <w:rFonts w:hAnsi="標楷體"/>
          <w:sz w:val="30"/>
          <w:szCs w:val="30"/>
        </w:rPr>
        <w:t>會計個體</w:t>
      </w:r>
      <w:r w:rsidRPr="007B5D03">
        <w:rPr>
          <w:rFonts w:hint="eastAsia"/>
          <w:sz w:val="30"/>
          <w:szCs w:val="30"/>
        </w:rPr>
        <w:t>）</w:t>
      </w:r>
      <w:r w:rsidRPr="007B5D03">
        <w:rPr>
          <w:rFonts w:hAnsi="標楷體"/>
          <w:sz w:val="30"/>
          <w:szCs w:val="30"/>
        </w:rPr>
        <w:t>之資產、負債、業主權益及其損益結果為終極目標。財務會計對於營利事業經濟交易事項之會計處理，為達該目標自以經濟事物本質入帳。亦即，對券商權證交易事項之會計處理如下：當券商發行權證雖獲得權利金收入，但該筆收入因仍負有購買權證者可依履約價格要求購入或售出標的股票而相應發生可能損失之負擔，故在收取權利金時，權證</w:t>
      </w:r>
      <w:r w:rsidRPr="008316AF">
        <w:rPr>
          <w:rFonts w:hAnsi="標楷體"/>
          <w:spacing w:val="6"/>
          <w:sz w:val="30"/>
          <w:szCs w:val="30"/>
        </w:rPr>
        <w:t>發行者雖收到現金，會計帳上借記現金</w:t>
      </w:r>
      <w:r w:rsidRPr="008316AF">
        <w:rPr>
          <w:rFonts w:hint="eastAsia"/>
          <w:spacing w:val="6"/>
          <w:sz w:val="30"/>
          <w:szCs w:val="30"/>
        </w:rPr>
        <w:t>（</w:t>
      </w:r>
      <w:r w:rsidRPr="008316AF">
        <w:rPr>
          <w:rFonts w:hAnsi="標楷體"/>
          <w:spacing w:val="6"/>
          <w:sz w:val="30"/>
          <w:szCs w:val="30"/>
        </w:rPr>
        <w:t>現金增加</w:t>
      </w:r>
      <w:r w:rsidRPr="008316AF">
        <w:rPr>
          <w:rFonts w:hint="eastAsia"/>
          <w:spacing w:val="6"/>
          <w:sz w:val="30"/>
          <w:szCs w:val="30"/>
        </w:rPr>
        <w:t>）</w:t>
      </w:r>
      <w:r w:rsidRPr="008316AF">
        <w:rPr>
          <w:rFonts w:hAnsi="標楷體"/>
          <w:spacing w:val="6"/>
          <w:sz w:val="30"/>
          <w:szCs w:val="30"/>
        </w:rPr>
        <w:t>，但同時貸記發行認購權證之負債</w:t>
      </w:r>
      <w:r w:rsidRPr="007B5D03">
        <w:rPr>
          <w:rFonts w:hint="eastAsia"/>
          <w:sz w:val="30"/>
          <w:szCs w:val="30"/>
        </w:rPr>
        <w:t>（</w:t>
      </w:r>
      <w:r w:rsidRPr="007B5D03">
        <w:rPr>
          <w:rFonts w:hAnsi="標楷體"/>
          <w:sz w:val="30"/>
          <w:szCs w:val="30"/>
        </w:rPr>
        <w:t>負債增加</w:t>
      </w:r>
      <w:r w:rsidRPr="007B5D03">
        <w:rPr>
          <w:rFonts w:hint="eastAsia"/>
          <w:sz w:val="30"/>
          <w:szCs w:val="30"/>
        </w:rPr>
        <w:t>）</w:t>
      </w:r>
      <w:r w:rsidRPr="007B5D03">
        <w:rPr>
          <w:rFonts w:hAnsi="標楷體"/>
          <w:sz w:val="30"/>
          <w:szCs w:val="30"/>
        </w:rPr>
        <w:t>，認為所收取之現金，其實為公</w:t>
      </w:r>
      <w:r w:rsidRPr="008316AF">
        <w:rPr>
          <w:rFonts w:hAnsi="標楷體"/>
          <w:spacing w:val="-8"/>
          <w:sz w:val="30"/>
          <w:szCs w:val="30"/>
        </w:rPr>
        <w:t>司之債務，並非真正收入。蓋該筆「收入」（現</w:t>
      </w:r>
      <w:r w:rsidRPr="007B5D03">
        <w:rPr>
          <w:rFonts w:hAnsi="標楷體"/>
          <w:sz w:val="30"/>
          <w:szCs w:val="30"/>
        </w:rPr>
        <w:t>金），並不符合會計學上收入實現原則中，必須為獲得該收入</w:t>
      </w:r>
      <w:r w:rsidRPr="007B5D03">
        <w:rPr>
          <w:rFonts w:hAnsi="標楷體"/>
          <w:sz w:val="30"/>
          <w:szCs w:val="30"/>
        </w:rPr>
        <w:lastRenderedPageBreak/>
        <w:t>之相關成本已支付或大部分</w:t>
      </w:r>
      <w:r w:rsidRPr="008316AF">
        <w:rPr>
          <w:rFonts w:hAnsi="標楷體"/>
          <w:spacing w:val="6"/>
          <w:sz w:val="30"/>
          <w:szCs w:val="30"/>
        </w:rPr>
        <w:t>已支付之「已賺得」條件。而在權證流通期</w:t>
      </w:r>
      <w:r w:rsidRPr="007B5D03">
        <w:rPr>
          <w:rFonts w:hAnsi="標楷體"/>
          <w:sz w:val="30"/>
          <w:szCs w:val="30"/>
        </w:rPr>
        <w:t>間，當標的股票上漲，權證價值增加時，除一方面增加已持有標的股票之評價利益外，另一方面亦同時增加發行認購權證之負債，</w:t>
      </w:r>
      <w:r w:rsidRPr="008316AF">
        <w:rPr>
          <w:rFonts w:hAnsi="標楷體"/>
          <w:spacing w:val="6"/>
          <w:sz w:val="30"/>
          <w:szCs w:val="30"/>
        </w:rPr>
        <w:t>是以避險項目（標的股票）之上升利益及被避險項目（權證）負債之增加，兩者價值變</w:t>
      </w:r>
      <w:r w:rsidRPr="007B5D03">
        <w:rPr>
          <w:rFonts w:hAnsi="標楷體"/>
          <w:sz w:val="30"/>
          <w:szCs w:val="30"/>
        </w:rPr>
        <w:t>動損益合併認列，方得正確計算權證交易正</w:t>
      </w:r>
      <w:r w:rsidRPr="008316AF">
        <w:rPr>
          <w:rFonts w:hAnsi="標楷體"/>
          <w:spacing w:val="6"/>
          <w:sz w:val="30"/>
          <w:szCs w:val="30"/>
        </w:rPr>
        <w:t>確損益。由此一公認會計處理原則清楚說</w:t>
      </w:r>
      <w:r w:rsidRPr="007B5D03">
        <w:rPr>
          <w:rFonts w:hAnsi="標楷體"/>
          <w:sz w:val="30"/>
          <w:szCs w:val="30"/>
        </w:rPr>
        <w:t>明，發行權證之負債與其相關之避險交易，具有不可分離的密切關</w:t>
      </w:r>
      <w:r w:rsidRPr="007B5D03">
        <w:rPr>
          <w:rFonts w:hAnsi="標楷體" w:hint="eastAsia"/>
          <w:sz w:val="30"/>
          <w:szCs w:val="30"/>
        </w:rPr>
        <w:t>聯</w:t>
      </w:r>
      <w:r w:rsidRPr="007B5D03">
        <w:rPr>
          <w:rFonts w:hAnsi="標楷體"/>
          <w:sz w:val="30"/>
          <w:szCs w:val="30"/>
        </w:rPr>
        <w:t>性，應一併考量不</w:t>
      </w:r>
      <w:r w:rsidRPr="008316AF">
        <w:rPr>
          <w:rFonts w:hAnsi="標楷體"/>
          <w:spacing w:val="-6"/>
          <w:sz w:val="30"/>
          <w:szCs w:val="30"/>
        </w:rPr>
        <w:t>得切割。此可由我國財務會計準則第</w:t>
      </w:r>
      <w:r w:rsidRPr="008316AF">
        <w:rPr>
          <w:spacing w:val="-6"/>
          <w:sz w:val="30"/>
          <w:szCs w:val="30"/>
        </w:rPr>
        <w:t>34</w:t>
      </w:r>
      <w:r w:rsidRPr="008316AF">
        <w:rPr>
          <w:rFonts w:hAnsi="標楷體"/>
          <w:spacing w:val="-6"/>
          <w:sz w:val="30"/>
          <w:szCs w:val="30"/>
        </w:rPr>
        <w:t>號「金</w:t>
      </w:r>
      <w:r w:rsidRPr="008316AF">
        <w:rPr>
          <w:rFonts w:hAnsi="標楷體"/>
          <w:spacing w:val="6"/>
          <w:sz w:val="30"/>
          <w:szCs w:val="30"/>
        </w:rPr>
        <w:t>融商品之會計處理準則」公報證實，亦可由</w:t>
      </w:r>
      <w:r w:rsidRPr="007B5D03">
        <w:rPr>
          <w:rFonts w:hAnsi="標楷體"/>
          <w:sz w:val="30"/>
          <w:szCs w:val="30"/>
        </w:rPr>
        <w:t>證期局發布之證券商編</w:t>
      </w:r>
      <w:r w:rsidRPr="007B5D03">
        <w:rPr>
          <w:rFonts w:hAnsi="標楷體" w:hint="eastAsia"/>
          <w:sz w:val="30"/>
          <w:szCs w:val="30"/>
        </w:rPr>
        <w:t>製</w:t>
      </w:r>
      <w:r w:rsidRPr="007B5D03">
        <w:rPr>
          <w:rFonts w:hAnsi="標楷體"/>
          <w:sz w:val="30"/>
          <w:szCs w:val="30"/>
        </w:rPr>
        <w:t>財務報表注意要點</w:t>
      </w:r>
      <w:r w:rsidRPr="008316AF">
        <w:rPr>
          <w:rFonts w:hAnsi="標楷體"/>
          <w:spacing w:val="-6"/>
          <w:sz w:val="30"/>
          <w:szCs w:val="30"/>
        </w:rPr>
        <w:t>中察悉。</w:t>
      </w:r>
      <w:r w:rsidRPr="008316AF">
        <w:rPr>
          <w:rFonts w:hint="eastAsia"/>
          <w:spacing w:val="-6"/>
          <w:sz w:val="30"/>
          <w:szCs w:val="30"/>
        </w:rPr>
        <w:t>（</w:t>
      </w:r>
      <w:r w:rsidRPr="008316AF">
        <w:rPr>
          <w:rFonts w:hAnsi="標楷體"/>
          <w:spacing w:val="-6"/>
          <w:sz w:val="30"/>
          <w:szCs w:val="30"/>
        </w:rPr>
        <w:t>附件</w:t>
      </w:r>
      <w:r w:rsidRPr="008316AF">
        <w:rPr>
          <w:spacing w:val="-6"/>
          <w:sz w:val="30"/>
          <w:szCs w:val="30"/>
        </w:rPr>
        <w:t>2</w:t>
      </w:r>
      <w:r w:rsidRPr="008316AF">
        <w:rPr>
          <w:rFonts w:hint="eastAsia"/>
          <w:spacing w:val="-6"/>
          <w:sz w:val="30"/>
          <w:szCs w:val="30"/>
        </w:rPr>
        <w:t>3</w:t>
      </w:r>
      <w:r w:rsidRPr="008316AF">
        <w:rPr>
          <w:rFonts w:hAnsi="標楷體"/>
          <w:spacing w:val="-6"/>
          <w:sz w:val="30"/>
          <w:szCs w:val="30"/>
        </w:rPr>
        <w:t>，財務會計準則第</w:t>
      </w:r>
      <w:r w:rsidRPr="008316AF">
        <w:rPr>
          <w:spacing w:val="-6"/>
          <w:sz w:val="30"/>
          <w:szCs w:val="30"/>
        </w:rPr>
        <w:t>34</w:t>
      </w:r>
      <w:r w:rsidRPr="008316AF">
        <w:rPr>
          <w:rFonts w:hAnsi="標楷體"/>
          <w:spacing w:val="-6"/>
          <w:sz w:val="30"/>
          <w:szCs w:val="30"/>
        </w:rPr>
        <w:t>號「金</w:t>
      </w:r>
      <w:r w:rsidRPr="007B5D03">
        <w:rPr>
          <w:rFonts w:hAnsi="標楷體"/>
          <w:sz w:val="30"/>
          <w:szCs w:val="30"/>
        </w:rPr>
        <w:t>融商品之會計處理準則」公報及附件</w:t>
      </w:r>
      <w:r w:rsidRPr="007B5D03">
        <w:rPr>
          <w:sz w:val="30"/>
          <w:szCs w:val="30"/>
        </w:rPr>
        <w:t>2</w:t>
      </w:r>
      <w:r w:rsidRPr="007B5D03">
        <w:rPr>
          <w:rFonts w:hint="eastAsia"/>
          <w:sz w:val="30"/>
          <w:szCs w:val="30"/>
        </w:rPr>
        <w:t>4</w:t>
      </w:r>
      <w:r w:rsidRPr="007B5D03">
        <w:rPr>
          <w:rFonts w:hAnsi="標楷體"/>
          <w:sz w:val="30"/>
          <w:szCs w:val="30"/>
        </w:rPr>
        <w:t>，證券商財務報告編製準則</w:t>
      </w:r>
      <w:r w:rsidRPr="007B5D03">
        <w:rPr>
          <w:rFonts w:hint="eastAsia"/>
          <w:sz w:val="30"/>
          <w:szCs w:val="30"/>
        </w:rPr>
        <w:t>）</w:t>
      </w:r>
      <w:r w:rsidRPr="007B5D03">
        <w:rPr>
          <w:rFonts w:hAnsi="標楷體"/>
          <w:sz w:val="30"/>
          <w:szCs w:val="30"/>
        </w:rPr>
        <w:t>。</w:t>
      </w:r>
    </w:p>
    <w:p w:rsidR="00514426" w:rsidRPr="007B5D03" w:rsidRDefault="00514426" w:rsidP="008316AF">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8316AF">
        <w:rPr>
          <w:rFonts w:hAnsi="標楷體"/>
          <w:spacing w:val="-6"/>
          <w:sz w:val="30"/>
          <w:szCs w:val="30"/>
        </w:rPr>
        <w:t>是以，本於對權證商品會計處理之經濟實質，</w:t>
      </w:r>
      <w:r w:rsidRPr="007B5D03">
        <w:rPr>
          <w:rFonts w:hAnsi="標楷體"/>
          <w:sz w:val="30"/>
          <w:szCs w:val="30"/>
        </w:rPr>
        <w:t>可以進一步確認權證課稅之經濟意義，權利金收入必須配合避險項目之負債始能正確計算損益，權利金在收取時並不符合已賺得之要件，自不得能於收取時認列收入，亦即避</w:t>
      </w:r>
      <w:r w:rsidRPr="008316AF">
        <w:rPr>
          <w:rFonts w:hAnsi="標楷體"/>
          <w:spacing w:val="6"/>
          <w:sz w:val="30"/>
          <w:szCs w:val="30"/>
        </w:rPr>
        <w:t>險交易損失與權利金收入有密不可分之關</w:t>
      </w:r>
      <w:r w:rsidRPr="007B5D03">
        <w:rPr>
          <w:rFonts w:hAnsi="標楷體"/>
          <w:sz w:val="30"/>
          <w:szCs w:val="30"/>
        </w:rPr>
        <w:t>係，在課稅上自不能個別孤立觀察並個別評價權利金收入與避險交易損失，否則當屬嚴</w:t>
      </w:r>
      <w:r w:rsidRPr="008316AF">
        <w:rPr>
          <w:rFonts w:hAnsi="標楷體"/>
          <w:spacing w:val="-6"/>
          <w:sz w:val="30"/>
          <w:szCs w:val="30"/>
        </w:rPr>
        <w:t>重背離租稅之經濟意義，有違實質課稅原則。</w:t>
      </w:r>
    </w:p>
    <w:p w:rsidR="00514426" w:rsidRPr="007B5D03" w:rsidRDefault="00514426" w:rsidP="008316AF">
      <w:pPr>
        <w:snapToGrid w:val="0"/>
        <w:spacing w:line="437" w:lineRule="exact"/>
        <w:ind w:left="2354" w:hanging="369"/>
        <w:rPr>
          <w:sz w:val="30"/>
          <w:szCs w:val="30"/>
        </w:rPr>
      </w:pPr>
      <w:r w:rsidRPr="007B5D03">
        <w:rPr>
          <w:sz w:val="30"/>
          <w:szCs w:val="30"/>
        </w:rPr>
        <w:t>(7)</w:t>
      </w:r>
      <w:r w:rsidRPr="007B5D03">
        <w:rPr>
          <w:rFonts w:hAnsi="標楷體"/>
          <w:sz w:val="30"/>
          <w:szCs w:val="30"/>
        </w:rPr>
        <w:t>自實質課稅原則以觀，財政部</w:t>
      </w:r>
      <w:r w:rsidRPr="007B5D03">
        <w:rPr>
          <w:sz w:val="30"/>
          <w:szCs w:val="30"/>
        </w:rPr>
        <w:t>86</w:t>
      </w:r>
      <w:r w:rsidRPr="007B5D03">
        <w:rPr>
          <w:rFonts w:hAnsi="標楷體"/>
          <w:sz w:val="30"/>
          <w:szCs w:val="30"/>
        </w:rPr>
        <w:t>年函釋就避險</w:t>
      </w:r>
      <w:r w:rsidRPr="007B5D03">
        <w:rPr>
          <w:rFonts w:hAnsi="標楷體"/>
          <w:sz w:val="30"/>
          <w:szCs w:val="30"/>
        </w:rPr>
        <w:lastRenderedPageBreak/>
        <w:t>交易損失部分單獨適用所得稅法第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，實屬對權證交易整體行為之不當評價</w:t>
      </w:r>
    </w:p>
    <w:p w:rsidR="00514426" w:rsidRPr="007B5D03" w:rsidRDefault="00514426" w:rsidP="008316AF">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實質課稅原則既要求依課稅客體之有無及其量化而核實課徵，應以實質之經濟活動認定稅捐客體之有無及範圍。權證交易之經濟實質是發行權證之行為與後續避險交易乃至於</w:t>
      </w:r>
      <w:r w:rsidRPr="008316AF">
        <w:rPr>
          <w:rFonts w:hAnsi="標楷體"/>
          <w:spacing w:val="6"/>
          <w:sz w:val="30"/>
          <w:szCs w:val="30"/>
        </w:rPr>
        <w:t>投資人行使買權而依履約價格交付標的股</w:t>
      </w:r>
      <w:r w:rsidRPr="007B5D03">
        <w:rPr>
          <w:rFonts w:hAnsi="標楷體"/>
          <w:sz w:val="30"/>
          <w:szCs w:val="30"/>
        </w:rPr>
        <w:t>票，均屬一個權證交易之整體行為，依照實質課稅原則應以整體權證交易行為進行課稅客體之法律評價，財政部</w:t>
      </w:r>
      <w:r w:rsidRPr="007B5D03">
        <w:rPr>
          <w:sz w:val="30"/>
          <w:szCs w:val="30"/>
        </w:rPr>
        <w:t>86</w:t>
      </w:r>
      <w:r w:rsidRPr="007B5D03">
        <w:rPr>
          <w:rFonts w:hAnsi="標楷體"/>
          <w:sz w:val="30"/>
          <w:szCs w:val="30"/>
        </w:rPr>
        <w:t>年函釋將權證交易拆解為二種稅上評價，一係權利金收入屬應稅收入，二係避險交易損益屬證券交易損益，此種對權證交易之拆解方式而得出避險交易不得扣減應稅權利金收入之結論，誠與權證交易之經濟實質相去甚遠，有違實質課稅原則對於課稅事實關係之定性，甚且對於一般法律解釋原則上對於一個法律行為、法律事實，不得給予相互矛盾之評價，亦有未符，參諸前揭　鈞院釋字第</w:t>
      </w:r>
      <w:r w:rsidRPr="007B5D03">
        <w:rPr>
          <w:sz w:val="30"/>
          <w:szCs w:val="30"/>
        </w:rPr>
        <w:t>635</w:t>
      </w:r>
      <w:r w:rsidRPr="007B5D03">
        <w:rPr>
          <w:rFonts w:hAnsi="標楷體"/>
          <w:sz w:val="30"/>
          <w:szCs w:val="30"/>
        </w:rPr>
        <w:t>號解釋理由書對於行政釋示違反一般法律解釋原則亦屬有違反實質課稅之租稅公平原則，可以確認財政部</w:t>
      </w:r>
      <w:r w:rsidRPr="007B5D03">
        <w:rPr>
          <w:sz w:val="30"/>
          <w:szCs w:val="30"/>
        </w:rPr>
        <w:t>86</w:t>
      </w:r>
      <w:r w:rsidRPr="007B5D03">
        <w:rPr>
          <w:rFonts w:hAnsi="標楷體"/>
          <w:sz w:val="30"/>
          <w:szCs w:val="30"/>
        </w:rPr>
        <w:t>年函釋洵有悖於實質課稅原則。</w:t>
      </w:r>
    </w:p>
    <w:p w:rsidR="00514426" w:rsidRPr="007B5D03" w:rsidRDefault="00514426" w:rsidP="008316AF">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又按學者認為：「在所得稅法第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及之</w:t>
      </w:r>
      <w:r w:rsidRPr="008316AF">
        <w:rPr>
          <w:spacing w:val="-6"/>
          <w:sz w:val="30"/>
          <w:szCs w:val="30"/>
        </w:rPr>
        <w:t>2</w:t>
      </w:r>
      <w:r w:rsidRPr="008316AF">
        <w:rPr>
          <w:rFonts w:hAnsi="標楷體"/>
          <w:spacing w:val="-6"/>
          <w:sz w:val="30"/>
          <w:szCs w:val="30"/>
        </w:rPr>
        <w:t>的適用，容易只是想當然認為，只要把證券</w:t>
      </w:r>
      <w:r w:rsidRPr="007B5D03">
        <w:rPr>
          <w:rFonts w:hAnsi="標楷體"/>
          <w:sz w:val="30"/>
          <w:szCs w:val="30"/>
        </w:rPr>
        <w:t>交易及期貨交易一概論為非課稅事實即可，不需要再去考量各筆交易究竟如何計算其所得或</w:t>
      </w:r>
      <w:r w:rsidRPr="007B5D03">
        <w:rPr>
          <w:rFonts w:hAnsi="標楷體"/>
          <w:sz w:val="30"/>
          <w:szCs w:val="30"/>
        </w:rPr>
        <w:lastRenderedPageBreak/>
        <w:t>損失。其實，單獨一筆證券交易或期貨交易並不能結算其所得或損失。在原始認購及其他先買後賣的情形，必須在賣出後；在融券先賣後買時，必須在買進還券後，才能</w:t>
      </w:r>
      <w:r w:rsidRPr="00E43198">
        <w:rPr>
          <w:rFonts w:hAnsi="標楷體"/>
          <w:spacing w:val="10"/>
          <w:sz w:val="30"/>
          <w:szCs w:val="30"/>
        </w:rPr>
        <w:t>結算其交易究竟有所得或有損失。在認購</w:t>
      </w:r>
      <w:r w:rsidRPr="00E43198">
        <w:rPr>
          <w:rFonts w:hAnsi="標楷體"/>
          <w:spacing w:val="6"/>
          <w:sz w:val="30"/>
          <w:szCs w:val="30"/>
        </w:rPr>
        <w:t>（售）權證所表彰之選擇權的發行，其損益</w:t>
      </w:r>
      <w:r w:rsidRPr="007B5D03">
        <w:rPr>
          <w:rFonts w:hAnsi="標楷體"/>
          <w:sz w:val="30"/>
          <w:szCs w:val="30"/>
        </w:rPr>
        <w:t>應將其發行權利金收入及其權證標的之避險交易的損益合併計算，始能結算出損益。為釐清該疑義，增訂所得稅法第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第</w:t>
      </w:r>
      <w:r w:rsidRPr="007B5D03">
        <w:rPr>
          <w:sz w:val="30"/>
          <w:szCs w:val="30"/>
        </w:rPr>
        <w:t>1</w:t>
      </w:r>
      <w:r w:rsidRPr="007B5D03">
        <w:rPr>
          <w:rFonts w:hAnsi="標楷體"/>
          <w:sz w:val="30"/>
          <w:szCs w:val="30"/>
        </w:rPr>
        <w:t>項規定：『經目的事業主管機關核准發行認購（售）權證者，發行人發行認購（售）權證，於該權證發行日至到期日期間，基於風險管理而買賣經目的事業主管機關核可之有價證券及衍生性金融商品之交易所得或損失，應</w:t>
      </w:r>
      <w:r w:rsidRPr="00E43198">
        <w:rPr>
          <w:rFonts w:hAnsi="標楷體"/>
          <w:spacing w:val="6"/>
          <w:sz w:val="30"/>
          <w:szCs w:val="30"/>
        </w:rPr>
        <w:t>併計發行認購（售）權證之損益課稅，不適用第</w:t>
      </w:r>
      <w:r w:rsidRPr="00E43198">
        <w:rPr>
          <w:spacing w:val="6"/>
          <w:sz w:val="30"/>
          <w:szCs w:val="30"/>
        </w:rPr>
        <w:t>4</w:t>
      </w:r>
      <w:r w:rsidRPr="00E43198">
        <w:rPr>
          <w:rFonts w:hAnsi="標楷體"/>
          <w:spacing w:val="6"/>
          <w:sz w:val="30"/>
          <w:szCs w:val="30"/>
        </w:rPr>
        <w:t>條之</w:t>
      </w:r>
      <w:r w:rsidRPr="00E43198">
        <w:rPr>
          <w:spacing w:val="6"/>
          <w:sz w:val="30"/>
          <w:szCs w:val="30"/>
        </w:rPr>
        <w:t>1</w:t>
      </w:r>
      <w:r w:rsidRPr="00E43198">
        <w:rPr>
          <w:rFonts w:hAnsi="標楷體"/>
          <w:spacing w:val="6"/>
          <w:sz w:val="30"/>
          <w:szCs w:val="30"/>
        </w:rPr>
        <w:t>及第</w:t>
      </w:r>
      <w:r w:rsidRPr="00E43198">
        <w:rPr>
          <w:spacing w:val="6"/>
          <w:sz w:val="30"/>
          <w:szCs w:val="30"/>
        </w:rPr>
        <w:t>4</w:t>
      </w:r>
      <w:r w:rsidRPr="00E43198">
        <w:rPr>
          <w:rFonts w:hAnsi="標楷體"/>
          <w:spacing w:val="6"/>
          <w:sz w:val="30"/>
          <w:szCs w:val="30"/>
        </w:rPr>
        <w:t>條之</w:t>
      </w:r>
      <w:r w:rsidRPr="00E43198">
        <w:rPr>
          <w:spacing w:val="6"/>
          <w:sz w:val="30"/>
          <w:szCs w:val="30"/>
        </w:rPr>
        <w:t>2</w:t>
      </w:r>
      <w:r w:rsidRPr="00E43198">
        <w:rPr>
          <w:rFonts w:hAnsi="標楷體"/>
          <w:spacing w:val="6"/>
          <w:sz w:val="30"/>
          <w:szCs w:val="30"/>
        </w:rPr>
        <w:t>規定。但基於風</w:t>
      </w:r>
      <w:r w:rsidRPr="007B5D03">
        <w:rPr>
          <w:rFonts w:hAnsi="標楷體"/>
          <w:sz w:val="30"/>
          <w:szCs w:val="30"/>
        </w:rPr>
        <w:t>險管理而買賣經目的事業主管機關核可之認</w:t>
      </w:r>
      <w:r w:rsidRPr="00E43198">
        <w:rPr>
          <w:rFonts w:hAnsi="標楷體"/>
          <w:spacing w:val="6"/>
          <w:sz w:val="30"/>
          <w:szCs w:val="30"/>
        </w:rPr>
        <w:t>購（售）權證與標的有價證券之交易損失及</w:t>
      </w:r>
      <w:r w:rsidRPr="007B5D03">
        <w:rPr>
          <w:rFonts w:hAnsi="標楷體"/>
          <w:sz w:val="30"/>
          <w:szCs w:val="30"/>
        </w:rPr>
        <w:t>買賣依期貨交易稅條例課徵期貨交易稅之期</w:t>
      </w:r>
      <w:r w:rsidRPr="00E43198">
        <w:rPr>
          <w:rFonts w:hAnsi="標楷體"/>
          <w:spacing w:val="6"/>
          <w:sz w:val="30"/>
          <w:szCs w:val="30"/>
        </w:rPr>
        <w:t>貨之交易損失，超過發行認購（售）權證權</w:t>
      </w:r>
      <w:r w:rsidRPr="007B5D03">
        <w:rPr>
          <w:rFonts w:hAnsi="標楷體"/>
          <w:sz w:val="30"/>
          <w:szCs w:val="30"/>
        </w:rPr>
        <w:t>利金收入減除各項相關發行成本與費用後之</w:t>
      </w:r>
      <w:r w:rsidRPr="00E43198">
        <w:rPr>
          <w:rFonts w:hAnsi="標楷體"/>
          <w:spacing w:val="-6"/>
          <w:sz w:val="30"/>
          <w:szCs w:val="30"/>
        </w:rPr>
        <w:t>餘額部分，不得減除。』。」（附件</w:t>
      </w:r>
      <w:r w:rsidRPr="00E43198">
        <w:rPr>
          <w:spacing w:val="-6"/>
          <w:sz w:val="30"/>
          <w:szCs w:val="30"/>
        </w:rPr>
        <w:t>2</w:t>
      </w:r>
      <w:r w:rsidRPr="00E43198">
        <w:rPr>
          <w:rFonts w:hint="eastAsia"/>
          <w:spacing w:val="-6"/>
          <w:sz w:val="30"/>
          <w:szCs w:val="30"/>
        </w:rPr>
        <w:t>5</w:t>
      </w:r>
      <w:r w:rsidRPr="00E43198">
        <w:rPr>
          <w:rFonts w:hAnsi="標楷體"/>
          <w:spacing w:val="-6"/>
          <w:sz w:val="30"/>
          <w:szCs w:val="30"/>
        </w:rPr>
        <w:t>，黃茂</w:t>
      </w:r>
      <w:r w:rsidRPr="00E43198">
        <w:rPr>
          <w:rFonts w:hAnsi="標楷體"/>
          <w:spacing w:val="6"/>
          <w:sz w:val="30"/>
          <w:szCs w:val="30"/>
        </w:rPr>
        <w:t>榮，不動產稅及其對不動產產業的經濟引</w:t>
      </w:r>
      <w:r w:rsidRPr="007B5D03">
        <w:rPr>
          <w:rFonts w:hAnsi="標楷體"/>
          <w:sz w:val="30"/>
          <w:szCs w:val="30"/>
        </w:rPr>
        <w:t>導，註</w:t>
      </w:r>
      <w:r w:rsidRPr="007B5D03">
        <w:rPr>
          <w:sz w:val="30"/>
          <w:szCs w:val="30"/>
        </w:rPr>
        <w:t>5</w:t>
      </w:r>
      <w:r w:rsidRPr="007B5D03">
        <w:rPr>
          <w:rFonts w:hAnsi="標楷體"/>
          <w:sz w:val="30"/>
          <w:szCs w:val="30"/>
        </w:rPr>
        <w:t>）從實質課稅原則觀察，認購權證之發行與其因避險交易所產生之損益本即應合併予以觀察，絕無法從單筆的避險交易就認為得結算損益，原確定判決這種切</w:t>
      </w:r>
      <w:r w:rsidRPr="007B5D03">
        <w:rPr>
          <w:rFonts w:hAnsi="標楷體"/>
          <w:sz w:val="30"/>
          <w:szCs w:val="30"/>
        </w:rPr>
        <w:lastRenderedPageBreak/>
        <w:t>割觀點如屬應免稅收入及損失應如何分別認列之一般原則，顯然不能真正因應變種或更為複雜之交易模式，反而更無從達成依經濟實質課稅之效果，徒留納稅義務人依樣畫葫蘆地以複雜之法律形式規避實質稅負之空間。是避險</w:t>
      </w:r>
      <w:r w:rsidRPr="00E43198">
        <w:rPr>
          <w:rFonts w:hAnsi="標楷體"/>
          <w:spacing w:val="6"/>
          <w:sz w:val="30"/>
          <w:szCs w:val="30"/>
        </w:rPr>
        <w:t>交易損失應准從認購權證權利金收入中扣</w:t>
      </w:r>
      <w:r w:rsidRPr="007B5D03">
        <w:rPr>
          <w:rFonts w:hAnsi="標楷體"/>
          <w:sz w:val="30"/>
          <w:szCs w:val="30"/>
        </w:rPr>
        <w:t>除，而非割裂權證發行及其避險之整體交易行為，另將避險交易視為獨立之一行為，對避險交易損失當作證券交易所得之損失而不准扣除。是以所得稅法第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第</w:t>
      </w:r>
      <w:r w:rsidRPr="007B5D03">
        <w:rPr>
          <w:sz w:val="30"/>
          <w:szCs w:val="30"/>
        </w:rPr>
        <w:t>1</w:t>
      </w:r>
      <w:r w:rsidRPr="007B5D03">
        <w:rPr>
          <w:rFonts w:hAnsi="標楷體"/>
          <w:sz w:val="30"/>
          <w:szCs w:val="30"/>
        </w:rPr>
        <w:t>項之增訂，充其量僅係為謀減少爭議，將發行認購權證及其從事之避險交易應依實質課稅原則合併觀察透過立法予以宣示確認而已，絕不可能係認為權證發行人有給予租稅優惠必要之立法，該條規定之增列毋寧係更加確認在認購權證交易之情形下，應將發行認購權證及其避險交易當作整體交易觀察，依前揭學者之見，應不待新法規定即應如此解釋。</w:t>
      </w:r>
    </w:p>
    <w:p w:rsidR="00514426" w:rsidRPr="007B5D03" w:rsidRDefault="00514426" w:rsidP="008316AF">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再按，　鈞院自釋字第</w:t>
      </w:r>
      <w:r w:rsidRPr="007B5D03">
        <w:rPr>
          <w:sz w:val="30"/>
          <w:szCs w:val="30"/>
        </w:rPr>
        <w:t>420</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以來，一向揭示租稅法律之解釋應遵循實質課稅之租稅公平原則，尤觀　鈞院釋字第</w:t>
      </w:r>
      <w:r w:rsidRPr="007B5D03">
        <w:rPr>
          <w:sz w:val="30"/>
          <w:szCs w:val="30"/>
        </w:rPr>
        <w:t>635</w:t>
      </w:r>
      <w:r w:rsidRPr="007B5D03">
        <w:rPr>
          <w:rFonts w:hAnsi="標楷體"/>
          <w:sz w:val="30"/>
          <w:szCs w:val="30"/>
        </w:rPr>
        <w:t>號解釋理由書之意旨更甚明顯，亦即財稅主管機關本有義務依照實質課稅原則進行法律解釋，而非在形式課稅對國庫有利時，改採形式課稅之方式辦理，否則此種僅以國庫財政之租稅政策，斷無足成為違反實質課稅原則之正當理由。復參諸</w:t>
      </w:r>
      <w:r w:rsidRPr="007B5D03">
        <w:rPr>
          <w:rFonts w:hAnsi="標楷體"/>
          <w:sz w:val="30"/>
          <w:szCs w:val="30"/>
        </w:rPr>
        <w:lastRenderedPageBreak/>
        <w:t>立法院近來三讀通過之稅捐稽徵法第</w:t>
      </w:r>
      <w:r w:rsidRPr="007B5D03">
        <w:rPr>
          <w:sz w:val="30"/>
          <w:szCs w:val="30"/>
        </w:rPr>
        <w:t>12</w:t>
      </w:r>
      <w:r w:rsidRPr="007B5D03">
        <w:rPr>
          <w:rFonts w:hAnsi="標楷體"/>
          <w:sz w:val="30"/>
          <w:szCs w:val="30"/>
        </w:rPr>
        <w:t>條之</w:t>
      </w:r>
      <w:r w:rsidRPr="007B5D03">
        <w:rPr>
          <w:sz w:val="30"/>
          <w:szCs w:val="30"/>
        </w:rPr>
        <w:t>1</w:t>
      </w:r>
      <w:r w:rsidRPr="007B5D03">
        <w:rPr>
          <w:rFonts w:hAnsi="標楷體"/>
          <w:sz w:val="30"/>
          <w:szCs w:val="30"/>
        </w:rPr>
        <w:t>第</w:t>
      </w:r>
      <w:r w:rsidRPr="007B5D03">
        <w:rPr>
          <w:sz w:val="30"/>
          <w:szCs w:val="30"/>
        </w:rPr>
        <w:t>2</w:t>
      </w:r>
      <w:r w:rsidRPr="007B5D03">
        <w:rPr>
          <w:rFonts w:hAnsi="標楷體"/>
          <w:sz w:val="30"/>
          <w:szCs w:val="30"/>
        </w:rPr>
        <w:t>項規定，稽徵機關應適用實質課稅原則之認定租稅構成要件事實</w:t>
      </w:r>
      <w:r w:rsidRPr="00E43198">
        <w:rPr>
          <w:rFonts w:hAnsi="標楷體"/>
          <w:spacing w:val="-6"/>
          <w:sz w:val="30"/>
          <w:szCs w:val="30"/>
        </w:rPr>
        <w:t>（附件</w:t>
      </w:r>
      <w:r w:rsidRPr="00E43198">
        <w:rPr>
          <w:spacing w:val="-6"/>
          <w:sz w:val="30"/>
          <w:szCs w:val="30"/>
        </w:rPr>
        <w:t>2</w:t>
      </w:r>
      <w:r w:rsidRPr="00E43198">
        <w:rPr>
          <w:rFonts w:hint="eastAsia"/>
          <w:spacing w:val="-6"/>
          <w:sz w:val="30"/>
          <w:szCs w:val="30"/>
        </w:rPr>
        <w:t>6</w:t>
      </w:r>
      <w:r w:rsidRPr="00E43198">
        <w:rPr>
          <w:rFonts w:hAnsi="標楷體"/>
          <w:spacing w:val="-6"/>
          <w:sz w:val="30"/>
          <w:szCs w:val="30"/>
        </w:rPr>
        <w:t>），所以財稅主管機關適用實質課稅</w:t>
      </w:r>
      <w:r w:rsidRPr="007B5D03">
        <w:rPr>
          <w:rFonts w:hAnsi="標楷體"/>
          <w:sz w:val="30"/>
          <w:szCs w:val="30"/>
        </w:rPr>
        <w:t>原則本為其法定義務，實難有脫免適用實質課稅原則之正當化理由。</w:t>
      </w:r>
    </w:p>
    <w:p w:rsidR="00514426" w:rsidRPr="007B5D03" w:rsidRDefault="00514426" w:rsidP="008316AF">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另可能有的論點為避險交易因其可能獲益而</w:t>
      </w:r>
      <w:r w:rsidRPr="00E43198">
        <w:rPr>
          <w:rFonts w:hAnsi="標楷體"/>
          <w:spacing w:val="6"/>
          <w:sz w:val="30"/>
          <w:szCs w:val="30"/>
        </w:rPr>
        <w:t>在性質上不得為成本，惟新法允許此種扣</w:t>
      </w:r>
      <w:r w:rsidRPr="007B5D03">
        <w:rPr>
          <w:rFonts w:hAnsi="標楷體"/>
          <w:sz w:val="30"/>
          <w:szCs w:val="30"/>
        </w:rPr>
        <w:t>減，豈非新法又成為租稅優惠之特別規定，</w:t>
      </w:r>
      <w:r w:rsidRPr="00E43198">
        <w:rPr>
          <w:rFonts w:hAnsi="標楷體"/>
          <w:spacing w:val="6"/>
          <w:sz w:val="30"/>
          <w:szCs w:val="30"/>
        </w:rPr>
        <w:t>吾人認為從新法之立法背景觀察，應非如</w:t>
      </w:r>
      <w:r w:rsidRPr="007B5D03">
        <w:rPr>
          <w:rFonts w:hAnsi="標楷體"/>
          <w:sz w:val="30"/>
          <w:szCs w:val="30"/>
        </w:rPr>
        <w:t>此，詳後述。茲舉一例說明，如購買已有建物之土地，其目的係為拆除該舊建物，利用該地重新蓋新建物，則拆除該建物之支出固應為購地之成本加項，然將拆舊建物所得之廢鋼筋加以變賣所得「利益」，會計上則應列為該購地成本之減項。難道僅因拆舊建物所得之廢鋼筋因有變賣「利益」，則該拆除成本即不准列入購地成本乎</w:t>
      </w:r>
      <w:r w:rsidRPr="007B5D03">
        <w:rPr>
          <w:sz w:val="30"/>
          <w:szCs w:val="30"/>
        </w:rPr>
        <w:t>?</w:t>
      </w:r>
      <w:r w:rsidRPr="007B5D03">
        <w:rPr>
          <w:rFonts w:hAnsi="標楷體"/>
          <w:sz w:val="30"/>
          <w:szCs w:val="30"/>
        </w:rPr>
        <w:t>實則，因稽徵機關及</w:t>
      </w:r>
      <w:r w:rsidRPr="00E43198">
        <w:rPr>
          <w:rFonts w:hAnsi="標楷體"/>
          <w:spacing w:val="10"/>
          <w:sz w:val="30"/>
          <w:szCs w:val="30"/>
        </w:rPr>
        <w:t>法院判決誤解權證避險交易既可能有「利</w:t>
      </w:r>
      <w:r w:rsidRPr="007B5D03">
        <w:rPr>
          <w:rFonts w:hAnsi="標楷體"/>
          <w:sz w:val="30"/>
          <w:szCs w:val="30"/>
        </w:rPr>
        <w:t>益」，即不可能是該權證發行之成本費用，以上揭購地之例即可知為錯誤。正確說法應是該權證之變態「收益」，應是該權證交易之必要成本之減項，即是「負成本」。因果關係上仍是權證交易之成本費用，僅是因加計該「負</w:t>
      </w:r>
      <w:r w:rsidRPr="00E43198">
        <w:rPr>
          <w:rFonts w:hAnsi="標楷體"/>
          <w:spacing w:val="6"/>
          <w:sz w:val="30"/>
          <w:szCs w:val="30"/>
        </w:rPr>
        <w:t>成本」後，會增加權證交易之所得。準此，</w:t>
      </w:r>
      <w:r w:rsidRPr="007B5D03">
        <w:rPr>
          <w:rFonts w:hAnsi="標楷體"/>
          <w:sz w:val="30"/>
          <w:szCs w:val="30"/>
        </w:rPr>
        <w:t>最高行政法院確定判決顯因未了解即使發生利益</w:t>
      </w:r>
      <w:r w:rsidRPr="007B5D03">
        <w:rPr>
          <w:rFonts w:hint="eastAsia"/>
          <w:sz w:val="30"/>
          <w:szCs w:val="30"/>
        </w:rPr>
        <w:t>（</w:t>
      </w:r>
      <w:r w:rsidRPr="007B5D03">
        <w:rPr>
          <w:rFonts w:hAnsi="標楷體"/>
          <w:sz w:val="30"/>
          <w:szCs w:val="30"/>
        </w:rPr>
        <w:t>得</w:t>
      </w:r>
      <w:r w:rsidRPr="007B5D03">
        <w:rPr>
          <w:rFonts w:hint="eastAsia"/>
          <w:sz w:val="30"/>
          <w:szCs w:val="30"/>
        </w:rPr>
        <w:t>）</w:t>
      </w:r>
      <w:r w:rsidRPr="007B5D03">
        <w:rPr>
          <w:rFonts w:hAnsi="標楷體"/>
          <w:sz w:val="30"/>
          <w:szCs w:val="30"/>
        </w:rPr>
        <w:t>之成本費用，仍</w:t>
      </w:r>
      <w:r w:rsidRPr="007B5D03">
        <w:rPr>
          <w:rFonts w:hAnsi="標楷體"/>
          <w:sz w:val="30"/>
          <w:szCs w:val="30"/>
        </w:rPr>
        <w:lastRenderedPageBreak/>
        <w:t>是成本費用。</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4.</w:t>
      </w:r>
      <w:r w:rsidRPr="00E43198">
        <w:rPr>
          <w:rFonts w:hAnsi="標楷體"/>
          <w:spacing w:val="6"/>
          <w:sz w:val="30"/>
          <w:szCs w:val="30"/>
        </w:rPr>
        <w:t>自量能課稅原則及客觀營業保障淨所得原則而</w:t>
      </w:r>
      <w:r w:rsidRPr="007B5D03">
        <w:rPr>
          <w:rFonts w:hAnsi="標楷體"/>
          <w:sz w:val="30"/>
          <w:szCs w:val="30"/>
        </w:rPr>
        <w:t>論，避險交易損失屬於應稅權利金收入之必要成本，並無立法者自由裁量空間，財政部</w:t>
      </w:r>
      <w:r w:rsidRPr="007B5D03">
        <w:rPr>
          <w:sz w:val="30"/>
          <w:szCs w:val="30"/>
        </w:rPr>
        <w:t>86</w:t>
      </w:r>
      <w:r w:rsidRPr="007B5D03">
        <w:rPr>
          <w:rFonts w:hAnsi="標楷體"/>
          <w:sz w:val="30"/>
          <w:szCs w:val="30"/>
        </w:rPr>
        <w:t>年函釋對所得稅法第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選擇非合憲性之解釋方式，當悖於量能課稅原則</w:t>
      </w:r>
    </w:p>
    <w:p w:rsidR="00514426" w:rsidRPr="007B5D03" w:rsidRDefault="00514426" w:rsidP="00E43198">
      <w:pPr>
        <w:snapToGrid w:val="0"/>
        <w:spacing w:line="437" w:lineRule="exact"/>
        <w:ind w:left="2354" w:hanging="369"/>
        <w:rPr>
          <w:sz w:val="30"/>
          <w:szCs w:val="30"/>
        </w:rPr>
      </w:pPr>
      <w:r w:rsidRPr="007B5D03">
        <w:rPr>
          <w:sz w:val="30"/>
          <w:szCs w:val="30"/>
        </w:rPr>
        <w:t>(1)</w:t>
      </w:r>
      <w:r w:rsidRPr="00E43198">
        <w:rPr>
          <w:rFonts w:hAnsi="標楷體"/>
          <w:spacing w:val="-6"/>
          <w:sz w:val="30"/>
          <w:szCs w:val="30"/>
        </w:rPr>
        <w:t>營業成本費用之認列必須符合量能課稅原則、客</w:t>
      </w:r>
      <w:r w:rsidRPr="007B5D03">
        <w:rPr>
          <w:rFonts w:hAnsi="標楷體"/>
          <w:sz w:val="30"/>
          <w:szCs w:val="30"/>
        </w:rPr>
        <w:t>觀營業保障淨所得原則</w:t>
      </w:r>
    </w:p>
    <w:p w:rsidR="00514426" w:rsidRPr="007B5D03" w:rsidRDefault="00514426" w:rsidP="008316AF">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按「憲法第十九條規定，人民有依法律納稅之義務。所謂依法律納稅，係指租稅主體、租稅客體、稅基、稅率等租稅構成要件，均應依法律明定之。各該法律之內容且應符合量能課稅及公平原則。」　鈞院著有釋字第</w:t>
      </w:r>
      <w:r w:rsidRPr="00181498">
        <w:rPr>
          <w:spacing w:val="-6"/>
          <w:sz w:val="30"/>
          <w:szCs w:val="30"/>
        </w:rPr>
        <w:t>597</w:t>
      </w:r>
      <w:r w:rsidRPr="00181498">
        <w:rPr>
          <w:rFonts w:hAnsi="標楷體"/>
          <w:spacing w:val="-6"/>
          <w:sz w:val="30"/>
          <w:szCs w:val="30"/>
        </w:rPr>
        <w:t>號解釋在案。此號解釋乃　鈞院第一次將</w:t>
      </w:r>
      <w:r w:rsidRPr="007B5D03">
        <w:rPr>
          <w:rFonts w:hAnsi="標楷體"/>
          <w:sz w:val="30"/>
          <w:szCs w:val="30"/>
        </w:rPr>
        <w:t>量能課稅原則明確揭示，確立量能課稅原則屬於依法律納稅之實質內涵，並與租稅公平原則、實質課稅原則共同成為租稅上之憲法原則。</w:t>
      </w:r>
    </w:p>
    <w:p w:rsidR="00514426" w:rsidRPr="007B5D03" w:rsidRDefault="00514426" w:rsidP="008316AF">
      <w:pPr>
        <w:snapToGrid w:val="0"/>
        <w:spacing w:line="437" w:lineRule="exact"/>
        <w:ind w:left="2637" w:hanging="482"/>
        <w:rPr>
          <w:rFonts w:hAnsi="標楷體" w:hint="eastAsia"/>
          <w:sz w:val="30"/>
          <w:szCs w:val="30"/>
        </w:rPr>
      </w:pPr>
      <w:r w:rsidRPr="007B5D03">
        <w:rPr>
          <w:sz w:val="30"/>
          <w:szCs w:val="30"/>
        </w:rPr>
        <w:t>B</w:t>
      </w:r>
      <w:r w:rsidRPr="007B5D03">
        <w:rPr>
          <w:rFonts w:hAnsi="標楷體" w:hint="eastAsia"/>
          <w:sz w:val="30"/>
          <w:szCs w:val="30"/>
        </w:rPr>
        <w:t>、</w:t>
      </w:r>
      <w:r w:rsidRPr="00181498">
        <w:rPr>
          <w:rFonts w:hAnsi="標楷體"/>
          <w:spacing w:val="6"/>
          <w:sz w:val="30"/>
          <w:szCs w:val="30"/>
        </w:rPr>
        <w:t>次按所得稅法乃是針對納稅義務人的「可支配的所得」為對象來加以課徵，可支配的所</w:t>
      </w:r>
      <w:r w:rsidRPr="007B5D03">
        <w:rPr>
          <w:rFonts w:hAnsi="標楷體"/>
          <w:sz w:val="30"/>
          <w:szCs w:val="30"/>
        </w:rPr>
        <w:t>得，乃是作為判斷納稅義務人是否有客觀的及主觀的給付能力的標準。故必須是個人的可支配的所得，方需要予以課稅。如果是不可支配的所得，則應自課稅所得中扣除。而可支配的所得，可分析如下：</w:t>
      </w:r>
    </w:p>
    <w:p w:rsidR="00514426" w:rsidRPr="007B5D03" w:rsidRDefault="00514426" w:rsidP="00FB2D5A">
      <w:pPr>
        <w:snapToGrid w:val="0"/>
        <w:spacing w:line="437" w:lineRule="exact"/>
        <w:ind w:left="2807" w:hanging="482"/>
        <w:rPr>
          <w:rFonts w:hint="eastAsia"/>
          <w:sz w:val="30"/>
          <w:szCs w:val="30"/>
        </w:rPr>
      </w:pPr>
    </w:p>
    <w:p w:rsidR="00B449E2" w:rsidRPr="007B5D03" w:rsidRDefault="002F6BDD" w:rsidP="00B449E2">
      <w:pPr>
        <w:snapToGrid w:val="0"/>
        <w:spacing w:line="437" w:lineRule="exact"/>
        <w:ind w:left="2495" w:hanging="794"/>
        <w:rPr>
          <w:sz w:val="26"/>
          <w:szCs w:val="26"/>
        </w:rPr>
      </w:pPr>
      <w:r w:rsidRPr="007B5D03">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2456815</wp:posOffset>
                </wp:positionH>
                <wp:positionV relativeFrom="paragraph">
                  <wp:posOffset>187325</wp:posOffset>
                </wp:positionV>
                <wp:extent cx="207645" cy="635"/>
                <wp:effectExtent l="0" t="0" r="0" b="0"/>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87126" id="AutoShape 133" o:spid="_x0000_s1026" type="#_x0000_t32" style="position:absolute;margin-left:193.45pt;margin-top:14.75pt;width:16.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GPIQ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"/>
            </w:pict>
          </mc:Fallback>
        </mc:AlternateContent>
      </w:r>
      <w:r w:rsidRPr="007B5D03">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2440940</wp:posOffset>
                </wp:positionH>
                <wp:positionV relativeFrom="paragraph">
                  <wp:posOffset>168275</wp:posOffset>
                </wp:positionV>
                <wp:extent cx="5080" cy="574675"/>
                <wp:effectExtent l="0" t="0" r="0" b="0"/>
                <wp:wrapNone/>
                <wp:docPr id="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74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FF190" id="AutoShape 134" o:spid="_x0000_s1026" type="#_x0000_t32" style="position:absolute;margin-left:192.2pt;margin-top:13.25pt;width:.4pt;height:4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"/>
            </w:pict>
          </mc:Fallback>
        </mc:AlternateContent>
      </w:r>
      <w:r w:rsidR="00B449E2" w:rsidRPr="007B5D03">
        <w:rPr>
          <w:rFonts w:hAnsi="標楷體"/>
          <w:sz w:val="26"/>
          <w:szCs w:val="26"/>
        </w:rPr>
        <w:t xml:space="preserve">　　　　　　　　　　綜合所得－不同於分離課稅</w:t>
      </w:r>
    </w:p>
    <w:p w:rsidR="00B449E2" w:rsidRPr="007B5D03" w:rsidRDefault="002F6BDD" w:rsidP="00B449E2">
      <w:pPr>
        <w:spacing w:line="437" w:lineRule="exact"/>
        <w:ind w:firstLineChars="700" w:firstLine="1820"/>
        <w:rPr>
          <w:sz w:val="26"/>
          <w:szCs w:val="26"/>
        </w:rPr>
      </w:pPr>
      <w:r w:rsidRPr="007B5D03">
        <w:rPr>
          <w:noProof/>
          <w:sz w:val="26"/>
          <w:szCs w:val="26"/>
        </w:rPr>
        <w:lastRenderedPageBreak/>
        <mc:AlternateContent>
          <mc:Choice Requires="wps">
            <w:drawing>
              <wp:anchor distT="0" distB="0" distL="114300" distR="114300" simplePos="0" relativeHeight="251660800" behindDoc="0" locked="0" layoutInCell="1" allowOverlap="1">
                <wp:simplePos x="0" y="0"/>
                <wp:positionH relativeFrom="column">
                  <wp:posOffset>2447290</wp:posOffset>
                </wp:positionH>
                <wp:positionV relativeFrom="paragraph">
                  <wp:posOffset>469265</wp:posOffset>
                </wp:positionV>
                <wp:extent cx="208280" cy="7620"/>
                <wp:effectExtent l="0" t="0" r="0" b="0"/>
                <wp:wrapNone/>
                <wp:docPr id="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7351A" id="AutoShape 135" o:spid="_x0000_s1026" type="#_x0000_t32" style="position:absolute;margin-left:192.7pt;margin-top:36.95pt;width:16.4pt;height:.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"/>
            </w:pict>
          </mc:Fallback>
        </mc:AlternateContent>
      </w:r>
      <w:r w:rsidRPr="007B5D03">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1015365</wp:posOffset>
                </wp:positionH>
                <wp:positionV relativeFrom="paragraph">
                  <wp:posOffset>197485</wp:posOffset>
                </wp:positionV>
                <wp:extent cx="95250" cy="55880"/>
                <wp:effectExtent l="0" t="0" r="0" b="0"/>
                <wp:wrapNone/>
                <wp:docPr id="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 cy="55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32B4E" id="AutoShape 136" o:spid="_x0000_s1026" type="#_x0000_t32" style="position:absolute;margin-left:79.95pt;margin-top:15.55pt;width:7.5pt;height:4.4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"/>
            </w:pict>
          </mc:Fallback>
        </mc:AlternateContent>
      </w:r>
      <w:r w:rsidRPr="007B5D03">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1010285</wp:posOffset>
                </wp:positionH>
                <wp:positionV relativeFrom="paragraph">
                  <wp:posOffset>227330</wp:posOffset>
                </wp:positionV>
                <wp:extent cx="5715" cy="1026160"/>
                <wp:effectExtent l="0" t="0" r="0" b="0"/>
                <wp:wrapNone/>
                <wp:docPr id="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26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4245F" id="AutoShape 137" o:spid="_x0000_s1026" type="#_x0000_t32" style="position:absolute;margin-left:79.55pt;margin-top:17.9pt;width:.45pt;height:8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CMJQ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"/>
            </w:pict>
          </mc:Fallback>
        </mc:AlternateContent>
      </w:r>
      <w:r w:rsidRPr="007B5D03">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1028065</wp:posOffset>
                </wp:positionH>
                <wp:positionV relativeFrom="paragraph">
                  <wp:posOffset>1278890</wp:posOffset>
                </wp:positionV>
                <wp:extent cx="76200" cy="114300"/>
                <wp:effectExtent l="0" t="0" r="0" b="0"/>
                <wp:wrapNone/>
                <wp:docPr id="3"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893D4" id="AutoShape 138" o:spid="_x0000_s1026" type="#_x0000_t32" style="position:absolute;margin-left:80.95pt;margin-top:100.7pt;width:6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f8IwIAAEA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"/>
            </w:pict>
          </mc:Fallback>
        </mc:AlternateContent>
      </w:r>
      <w:r w:rsidR="00B449E2" w:rsidRPr="007B5D03">
        <w:rPr>
          <w:rFonts w:hAnsi="標楷體"/>
          <w:sz w:val="26"/>
          <w:szCs w:val="26"/>
        </w:rPr>
        <w:t>客觀的給付能力</w:t>
      </w:r>
      <w:r w:rsidR="00B449E2" w:rsidRPr="007B5D03">
        <w:rPr>
          <w:sz w:val="26"/>
          <w:szCs w:val="26"/>
        </w:rPr>
        <w:t xml:space="preserve">             </w:t>
      </w:r>
      <w:r w:rsidR="00B449E2" w:rsidRPr="007B5D03">
        <w:rPr>
          <w:rFonts w:hAnsi="標楷體"/>
          <w:sz w:val="26"/>
          <w:szCs w:val="26"/>
        </w:rPr>
        <w:t>（土地交易所得稅）</w:t>
      </w:r>
      <w:r w:rsidR="00B449E2" w:rsidRPr="007B5D03">
        <w:rPr>
          <w:sz w:val="26"/>
          <w:szCs w:val="26"/>
        </w:rPr>
        <w:br/>
      </w:r>
      <w:r w:rsidR="00B449E2" w:rsidRPr="007B5D03">
        <w:rPr>
          <w:rFonts w:hAnsi="標楷體"/>
          <w:sz w:val="26"/>
          <w:szCs w:val="26"/>
        </w:rPr>
        <w:t xml:space="preserve">　　　</w:t>
      </w:r>
      <w:r w:rsidR="00B449E2" w:rsidRPr="007B5D03">
        <w:rPr>
          <w:sz w:val="26"/>
          <w:szCs w:val="26"/>
        </w:rPr>
        <w:t xml:space="preserve"> </w:t>
      </w:r>
      <w:r w:rsidR="00B449E2" w:rsidRPr="007B5D03">
        <w:rPr>
          <w:rFonts w:hAnsi="標楷體"/>
          <w:sz w:val="26"/>
          <w:szCs w:val="26"/>
        </w:rPr>
        <w:t xml:space="preserve">　</w:t>
      </w:r>
      <w:r w:rsidR="00B449E2" w:rsidRPr="007B5D03">
        <w:rPr>
          <w:sz w:val="26"/>
          <w:szCs w:val="26"/>
        </w:rPr>
        <w:t xml:space="preserve">                       </w:t>
      </w:r>
      <w:r w:rsidR="00B449E2" w:rsidRPr="007B5D03">
        <w:rPr>
          <w:rFonts w:hint="eastAsia"/>
          <w:sz w:val="26"/>
          <w:szCs w:val="26"/>
        </w:rPr>
        <w:t xml:space="preserve"> </w:t>
      </w:r>
      <w:r w:rsidR="00B449E2" w:rsidRPr="007B5D03">
        <w:rPr>
          <w:rFonts w:hAnsi="標楷體"/>
          <w:sz w:val="26"/>
          <w:szCs w:val="26"/>
        </w:rPr>
        <w:t>客觀的淨額（所得）原則，即總收入</w:t>
      </w:r>
      <w:r w:rsidR="00B449E2" w:rsidRPr="007B5D03">
        <w:rPr>
          <w:sz w:val="26"/>
          <w:szCs w:val="26"/>
        </w:rPr>
        <w:br/>
      </w:r>
      <w:r w:rsidR="00B449E2" w:rsidRPr="007B5D03">
        <w:rPr>
          <w:rFonts w:hAnsi="標楷體"/>
          <w:sz w:val="26"/>
          <w:szCs w:val="26"/>
        </w:rPr>
        <w:t xml:space="preserve">可支配的所得　　　　　　　　</w:t>
      </w:r>
      <w:r w:rsidR="00B449E2" w:rsidRPr="007B5D03">
        <w:rPr>
          <w:sz w:val="26"/>
          <w:szCs w:val="26"/>
        </w:rPr>
        <w:t xml:space="preserve">    </w:t>
      </w:r>
      <w:r w:rsidR="00B449E2" w:rsidRPr="007B5D03">
        <w:rPr>
          <w:rFonts w:hint="eastAsia"/>
          <w:sz w:val="26"/>
          <w:szCs w:val="26"/>
        </w:rPr>
        <w:t xml:space="preserve"> </w:t>
      </w:r>
      <w:r w:rsidR="00B449E2" w:rsidRPr="007B5D03">
        <w:rPr>
          <w:rFonts w:hAnsi="標楷體"/>
          <w:sz w:val="26"/>
          <w:szCs w:val="26"/>
        </w:rPr>
        <w:t>－成本費用－損失＝淨額</w:t>
      </w:r>
      <w:r w:rsidR="00B449E2" w:rsidRPr="007B5D03">
        <w:rPr>
          <w:sz w:val="26"/>
          <w:szCs w:val="26"/>
        </w:rPr>
        <w:br/>
      </w:r>
      <w:r w:rsidR="00B449E2" w:rsidRPr="007B5D03">
        <w:rPr>
          <w:rFonts w:hAnsi="標楷體"/>
          <w:sz w:val="26"/>
          <w:szCs w:val="26"/>
        </w:rPr>
        <w:t xml:space="preserve">　　　　　　</w:t>
      </w:r>
      <w:r w:rsidR="00B449E2" w:rsidRPr="007B5D03">
        <w:rPr>
          <w:sz w:val="26"/>
          <w:szCs w:val="26"/>
        </w:rPr>
        <w:t xml:space="preserve"> </w:t>
      </w:r>
      <w:r w:rsidR="00B449E2" w:rsidRPr="007B5D03">
        <w:rPr>
          <w:rFonts w:hAnsi="標楷體"/>
          <w:sz w:val="26"/>
          <w:szCs w:val="26"/>
        </w:rPr>
        <w:t xml:space="preserve">　　　　　　　　</w:t>
      </w:r>
      <w:r w:rsidR="00B449E2" w:rsidRPr="007B5D03">
        <w:rPr>
          <w:sz w:val="26"/>
          <w:szCs w:val="26"/>
        </w:rPr>
        <w:t xml:space="preserve">   </w:t>
      </w:r>
      <w:r w:rsidR="00B449E2">
        <w:rPr>
          <w:rFonts w:hint="eastAsia"/>
          <w:sz w:val="26"/>
          <w:szCs w:val="26"/>
        </w:rPr>
        <w:t xml:space="preserve">                  </w:t>
      </w:r>
      <w:r w:rsidR="00B449E2" w:rsidRPr="007B5D03">
        <w:rPr>
          <w:rFonts w:hAnsi="標楷體"/>
          <w:sz w:val="26"/>
          <w:szCs w:val="26"/>
        </w:rPr>
        <w:t>（課徵標的）</w:t>
      </w:r>
      <w:r w:rsidR="00B449E2" w:rsidRPr="007B5D03">
        <w:rPr>
          <w:sz w:val="26"/>
          <w:szCs w:val="26"/>
        </w:rPr>
        <w:br/>
      </w:r>
      <w:r w:rsidR="00B449E2" w:rsidRPr="007B5D03">
        <w:rPr>
          <w:rFonts w:hAnsi="標楷體"/>
          <w:sz w:val="26"/>
          <w:szCs w:val="26"/>
        </w:rPr>
        <w:t xml:space="preserve">　　　　　　</w:t>
      </w:r>
      <w:r w:rsidR="00B449E2" w:rsidRPr="007B5D03">
        <w:rPr>
          <w:sz w:val="26"/>
          <w:szCs w:val="26"/>
        </w:rPr>
        <w:t xml:space="preserve">  </w:t>
      </w:r>
      <w:r w:rsidR="00B449E2" w:rsidRPr="007B5D03">
        <w:rPr>
          <w:rFonts w:hAnsi="標楷體"/>
          <w:sz w:val="26"/>
          <w:szCs w:val="26"/>
        </w:rPr>
        <w:t>主觀的給付能力－納稅義務人扣除其個人生活費用，與</w:t>
      </w:r>
      <w:r w:rsidR="00B449E2" w:rsidRPr="007B5D03">
        <w:rPr>
          <w:rFonts w:hAnsi="標楷體" w:hint="eastAsia"/>
          <w:sz w:val="26"/>
          <w:szCs w:val="26"/>
        </w:rPr>
        <w:t>家</w:t>
      </w:r>
    </w:p>
    <w:p w:rsidR="00B449E2" w:rsidRPr="007B5D03" w:rsidRDefault="00B449E2" w:rsidP="00B449E2">
      <w:pPr>
        <w:spacing w:line="437" w:lineRule="exact"/>
        <w:ind w:firstLineChars="700" w:firstLine="1820"/>
        <w:rPr>
          <w:sz w:val="26"/>
          <w:szCs w:val="26"/>
        </w:rPr>
      </w:pPr>
      <w:r w:rsidRPr="007B5D03">
        <w:rPr>
          <w:rFonts w:hAnsi="標楷體"/>
          <w:sz w:val="26"/>
          <w:szCs w:val="26"/>
        </w:rPr>
        <w:t xml:space="preserve">　　　　　　　　庭扶養費用後尚有剩餘者，方需課徵。</w:t>
      </w:r>
    </w:p>
    <w:p w:rsidR="00514426" w:rsidRPr="007B5D03" w:rsidRDefault="00514426" w:rsidP="00B449E2">
      <w:pPr>
        <w:snapToGrid w:val="0"/>
        <w:spacing w:beforeLines="150" w:before="360" w:line="437" w:lineRule="exact"/>
        <w:ind w:left="2665" w:firstLine="284"/>
        <w:rPr>
          <w:b/>
          <w:sz w:val="30"/>
          <w:szCs w:val="30"/>
        </w:rPr>
      </w:pPr>
      <w:r w:rsidRPr="007B5D03">
        <w:rPr>
          <w:rFonts w:hAnsi="標楷體"/>
          <w:sz w:val="30"/>
          <w:szCs w:val="30"/>
        </w:rPr>
        <w:t>各項收入應先減除為獲得收入所支出之必要費用及損失，以其餘額為淨額所得額。此</w:t>
      </w:r>
      <w:r w:rsidRPr="00B449E2">
        <w:rPr>
          <w:rFonts w:hAnsi="標楷體"/>
          <w:spacing w:val="-4"/>
          <w:sz w:val="30"/>
          <w:szCs w:val="30"/>
        </w:rPr>
        <w:t>即所謂「客觀的淨額所得原則」，表彰客觀的</w:t>
      </w:r>
      <w:r w:rsidRPr="007B5D03">
        <w:rPr>
          <w:rFonts w:hAnsi="標楷體"/>
          <w:sz w:val="30"/>
          <w:szCs w:val="30"/>
        </w:rPr>
        <w:t>給付能力。在此所謂必要費用</w:t>
      </w:r>
      <w:r w:rsidRPr="007B5D03">
        <w:rPr>
          <w:rFonts w:hAnsi="標楷體" w:hint="eastAsia"/>
          <w:sz w:val="30"/>
          <w:szCs w:val="30"/>
        </w:rPr>
        <w:t>(</w:t>
      </w:r>
      <w:r w:rsidRPr="007B5D03">
        <w:rPr>
          <w:sz w:val="30"/>
          <w:szCs w:val="30"/>
        </w:rPr>
        <w:t xml:space="preserve">necessary </w:t>
      </w:r>
      <w:r w:rsidRPr="00B449E2">
        <w:rPr>
          <w:spacing w:val="-4"/>
          <w:sz w:val="30"/>
          <w:szCs w:val="30"/>
        </w:rPr>
        <w:t>expense</w:t>
      </w:r>
      <w:r w:rsidRPr="00B449E2">
        <w:rPr>
          <w:rFonts w:hAnsi="標楷體" w:hint="eastAsia"/>
          <w:spacing w:val="-4"/>
          <w:sz w:val="30"/>
          <w:szCs w:val="30"/>
        </w:rPr>
        <w:t>)</w:t>
      </w:r>
      <w:r w:rsidRPr="00B449E2">
        <w:rPr>
          <w:rFonts w:hAnsi="標楷體"/>
          <w:spacing w:val="-4"/>
          <w:sz w:val="30"/>
          <w:szCs w:val="30"/>
        </w:rPr>
        <w:t>，是指為了取得所得所必要的支出。</w:t>
      </w:r>
      <w:r w:rsidRPr="007B5D03">
        <w:rPr>
          <w:rFonts w:hAnsi="標楷體"/>
          <w:sz w:val="30"/>
          <w:szCs w:val="30"/>
        </w:rPr>
        <w:t>承認必要費用的扣除，是為避免對於投入資</w:t>
      </w:r>
      <w:r w:rsidRPr="00B449E2">
        <w:rPr>
          <w:rFonts w:hAnsi="標楷體"/>
          <w:spacing w:val="8"/>
          <w:sz w:val="30"/>
          <w:szCs w:val="30"/>
        </w:rPr>
        <w:t>本的回收部分加以課稅，以維持原來的資</w:t>
      </w:r>
      <w:r w:rsidRPr="007B5D03">
        <w:rPr>
          <w:rFonts w:hAnsi="標楷體"/>
          <w:sz w:val="30"/>
          <w:szCs w:val="30"/>
        </w:rPr>
        <w:t>本，擴大再生產的資本主義的經濟要求。一般而言，必要費用應指通常且必要的經費，即有關必要性的認定，並非以關係人的主觀判斷為基準，而毋寧應以客觀的基準作為標準。為正確計算出繼續性事業的所得，必要費用應與其有助於產生所得的收入相對應，</w:t>
      </w:r>
      <w:r w:rsidRPr="00B449E2">
        <w:rPr>
          <w:rFonts w:hAnsi="標楷體"/>
          <w:spacing w:val="4"/>
          <w:sz w:val="30"/>
          <w:szCs w:val="30"/>
        </w:rPr>
        <w:t>並從該項收入中扣除。此即是「費用收入對</w:t>
      </w:r>
      <w:r w:rsidRPr="00B449E2">
        <w:rPr>
          <w:rFonts w:hAnsi="標楷體"/>
          <w:spacing w:val="-4"/>
          <w:sz w:val="30"/>
          <w:szCs w:val="30"/>
        </w:rPr>
        <w:t>應原則」或「收入與成本費用配合原則」（　鈞</w:t>
      </w:r>
      <w:r w:rsidRPr="007B5D03">
        <w:rPr>
          <w:rFonts w:hAnsi="標楷體"/>
          <w:sz w:val="30"/>
          <w:szCs w:val="30"/>
        </w:rPr>
        <w:t>院釋字第</w:t>
      </w:r>
      <w:r w:rsidRPr="007B5D03">
        <w:rPr>
          <w:sz w:val="30"/>
          <w:szCs w:val="30"/>
        </w:rPr>
        <w:t>493</w:t>
      </w:r>
      <w:r w:rsidRPr="007B5D03">
        <w:rPr>
          <w:rFonts w:hAnsi="標楷體"/>
          <w:sz w:val="30"/>
          <w:szCs w:val="30"/>
        </w:rPr>
        <w:t>號解釋）。商業會計法第</w:t>
      </w:r>
      <w:r w:rsidRPr="007B5D03">
        <w:rPr>
          <w:sz w:val="30"/>
          <w:szCs w:val="30"/>
        </w:rPr>
        <w:t>60</w:t>
      </w:r>
      <w:r w:rsidRPr="007B5D03">
        <w:rPr>
          <w:rFonts w:hAnsi="標楷體"/>
          <w:sz w:val="30"/>
          <w:szCs w:val="30"/>
        </w:rPr>
        <w:t>條</w:t>
      </w:r>
      <w:r w:rsidRPr="00B449E2">
        <w:rPr>
          <w:rFonts w:hAnsi="標楷體"/>
          <w:spacing w:val="-4"/>
          <w:sz w:val="30"/>
          <w:szCs w:val="30"/>
        </w:rPr>
        <w:t>亦規定：「營業成本及費用，應與所由獲得之</w:t>
      </w:r>
      <w:r w:rsidRPr="007B5D03">
        <w:rPr>
          <w:rFonts w:hAnsi="標楷體"/>
          <w:sz w:val="30"/>
          <w:szCs w:val="30"/>
        </w:rPr>
        <w:t>營業收入相配合，同期認列。損失應於發生之當期認列。」從事營業或收益活動必須冒著損失的風險，此</w:t>
      </w:r>
      <w:r w:rsidRPr="007B5D03">
        <w:rPr>
          <w:rFonts w:hAnsi="標楷體"/>
          <w:sz w:val="30"/>
          <w:szCs w:val="30"/>
        </w:rPr>
        <w:lastRenderedPageBreak/>
        <w:t>為其活動之成本，因此營業損失加以減除才屬於淨所得。又損失減少納稅人的納稅能力，如不准減除，則所得稅對於風險將構成差別待遇。因此，如要維持所得稅對於風險及投資決定的中立性，則應准許減除在收益活動或交易中之損失（附件</w:t>
      </w:r>
      <w:r w:rsidRPr="007B5D03">
        <w:rPr>
          <w:sz w:val="30"/>
          <w:szCs w:val="30"/>
        </w:rPr>
        <w:t>2</w:t>
      </w:r>
      <w:r w:rsidRPr="007B5D03">
        <w:rPr>
          <w:rFonts w:hint="eastAsia"/>
          <w:sz w:val="30"/>
          <w:szCs w:val="30"/>
        </w:rPr>
        <w:t>7</w:t>
      </w:r>
      <w:r w:rsidRPr="007B5D03">
        <w:rPr>
          <w:rFonts w:hAnsi="標楷體"/>
          <w:sz w:val="30"/>
          <w:szCs w:val="30"/>
        </w:rPr>
        <w:t>，陳清秀，量能課稅原則在所得稅法上之實踐，頁</w:t>
      </w:r>
      <w:r w:rsidRPr="007B5D03">
        <w:rPr>
          <w:sz w:val="30"/>
          <w:szCs w:val="30"/>
        </w:rPr>
        <w:t>47</w:t>
      </w:r>
      <w:r w:rsidRPr="007B5D03">
        <w:rPr>
          <w:rFonts w:hAnsi="標楷體"/>
          <w:sz w:val="30"/>
          <w:szCs w:val="30"/>
        </w:rPr>
        <w:t>至</w:t>
      </w:r>
      <w:r w:rsidRPr="007B5D03">
        <w:rPr>
          <w:sz w:val="30"/>
          <w:szCs w:val="30"/>
        </w:rPr>
        <w:t>48</w:t>
      </w:r>
      <w:r w:rsidRPr="007B5D03">
        <w:rPr>
          <w:rFonts w:hAnsi="標楷體"/>
          <w:sz w:val="30"/>
          <w:szCs w:val="30"/>
        </w:rPr>
        <w:t>）。</w:t>
      </w:r>
    </w:p>
    <w:p w:rsidR="00514426" w:rsidRPr="007B5D03" w:rsidRDefault="00514426" w:rsidP="00B449E2">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第按所謂客觀營業保障淨所得原則，就毛</w:t>
      </w:r>
      <w:r w:rsidRPr="00B449E2">
        <w:rPr>
          <w:rFonts w:hAnsi="標楷體"/>
          <w:spacing w:val="6"/>
          <w:sz w:val="30"/>
          <w:szCs w:val="30"/>
        </w:rPr>
        <w:t>所得</w:t>
      </w:r>
      <w:r w:rsidRPr="007B5D03">
        <w:rPr>
          <w:rFonts w:hAnsi="標楷體"/>
          <w:sz w:val="30"/>
          <w:szCs w:val="30"/>
        </w:rPr>
        <w:t>部分應減去保障營業存續發展之營業支出而後計算其營業所得，亦即收入額必須減除成本及必要費用之餘額，始為所得額。所以承認必要費用減除之理由，乃避免對投入資本之回收部分課稅，以維持原有資本以擴大再生產。凡與營業活動具有直接關聯，且為營業施行所必要之支出，始視為必要費用予以減除。換言之，納稅義務人在利用營業基礎所支出者，為確保營業之費用，在可稅所得中，得予減除。營業資產之損失，以特定期供營業使用者為限，亦得減除。為正確表現出客觀之納稅能力，在收入須減除為保障營業所為必要費用支出，如收入或成本、必要費用不易確知時，有以百分比或定型化公式進行推計課稅之必要（附件</w:t>
      </w:r>
      <w:r w:rsidRPr="007B5D03">
        <w:rPr>
          <w:sz w:val="30"/>
          <w:szCs w:val="30"/>
        </w:rPr>
        <w:t>4</w:t>
      </w:r>
      <w:r w:rsidRPr="007B5D03">
        <w:rPr>
          <w:rFonts w:hAnsi="標楷體"/>
          <w:sz w:val="30"/>
          <w:szCs w:val="30"/>
        </w:rPr>
        <w:t>，葛克昌，所得稅與憲法，頁</w:t>
      </w:r>
      <w:r w:rsidRPr="007B5D03">
        <w:rPr>
          <w:sz w:val="30"/>
          <w:szCs w:val="30"/>
        </w:rPr>
        <w:t>121</w:t>
      </w:r>
      <w:r w:rsidRPr="007B5D03">
        <w:rPr>
          <w:rFonts w:hAnsi="標楷體"/>
          <w:sz w:val="30"/>
          <w:szCs w:val="30"/>
        </w:rPr>
        <w:t>至</w:t>
      </w:r>
      <w:r w:rsidRPr="007B5D03">
        <w:rPr>
          <w:sz w:val="30"/>
          <w:szCs w:val="30"/>
        </w:rPr>
        <w:t>123</w:t>
      </w:r>
      <w:r w:rsidRPr="007B5D03">
        <w:rPr>
          <w:rFonts w:hAnsi="標楷體"/>
          <w:sz w:val="30"/>
          <w:szCs w:val="30"/>
        </w:rPr>
        <w:t>）。</w:t>
      </w:r>
    </w:p>
    <w:p w:rsidR="00514426" w:rsidRPr="007B5D03" w:rsidRDefault="00514426" w:rsidP="00B449E2">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末按以事業活動為原因所為支出，才可認為事業支出，此種原因的事業支出概念，即德</w:t>
      </w:r>
      <w:r w:rsidRPr="002B4D8B">
        <w:rPr>
          <w:rFonts w:hAnsi="標楷體"/>
          <w:spacing w:val="6"/>
          <w:sz w:val="30"/>
          <w:szCs w:val="30"/>
        </w:rPr>
        <w:t>國學說上所謂「原因原則」或可稱為因果關</w:t>
      </w:r>
      <w:r w:rsidRPr="007B5D03">
        <w:rPr>
          <w:rFonts w:hAnsi="標楷體"/>
          <w:sz w:val="30"/>
          <w:szCs w:val="30"/>
        </w:rPr>
        <w:t>係說</w:t>
      </w:r>
      <w:r w:rsidRPr="007B5D03">
        <w:rPr>
          <w:rFonts w:hAnsi="標楷體"/>
          <w:sz w:val="30"/>
          <w:szCs w:val="30"/>
        </w:rPr>
        <w:lastRenderedPageBreak/>
        <w:t>。根據上述原因原則，收入與費用支出之範圍，乃是以目的為取向的、以獲得所得為目的之經濟活動之結果加以決定。依客觀的淨所得原則，應完全的考量獲得所得的經濟活動之各項風險損失，亦即其承認非自願的支出及強制性的支出費用扣除，即表示完全考慮到風險範圍。有關獲得所得活動之風險範圍內之損失支出，雖與納稅義務人之意思無關，但因為與業務活動有關，屬於業務活動範圍內之風險費用，原則上應得認列必要費用，納入扣除（附件</w:t>
      </w:r>
      <w:r w:rsidRPr="007B5D03">
        <w:rPr>
          <w:sz w:val="30"/>
          <w:szCs w:val="30"/>
        </w:rPr>
        <w:t>2</w:t>
      </w:r>
      <w:r w:rsidRPr="007B5D03">
        <w:rPr>
          <w:rFonts w:hint="eastAsia"/>
          <w:sz w:val="30"/>
          <w:szCs w:val="30"/>
        </w:rPr>
        <w:t>8</w:t>
      </w:r>
      <w:r w:rsidRPr="007B5D03">
        <w:rPr>
          <w:rFonts w:hAnsi="標楷體"/>
          <w:sz w:val="30"/>
          <w:szCs w:val="30"/>
        </w:rPr>
        <w:t>，陳清秀，論客觀的淨額所得原則，現代稅法原理與國際稅法，頁</w:t>
      </w:r>
      <w:r w:rsidRPr="007B5D03">
        <w:rPr>
          <w:sz w:val="30"/>
          <w:szCs w:val="30"/>
        </w:rPr>
        <w:t>265</w:t>
      </w:r>
      <w:r w:rsidRPr="007B5D03">
        <w:rPr>
          <w:rFonts w:hAnsi="標楷體"/>
          <w:sz w:val="30"/>
          <w:szCs w:val="30"/>
        </w:rPr>
        <w:t>）。</w:t>
      </w:r>
    </w:p>
    <w:p w:rsidR="00514426" w:rsidRPr="007B5D03" w:rsidRDefault="00514426" w:rsidP="002B4D8B">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查權證交易之損益計算部分，可參考國內財經學者李存修教授之研究認為：「券商發行權</w:t>
      </w:r>
      <w:r w:rsidRPr="002B4D8B">
        <w:rPr>
          <w:rFonts w:hAnsi="標楷體"/>
          <w:spacing w:val="10"/>
          <w:sz w:val="30"/>
          <w:szCs w:val="30"/>
        </w:rPr>
        <w:t>證所獲取的權利金收入，並非券商之淨獲</w:t>
      </w:r>
      <w:r w:rsidRPr="007B5D03">
        <w:rPr>
          <w:rFonts w:hAnsi="標楷體"/>
          <w:sz w:val="30"/>
          <w:szCs w:val="30"/>
        </w:rPr>
        <w:t>利」</w:t>
      </w:r>
      <w:r w:rsidRPr="007B5D03">
        <w:rPr>
          <w:rFonts w:hAnsi="標楷體" w:hint="eastAsia"/>
          <w:sz w:val="30"/>
          <w:szCs w:val="30"/>
        </w:rPr>
        <w:t>，</w:t>
      </w:r>
      <w:r w:rsidRPr="007B5D03">
        <w:rPr>
          <w:rFonts w:hAnsi="標楷體"/>
          <w:sz w:val="30"/>
          <w:szCs w:val="30"/>
        </w:rPr>
        <w:t>為瞭解券商發行權證之實際獲利，應扣</w:t>
      </w:r>
      <w:r w:rsidRPr="002B4D8B">
        <w:rPr>
          <w:rFonts w:hAnsi="標楷體"/>
          <w:spacing w:val="6"/>
          <w:sz w:val="30"/>
          <w:szCs w:val="30"/>
        </w:rPr>
        <w:t>除直接成本與間接成本，其中「與權證之發</w:t>
      </w:r>
      <w:r w:rsidRPr="007B5D03">
        <w:rPr>
          <w:rFonts w:hAnsi="標楷體"/>
          <w:sz w:val="30"/>
          <w:szCs w:val="30"/>
        </w:rPr>
        <w:t>行、交易、履約與避險操作直接相關之成本與費用，稱為直接成本，包括發行權證負債價值變動損益、營業證券</w:t>
      </w:r>
      <w:r w:rsidRPr="007B5D03">
        <w:rPr>
          <w:sz w:val="30"/>
          <w:szCs w:val="30"/>
        </w:rPr>
        <w:t>---</w:t>
      </w:r>
      <w:r w:rsidRPr="007B5D03">
        <w:rPr>
          <w:rFonts w:hAnsi="標楷體"/>
          <w:sz w:val="30"/>
          <w:szCs w:val="30"/>
        </w:rPr>
        <w:t>避險損益、發行權證再買回價值變動損益、發行權證到期前履約損益、現金股利收入、交易稅與經手費</w:t>
      </w:r>
      <w:r w:rsidRPr="002B4D8B">
        <w:rPr>
          <w:rFonts w:hAnsi="標楷體"/>
          <w:spacing w:val="6"/>
          <w:sz w:val="30"/>
          <w:szCs w:val="30"/>
        </w:rPr>
        <w:t>等八項。」「其他應攤提之費用稱為間接成</w:t>
      </w:r>
      <w:r w:rsidRPr="007B5D03">
        <w:rPr>
          <w:rFonts w:hAnsi="標楷體"/>
          <w:sz w:val="30"/>
          <w:szCs w:val="30"/>
        </w:rPr>
        <w:t>本，包括權證發行費用、人事費用、其他費用。」「三、淨獲利　　即券商發行權證實際獲得之利潤，權利金總收入扣除各項成本後之獲利。公式如下：</w:t>
      </w:r>
      <w:r w:rsidRPr="007B5D03">
        <w:rPr>
          <w:rFonts w:hAnsi="標楷體"/>
          <w:sz w:val="30"/>
          <w:szCs w:val="30"/>
        </w:rPr>
        <w:lastRenderedPageBreak/>
        <w:t>淨獲利＝權利金總收入</w:t>
      </w:r>
      <w:r w:rsidRPr="002B4D8B">
        <w:rPr>
          <w:rFonts w:hAnsi="標楷體"/>
          <w:spacing w:val="-6"/>
          <w:sz w:val="30"/>
          <w:szCs w:val="30"/>
        </w:rPr>
        <w:t>－直接成本－間接成本。」（附件</w:t>
      </w:r>
      <w:r w:rsidRPr="002B4D8B">
        <w:rPr>
          <w:spacing w:val="-6"/>
          <w:sz w:val="30"/>
          <w:szCs w:val="30"/>
        </w:rPr>
        <w:t>2</w:t>
      </w:r>
      <w:r w:rsidRPr="002B4D8B">
        <w:rPr>
          <w:rFonts w:hint="eastAsia"/>
          <w:spacing w:val="-6"/>
          <w:sz w:val="30"/>
          <w:szCs w:val="30"/>
        </w:rPr>
        <w:t>9</w:t>
      </w:r>
      <w:r w:rsidRPr="002B4D8B">
        <w:rPr>
          <w:rFonts w:hAnsi="標楷體"/>
          <w:spacing w:val="-6"/>
          <w:sz w:val="30"/>
          <w:szCs w:val="30"/>
        </w:rPr>
        <w:t>，李存修</w:t>
      </w:r>
      <w:r w:rsidRPr="002B4D8B">
        <w:rPr>
          <w:rFonts w:hAnsi="標楷體"/>
          <w:spacing w:val="6"/>
          <w:sz w:val="30"/>
          <w:szCs w:val="30"/>
        </w:rPr>
        <w:t>教授主持，證券商發行認購（售）權證之定</w:t>
      </w:r>
      <w:r w:rsidRPr="007B5D03">
        <w:rPr>
          <w:rFonts w:hAnsi="標楷體"/>
          <w:sz w:val="30"/>
          <w:szCs w:val="30"/>
        </w:rPr>
        <w:t>價策略及各項相關成本分析研究報告，</w:t>
      </w:r>
      <w:r w:rsidRPr="007B5D03">
        <w:rPr>
          <w:sz w:val="30"/>
          <w:szCs w:val="30"/>
        </w:rPr>
        <w:t>93</w:t>
      </w:r>
      <w:r w:rsidRPr="007B5D03">
        <w:rPr>
          <w:rFonts w:hAnsi="標楷體"/>
          <w:sz w:val="30"/>
          <w:szCs w:val="30"/>
        </w:rPr>
        <w:t>年</w:t>
      </w:r>
      <w:r w:rsidRPr="002B4D8B">
        <w:rPr>
          <w:spacing w:val="-6"/>
          <w:sz w:val="30"/>
          <w:szCs w:val="30"/>
        </w:rPr>
        <w:t>8</w:t>
      </w:r>
      <w:r w:rsidRPr="002B4D8B">
        <w:rPr>
          <w:rFonts w:hAnsi="標楷體"/>
          <w:spacing w:val="-6"/>
          <w:sz w:val="30"/>
          <w:szCs w:val="30"/>
        </w:rPr>
        <w:t>月，頁</w:t>
      </w:r>
      <w:r w:rsidRPr="002B4D8B">
        <w:rPr>
          <w:spacing w:val="-6"/>
          <w:sz w:val="30"/>
          <w:szCs w:val="30"/>
        </w:rPr>
        <w:t>14</w:t>
      </w:r>
      <w:r w:rsidRPr="002B4D8B">
        <w:rPr>
          <w:rFonts w:hAnsi="標楷體"/>
          <w:spacing w:val="-6"/>
          <w:sz w:val="30"/>
          <w:szCs w:val="30"/>
        </w:rPr>
        <w:t>以下）。因此，避險操作之損益如</w:t>
      </w:r>
      <w:r w:rsidRPr="007B5D03">
        <w:rPr>
          <w:rFonts w:hAnsi="標楷體"/>
          <w:sz w:val="30"/>
          <w:szCs w:val="30"/>
        </w:rPr>
        <w:t>不納入成本費用扣除，則無法正確計算發行權證之經濟活動實際上所獲得之淨利。</w:t>
      </w:r>
    </w:p>
    <w:p w:rsidR="00514426" w:rsidRPr="007B5D03" w:rsidRDefault="00514426" w:rsidP="002B4D8B">
      <w:pPr>
        <w:snapToGrid w:val="0"/>
        <w:spacing w:line="437" w:lineRule="exact"/>
        <w:ind w:left="2637"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又查，企業會計為正確把握課稅年度期間損益，要求將收益與產生收益所必要的成本費</w:t>
      </w:r>
      <w:r w:rsidRPr="002B4D8B">
        <w:rPr>
          <w:rFonts w:hAnsi="標楷體"/>
          <w:spacing w:val="6"/>
          <w:sz w:val="30"/>
          <w:szCs w:val="30"/>
        </w:rPr>
        <w:t>用，在同一年度中列報。此即所謂「收入與</w:t>
      </w:r>
      <w:r w:rsidRPr="007B5D03">
        <w:rPr>
          <w:rFonts w:hAnsi="標楷體"/>
          <w:sz w:val="30"/>
          <w:szCs w:val="30"/>
        </w:rPr>
        <w:t>成本費用配合原則」（</w:t>
      </w:r>
      <w:r w:rsidRPr="007B5D03">
        <w:rPr>
          <w:sz w:val="30"/>
          <w:szCs w:val="30"/>
        </w:rPr>
        <w:t>principle of matching costs with revenues</w:t>
      </w:r>
      <w:r w:rsidRPr="007B5D03">
        <w:rPr>
          <w:rFonts w:hAnsi="標楷體"/>
          <w:sz w:val="30"/>
          <w:szCs w:val="30"/>
        </w:rPr>
        <w:t>），商業會計法第</w:t>
      </w:r>
      <w:r w:rsidRPr="007B5D03">
        <w:rPr>
          <w:sz w:val="30"/>
          <w:szCs w:val="30"/>
        </w:rPr>
        <w:t>60</w:t>
      </w:r>
      <w:r w:rsidRPr="007B5D03">
        <w:rPr>
          <w:rFonts w:hAnsi="標楷體"/>
          <w:sz w:val="30"/>
          <w:szCs w:val="30"/>
        </w:rPr>
        <w:t>條規定：「營業成本及費用，應與所由獲得之營業收入相配合，同期認列。損失應於發生之當期認列。」也表明此一意旨。所得稅法第</w:t>
      </w:r>
      <w:r w:rsidRPr="007B5D03">
        <w:rPr>
          <w:sz w:val="30"/>
          <w:szCs w:val="30"/>
        </w:rPr>
        <w:t>24</w:t>
      </w:r>
      <w:r w:rsidRPr="007B5D03">
        <w:rPr>
          <w:rFonts w:hAnsi="標楷體"/>
          <w:sz w:val="30"/>
          <w:szCs w:val="30"/>
        </w:rPr>
        <w:t>條也規定對於營利事業所得之計算，必須以收入減成本、費用及損失後之「純益額」</w:t>
      </w:r>
      <w:r w:rsidRPr="007B5D03">
        <w:rPr>
          <w:sz w:val="30"/>
          <w:szCs w:val="30"/>
        </w:rPr>
        <w:t>(</w:t>
      </w:r>
      <w:r w:rsidRPr="007B5D03">
        <w:rPr>
          <w:rFonts w:hAnsi="標楷體"/>
          <w:sz w:val="30"/>
          <w:szCs w:val="30"/>
        </w:rPr>
        <w:t>即淨額所得額</w:t>
      </w:r>
      <w:r w:rsidRPr="007B5D03">
        <w:rPr>
          <w:sz w:val="30"/>
          <w:szCs w:val="30"/>
        </w:rPr>
        <w:t>)</w:t>
      </w:r>
      <w:r w:rsidRPr="007B5D03">
        <w:rPr>
          <w:rFonts w:hAnsi="標楷體"/>
          <w:sz w:val="30"/>
          <w:szCs w:val="30"/>
        </w:rPr>
        <w:t>為課稅標準，此為財務會計之收入成本費用配合原則及所得稅法量能課稅原則之法條具體規範。該法條體系上位於所得稅法第三章第三節營利事業所得額，為計算</w:t>
      </w:r>
      <w:r w:rsidRPr="002B4D8B">
        <w:rPr>
          <w:rFonts w:hAnsi="標楷體"/>
          <w:spacing w:val="6"/>
          <w:sz w:val="30"/>
          <w:szCs w:val="30"/>
        </w:rPr>
        <w:t>營利事業所得的首條，實寓有原則性之意</w:t>
      </w:r>
      <w:r w:rsidRPr="007B5D03">
        <w:rPr>
          <w:rFonts w:hAnsi="標楷體"/>
          <w:sz w:val="30"/>
          <w:szCs w:val="30"/>
        </w:rPr>
        <w:t>義。蓋租稅課徵最基本原則乃量能課稅，有所得方有納稅能力，否則即對人民財產權本體的根本性剝奪，當為現代法治國、租稅國所摒棄。本件避險交易費用支出，係出於確保履約能力，分散經營損失</w:t>
      </w:r>
      <w:r w:rsidRPr="007B5D03">
        <w:rPr>
          <w:rFonts w:hAnsi="標楷體"/>
          <w:sz w:val="30"/>
          <w:szCs w:val="30"/>
        </w:rPr>
        <w:lastRenderedPageBreak/>
        <w:t>風險所採取之措施，乃是發行權證交易過程中必要之一環，屬於證券商為取得、確保及維持發行權證收</w:t>
      </w:r>
      <w:r w:rsidRPr="002B4D8B">
        <w:rPr>
          <w:rFonts w:hAnsi="標楷體"/>
          <w:spacing w:val="6"/>
          <w:sz w:val="30"/>
          <w:szCs w:val="30"/>
        </w:rPr>
        <w:t>益的費用支出，不僅具有主觀上的動機目的，而且也是法令強制要求必要辦理之事</w:t>
      </w:r>
      <w:r w:rsidRPr="007B5D03">
        <w:rPr>
          <w:rFonts w:hAnsi="標楷體"/>
          <w:sz w:val="30"/>
          <w:szCs w:val="30"/>
        </w:rPr>
        <w:t>項，屬於必要合理費用性質，准認列費用扣除，始符合收入與成本費用配合原則。</w:t>
      </w:r>
    </w:p>
    <w:p w:rsidR="00514426" w:rsidRPr="007B5D03" w:rsidRDefault="00514426" w:rsidP="002B4D8B">
      <w:pPr>
        <w:snapToGrid w:val="0"/>
        <w:spacing w:line="437" w:lineRule="exact"/>
        <w:ind w:left="2354" w:hanging="369"/>
        <w:rPr>
          <w:sz w:val="30"/>
          <w:szCs w:val="30"/>
        </w:rPr>
      </w:pPr>
      <w:r w:rsidRPr="007B5D03">
        <w:rPr>
          <w:sz w:val="30"/>
          <w:szCs w:val="30"/>
        </w:rPr>
        <w:t>(2)</w:t>
      </w:r>
      <w:r w:rsidRPr="002B4D8B">
        <w:rPr>
          <w:rFonts w:hAnsi="標楷體"/>
          <w:spacing w:val="-6"/>
          <w:sz w:val="30"/>
          <w:szCs w:val="30"/>
        </w:rPr>
        <w:t>量能課稅原則拘束立法者之形成自由，政治部門</w:t>
      </w:r>
      <w:r w:rsidRPr="007B5D03">
        <w:rPr>
          <w:rFonts w:hAnsi="標楷體"/>
          <w:sz w:val="30"/>
          <w:szCs w:val="30"/>
        </w:rPr>
        <w:t>理應提出可支持性的理由，更何況財政部</w:t>
      </w:r>
      <w:r w:rsidRPr="007B5D03">
        <w:rPr>
          <w:sz w:val="30"/>
          <w:szCs w:val="30"/>
        </w:rPr>
        <w:t>86</w:t>
      </w:r>
      <w:r w:rsidRPr="007B5D03">
        <w:rPr>
          <w:rFonts w:hAnsi="標楷體"/>
          <w:sz w:val="30"/>
          <w:szCs w:val="30"/>
        </w:rPr>
        <w:t>年函釋之</w:t>
      </w:r>
      <w:r w:rsidRPr="007B5D03">
        <w:rPr>
          <w:rFonts w:hAnsi="標楷體" w:hint="eastAsia"/>
          <w:sz w:val="30"/>
          <w:szCs w:val="30"/>
        </w:rPr>
        <w:t>訂</w:t>
      </w:r>
      <w:r w:rsidRPr="007B5D03">
        <w:rPr>
          <w:rFonts w:hAnsi="標楷體"/>
          <w:sz w:val="30"/>
          <w:szCs w:val="30"/>
        </w:rPr>
        <w:t>定並非本於清楚無疑之立法者意思，自應有更合理之規範理由</w:t>
      </w:r>
    </w:p>
    <w:p w:rsidR="00514426" w:rsidRPr="007B5D03" w:rsidRDefault="00514426" w:rsidP="002B4D8B">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按量能課稅原則的破壞，必須經由另一個合乎事理的原則，例如需要原則或功績原則</w:t>
      </w:r>
      <w:r w:rsidRPr="002B4D8B">
        <w:rPr>
          <w:spacing w:val="10"/>
          <w:sz w:val="30"/>
          <w:szCs w:val="30"/>
        </w:rPr>
        <w:t>(Bedürfnis-oder Verdienstprinzip)</w:t>
      </w:r>
      <w:r w:rsidRPr="002B4D8B">
        <w:rPr>
          <w:rFonts w:hAnsi="標楷體"/>
          <w:spacing w:val="10"/>
          <w:sz w:val="30"/>
          <w:szCs w:val="30"/>
        </w:rPr>
        <w:t>加以正當</w:t>
      </w:r>
      <w:r w:rsidRPr="007B5D03">
        <w:rPr>
          <w:rFonts w:hAnsi="標楷體"/>
          <w:sz w:val="30"/>
          <w:szCs w:val="30"/>
        </w:rPr>
        <w:t>化，否則即存在著不正當的體系違反。此種量能課稅原則的違反，必須直接或間接為維護公共利益或簡化稽徵程序的目的，倘若其</w:t>
      </w:r>
      <w:r w:rsidRPr="002B4D8B">
        <w:rPr>
          <w:rFonts w:hAnsi="標楷體"/>
          <w:spacing w:val="6"/>
          <w:sz w:val="30"/>
          <w:szCs w:val="30"/>
        </w:rPr>
        <w:t>違反則構成憲法第</w:t>
      </w:r>
      <w:r w:rsidRPr="002B4D8B">
        <w:rPr>
          <w:spacing w:val="6"/>
          <w:sz w:val="30"/>
          <w:szCs w:val="30"/>
        </w:rPr>
        <w:t>7</w:t>
      </w:r>
      <w:r w:rsidRPr="002B4D8B">
        <w:rPr>
          <w:rFonts w:hAnsi="標楷體"/>
          <w:spacing w:val="6"/>
          <w:sz w:val="30"/>
          <w:szCs w:val="30"/>
        </w:rPr>
        <w:t>條平等原則的違反（附</w:t>
      </w:r>
      <w:r w:rsidRPr="007B5D03">
        <w:rPr>
          <w:rFonts w:hAnsi="標楷體"/>
          <w:sz w:val="30"/>
          <w:szCs w:val="30"/>
        </w:rPr>
        <w:t>件</w:t>
      </w:r>
      <w:r w:rsidRPr="007B5D03">
        <w:rPr>
          <w:sz w:val="30"/>
          <w:szCs w:val="30"/>
        </w:rPr>
        <w:t>1</w:t>
      </w:r>
      <w:r w:rsidRPr="007B5D03">
        <w:rPr>
          <w:rFonts w:hint="eastAsia"/>
          <w:sz w:val="30"/>
          <w:szCs w:val="30"/>
        </w:rPr>
        <w:t>9</w:t>
      </w:r>
      <w:r w:rsidRPr="007B5D03">
        <w:rPr>
          <w:rFonts w:hAnsi="標楷體"/>
          <w:sz w:val="30"/>
          <w:szCs w:val="30"/>
        </w:rPr>
        <w:t>，陳清秀，稅法總論，頁</w:t>
      </w:r>
      <w:r w:rsidRPr="007B5D03">
        <w:rPr>
          <w:sz w:val="30"/>
          <w:szCs w:val="30"/>
        </w:rPr>
        <w:t>32</w:t>
      </w:r>
      <w:r w:rsidRPr="007B5D03">
        <w:rPr>
          <w:rFonts w:hAnsi="標楷體"/>
          <w:sz w:val="30"/>
          <w:szCs w:val="30"/>
        </w:rPr>
        <w:t>）。</w:t>
      </w:r>
    </w:p>
    <w:p w:rsidR="00514426" w:rsidRPr="007B5D03" w:rsidRDefault="00514426" w:rsidP="002B4D8B">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次按德國聯邦憲法法院對於立法行為之審查密度，大略可分為三個審查標準：明顯性（最</w:t>
      </w:r>
      <w:r w:rsidRPr="002B4D8B">
        <w:rPr>
          <w:rFonts w:hAnsi="標楷體"/>
          <w:spacing w:val="6"/>
          <w:sz w:val="30"/>
          <w:szCs w:val="30"/>
        </w:rPr>
        <w:t>寬鬆）審查、可支持性（中度）審查與強烈內容（最嚴格）審查。當釋憲機關採取明顯</w:t>
      </w:r>
      <w:r w:rsidRPr="007B5D03">
        <w:rPr>
          <w:rFonts w:hAnsi="標楷體"/>
          <w:sz w:val="30"/>
          <w:szCs w:val="30"/>
        </w:rPr>
        <w:t>性審查時，立法者享有最大之決定空間，只有當法律違反明顯憲法，已經達到顯然、清楚、無疑義、任何人都可目睹時，它才會被宣告違憲；至於可支持性審查標準要求，對於可獲得的</w:t>
      </w:r>
      <w:r w:rsidRPr="007B5D03">
        <w:rPr>
          <w:rFonts w:hAnsi="標楷體"/>
          <w:sz w:val="30"/>
          <w:szCs w:val="30"/>
        </w:rPr>
        <w:lastRenderedPageBreak/>
        <w:t>事實資料，立法者都必須作合乎事理、可支持之判斷，在此範圍內，釋憲機關將尊重立法者所為之決定；強烈內容審查則是德國聯邦憲法法院可對立法行為作廣泛之實質正確性審查。一般在經濟政策方面，如人民權利僅受輕微侵害，德國聯邦憲法法</w:t>
      </w:r>
      <w:r w:rsidRPr="002B4D8B">
        <w:rPr>
          <w:rFonts w:hAnsi="標楷體"/>
          <w:spacing w:val="6"/>
          <w:sz w:val="30"/>
          <w:szCs w:val="30"/>
        </w:rPr>
        <w:t>院會採取明顯性審查標準，但涉及稅法領</w:t>
      </w:r>
      <w:r w:rsidRPr="007B5D03">
        <w:rPr>
          <w:rFonts w:hAnsi="標楷體"/>
          <w:sz w:val="30"/>
          <w:szCs w:val="30"/>
        </w:rPr>
        <w:t>域，德國聯邦憲法法院會比較傾向採取比較嚴格的審查標準，因為租稅義務對於人民權利構成相當嚴重的限制，基於租稅公平原則的考量，租稅的立法者要特別審慎考量平等的要求（附件</w:t>
      </w:r>
      <w:r w:rsidRPr="007B5D03">
        <w:rPr>
          <w:rFonts w:hint="eastAsia"/>
          <w:sz w:val="30"/>
          <w:szCs w:val="30"/>
        </w:rPr>
        <w:t>30</w:t>
      </w:r>
      <w:r w:rsidRPr="007B5D03">
        <w:rPr>
          <w:rFonts w:hAnsi="標楷體"/>
          <w:sz w:val="30"/>
          <w:szCs w:val="30"/>
        </w:rPr>
        <w:t>，陳愛娥，大法官憲法解釋權之界限</w:t>
      </w:r>
      <w:r w:rsidRPr="007B5D03">
        <w:rPr>
          <w:sz w:val="30"/>
          <w:szCs w:val="30"/>
        </w:rPr>
        <w:t>—</w:t>
      </w:r>
      <w:r w:rsidRPr="007B5D03">
        <w:rPr>
          <w:rFonts w:hAnsi="標楷體"/>
          <w:sz w:val="30"/>
          <w:szCs w:val="30"/>
        </w:rPr>
        <w:t>由功能法觀點出發）。</w:t>
      </w:r>
    </w:p>
    <w:p w:rsidR="00514426" w:rsidRPr="007B5D03" w:rsidRDefault="00514426" w:rsidP="002B4D8B">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承上，基於最適功能理論，釋憲機關因有限之資源與處理能力，可能並不比立法機關更適合作出實質決定，所以德國聯邦憲法法院會傾向作可支持性審查，立法者如對於基本權核心作侵犯時，此際違憲審查標準就可能會上升至強烈內容審查（附件</w:t>
      </w:r>
      <w:r w:rsidRPr="007B5D03">
        <w:rPr>
          <w:rFonts w:hint="eastAsia"/>
          <w:sz w:val="30"/>
          <w:szCs w:val="30"/>
        </w:rPr>
        <w:t>30</w:t>
      </w:r>
      <w:r w:rsidRPr="007B5D03">
        <w:rPr>
          <w:rFonts w:hAnsi="標楷體"/>
          <w:sz w:val="30"/>
          <w:szCs w:val="30"/>
        </w:rPr>
        <w:t>，陳愛娥，大法官憲法解釋權之界限</w:t>
      </w:r>
      <w:r w:rsidRPr="007B5D03">
        <w:rPr>
          <w:sz w:val="30"/>
          <w:szCs w:val="30"/>
        </w:rPr>
        <w:t>—</w:t>
      </w:r>
      <w:r w:rsidRPr="007B5D03">
        <w:rPr>
          <w:rFonts w:hAnsi="標楷體"/>
          <w:sz w:val="30"/>
          <w:szCs w:val="30"/>
        </w:rPr>
        <w:t>由功能法觀點出發）。德國法上此種基於最適功能理論所建立之標準，在　鈞院憲法解釋之協同意見書亦屬常見，例如釋字第</w:t>
      </w:r>
      <w:r w:rsidRPr="007B5D03">
        <w:rPr>
          <w:sz w:val="30"/>
          <w:szCs w:val="30"/>
        </w:rPr>
        <w:t>578</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許宗力大法官之協同意見書：「至於本件，本件立法因涉及國家整體資源的配置與運用、社會環境、經濟結構及勞雇關係等複雜政策性問題，基</w:t>
      </w:r>
      <w:r w:rsidRPr="002B4D8B">
        <w:rPr>
          <w:rFonts w:hAnsi="標楷體"/>
          <w:spacing w:val="6"/>
          <w:sz w:val="30"/>
          <w:szCs w:val="30"/>
        </w:rPr>
        <w:t>於功能最適之考量，不可能採嚴格審查標</w:t>
      </w:r>
      <w:r w:rsidRPr="007B5D03">
        <w:rPr>
          <w:rFonts w:hAnsi="標楷體"/>
          <w:sz w:val="30"/>
          <w:szCs w:val="30"/>
        </w:rPr>
        <w:t>準，而應留給政治部門較</w:t>
      </w:r>
      <w:r w:rsidRPr="007B5D03">
        <w:rPr>
          <w:rFonts w:hAnsi="標楷體"/>
          <w:sz w:val="30"/>
          <w:szCs w:val="30"/>
        </w:rPr>
        <w:lastRenderedPageBreak/>
        <w:t>廣泛之政策形成空間。惟承認政治部門享有廣泛之政策形成空間，是否就表示司法者只能採最寬鬆審查標</w:t>
      </w:r>
      <w:r w:rsidRPr="002B4D8B">
        <w:rPr>
          <w:rFonts w:hAnsi="標楷體"/>
          <w:spacing w:val="6"/>
          <w:sz w:val="30"/>
          <w:szCs w:val="30"/>
        </w:rPr>
        <w:t>準？多數意見之解釋理由書提到系爭「手段</w:t>
      </w:r>
      <w:r w:rsidRPr="007B5D03">
        <w:rPr>
          <w:rFonts w:hAnsi="標楷體"/>
          <w:sz w:val="30"/>
          <w:szCs w:val="30"/>
        </w:rPr>
        <w:t>仍在合理範圍內」，似隱含採美國寬鬆之合理審查標準之意。對於涉及經濟與社會政策立法，縱使本席同意從寬審查，也不必然意謂著一律採最寬鬆的審查標準，至少就本件而言，由於系爭規定也涉及限制廣大中小企業主之財產權與契約自由，而民國八十六年七月二十一日修正憲法增修條文第十條第三項恰凸顯國家對中小企業的照顧發展義務，要</w:t>
      </w:r>
      <w:r w:rsidRPr="002B4D8B">
        <w:rPr>
          <w:rFonts w:hAnsi="標楷體"/>
          <w:spacing w:val="6"/>
          <w:sz w:val="30"/>
          <w:szCs w:val="30"/>
        </w:rPr>
        <w:t>求「國家對於人民興辦之中小型經濟事業，</w:t>
      </w:r>
      <w:r w:rsidRPr="007B5D03">
        <w:rPr>
          <w:rFonts w:hAnsi="標楷體"/>
          <w:sz w:val="30"/>
          <w:szCs w:val="30"/>
        </w:rPr>
        <w:t>應扶助並保護其生存與發展」，基於對此由修憲者特別揭示之憲法價值之尊重，本席因而認為本件應提升至中度審查基準，就立法事實的認定與預測，審查是否合乎事理、說得過去，而非僅止於審查是否明顯錯誤、明顯恣意。」等語。</w:t>
      </w:r>
    </w:p>
    <w:p w:rsidR="00514426" w:rsidRPr="007B5D03" w:rsidRDefault="00514426" w:rsidP="002B4D8B">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然聲請人認為本件是否因最適功能理論而不</w:t>
      </w:r>
      <w:r w:rsidRPr="002B4D8B">
        <w:rPr>
          <w:rFonts w:hAnsi="標楷體"/>
          <w:spacing w:val="6"/>
          <w:sz w:val="30"/>
          <w:szCs w:val="30"/>
        </w:rPr>
        <w:t>適用最嚴格審查基準乙事，必須考慮立法</w:t>
      </w:r>
      <w:r w:rsidRPr="007B5D03">
        <w:rPr>
          <w:rFonts w:hAnsi="標楷體"/>
          <w:sz w:val="30"/>
          <w:szCs w:val="30"/>
        </w:rPr>
        <w:t>院、財政部對於權證課稅案件解決之背景，亦即立法院、財政部在</w:t>
      </w:r>
      <w:r w:rsidRPr="007B5D03">
        <w:rPr>
          <w:sz w:val="30"/>
          <w:szCs w:val="30"/>
        </w:rPr>
        <w:t>96</w:t>
      </w:r>
      <w:r w:rsidRPr="007B5D03">
        <w:rPr>
          <w:rFonts w:hAnsi="標楷體"/>
          <w:sz w:val="30"/>
          <w:szCs w:val="30"/>
        </w:rPr>
        <w:t>年間制定所得稅法</w:t>
      </w:r>
      <w:r w:rsidRPr="002B4D8B">
        <w:rPr>
          <w:rFonts w:hAnsi="標楷體"/>
          <w:spacing w:val="6"/>
          <w:sz w:val="30"/>
          <w:szCs w:val="30"/>
        </w:rPr>
        <w:t>第</w:t>
      </w:r>
      <w:r w:rsidRPr="002B4D8B">
        <w:rPr>
          <w:spacing w:val="6"/>
          <w:sz w:val="30"/>
          <w:szCs w:val="30"/>
        </w:rPr>
        <w:t>24</w:t>
      </w:r>
      <w:r w:rsidRPr="002B4D8B">
        <w:rPr>
          <w:rFonts w:hAnsi="標楷體"/>
          <w:spacing w:val="6"/>
          <w:sz w:val="30"/>
          <w:szCs w:val="30"/>
        </w:rPr>
        <w:t>條之</w:t>
      </w:r>
      <w:r w:rsidRPr="002B4D8B">
        <w:rPr>
          <w:spacing w:val="6"/>
          <w:sz w:val="30"/>
          <w:szCs w:val="30"/>
        </w:rPr>
        <w:t>2</w:t>
      </w:r>
      <w:r w:rsidRPr="002B4D8B">
        <w:rPr>
          <w:rFonts w:hAnsi="標楷體"/>
          <w:spacing w:val="6"/>
          <w:sz w:val="30"/>
          <w:szCs w:val="30"/>
        </w:rPr>
        <w:t>規定來解決</w:t>
      </w:r>
      <w:r w:rsidRPr="002B4D8B">
        <w:rPr>
          <w:spacing w:val="6"/>
          <w:sz w:val="30"/>
          <w:szCs w:val="30"/>
        </w:rPr>
        <w:t>96</w:t>
      </w:r>
      <w:r w:rsidRPr="002B4D8B">
        <w:rPr>
          <w:rFonts w:hAnsi="標楷體"/>
          <w:spacing w:val="6"/>
          <w:sz w:val="30"/>
          <w:szCs w:val="30"/>
        </w:rPr>
        <w:t>年以後之權證課</w:t>
      </w:r>
      <w:r w:rsidRPr="007B5D03">
        <w:rPr>
          <w:rFonts w:hAnsi="標楷體"/>
          <w:sz w:val="30"/>
          <w:szCs w:val="30"/>
        </w:rPr>
        <w:t>稅案件，至於新法制定前所發生之權證課稅案件，依前任財政部長在立法院審查會之發言：「我們希望司法能夠歸司法，其實我們不知道立法</w:t>
      </w:r>
      <w:r w:rsidRPr="007B5D03">
        <w:rPr>
          <w:rFonts w:hAnsi="標楷體"/>
          <w:sz w:val="30"/>
          <w:szCs w:val="30"/>
        </w:rPr>
        <w:lastRenderedPageBreak/>
        <w:t>院什麼時候會通過相關法令，如果屆時法律真的規定要溯及既往的話，當然就必須依照法律辦理」「如果要從行政救濟來處理的話，過去也有很多類似的案例，每個案件可能有輸有贏；但是如果要早一點讓事情得到澄清，假若行政部門敗訴的話，我們就會直接訴請大法官會議解釋，大法官會議解釋我們是正確的，我們就照此方向來作；如果大法官解釋我們不對，我們就會按照那個法理去處理，但是那個法理處理對券商也不</w:t>
      </w:r>
      <w:r w:rsidRPr="002B4D8B">
        <w:rPr>
          <w:rFonts w:hAnsi="標楷體"/>
          <w:spacing w:val="-10"/>
          <w:sz w:val="30"/>
          <w:szCs w:val="30"/>
        </w:rPr>
        <w:t>見得是好的，這部分我們要特別講清楚。」「財</w:t>
      </w:r>
      <w:r w:rsidRPr="007B5D03">
        <w:rPr>
          <w:rFonts w:hAnsi="標楷體"/>
          <w:sz w:val="30"/>
          <w:szCs w:val="30"/>
        </w:rPr>
        <w:t>政部如果全輸了的話，這個訴訟帶給雙方的傷害會是很大的，我們不希望這個案子打到最後，全部都輸。所以，如果這個案子到最高行政法院我們還是輸了的話，我們就會直</w:t>
      </w:r>
      <w:r w:rsidRPr="002B4D8B">
        <w:rPr>
          <w:rFonts w:hAnsi="標楷體"/>
          <w:spacing w:val="-6"/>
          <w:sz w:val="30"/>
          <w:szCs w:val="30"/>
        </w:rPr>
        <w:t>接提請大法官解釋。」（附件</w:t>
      </w:r>
      <w:r w:rsidRPr="002B4D8B">
        <w:rPr>
          <w:spacing w:val="-6"/>
          <w:sz w:val="30"/>
          <w:szCs w:val="30"/>
        </w:rPr>
        <w:t>3</w:t>
      </w:r>
      <w:r w:rsidRPr="002B4D8B">
        <w:rPr>
          <w:rFonts w:hint="eastAsia"/>
          <w:spacing w:val="-6"/>
          <w:sz w:val="30"/>
          <w:szCs w:val="30"/>
        </w:rPr>
        <w:t>1</w:t>
      </w:r>
      <w:r w:rsidRPr="002B4D8B">
        <w:rPr>
          <w:rFonts w:hAnsi="標楷體"/>
          <w:spacing w:val="-6"/>
          <w:sz w:val="30"/>
          <w:szCs w:val="30"/>
        </w:rPr>
        <w:t>，立法院公報第</w:t>
      </w:r>
      <w:r w:rsidRPr="002B4D8B">
        <w:rPr>
          <w:spacing w:val="-6"/>
          <w:sz w:val="30"/>
          <w:szCs w:val="30"/>
        </w:rPr>
        <w:t>94</w:t>
      </w:r>
      <w:r w:rsidRPr="002B4D8B">
        <w:rPr>
          <w:rFonts w:hAnsi="標楷體"/>
          <w:spacing w:val="-6"/>
          <w:sz w:val="30"/>
          <w:szCs w:val="30"/>
        </w:rPr>
        <w:t>卷第</w:t>
      </w:r>
      <w:r w:rsidRPr="002B4D8B">
        <w:rPr>
          <w:spacing w:val="-6"/>
          <w:sz w:val="30"/>
          <w:szCs w:val="30"/>
        </w:rPr>
        <w:t>62</w:t>
      </w:r>
      <w:r w:rsidRPr="002B4D8B">
        <w:rPr>
          <w:rFonts w:hAnsi="標楷體"/>
          <w:spacing w:val="-6"/>
          <w:sz w:val="30"/>
          <w:szCs w:val="30"/>
        </w:rPr>
        <w:t>期，頁</w:t>
      </w:r>
      <w:r w:rsidRPr="002B4D8B">
        <w:rPr>
          <w:spacing w:val="-6"/>
          <w:sz w:val="30"/>
          <w:szCs w:val="30"/>
        </w:rPr>
        <w:t>316</w:t>
      </w:r>
      <w:r w:rsidRPr="002B4D8B">
        <w:rPr>
          <w:rFonts w:hAnsi="標楷體"/>
          <w:spacing w:val="-6"/>
          <w:sz w:val="30"/>
          <w:szCs w:val="30"/>
        </w:rPr>
        <w:t>、</w:t>
      </w:r>
      <w:r w:rsidRPr="002B4D8B">
        <w:rPr>
          <w:spacing w:val="-6"/>
          <w:sz w:val="30"/>
          <w:szCs w:val="30"/>
        </w:rPr>
        <w:t>324</w:t>
      </w:r>
      <w:r w:rsidRPr="002B4D8B">
        <w:rPr>
          <w:rFonts w:hAnsi="標楷體"/>
          <w:spacing w:val="-6"/>
          <w:sz w:val="30"/>
          <w:szCs w:val="30"/>
        </w:rPr>
        <w:t>至</w:t>
      </w:r>
      <w:r w:rsidRPr="002B4D8B">
        <w:rPr>
          <w:spacing w:val="-6"/>
          <w:sz w:val="30"/>
          <w:szCs w:val="30"/>
        </w:rPr>
        <w:t>325</w:t>
      </w:r>
      <w:r w:rsidRPr="002B4D8B">
        <w:rPr>
          <w:rFonts w:hAnsi="標楷體"/>
          <w:spacing w:val="-6"/>
          <w:sz w:val="30"/>
          <w:szCs w:val="30"/>
        </w:rPr>
        <w:t>）。亦即</w:t>
      </w:r>
      <w:r w:rsidRPr="007B5D03">
        <w:rPr>
          <w:rFonts w:hAnsi="標楷體"/>
          <w:sz w:val="30"/>
          <w:szCs w:val="30"/>
        </w:rPr>
        <w:t>財政部欲將修法前爭議交由司法機關定分止爭，況且財政部與立法院在當初係採立法院修法方式或財政部再行解釋之方式，即有不小爭執（附件</w:t>
      </w:r>
      <w:r w:rsidRPr="007B5D03">
        <w:rPr>
          <w:sz w:val="30"/>
          <w:szCs w:val="30"/>
        </w:rPr>
        <w:t>3</w:t>
      </w:r>
      <w:r w:rsidRPr="007B5D03">
        <w:rPr>
          <w:rFonts w:hint="eastAsia"/>
          <w:sz w:val="30"/>
          <w:szCs w:val="30"/>
        </w:rPr>
        <w:t>2</w:t>
      </w:r>
      <w:r w:rsidRPr="007B5D03">
        <w:rPr>
          <w:rFonts w:hAnsi="標楷體"/>
          <w:sz w:val="30"/>
          <w:szCs w:val="30"/>
        </w:rPr>
        <w:t>，</w:t>
      </w:r>
      <w:smartTag w:uri="urn:schemas-microsoft-com:office:smarttags" w:element="chsdate">
        <w:smartTagPr>
          <w:attr w:name="IsROCDate" w:val="False"/>
          <w:attr w:name="IsLunarDate" w:val="False"/>
          <w:attr w:name="Day" w:val="3"/>
          <w:attr w:name="Month" w:val="4"/>
          <w:attr w:name="Year" w:val="1996"/>
        </w:smartTagPr>
        <w:r w:rsidRPr="007B5D03">
          <w:rPr>
            <w:sz w:val="30"/>
            <w:szCs w:val="30"/>
          </w:rPr>
          <w:t>96</w:t>
        </w:r>
        <w:r w:rsidRPr="007B5D03">
          <w:rPr>
            <w:rFonts w:hAnsi="標楷體"/>
            <w:sz w:val="30"/>
            <w:szCs w:val="30"/>
          </w:rPr>
          <w:t>年</w:t>
        </w:r>
        <w:r w:rsidRPr="007B5D03">
          <w:rPr>
            <w:sz w:val="30"/>
            <w:szCs w:val="30"/>
          </w:rPr>
          <w:t>4</w:t>
        </w:r>
        <w:r w:rsidRPr="007B5D03">
          <w:rPr>
            <w:rFonts w:hAnsi="標楷體"/>
            <w:sz w:val="30"/>
            <w:szCs w:val="30"/>
          </w:rPr>
          <w:t>月</w:t>
        </w:r>
        <w:r w:rsidRPr="007B5D03">
          <w:rPr>
            <w:sz w:val="30"/>
            <w:szCs w:val="30"/>
          </w:rPr>
          <w:t>3</w:t>
        </w:r>
        <w:r w:rsidRPr="007B5D03">
          <w:rPr>
            <w:rFonts w:hAnsi="標楷體"/>
            <w:sz w:val="30"/>
            <w:szCs w:val="30"/>
          </w:rPr>
          <w:t>日</w:t>
        </w:r>
      </w:smartTag>
      <w:r w:rsidRPr="007B5D03">
        <w:rPr>
          <w:rFonts w:hAnsi="標楷體"/>
          <w:sz w:val="30"/>
          <w:szCs w:val="30"/>
        </w:rPr>
        <w:t>經濟日報，</w:t>
      </w:r>
      <w:r w:rsidRPr="007B5D03">
        <w:rPr>
          <w:rFonts w:hAnsi="標楷體"/>
          <w:spacing w:val="32"/>
          <w:sz w:val="30"/>
          <w:szCs w:val="30"/>
          <w:fitText w:val="970" w:id="66203904"/>
        </w:rPr>
        <w:t>網</w:t>
      </w:r>
      <w:r w:rsidRPr="007B5D03">
        <w:rPr>
          <w:rFonts w:hAnsi="標楷體"/>
          <w:sz w:val="30"/>
          <w:szCs w:val="30"/>
          <w:fitText w:val="970" w:id="66203904"/>
        </w:rPr>
        <w:t>址：</w:t>
      </w:r>
      <w:r w:rsidRPr="007B5D03">
        <w:rPr>
          <w:sz w:val="30"/>
          <w:szCs w:val="30"/>
        </w:rPr>
        <w:t>http://pro.udnjob.com/mag2/fn/storypage.jsp?f_ART_ID=32465</w:t>
      </w:r>
      <w:r w:rsidRPr="007B5D03">
        <w:rPr>
          <w:rFonts w:hAnsi="標楷體"/>
          <w:sz w:val="30"/>
          <w:szCs w:val="30"/>
        </w:rPr>
        <w:t>），最後才得出修訂所得稅法第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未特別規定得溯及既往之結果，此種將爭議交由　鈞院處理之方式，　鈞院應具有最適功能解決本件爭議，應無疑問</w:t>
      </w:r>
      <w:r w:rsidRPr="007B5D03">
        <w:rPr>
          <w:rFonts w:hAnsi="標楷體"/>
          <w:sz w:val="30"/>
          <w:szCs w:val="30"/>
        </w:rPr>
        <w:lastRenderedPageBreak/>
        <w:t>。特別是　鈞院為全國最高之司法機關，職司憲法之解釋與法秩序統一之維護，在政治部門已完全將爭議委交由　鈞院大法官解釋時，是</w:t>
      </w:r>
      <w:r w:rsidRPr="007B5D03">
        <w:rPr>
          <w:sz w:val="30"/>
          <w:szCs w:val="30"/>
        </w:rPr>
        <w:t>96</w:t>
      </w:r>
      <w:r w:rsidRPr="007B5D03">
        <w:rPr>
          <w:rFonts w:hAnsi="標楷體"/>
          <w:sz w:val="30"/>
          <w:szCs w:val="30"/>
        </w:rPr>
        <w:t>年以前權證課稅案件之最後主戰場乃在　鈞院，應無特別考慮須由立法者作成決定之顧慮，至於財政部解釋函令之決定餘地，理應不如同立法者享有甚高之形成空間，而應以最嚴格審查基準審查。</w:t>
      </w:r>
    </w:p>
    <w:p w:rsidR="00514426" w:rsidRPr="007B5D03" w:rsidRDefault="00514426" w:rsidP="002B4D8B">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再按，　鈞院釋字第</w:t>
      </w:r>
      <w:r w:rsidRPr="007B5D03">
        <w:rPr>
          <w:sz w:val="30"/>
          <w:szCs w:val="30"/>
        </w:rPr>
        <w:t>218</w:t>
      </w:r>
      <w:r w:rsidRPr="007B5D03">
        <w:rPr>
          <w:rFonts w:hAnsi="標楷體"/>
          <w:sz w:val="30"/>
          <w:szCs w:val="30"/>
        </w:rPr>
        <w:t>、</w:t>
      </w:r>
      <w:r w:rsidRPr="007B5D03">
        <w:rPr>
          <w:sz w:val="30"/>
          <w:szCs w:val="30"/>
        </w:rPr>
        <w:t>221</w:t>
      </w:r>
      <w:r w:rsidRPr="007B5D03">
        <w:rPr>
          <w:rFonts w:hAnsi="標楷體"/>
          <w:sz w:val="30"/>
          <w:szCs w:val="30"/>
        </w:rPr>
        <w:t>、</w:t>
      </w:r>
      <w:r w:rsidRPr="007B5D03">
        <w:rPr>
          <w:sz w:val="30"/>
          <w:szCs w:val="30"/>
        </w:rPr>
        <w:t>224</w:t>
      </w:r>
      <w:r w:rsidRPr="007B5D03">
        <w:rPr>
          <w:rFonts w:hAnsi="標楷體"/>
          <w:sz w:val="30"/>
          <w:szCs w:val="30"/>
        </w:rPr>
        <w:t>、</w:t>
      </w:r>
      <w:r w:rsidRPr="007B5D03">
        <w:rPr>
          <w:sz w:val="30"/>
          <w:szCs w:val="30"/>
        </w:rPr>
        <w:t>248</w:t>
      </w:r>
      <w:r w:rsidRPr="007B5D03">
        <w:rPr>
          <w:rFonts w:hAnsi="標楷體"/>
          <w:sz w:val="30"/>
          <w:szCs w:val="30"/>
        </w:rPr>
        <w:t>、</w:t>
      </w:r>
      <w:r w:rsidRPr="007B5D03">
        <w:rPr>
          <w:sz w:val="30"/>
          <w:szCs w:val="30"/>
        </w:rPr>
        <w:t>257</w:t>
      </w:r>
      <w:r w:rsidRPr="007B5D03">
        <w:rPr>
          <w:rFonts w:hAnsi="標楷體"/>
          <w:sz w:val="30"/>
          <w:szCs w:val="30"/>
        </w:rPr>
        <w:t>、</w:t>
      </w:r>
      <w:r w:rsidRPr="007B5D03">
        <w:rPr>
          <w:sz w:val="30"/>
          <w:szCs w:val="30"/>
        </w:rPr>
        <w:t>281</w:t>
      </w:r>
      <w:r w:rsidRPr="007B5D03">
        <w:rPr>
          <w:rFonts w:hAnsi="標楷體"/>
          <w:sz w:val="30"/>
          <w:szCs w:val="30"/>
        </w:rPr>
        <w:t>、</w:t>
      </w:r>
      <w:r w:rsidRPr="007B5D03">
        <w:rPr>
          <w:sz w:val="30"/>
          <w:szCs w:val="30"/>
        </w:rPr>
        <w:t>327</w:t>
      </w:r>
      <w:r w:rsidRPr="007B5D03">
        <w:rPr>
          <w:rFonts w:hAnsi="標楷體"/>
          <w:sz w:val="30"/>
          <w:szCs w:val="30"/>
        </w:rPr>
        <w:t>、</w:t>
      </w:r>
      <w:r w:rsidRPr="007B5D03">
        <w:rPr>
          <w:sz w:val="30"/>
          <w:szCs w:val="30"/>
        </w:rPr>
        <w:t>397</w:t>
      </w:r>
      <w:r w:rsidRPr="007B5D03">
        <w:rPr>
          <w:rFonts w:hAnsi="標楷體"/>
          <w:sz w:val="30"/>
          <w:szCs w:val="30"/>
        </w:rPr>
        <w:t>、</w:t>
      </w:r>
      <w:r w:rsidRPr="007B5D03">
        <w:rPr>
          <w:sz w:val="30"/>
          <w:szCs w:val="30"/>
        </w:rPr>
        <w:t>506</w:t>
      </w:r>
      <w:r w:rsidRPr="007B5D03">
        <w:rPr>
          <w:rFonts w:hAnsi="標楷體"/>
          <w:sz w:val="30"/>
          <w:szCs w:val="30"/>
        </w:rPr>
        <w:t>、</w:t>
      </w:r>
      <w:r w:rsidRPr="007B5D03">
        <w:rPr>
          <w:sz w:val="30"/>
          <w:szCs w:val="30"/>
        </w:rPr>
        <w:t>607</w:t>
      </w:r>
      <w:r w:rsidRPr="007B5D03">
        <w:rPr>
          <w:rFonts w:hAnsi="標楷體"/>
          <w:sz w:val="30"/>
          <w:szCs w:val="30"/>
        </w:rPr>
        <w:t>等號解釋，均提出「租稅公平」作為稅法上之憲法原則，學者提出以量能原則作為租稅合理正當性標準，就一般以財政收入為目的策略，則就租稅負擔觀點而言，即具正當合理性。吾人不得不就各別稅法，依憲法要求，探尋合理正當性，否則憲法上精神，特別是實質憲政國家，在具體之負擔正義即無法落實。德國聯邦憲法法院判決即曾多次指出，立法者單以財政需求或課徵技術上要求，仍不具有稅法</w:t>
      </w:r>
      <w:r w:rsidRPr="002B4D8B">
        <w:rPr>
          <w:rFonts w:hAnsi="標楷體"/>
          <w:spacing w:val="-6"/>
          <w:sz w:val="30"/>
          <w:szCs w:val="30"/>
        </w:rPr>
        <w:t>所需正當性要求，只因財政需求、或不顯著、</w:t>
      </w:r>
      <w:r w:rsidRPr="007B5D03">
        <w:rPr>
          <w:rFonts w:hAnsi="標楷體"/>
          <w:sz w:val="30"/>
          <w:szCs w:val="30"/>
        </w:rPr>
        <w:t>徵收方便即予課徵，亦即租稅正當性考量，應優先於財政需求或課徵技術，惟有符合租稅正當性之租稅有多種，吾人加以選擇時，</w:t>
      </w:r>
      <w:r w:rsidRPr="002B4D8B">
        <w:rPr>
          <w:rFonts w:hAnsi="標楷體"/>
          <w:spacing w:val="6"/>
          <w:sz w:val="30"/>
          <w:szCs w:val="30"/>
        </w:rPr>
        <w:t>始斟酌財政需求及課徵技術（附件</w:t>
      </w:r>
      <w:r w:rsidRPr="002B4D8B">
        <w:rPr>
          <w:spacing w:val="6"/>
          <w:sz w:val="30"/>
          <w:szCs w:val="30"/>
        </w:rPr>
        <w:t>4</w:t>
      </w:r>
      <w:r w:rsidRPr="002B4D8B">
        <w:rPr>
          <w:rFonts w:hAnsi="標楷體"/>
          <w:spacing w:val="6"/>
          <w:sz w:val="30"/>
          <w:szCs w:val="30"/>
        </w:rPr>
        <w:t>，葛克</w:t>
      </w:r>
      <w:r w:rsidRPr="007B5D03">
        <w:rPr>
          <w:rFonts w:hAnsi="標楷體"/>
          <w:sz w:val="30"/>
          <w:szCs w:val="30"/>
        </w:rPr>
        <w:t>昌，所得稅與憲法，頁</w:t>
      </w:r>
      <w:r w:rsidRPr="007B5D03">
        <w:rPr>
          <w:sz w:val="30"/>
          <w:szCs w:val="30"/>
        </w:rPr>
        <w:t>156</w:t>
      </w:r>
      <w:r w:rsidRPr="007B5D03">
        <w:rPr>
          <w:rFonts w:hAnsi="標楷體"/>
          <w:sz w:val="30"/>
          <w:szCs w:val="30"/>
        </w:rPr>
        <w:t>至</w:t>
      </w:r>
      <w:r w:rsidRPr="007B5D03">
        <w:rPr>
          <w:sz w:val="30"/>
          <w:szCs w:val="30"/>
        </w:rPr>
        <w:t>158</w:t>
      </w:r>
      <w:r w:rsidRPr="007B5D03">
        <w:rPr>
          <w:rFonts w:hAnsi="標楷體"/>
          <w:sz w:val="30"/>
          <w:szCs w:val="30"/>
        </w:rPr>
        <w:t>）。</w:t>
      </w:r>
    </w:p>
    <w:p w:rsidR="00514426" w:rsidRPr="007B5D03" w:rsidRDefault="00514426" w:rsidP="002B4D8B">
      <w:pPr>
        <w:snapToGrid w:val="0"/>
        <w:spacing w:line="437" w:lineRule="exact"/>
        <w:ind w:left="2637"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是以，　鈞院釋字第</w:t>
      </w:r>
      <w:r w:rsidRPr="007B5D03">
        <w:rPr>
          <w:sz w:val="30"/>
          <w:szCs w:val="30"/>
        </w:rPr>
        <w:t>565</w:t>
      </w:r>
      <w:r w:rsidRPr="007B5D03">
        <w:rPr>
          <w:rFonts w:hAnsi="標楷體"/>
          <w:sz w:val="30"/>
          <w:szCs w:val="30"/>
        </w:rPr>
        <w:t>號解釋認定所得稅</w:t>
      </w:r>
      <w:r w:rsidRPr="002B4D8B">
        <w:rPr>
          <w:rFonts w:hAnsi="標楷體"/>
          <w:spacing w:val="6"/>
          <w:sz w:val="30"/>
          <w:szCs w:val="30"/>
        </w:rPr>
        <w:t>法</w:t>
      </w:r>
      <w:r w:rsidRPr="002B4D8B">
        <w:rPr>
          <w:rFonts w:hAnsi="標楷體"/>
          <w:spacing w:val="6"/>
          <w:sz w:val="30"/>
          <w:szCs w:val="30"/>
        </w:rPr>
        <w:lastRenderedPageBreak/>
        <w:t>第</w:t>
      </w:r>
      <w:r w:rsidRPr="002B4D8B">
        <w:rPr>
          <w:spacing w:val="6"/>
          <w:sz w:val="30"/>
          <w:szCs w:val="30"/>
        </w:rPr>
        <w:t>4</w:t>
      </w:r>
      <w:r w:rsidRPr="002B4D8B">
        <w:rPr>
          <w:rFonts w:hAnsi="標楷體"/>
          <w:spacing w:val="6"/>
          <w:sz w:val="30"/>
          <w:szCs w:val="30"/>
        </w:rPr>
        <w:t>條之</w:t>
      </w:r>
      <w:r w:rsidRPr="002B4D8B">
        <w:rPr>
          <w:spacing w:val="6"/>
          <w:sz w:val="30"/>
          <w:szCs w:val="30"/>
        </w:rPr>
        <w:t>1</w:t>
      </w:r>
      <w:r w:rsidRPr="002B4D8B">
        <w:rPr>
          <w:rFonts w:hAnsi="標楷體"/>
          <w:spacing w:val="6"/>
          <w:sz w:val="30"/>
          <w:szCs w:val="30"/>
        </w:rPr>
        <w:t>之所以合憲，乃係基於其規範</w:t>
      </w:r>
      <w:r w:rsidRPr="007B5D03">
        <w:rPr>
          <w:rFonts w:hAnsi="標楷體"/>
          <w:sz w:val="30"/>
          <w:szCs w:val="30"/>
        </w:rPr>
        <w:t>之公益目的，亦即立法者依照需要原則或功績原則予以正當化，亦即在一般賺取免稅證券交易所得對應之證券交易損失不得自應稅收入中減除，立法者為求經濟政策目的而使量能課稅原則退讓，形成客觀淨所得原則之例外。然而該正當化之理由並不得作為立法</w:t>
      </w:r>
      <w:r w:rsidRPr="002B4D8B">
        <w:rPr>
          <w:rFonts w:hAnsi="標楷體"/>
          <w:spacing w:val="6"/>
          <w:sz w:val="30"/>
          <w:szCs w:val="30"/>
        </w:rPr>
        <w:t>者有意對認購（售）權證案件加以規範，是</w:t>
      </w:r>
      <w:r w:rsidRPr="007B5D03">
        <w:rPr>
          <w:rFonts w:hAnsi="標楷體"/>
          <w:sz w:val="30"/>
          <w:szCs w:val="30"/>
        </w:rPr>
        <w:t>以　鈞院縱認為財政部</w:t>
      </w:r>
      <w:r w:rsidRPr="007B5D03">
        <w:rPr>
          <w:sz w:val="30"/>
          <w:szCs w:val="30"/>
        </w:rPr>
        <w:t>86</w:t>
      </w:r>
      <w:r w:rsidRPr="007B5D03">
        <w:rPr>
          <w:rFonts w:hAnsi="標楷體"/>
          <w:sz w:val="30"/>
          <w:szCs w:val="30"/>
        </w:rPr>
        <w:t>年函釋將所得稅法</w:t>
      </w:r>
      <w:r w:rsidRPr="002B4D8B">
        <w:rPr>
          <w:rFonts w:hAnsi="標楷體"/>
          <w:spacing w:val="6"/>
          <w:sz w:val="30"/>
          <w:szCs w:val="30"/>
        </w:rPr>
        <w:t>第</w:t>
      </w:r>
      <w:r w:rsidRPr="002B4D8B">
        <w:rPr>
          <w:spacing w:val="6"/>
          <w:sz w:val="30"/>
          <w:szCs w:val="30"/>
        </w:rPr>
        <w:t>4</w:t>
      </w:r>
      <w:r w:rsidRPr="002B4D8B">
        <w:rPr>
          <w:rFonts w:hAnsi="標楷體"/>
          <w:spacing w:val="6"/>
          <w:sz w:val="30"/>
          <w:szCs w:val="30"/>
        </w:rPr>
        <w:t>條之</w:t>
      </w:r>
      <w:r w:rsidRPr="002B4D8B">
        <w:rPr>
          <w:spacing w:val="6"/>
          <w:sz w:val="30"/>
          <w:szCs w:val="30"/>
        </w:rPr>
        <w:t>1</w:t>
      </w:r>
      <w:r w:rsidRPr="002B4D8B">
        <w:rPr>
          <w:rFonts w:hAnsi="標楷體"/>
          <w:spacing w:val="6"/>
          <w:sz w:val="30"/>
          <w:szCs w:val="30"/>
        </w:rPr>
        <w:t>後段適用於權證之避險交易並無違反租稅法律主義（聲請人認為不可適用之</w:t>
      </w:r>
      <w:r w:rsidRPr="007B5D03">
        <w:rPr>
          <w:rFonts w:hAnsi="標楷體"/>
          <w:sz w:val="30"/>
          <w:szCs w:val="30"/>
        </w:rPr>
        <w:t>理由已如前述），則此種解釋已有違反量能課</w:t>
      </w:r>
      <w:r w:rsidRPr="002B4D8B">
        <w:rPr>
          <w:rFonts w:hAnsi="標楷體"/>
          <w:spacing w:val="6"/>
          <w:sz w:val="30"/>
          <w:szCs w:val="30"/>
        </w:rPr>
        <w:t>稅原則，並不能以所得稅法第</w:t>
      </w:r>
      <w:r w:rsidRPr="002B4D8B">
        <w:rPr>
          <w:spacing w:val="6"/>
          <w:sz w:val="30"/>
          <w:szCs w:val="30"/>
        </w:rPr>
        <w:t>4</w:t>
      </w:r>
      <w:r w:rsidRPr="002B4D8B">
        <w:rPr>
          <w:rFonts w:hAnsi="標楷體"/>
          <w:spacing w:val="6"/>
          <w:sz w:val="30"/>
          <w:szCs w:val="30"/>
        </w:rPr>
        <w:t>條之</w:t>
      </w:r>
      <w:r w:rsidRPr="002B4D8B">
        <w:rPr>
          <w:spacing w:val="6"/>
          <w:sz w:val="30"/>
          <w:szCs w:val="30"/>
        </w:rPr>
        <w:t>1</w:t>
      </w:r>
      <w:r w:rsidRPr="002B4D8B">
        <w:rPr>
          <w:rFonts w:hAnsi="標楷體"/>
          <w:spacing w:val="6"/>
          <w:sz w:val="30"/>
          <w:szCs w:val="30"/>
        </w:rPr>
        <w:t>後段之立法者有明示之租稅政策目的予以正當</w:t>
      </w:r>
      <w:r w:rsidRPr="007B5D03">
        <w:rPr>
          <w:rFonts w:hAnsi="標楷體"/>
          <w:sz w:val="30"/>
          <w:szCs w:val="30"/>
        </w:rPr>
        <w:t>化，在應稅收入對應之成本費損不得扣減應稅收入之觀點而論，其並無任何欲達成之公益目的，並非立法者真有意識加以裁量，自</w:t>
      </w:r>
      <w:r w:rsidRPr="002B4D8B">
        <w:rPr>
          <w:rFonts w:hAnsi="標楷體"/>
          <w:spacing w:val="6"/>
          <w:sz w:val="30"/>
          <w:szCs w:val="30"/>
        </w:rPr>
        <w:t>不得以所得稅法第</w:t>
      </w:r>
      <w:r w:rsidRPr="002B4D8B">
        <w:rPr>
          <w:spacing w:val="6"/>
          <w:sz w:val="30"/>
          <w:szCs w:val="30"/>
        </w:rPr>
        <w:t>4</w:t>
      </w:r>
      <w:r w:rsidRPr="002B4D8B">
        <w:rPr>
          <w:rFonts w:hAnsi="標楷體"/>
          <w:spacing w:val="6"/>
          <w:sz w:val="30"/>
          <w:szCs w:val="30"/>
        </w:rPr>
        <w:t>條之</w:t>
      </w:r>
      <w:r w:rsidRPr="002B4D8B">
        <w:rPr>
          <w:spacing w:val="6"/>
          <w:sz w:val="30"/>
          <w:szCs w:val="30"/>
        </w:rPr>
        <w:t>1</w:t>
      </w:r>
      <w:r w:rsidRPr="002B4D8B">
        <w:rPr>
          <w:rFonts w:hAnsi="標楷體"/>
          <w:spacing w:val="6"/>
          <w:sz w:val="30"/>
          <w:szCs w:val="30"/>
        </w:rPr>
        <w:t>之規定為立法裁</w:t>
      </w:r>
      <w:r w:rsidRPr="007B5D03">
        <w:rPr>
          <w:rFonts w:hAnsi="標楷體"/>
          <w:sz w:val="30"/>
          <w:szCs w:val="30"/>
        </w:rPr>
        <w:t>量，藉以合理化財政部</w:t>
      </w:r>
      <w:r w:rsidRPr="007B5D03">
        <w:rPr>
          <w:sz w:val="30"/>
          <w:szCs w:val="30"/>
        </w:rPr>
        <w:t>86</w:t>
      </w:r>
      <w:r w:rsidRPr="007B5D03">
        <w:rPr>
          <w:rFonts w:hAnsi="標楷體"/>
          <w:sz w:val="30"/>
          <w:szCs w:val="30"/>
        </w:rPr>
        <w:t>年函釋。</w:t>
      </w:r>
    </w:p>
    <w:p w:rsidR="00514426" w:rsidRPr="007B5D03" w:rsidRDefault="00514426" w:rsidP="002B4D8B">
      <w:pPr>
        <w:snapToGrid w:val="0"/>
        <w:spacing w:line="437" w:lineRule="exact"/>
        <w:ind w:left="2637" w:hanging="482"/>
        <w:rPr>
          <w:sz w:val="30"/>
          <w:szCs w:val="30"/>
        </w:rPr>
      </w:pPr>
      <w:r w:rsidRPr="007B5D03">
        <w:rPr>
          <w:sz w:val="30"/>
          <w:szCs w:val="30"/>
        </w:rPr>
        <w:t>G</w:t>
      </w:r>
      <w:r w:rsidRPr="007B5D03">
        <w:rPr>
          <w:rFonts w:hAnsi="標楷體" w:hint="eastAsia"/>
          <w:sz w:val="30"/>
          <w:szCs w:val="30"/>
        </w:rPr>
        <w:t>、</w:t>
      </w:r>
      <w:r w:rsidRPr="001F51B2">
        <w:rPr>
          <w:rFonts w:hAnsi="標楷體"/>
          <w:spacing w:val="6"/>
          <w:sz w:val="30"/>
          <w:szCs w:val="30"/>
        </w:rPr>
        <w:t>縱認為財政部</w:t>
      </w:r>
      <w:r w:rsidRPr="001F51B2">
        <w:rPr>
          <w:spacing w:val="6"/>
          <w:sz w:val="30"/>
          <w:szCs w:val="30"/>
        </w:rPr>
        <w:t>86</w:t>
      </w:r>
      <w:r w:rsidRPr="001F51B2">
        <w:rPr>
          <w:rFonts w:hAnsi="標楷體"/>
          <w:spacing w:val="6"/>
          <w:sz w:val="30"/>
          <w:szCs w:val="30"/>
        </w:rPr>
        <w:t>年函釋對於所得稅法第</w:t>
      </w:r>
      <w:r w:rsidRPr="001F51B2">
        <w:rPr>
          <w:spacing w:val="6"/>
          <w:sz w:val="30"/>
          <w:szCs w:val="30"/>
        </w:rPr>
        <w:t>4</w:t>
      </w:r>
      <w:r w:rsidRPr="007B5D03">
        <w:rPr>
          <w:rFonts w:hAnsi="標楷體"/>
          <w:sz w:val="30"/>
          <w:szCs w:val="30"/>
        </w:rPr>
        <w:t>條之</w:t>
      </w:r>
      <w:r w:rsidRPr="007B5D03">
        <w:rPr>
          <w:sz w:val="30"/>
          <w:szCs w:val="30"/>
        </w:rPr>
        <w:t>1</w:t>
      </w:r>
      <w:r w:rsidRPr="007B5D03">
        <w:rPr>
          <w:rFonts w:hAnsi="標楷體"/>
          <w:sz w:val="30"/>
          <w:szCs w:val="30"/>
        </w:rPr>
        <w:t>之解釋尚無違反租稅法律主義，然此一非立法者明確意思之解釋，聲請人認即使應適用最嚴格之審查基準，實質檢驗財政部函釋仍足以違反量能課稅及實質課稅原則。</w:t>
      </w:r>
      <w:r w:rsidRPr="001F51B2">
        <w:rPr>
          <w:rFonts w:hAnsi="標楷體"/>
          <w:spacing w:val="6"/>
          <w:sz w:val="30"/>
          <w:szCs w:val="30"/>
        </w:rPr>
        <w:t>蓋解讀財政部</w:t>
      </w:r>
      <w:r w:rsidRPr="001F51B2">
        <w:rPr>
          <w:spacing w:val="6"/>
          <w:sz w:val="30"/>
          <w:szCs w:val="30"/>
        </w:rPr>
        <w:t>86</w:t>
      </w:r>
      <w:r w:rsidRPr="001F51B2">
        <w:rPr>
          <w:rFonts w:hAnsi="標楷體"/>
          <w:spacing w:val="6"/>
          <w:sz w:val="30"/>
          <w:szCs w:val="30"/>
        </w:rPr>
        <w:t>年函釋之客觀文義即可發</w:t>
      </w:r>
      <w:r w:rsidRPr="007B5D03">
        <w:rPr>
          <w:rFonts w:hAnsi="標楷體"/>
          <w:sz w:val="30"/>
          <w:szCs w:val="30"/>
        </w:rPr>
        <w:t>現，其實財政部</w:t>
      </w:r>
      <w:r w:rsidRPr="007B5D03">
        <w:rPr>
          <w:sz w:val="30"/>
          <w:szCs w:val="30"/>
        </w:rPr>
        <w:t>86</w:t>
      </w:r>
      <w:r w:rsidRPr="007B5D03">
        <w:rPr>
          <w:rFonts w:hAnsi="標楷體"/>
          <w:sz w:val="30"/>
          <w:szCs w:val="30"/>
        </w:rPr>
        <w:t>年函釋僅是主觀地認為所</w:t>
      </w:r>
      <w:r w:rsidRPr="001F51B2">
        <w:rPr>
          <w:rFonts w:hAnsi="標楷體"/>
          <w:spacing w:val="6"/>
          <w:sz w:val="30"/>
          <w:szCs w:val="30"/>
        </w:rPr>
        <w:t>得稅法</w:t>
      </w:r>
      <w:r w:rsidRPr="001F51B2">
        <w:rPr>
          <w:rFonts w:hAnsi="標楷體"/>
          <w:spacing w:val="6"/>
          <w:sz w:val="30"/>
          <w:szCs w:val="30"/>
        </w:rPr>
        <w:lastRenderedPageBreak/>
        <w:t>第</w:t>
      </w:r>
      <w:r w:rsidRPr="001F51B2">
        <w:rPr>
          <w:spacing w:val="6"/>
          <w:sz w:val="30"/>
          <w:szCs w:val="30"/>
        </w:rPr>
        <w:t>4</w:t>
      </w:r>
      <w:r w:rsidRPr="001F51B2">
        <w:rPr>
          <w:rFonts w:hAnsi="標楷體"/>
          <w:spacing w:val="6"/>
          <w:sz w:val="30"/>
          <w:szCs w:val="30"/>
        </w:rPr>
        <w:t>條之</w:t>
      </w:r>
      <w:r w:rsidRPr="001F51B2">
        <w:rPr>
          <w:spacing w:val="6"/>
          <w:sz w:val="30"/>
          <w:szCs w:val="30"/>
        </w:rPr>
        <w:t>1</w:t>
      </w:r>
      <w:r w:rsidRPr="001F51B2">
        <w:rPr>
          <w:rFonts w:hAnsi="標楷體"/>
          <w:spacing w:val="6"/>
          <w:sz w:val="30"/>
          <w:szCs w:val="30"/>
        </w:rPr>
        <w:t>後段可單獨適用至權證避</w:t>
      </w:r>
      <w:r w:rsidRPr="007B5D03">
        <w:rPr>
          <w:rFonts w:hAnsi="標楷體"/>
          <w:sz w:val="30"/>
          <w:szCs w:val="30"/>
        </w:rPr>
        <w:t>險損失上，並認為其所為之行政釋示為法律文義之解釋，並未充分考慮到如此適用會造成之後果，對於實質課稅原則、量能課稅原則違反之衝擊，完全未予以考慮，對於立法</w:t>
      </w:r>
      <w:r w:rsidRPr="001F51B2">
        <w:rPr>
          <w:rFonts w:hAnsi="標楷體"/>
          <w:spacing w:val="6"/>
          <w:sz w:val="30"/>
          <w:szCs w:val="30"/>
        </w:rPr>
        <w:t>者在所得稅法第</w:t>
      </w:r>
      <w:r w:rsidRPr="001F51B2">
        <w:rPr>
          <w:spacing w:val="6"/>
          <w:sz w:val="30"/>
          <w:szCs w:val="30"/>
        </w:rPr>
        <w:t>4</w:t>
      </w:r>
      <w:r w:rsidRPr="001F51B2">
        <w:rPr>
          <w:rFonts w:hAnsi="標楷體"/>
          <w:spacing w:val="6"/>
          <w:sz w:val="30"/>
          <w:szCs w:val="30"/>
        </w:rPr>
        <w:t>條之</w:t>
      </w:r>
      <w:r w:rsidRPr="001F51B2">
        <w:rPr>
          <w:spacing w:val="6"/>
          <w:sz w:val="30"/>
          <w:szCs w:val="30"/>
        </w:rPr>
        <w:t>1</w:t>
      </w:r>
      <w:r w:rsidRPr="001F51B2">
        <w:rPr>
          <w:rFonts w:hAnsi="標楷體"/>
          <w:spacing w:val="6"/>
          <w:sz w:val="30"/>
          <w:szCs w:val="30"/>
        </w:rPr>
        <w:t>是否真有規範權證</w:t>
      </w:r>
      <w:r w:rsidRPr="007B5D03">
        <w:rPr>
          <w:rFonts w:hAnsi="標楷體"/>
          <w:sz w:val="30"/>
          <w:szCs w:val="30"/>
        </w:rPr>
        <w:t>避險交易部分，亦未就可能獲得之資料予以詳考，縱然不採取強烈內容審查基準，而改採一般租稅法律所應適用之可支持性審查基準，亦應認為財政部根本就沒有一個實質上違反實質課稅原則與量能課稅原則而可說得過之理由，也無法舉證證明立法者對此種財政部解釋有一個可以說得過去而可支持的理由，是財政部</w:t>
      </w:r>
      <w:r w:rsidRPr="007B5D03">
        <w:rPr>
          <w:sz w:val="30"/>
          <w:szCs w:val="30"/>
        </w:rPr>
        <w:t>86</w:t>
      </w:r>
      <w:r w:rsidRPr="007B5D03">
        <w:rPr>
          <w:rFonts w:hAnsi="標楷體"/>
          <w:sz w:val="30"/>
          <w:szCs w:val="30"/>
        </w:rPr>
        <w:t>年函釋違憲之狀態應屬可以確認。</w:t>
      </w:r>
    </w:p>
    <w:p w:rsidR="00514426" w:rsidRPr="007B5D03" w:rsidRDefault="00514426" w:rsidP="001F51B2">
      <w:pPr>
        <w:snapToGrid w:val="0"/>
        <w:spacing w:line="437" w:lineRule="exact"/>
        <w:ind w:left="2382" w:hanging="397"/>
        <w:rPr>
          <w:sz w:val="30"/>
          <w:szCs w:val="30"/>
        </w:rPr>
      </w:pPr>
      <w:r w:rsidRPr="007B5D03">
        <w:rPr>
          <w:sz w:val="30"/>
          <w:szCs w:val="30"/>
        </w:rPr>
        <w:t>(3)</w:t>
      </w:r>
      <w:r w:rsidRPr="007B5D03">
        <w:rPr>
          <w:rFonts w:hAnsi="標楷體"/>
          <w:sz w:val="30"/>
          <w:szCs w:val="30"/>
        </w:rPr>
        <w:t>客觀淨所得原則僅有在立法者有其他重大公益目的之考量下，始有退讓之可能性，亦即德國法制上所建立之量能課稅原則例外情形，立法者既無明確規範目的，財政部就必須證明其除了解釋法律文義外尚有其他重大之規範目的</w:t>
      </w:r>
    </w:p>
    <w:p w:rsidR="00514426" w:rsidRPr="007B5D03" w:rsidRDefault="00514426" w:rsidP="00D1648D">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量能</w:t>
      </w:r>
      <w:r w:rsidRPr="00D1648D">
        <w:rPr>
          <w:rFonts w:hAnsi="標楷體"/>
          <w:spacing w:val="6"/>
          <w:sz w:val="30"/>
          <w:szCs w:val="30"/>
        </w:rPr>
        <w:t>課稅</w:t>
      </w:r>
      <w:r w:rsidRPr="007B5D03">
        <w:rPr>
          <w:rFonts w:hAnsi="標楷體"/>
          <w:sz w:val="30"/>
          <w:szCs w:val="30"/>
        </w:rPr>
        <w:t>原則為稅法上之基本決定，原則上對立法者有所拘束，但客觀淨所得原則亦非不准許有例外情事，客觀淨所得原則之例外情事主要是維持整體法律秩序的統一性，不准扣除違反法律禁止規定或違反善良風俗的行為所生之費用，如其他構成刑罰或秩序罰處罰對象行為之支出、逃漏稅行為之支出或稅捐規避、賄</w:t>
      </w:r>
      <w:r w:rsidRPr="007B5D03">
        <w:rPr>
          <w:rFonts w:hAnsi="標楷體"/>
          <w:sz w:val="30"/>
          <w:szCs w:val="30"/>
        </w:rPr>
        <w:lastRenderedPageBreak/>
        <w:t>賂等支出；另外，基於簡化稽徵程序規定，例如以往德國所得稅法對於公</w:t>
      </w:r>
      <w:r w:rsidRPr="00D1648D">
        <w:rPr>
          <w:rFonts w:hAnsi="標楷體"/>
          <w:spacing w:val="6"/>
          <w:sz w:val="30"/>
          <w:szCs w:val="30"/>
        </w:rPr>
        <w:t>私混合使用之個人工作室（例如個人律師在自己住宅執行律師業務）的費用，不准全部</w:t>
      </w:r>
      <w:r w:rsidRPr="007B5D03">
        <w:rPr>
          <w:rFonts w:hAnsi="標楷體"/>
          <w:sz w:val="30"/>
          <w:szCs w:val="30"/>
        </w:rPr>
        <w:t>列舉扣除，而僅准予在每年</w:t>
      </w:r>
      <w:r w:rsidRPr="007B5D03">
        <w:rPr>
          <w:sz w:val="30"/>
          <w:szCs w:val="30"/>
        </w:rPr>
        <w:t>2,400</w:t>
      </w:r>
      <w:r w:rsidRPr="007B5D03">
        <w:rPr>
          <w:rFonts w:hAnsi="標楷體"/>
          <w:sz w:val="30"/>
          <w:szCs w:val="30"/>
        </w:rPr>
        <w:t>馬克的範圍內扣除。其理由是由於個人工作室涉及私人的生活領域，而且容易產生高度複雜的及有爭議的法律狀態，因此為避免法律上爭議，基於簡化稽徵程序的考量，而不准全部列舉</w:t>
      </w:r>
      <w:r w:rsidRPr="00D1648D">
        <w:rPr>
          <w:rFonts w:hAnsi="標楷體"/>
          <w:spacing w:val="-6"/>
          <w:sz w:val="30"/>
          <w:szCs w:val="30"/>
        </w:rPr>
        <w:t>扣除，具有正當性；再者如　鈞院釋字第</w:t>
      </w:r>
      <w:r w:rsidRPr="00D1648D">
        <w:rPr>
          <w:spacing w:val="-6"/>
          <w:sz w:val="30"/>
          <w:szCs w:val="30"/>
        </w:rPr>
        <w:t>493</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所示，不准列舉減除非課稅所得或免稅所得之必要費用（附件</w:t>
      </w:r>
      <w:r w:rsidRPr="007B5D03">
        <w:rPr>
          <w:sz w:val="30"/>
          <w:szCs w:val="30"/>
        </w:rPr>
        <w:t>2</w:t>
      </w:r>
      <w:r w:rsidRPr="007B5D03">
        <w:rPr>
          <w:rFonts w:hint="eastAsia"/>
          <w:sz w:val="30"/>
          <w:szCs w:val="30"/>
        </w:rPr>
        <w:t>8</w:t>
      </w:r>
      <w:r w:rsidRPr="007B5D03">
        <w:rPr>
          <w:rFonts w:hAnsi="標楷體"/>
          <w:sz w:val="30"/>
          <w:szCs w:val="30"/>
        </w:rPr>
        <w:t>，陳清秀，論客觀的淨額所得原則，現代稅法原理與國際稅法，頁</w:t>
      </w:r>
      <w:r w:rsidRPr="007B5D03">
        <w:rPr>
          <w:sz w:val="30"/>
          <w:szCs w:val="30"/>
        </w:rPr>
        <w:t>297</w:t>
      </w:r>
      <w:r w:rsidRPr="007B5D03">
        <w:rPr>
          <w:rFonts w:hAnsi="標楷體"/>
          <w:sz w:val="30"/>
          <w:szCs w:val="30"/>
        </w:rPr>
        <w:t>至</w:t>
      </w:r>
      <w:r w:rsidRPr="007B5D03">
        <w:rPr>
          <w:sz w:val="30"/>
          <w:szCs w:val="30"/>
        </w:rPr>
        <w:t>303</w:t>
      </w:r>
      <w:r w:rsidRPr="007B5D03">
        <w:rPr>
          <w:rFonts w:hAnsi="標楷體"/>
          <w:sz w:val="30"/>
          <w:szCs w:val="30"/>
        </w:rPr>
        <w:t>）。</w:t>
      </w:r>
    </w:p>
    <w:p w:rsidR="00514426" w:rsidRPr="007B5D03" w:rsidRDefault="00514426" w:rsidP="00D1648D">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除上揭客觀淨所得原則之例外，一般而言立法者如欲不遵循量能課稅原則、客觀淨所得原則時，應有重大公益理由，吾人認為上揭德國法制之例外，是建構在公益目的之考量上，在法益衝突時以比例原則加以調和，故在法益權衡下確立客觀淨所得原則必須退讓之例外。換言之，上開例外係量能課稅原則因公益目的或稽徵經濟而退讓之具體化，所以本件權證課稅是否亦構成量能課稅原則、客觀淨所得原則之例外，而屬於立法者之自由形成空間乙事？仍必須再予精密檢討。</w:t>
      </w:r>
    </w:p>
    <w:p w:rsidR="00514426" w:rsidRPr="007B5D03" w:rsidRDefault="00514426" w:rsidP="00D1648D">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再按，營業成本屬於最重要也最基礎之營業收入減項，其本身即與業務有必要關聯，依量能</w:t>
      </w:r>
      <w:r w:rsidRPr="007B5D03">
        <w:rPr>
          <w:rFonts w:hAnsi="標楷體"/>
          <w:sz w:val="30"/>
          <w:szCs w:val="30"/>
        </w:rPr>
        <w:lastRenderedPageBreak/>
        <w:t>課稅原則及客觀營業保障淨所得原則，一項收入之成本除事實上真無成本，否則即</w:t>
      </w:r>
      <w:r w:rsidRPr="00D1648D">
        <w:rPr>
          <w:rFonts w:hAnsi="標楷體"/>
          <w:spacing w:val="6"/>
          <w:sz w:val="30"/>
          <w:szCs w:val="30"/>
        </w:rPr>
        <w:t>便納稅義務人無法證明該項收入之成本若</w:t>
      </w:r>
      <w:r w:rsidRPr="007B5D03">
        <w:rPr>
          <w:rFonts w:hAnsi="標楷體"/>
          <w:sz w:val="30"/>
          <w:szCs w:val="30"/>
        </w:rPr>
        <w:t>干，亦應以推計課稅方式推定成本，不可能</w:t>
      </w:r>
      <w:r w:rsidRPr="00D1648D">
        <w:rPr>
          <w:rFonts w:hAnsi="標楷體"/>
          <w:spacing w:val="6"/>
          <w:sz w:val="30"/>
          <w:szCs w:val="30"/>
        </w:rPr>
        <w:t>以收入（毛所得）全額課稅，乃屬當然。例</w:t>
      </w:r>
      <w:r w:rsidRPr="007B5D03">
        <w:rPr>
          <w:rFonts w:hAnsi="標楷體"/>
          <w:sz w:val="30"/>
          <w:szCs w:val="30"/>
        </w:rPr>
        <w:t>如財政部</w:t>
      </w:r>
      <w:smartTag w:uri="urn:schemas-microsoft-com:office:smarttags" w:element="chsdate">
        <w:smartTagPr>
          <w:attr w:name="IsROCDate" w:val="False"/>
          <w:attr w:name="IsLunarDate" w:val="False"/>
          <w:attr w:name="Day" w:val="6"/>
          <w:attr w:name="Month" w:val="10"/>
          <w:attr w:name="Year" w:val="1994"/>
        </w:smartTagPr>
        <w:r w:rsidRPr="007B5D03">
          <w:rPr>
            <w:sz w:val="30"/>
            <w:szCs w:val="30"/>
          </w:rPr>
          <w:t>94</w:t>
        </w:r>
        <w:r w:rsidRPr="007B5D03">
          <w:rPr>
            <w:rFonts w:hAnsi="標楷體"/>
            <w:sz w:val="30"/>
            <w:szCs w:val="30"/>
          </w:rPr>
          <w:t>年</w:t>
        </w:r>
        <w:r w:rsidRPr="007B5D03">
          <w:rPr>
            <w:sz w:val="30"/>
            <w:szCs w:val="30"/>
          </w:rPr>
          <w:t>10</w:t>
        </w:r>
        <w:r w:rsidRPr="007B5D03">
          <w:rPr>
            <w:rFonts w:hAnsi="標楷體"/>
            <w:sz w:val="30"/>
            <w:szCs w:val="30"/>
          </w:rPr>
          <w:t>月</w:t>
        </w:r>
        <w:r w:rsidRPr="007B5D03">
          <w:rPr>
            <w:sz w:val="30"/>
            <w:szCs w:val="30"/>
          </w:rPr>
          <w:t>6</w:t>
        </w:r>
        <w:r w:rsidRPr="007B5D03">
          <w:rPr>
            <w:rFonts w:hAnsi="標楷體"/>
            <w:sz w:val="30"/>
            <w:szCs w:val="30"/>
          </w:rPr>
          <w:t>日</w:t>
        </w:r>
      </w:smartTag>
      <w:r w:rsidRPr="007B5D03">
        <w:rPr>
          <w:rFonts w:hAnsi="標楷體"/>
          <w:sz w:val="30"/>
          <w:szCs w:val="30"/>
        </w:rPr>
        <w:t>台財稅字第</w:t>
      </w:r>
      <w:r w:rsidRPr="007B5D03">
        <w:rPr>
          <w:sz w:val="30"/>
          <w:szCs w:val="30"/>
        </w:rPr>
        <w:t>09404571980</w:t>
      </w:r>
      <w:r w:rsidRPr="007B5D03">
        <w:rPr>
          <w:rFonts w:hAnsi="標楷體"/>
          <w:sz w:val="30"/>
          <w:szCs w:val="30"/>
        </w:rPr>
        <w:t>號函：「核釋公司之個人股東以</w:t>
      </w:r>
      <w:r w:rsidRPr="00D1648D">
        <w:rPr>
          <w:rFonts w:hAnsi="標楷體"/>
          <w:spacing w:val="6"/>
          <w:sz w:val="30"/>
          <w:szCs w:val="30"/>
        </w:rPr>
        <w:t>專門技術作價投資之財產交易所得計算規</w:t>
      </w:r>
      <w:r w:rsidRPr="007B5D03">
        <w:rPr>
          <w:rFonts w:hAnsi="標楷體"/>
          <w:sz w:val="30"/>
          <w:szCs w:val="30"/>
        </w:rPr>
        <w:t>定：一、</w:t>
      </w:r>
      <w:smartTag w:uri="urn:schemas-microsoft-com:office:smarttags" w:element="chsdate">
        <w:smartTagPr>
          <w:attr w:name="IsROCDate" w:val="False"/>
          <w:attr w:name="IsLunarDate" w:val="False"/>
          <w:attr w:name="Day" w:val="31"/>
          <w:attr w:name="Month" w:val="12"/>
          <w:attr w:name="Year" w:val="1992"/>
        </w:smartTagPr>
        <w:r w:rsidRPr="007B5D03">
          <w:rPr>
            <w:sz w:val="30"/>
            <w:szCs w:val="30"/>
          </w:rPr>
          <w:t>92</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以前以專門技術作價投資之案件，該專門技術財產交易所得之計算，應依本部</w:t>
      </w:r>
      <w:smartTag w:uri="urn:schemas-microsoft-com:office:smarttags" w:element="chsdate">
        <w:smartTagPr>
          <w:attr w:name="IsROCDate" w:val="False"/>
          <w:attr w:name="IsLunarDate" w:val="False"/>
          <w:attr w:name="Day" w:val="12"/>
          <w:attr w:name="Month" w:val="9"/>
          <w:attr w:name="Year" w:val="1975"/>
        </w:smartTagPr>
        <w:r w:rsidRPr="007B5D03">
          <w:rPr>
            <w:sz w:val="30"/>
            <w:szCs w:val="30"/>
          </w:rPr>
          <w:t>75</w:t>
        </w:r>
        <w:r w:rsidRPr="007B5D03">
          <w:rPr>
            <w:rFonts w:hAnsi="標楷體"/>
            <w:sz w:val="30"/>
            <w:szCs w:val="30"/>
          </w:rPr>
          <w:t>年</w:t>
        </w:r>
        <w:r w:rsidRPr="007B5D03">
          <w:rPr>
            <w:sz w:val="30"/>
            <w:szCs w:val="30"/>
          </w:rPr>
          <w:t>9</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sz w:val="30"/>
          <w:szCs w:val="30"/>
        </w:rPr>
        <w:t>台財稅第</w:t>
      </w:r>
      <w:r w:rsidRPr="00D1648D">
        <w:rPr>
          <w:spacing w:val="-6"/>
          <w:sz w:val="30"/>
          <w:szCs w:val="30"/>
        </w:rPr>
        <w:t>7564235</w:t>
      </w:r>
      <w:r w:rsidRPr="00D1648D">
        <w:rPr>
          <w:rFonts w:hAnsi="標楷體"/>
          <w:spacing w:val="-6"/>
          <w:sz w:val="30"/>
          <w:szCs w:val="30"/>
        </w:rPr>
        <w:t>號函規定辦理；至該專門技術之成本</w:t>
      </w:r>
      <w:r w:rsidRPr="007B5D03">
        <w:rPr>
          <w:rFonts w:hAnsi="標楷體"/>
          <w:sz w:val="30"/>
          <w:szCs w:val="30"/>
        </w:rPr>
        <w:t>及必要費用，納稅義務人未申報或未能提出成本、費用之證明文件者，得按股票面額之</w:t>
      </w:r>
      <w:r w:rsidRPr="007B5D03">
        <w:rPr>
          <w:sz w:val="30"/>
          <w:szCs w:val="30"/>
        </w:rPr>
        <w:t> 30 </w:t>
      </w:r>
      <w:r w:rsidRPr="007B5D03">
        <w:rPr>
          <w:rFonts w:hAnsi="標楷體"/>
          <w:sz w:val="30"/>
          <w:szCs w:val="30"/>
        </w:rPr>
        <w:t>％計算。二、</w:t>
      </w:r>
      <w:smartTag w:uri="urn:schemas-microsoft-com:office:smarttags" w:element="chsdate">
        <w:smartTagPr>
          <w:attr w:name="IsROCDate" w:val="False"/>
          <w:attr w:name="IsLunarDate" w:val="False"/>
          <w:attr w:name="Day" w:val="1"/>
          <w:attr w:name="Month" w:val="1"/>
          <w:attr w:name="Year" w:val="1993"/>
        </w:smartTagPr>
        <w:r w:rsidRPr="007B5D03">
          <w:rPr>
            <w:sz w:val="30"/>
            <w:szCs w:val="30"/>
          </w:rPr>
          <w:t>93</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7B5D03">
          <w:rPr>
            <w:rFonts w:hAnsi="標楷體"/>
            <w:sz w:val="30"/>
            <w:szCs w:val="30"/>
          </w:rPr>
          <w:t>日</w:t>
        </w:r>
      </w:smartTag>
      <w:r w:rsidRPr="007B5D03">
        <w:rPr>
          <w:rFonts w:hAnsi="標楷體"/>
          <w:sz w:val="30"/>
          <w:szCs w:val="30"/>
        </w:rPr>
        <w:t>起以專門技</w:t>
      </w:r>
      <w:r w:rsidRPr="00D1648D">
        <w:rPr>
          <w:rFonts w:hAnsi="標楷體"/>
          <w:spacing w:val="6"/>
          <w:sz w:val="30"/>
          <w:szCs w:val="30"/>
        </w:rPr>
        <w:t>術作價投資之案件，依本部</w:t>
      </w:r>
      <w:smartTag w:uri="urn:schemas-microsoft-com:office:smarttags" w:element="chsdate">
        <w:smartTagPr>
          <w:attr w:name="IsROCDate" w:val="False"/>
          <w:attr w:name="IsLunarDate" w:val="False"/>
          <w:attr w:name="Day" w:val="1"/>
          <w:attr w:name="Month" w:val="10"/>
          <w:attr w:name="Year" w:val="1992"/>
        </w:smartTagPr>
        <w:r w:rsidRPr="00D1648D">
          <w:rPr>
            <w:spacing w:val="6"/>
            <w:sz w:val="30"/>
            <w:szCs w:val="30"/>
          </w:rPr>
          <w:t>92</w:t>
        </w:r>
        <w:r w:rsidRPr="00D1648D">
          <w:rPr>
            <w:rFonts w:hAnsi="標楷體"/>
            <w:spacing w:val="6"/>
            <w:sz w:val="30"/>
            <w:szCs w:val="30"/>
          </w:rPr>
          <w:t>年</w:t>
        </w:r>
        <w:r w:rsidRPr="00D1648D">
          <w:rPr>
            <w:spacing w:val="6"/>
            <w:sz w:val="30"/>
            <w:szCs w:val="30"/>
          </w:rPr>
          <w:t>10</w:t>
        </w:r>
        <w:r w:rsidRPr="00D1648D">
          <w:rPr>
            <w:rFonts w:hAnsi="標楷體"/>
            <w:spacing w:val="6"/>
            <w:sz w:val="30"/>
            <w:szCs w:val="30"/>
          </w:rPr>
          <w:t>月</w:t>
        </w:r>
        <w:r w:rsidRPr="00D1648D">
          <w:rPr>
            <w:spacing w:val="6"/>
            <w:sz w:val="30"/>
            <w:szCs w:val="30"/>
          </w:rPr>
          <w:t>1</w:t>
        </w:r>
        <w:r w:rsidRPr="00D1648D">
          <w:rPr>
            <w:rFonts w:hAnsi="標楷體"/>
            <w:spacing w:val="6"/>
            <w:sz w:val="30"/>
            <w:szCs w:val="30"/>
          </w:rPr>
          <w:t>日</w:t>
        </w:r>
      </w:smartTag>
      <w:r w:rsidRPr="007B5D03">
        <w:rPr>
          <w:rFonts w:hAnsi="標楷體"/>
          <w:sz w:val="30"/>
          <w:szCs w:val="30"/>
        </w:rPr>
        <w:t>台財稅字第</w:t>
      </w:r>
      <w:r w:rsidRPr="007B5D03">
        <w:rPr>
          <w:sz w:val="30"/>
          <w:szCs w:val="30"/>
        </w:rPr>
        <w:t>0920455312</w:t>
      </w:r>
      <w:r w:rsidRPr="007B5D03">
        <w:rPr>
          <w:rFonts w:hAnsi="標楷體"/>
          <w:sz w:val="30"/>
          <w:szCs w:val="30"/>
        </w:rPr>
        <w:t>號令規定計算該專門技術之財產交易所得時，其屬未申報案件或未能提出成本、費用之證明文件者，該專門技術之成本及必要費用，得按作價抵充出資股款之</w:t>
      </w:r>
      <w:r w:rsidRPr="007B5D03">
        <w:rPr>
          <w:sz w:val="30"/>
          <w:szCs w:val="30"/>
        </w:rPr>
        <w:t> 30 </w:t>
      </w:r>
      <w:r w:rsidRPr="007B5D03">
        <w:rPr>
          <w:rFonts w:hAnsi="標楷體"/>
          <w:sz w:val="30"/>
          <w:szCs w:val="30"/>
        </w:rPr>
        <w:t>％計算。」所以在無法證明取得成本時，屬</w:t>
      </w:r>
      <w:smartTag w:uri="urn:schemas-microsoft-com:office:smarttags" w:element="chsdate">
        <w:smartTagPr>
          <w:attr w:name="IsROCDate" w:val="False"/>
          <w:attr w:name="IsLunarDate" w:val="False"/>
          <w:attr w:name="Day" w:val="31"/>
          <w:attr w:name="Month" w:val="12"/>
          <w:attr w:name="Year" w:val="1992"/>
        </w:smartTagPr>
        <w:r w:rsidRPr="007B5D03">
          <w:rPr>
            <w:sz w:val="30"/>
            <w:szCs w:val="30"/>
          </w:rPr>
          <w:t>92</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以前的技術作價案件，取得成本為股票面額之</w:t>
      </w:r>
      <w:r w:rsidRPr="007B5D03">
        <w:rPr>
          <w:sz w:val="30"/>
          <w:szCs w:val="30"/>
        </w:rPr>
        <w:t>30</w:t>
      </w:r>
      <w:r w:rsidRPr="007B5D03">
        <w:rPr>
          <w:rFonts w:hAnsi="標楷體"/>
          <w:sz w:val="30"/>
          <w:szCs w:val="30"/>
        </w:rPr>
        <w:t>％，屬</w:t>
      </w:r>
      <w:smartTag w:uri="urn:schemas-microsoft-com:office:smarttags" w:element="chsdate">
        <w:smartTagPr>
          <w:attr w:name="IsROCDate" w:val="False"/>
          <w:attr w:name="IsLunarDate" w:val="False"/>
          <w:attr w:name="Day" w:val="1"/>
          <w:attr w:name="Month" w:val="1"/>
          <w:attr w:name="Year" w:val="1993"/>
        </w:smartTagPr>
        <w:r w:rsidRPr="007B5D03">
          <w:rPr>
            <w:sz w:val="30"/>
            <w:szCs w:val="30"/>
          </w:rPr>
          <w:t>93</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7B5D03">
          <w:rPr>
            <w:rFonts w:hAnsi="標楷體"/>
            <w:sz w:val="30"/>
            <w:szCs w:val="30"/>
          </w:rPr>
          <w:t>日</w:t>
        </w:r>
      </w:smartTag>
      <w:r w:rsidRPr="007B5D03">
        <w:rPr>
          <w:rFonts w:hAnsi="標楷體"/>
          <w:sz w:val="30"/>
          <w:szCs w:val="30"/>
        </w:rPr>
        <w:t>後的技術作價案件，其取得成本為抵充股款的</w:t>
      </w:r>
      <w:r w:rsidRPr="007B5D03">
        <w:rPr>
          <w:sz w:val="30"/>
          <w:szCs w:val="30"/>
        </w:rPr>
        <w:t>30</w:t>
      </w:r>
      <w:r w:rsidRPr="007B5D03">
        <w:rPr>
          <w:rFonts w:hAnsi="標楷體"/>
          <w:sz w:val="30"/>
          <w:szCs w:val="30"/>
        </w:rPr>
        <w:t>％，最高行政法院</w:t>
      </w:r>
      <w:r w:rsidRPr="007B5D03">
        <w:rPr>
          <w:sz w:val="30"/>
          <w:szCs w:val="30"/>
        </w:rPr>
        <w:t>96</w:t>
      </w:r>
      <w:r w:rsidRPr="007B5D03">
        <w:rPr>
          <w:rFonts w:hAnsi="標楷體"/>
          <w:sz w:val="30"/>
          <w:szCs w:val="30"/>
        </w:rPr>
        <w:t>年度判字第</w:t>
      </w:r>
      <w:r w:rsidRPr="007B5D03">
        <w:rPr>
          <w:sz w:val="30"/>
          <w:szCs w:val="30"/>
        </w:rPr>
        <w:t>406</w:t>
      </w:r>
      <w:r w:rsidRPr="007B5D03">
        <w:rPr>
          <w:rFonts w:hAnsi="標楷體"/>
          <w:sz w:val="30"/>
          <w:szCs w:val="30"/>
        </w:rPr>
        <w:t>號判決（附件</w:t>
      </w:r>
      <w:r w:rsidRPr="007B5D03">
        <w:rPr>
          <w:sz w:val="30"/>
          <w:szCs w:val="30"/>
        </w:rPr>
        <w:t>3</w:t>
      </w:r>
      <w:r w:rsidRPr="007B5D03">
        <w:rPr>
          <w:rFonts w:hint="eastAsia"/>
          <w:sz w:val="30"/>
          <w:szCs w:val="30"/>
        </w:rPr>
        <w:t>3</w:t>
      </w:r>
      <w:r w:rsidRPr="007B5D03">
        <w:rPr>
          <w:rFonts w:hAnsi="標楷體"/>
          <w:sz w:val="30"/>
          <w:szCs w:val="30"/>
        </w:rPr>
        <w:t>）認為：「最後當上訴人不能證明上開成本費用之支出時，被上訴人</w:t>
      </w:r>
      <w:r w:rsidRPr="007B5D03">
        <w:rPr>
          <w:rFonts w:hAnsi="標楷體"/>
          <w:sz w:val="30"/>
          <w:szCs w:val="30"/>
        </w:rPr>
        <w:lastRenderedPageBreak/>
        <w:t>是否有強制其設算之義務產生，及其設算方式為何之爭議，則本院認為：</w:t>
      </w:r>
      <w:r w:rsidRPr="007B5D03">
        <w:rPr>
          <w:sz w:val="30"/>
          <w:szCs w:val="30"/>
        </w:rPr>
        <w:t>(1)</w:t>
      </w:r>
      <w:r w:rsidRPr="007B5D03">
        <w:rPr>
          <w:rFonts w:hAnsi="標楷體"/>
          <w:sz w:val="30"/>
          <w:szCs w:val="30"/>
        </w:rPr>
        <w:t>此點雖然所得稅法沒有通案性之規定，但依相關之法規命令或行政規則與以往之行政先例，原則上認為稅捐稽徵機關有此義務。但因社會變遷而發生的新交易案型中，如果行政機關未能適時擬定此等設算準則，在實務上應命行政機關擬定，再為本案之審理。</w:t>
      </w:r>
      <w:r w:rsidRPr="007B5D03">
        <w:rPr>
          <w:sz w:val="30"/>
          <w:szCs w:val="30"/>
        </w:rPr>
        <w:t>(2)</w:t>
      </w:r>
      <w:r w:rsidRPr="007B5D03">
        <w:rPr>
          <w:rFonts w:hAnsi="標楷體"/>
          <w:sz w:val="30"/>
          <w:szCs w:val="30"/>
        </w:rPr>
        <w:t>另外目前稅</w:t>
      </w:r>
      <w:r w:rsidRPr="00D1648D">
        <w:rPr>
          <w:rFonts w:hAnsi="標楷體"/>
          <w:spacing w:val="6"/>
          <w:sz w:val="30"/>
          <w:szCs w:val="30"/>
        </w:rPr>
        <w:t>捐稽徵機關所擬定之準則均過於齊一、僵</w:t>
      </w:r>
      <w:r w:rsidRPr="007B5D03">
        <w:rPr>
          <w:rFonts w:hAnsi="標楷體"/>
          <w:sz w:val="30"/>
          <w:szCs w:val="30"/>
        </w:rPr>
        <w:t>化，未能斟酌個案之差異性，在立法論上，宜以通案式之抽象準則劃定固定範圍，但留給承</w:t>
      </w:r>
      <w:r w:rsidRPr="007B5D03">
        <w:rPr>
          <w:rFonts w:hAnsi="標楷體" w:hint="eastAsia"/>
          <w:sz w:val="30"/>
          <w:szCs w:val="30"/>
        </w:rPr>
        <w:t>辦</w:t>
      </w:r>
      <w:r w:rsidRPr="007B5D03">
        <w:rPr>
          <w:rFonts w:hAnsi="標楷體"/>
          <w:sz w:val="30"/>
          <w:szCs w:val="30"/>
        </w:rPr>
        <w:t>公務員個案調整之機會，此等設算規則方屬適當。</w:t>
      </w:r>
      <w:r w:rsidRPr="007B5D03">
        <w:rPr>
          <w:sz w:val="30"/>
          <w:szCs w:val="30"/>
        </w:rPr>
        <w:t>(3)</w:t>
      </w:r>
      <w:r w:rsidRPr="007B5D03">
        <w:rPr>
          <w:rFonts w:hAnsi="標楷體"/>
          <w:sz w:val="30"/>
          <w:szCs w:val="30"/>
        </w:rPr>
        <w:t>而針對類似本案事實，以技術換得股份之案例，財政部曾於</w:t>
      </w:r>
      <w:smartTag w:uri="urn:schemas-microsoft-com:office:smarttags" w:element="chsdate">
        <w:smartTagPr>
          <w:attr w:name="IsROCDate" w:val="False"/>
          <w:attr w:name="IsLunarDate" w:val="False"/>
          <w:attr w:name="Day" w:val="6"/>
          <w:attr w:name="Month" w:val="10"/>
          <w:attr w:name="Year" w:val="1994"/>
        </w:smartTagPr>
        <w:r w:rsidRPr="007B5D03">
          <w:rPr>
            <w:sz w:val="30"/>
            <w:szCs w:val="30"/>
          </w:rPr>
          <w:t>94</w:t>
        </w:r>
        <w:r w:rsidRPr="007B5D03">
          <w:rPr>
            <w:rFonts w:hAnsi="標楷體"/>
            <w:sz w:val="30"/>
            <w:szCs w:val="30"/>
          </w:rPr>
          <w:t>年</w:t>
        </w:r>
        <w:r w:rsidRPr="007B5D03">
          <w:rPr>
            <w:sz w:val="30"/>
            <w:szCs w:val="30"/>
          </w:rPr>
          <w:t>10</w:t>
        </w:r>
        <w:r w:rsidRPr="007B5D03">
          <w:rPr>
            <w:rFonts w:hAnsi="標楷體"/>
            <w:sz w:val="30"/>
            <w:szCs w:val="30"/>
          </w:rPr>
          <w:t>月</w:t>
        </w:r>
        <w:r w:rsidRPr="007B5D03">
          <w:rPr>
            <w:sz w:val="30"/>
            <w:szCs w:val="30"/>
          </w:rPr>
          <w:t>6</w:t>
        </w:r>
        <w:r w:rsidRPr="007B5D03">
          <w:rPr>
            <w:rFonts w:hAnsi="標楷體"/>
            <w:sz w:val="30"/>
            <w:szCs w:val="30"/>
          </w:rPr>
          <w:t>日</w:t>
        </w:r>
      </w:smartTag>
      <w:r w:rsidRPr="007B5D03">
        <w:rPr>
          <w:rFonts w:hAnsi="標楷體"/>
          <w:sz w:val="30"/>
          <w:szCs w:val="30"/>
        </w:rPr>
        <w:t>作成台財稅</w:t>
      </w:r>
      <w:r w:rsidRPr="007B5D03">
        <w:rPr>
          <w:rFonts w:hAnsi="標楷體" w:hint="eastAsia"/>
          <w:sz w:val="30"/>
          <w:szCs w:val="30"/>
        </w:rPr>
        <w:t>字</w:t>
      </w:r>
      <w:r w:rsidRPr="007B5D03">
        <w:rPr>
          <w:rFonts w:hAnsi="標楷體"/>
          <w:sz w:val="30"/>
          <w:szCs w:val="30"/>
        </w:rPr>
        <w:t>第</w:t>
      </w:r>
      <w:r w:rsidRPr="007B5D03">
        <w:rPr>
          <w:sz w:val="30"/>
          <w:szCs w:val="30"/>
        </w:rPr>
        <w:t>09404571980</w:t>
      </w:r>
      <w:r w:rsidRPr="007B5D03">
        <w:rPr>
          <w:rFonts w:hAnsi="標楷體"/>
          <w:sz w:val="30"/>
          <w:szCs w:val="30"/>
        </w:rPr>
        <w:t>號函，其函</w:t>
      </w:r>
      <w:r w:rsidRPr="00D1648D">
        <w:rPr>
          <w:rFonts w:hAnsi="標楷體"/>
          <w:spacing w:val="6"/>
          <w:sz w:val="30"/>
          <w:szCs w:val="30"/>
        </w:rPr>
        <w:t>釋意旨已指明：專門技術之成本及必要費</w:t>
      </w:r>
      <w:r w:rsidRPr="007B5D03">
        <w:rPr>
          <w:rFonts w:hAnsi="標楷體"/>
          <w:sz w:val="30"/>
          <w:szCs w:val="30"/>
        </w:rPr>
        <w:t>用，納稅義務人未申報或未能提出成本、費</w:t>
      </w:r>
      <w:r w:rsidRPr="00D1648D">
        <w:rPr>
          <w:rFonts w:hAnsi="標楷體"/>
          <w:spacing w:val="6"/>
          <w:sz w:val="30"/>
          <w:szCs w:val="30"/>
        </w:rPr>
        <w:t>用之證明文件者，得按股票面額之</w:t>
      </w:r>
      <w:r w:rsidRPr="00D1648D">
        <w:rPr>
          <w:spacing w:val="6"/>
          <w:sz w:val="30"/>
          <w:szCs w:val="30"/>
        </w:rPr>
        <w:t>30%</w:t>
      </w:r>
      <w:r w:rsidRPr="00D1648D">
        <w:rPr>
          <w:rFonts w:hAnsi="標楷體"/>
          <w:spacing w:val="6"/>
          <w:sz w:val="30"/>
          <w:szCs w:val="30"/>
        </w:rPr>
        <w:t>計算。」足見在技術作價案例中，亦不能認為</w:t>
      </w:r>
      <w:r w:rsidRPr="007B5D03">
        <w:rPr>
          <w:rFonts w:hAnsi="標楷體"/>
          <w:sz w:val="30"/>
          <w:szCs w:val="30"/>
        </w:rPr>
        <w:t>技術人無償取得股票而全額加以課稅，即便納稅義務人無法證明取得成本，稽徵機關亦必須以推計課稅方式扣除其取得成本，此乃本於客觀營業保障淨所得原則所當然。</w:t>
      </w:r>
    </w:p>
    <w:p w:rsidR="00514426" w:rsidRPr="007B5D03" w:rsidRDefault="00514426" w:rsidP="00D1648D">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在權證課稅案件之爭議中，是否立法者真有</w:t>
      </w:r>
      <w:r w:rsidRPr="00D1648D">
        <w:rPr>
          <w:rFonts w:hAnsi="標楷體"/>
          <w:spacing w:val="6"/>
          <w:sz w:val="30"/>
          <w:szCs w:val="30"/>
        </w:rPr>
        <w:t>意以所得稅法第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後段之單獨適用而</w:t>
      </w:r>
      <w:r w:rsidRPr="007B5D03">
        <w:rPr>
          <w:rFonts w:hAnsi="標楷體"/>
          <w:sz w:val="30"/>
          <w:szCs w:val="30"/>
        </w:rPr>
        <w:t>作為量能課稅原則之例外？學者陳清秀認為有</w:t>
      </w:r>
      <w:r w:rsidRPr="007B5D03">
        <w:rPr>
          <w:rFonts w:hAnsi="標楷體"/>
          <w:sz w:val="30"/>
          <w:szCs w:val="30"/>
        </w:rPr>
        <w:lastRenderedPageBreak/>
        <w:t>關一項成本費用是否得認為係為獲得收入的經濟活動而為支出之成本費用，應依據實質課稅原則，以經濟觀察法加以判斷，亦即該項支出與獲得收入之經濟活動間有無實質上的、經濟上關</w:t>
      </w:r>
      <w:r w:rsidRPr="007B5D03">
        <w:rPr>
          <w:rFonts w:hAnsi="標楷體" w:hint="eastAsia"/>
          <w:sz w:val="30"/>
          <w:szCs w:val="30"/>
        </w:rPr>
        <w:t>聯</w:t>
      </w:r>
      <w:r w:rsidRPr="007B5D03">
        <w:rPr>
          <w:rFonts w:hAnsi="標楷體"/>
          <w:sz w:val="30"/>
          <w:szCs w:val="30"/>
        </w:rPr>
        <w:t>性而定。準此見解，避險交易損失依據其經濟實質，應為發行權證活動業務所為避免風險之成本費用，其證券交易損失屬於發行權證之業務風險範圍內所發生者，依據前述風險負擔應認列必要費用之法理，應准予列報必要費用扣除。故以整體</w:t>
      </w:r>
      <w:r w:rsidRPr="00D1648D">
        <w:rPr>
          <w:rFonts w:hAnsi="標楷體"/>
          <w:spacing w:val="6"/>
          <w:sz w:val="30"/>
          <w:szCs w:val="30"/>
        </w:rPr>
        <w:t>觀察法較能掌握發行權證之經濟活動之內</w:t>
      </w:r>
      <w:r w:rsidRPr="007B5D03">
        <w:rPr>
          <w:rFonts w:hAnsi="標楷體"/>
          <w:sz w:val="30"/>
          <w:szCs w:val="30"/>
        </w:rPr>
        <w:t>涵，並按照其實質淨額所得課稅，也較為符合量能課稅原則，其貫徹收入與成本費用配合原則，以實現客觀淨額所得課稅原則，應屬於較符合事件本質的合理性的觀點。是在發行權證納稅</w:t>
      </w:r>
      <w:r w:rsidRPr="007B5D03">
        <w:rPr>
          <w:rFonts w:hAnsi="標楷體" w:hint="eastAsia"/>
          <w:sz w:val="30"/>
          <w:szCs w:val="30"/>
        </w:rPr>
        <w:t>義務</w:t>
      </w:r>
      <w:r w:rsidRPr="007B5D03">
        <w:rPr>
          <w:rFonts w:hAnsi="標楷體"/>
          <w:sz w:val="30"/>
          <w:szCs w:val="30"/>
        </w:rPr>
        <w:t>人所為避險證券交易的類</w:t>
      </w:r>
      <w:r w:rsidRPr="00D1648D">
        <w:rPr>
          <w:rFonts w:hAnsi="標楷體"/>
          <w:spacing w:val="6"/>
          <w:sz w:val="30"/>
          <w:szCs w:val="30"/>
        </w:rPr>
        <w:t>型情形，應就所得稅法第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規定的適用範圍進行目的性限縮，排除不適用之（附</w:t>
      </w:r>
      <w:r w:rsidRPr="007B5D03">
        <w:rPr>
          <w:rFonts w:hAnsi="標楷體"/>
          <w:sz w:val="30"/>
          <w:szCs w:val="30"/>
        </w:rPr>
        <w:t>件</w:t>
      </w:r>
      <w:r w:rsidRPr="007B5D03">
        <w:rPr>
          <w:sz w:val="30"/>
          <w:szCs w:val="30"/>
        </w:rPr>
        <w:t>2</w:t>
      </w:r>
      <w:r w:rsidRPr="007B5D03">
        <w:rPr>
          <w:rFonts w:hint="eastAsia"/>
          <w:sz w:val="30"/>
          <w:szCs w:val="30"/>
        </w:rPr>
        <w:t>8</w:t>
      </w:r>
      <w:r w:rsidRPr="007B5D03">
        <w:rPr>
          <w:rFonts w:hAnsi="標楷體"/>
          <w:sz w:val="30"/>
          <w:szCs w:val="30"/>
        </w:rPr>
        <w:t>，陳清秀，論客觀的淨額所得原則，現代稅法原理與國際稅法，頁</w:t>
      </w:r>
      <w:r w:rsidRPr="007B5D03">
        <w:rPr>
          <w:sz w:val="30"/>
          <w:szCs w:val="30"/>
        </w:rPr>
        <w:t>303</w:t>
      </w:r>
      <w:r w:rsidRPr="007B5D03">
        <w:rPr>
          <w:rFonts w:hAnsi="標楷體"/>
          <w:sz w:val="30"/>
          <w:szCs w:val="30"/>
        </w:rPr>
        <w:t>至</w:t>
      </w:r>
      <w:r w:rsidRPr="007B5D03">
        <w:rPr>
          <w:sz w:val="30"/>
          <w:szCs w:val="30"/>
        </w:rPr>
        <w:t>306</w:t>
      </w:r>
      <w:r w:rsidRPr="007B5D03">
        <w:rPr>
          <w:rFonts w:hAnsi="標楷體"/>
          <w:sz w:val="30"/>
          <w:szCs w:val="30"/>
        </w:rPr>
        <w:t>）。</w:t>
      </w:r>
    </w:p>
    <w:p w:rsidR="00514426" w:rsidRPr="007B5D03" w:rsidRDefault="00514426" w:rsidP="00D1648D">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D1648D">
        <w:rPr>
          <w:rFonts w:hAnsi="標楷體"/>
          <w:spacing w:val="6"/>
          <w:sz w:val="30"/>
          <w:szCs w:val="30"/>
        </w:rPr>
        <w:t>末按「演變式的體系違反」是指那種由社會</w:t>
      </w:r>
      <w:r w:rsidRPr="007B5D03">
        <w:rPr>
          <w:rFonts w:hAnsi="標楷體"/>
          <w:sz w:val="30"/>
          <w:szCs w:val="30"/>
        </w:rPr>
        <w:t>的、經濟的、科技的變遷，所產生的新事務所引起之矛盾。這些事務由於並未為當時立法者所預見，而未被規範，這種立法者在制定法律時未出現的生活事實，在規範上需要不被滿足時，即會構成法律漏洞。此種事後法律體系違</w:t>
      </w:r>
      <w:r w:rsidRPr="007B5D03">
        <w:rPr>
          <w:rFonts w:hAnsi="標楷體"/>
          <w:sz w:val="30"/>
          <w:szCs w:val="30"/>
        </w:rPr>
        <w:lastRenderedPageBreak/>
        <w:t>反，仍構成平等原則之違背，必須進行適當之法律補充（附件</w:t>
      </w:r>
      <w:r w:rsidRPr="007B5D03">
        <w:rPr>
          <w:sz w:val="30"/>
          <w:szCs w:val="30"/>
        </w:rPr>
        <w:t>15</w:t>
      </w:r>
      <w:r w:rsidRPr="007B5D03">
        <w:rPr>
          <w:rFonts w:hAnsi="標楷體"/>
          <w:sz w:val="30"/>
          <w:szCs w:val="30"/>
        </w:rPr>
        <w:t>，黃茂榮，法學方法與現代民法，頁</w:t>
      </w:r>
      <w:r w:rsidRPr="007B5D03">
        <w:rPr>
          <w:sz w:val="30"/>
          <w:szCs w:val="30"/>
        </w:rPr>
        <w:t>385</w:t>
      </w:r>
      <w:r w:rsidRPr="007B5D03">
        <w:rPr>
          <w:rFonts w:hAnsi="標楷體"/>
          <w:sz w:val="30"/>
          <w:szCs w:val="30"/>
        </w:rPr>
        <w:t>至</w:t>
      </w:r>
      <w:r w:rsidRPr="007B5D03">
        <w:rPr>
          <w:sz w:val="30"/>
          <w:szCs w:val="30"/>
        </w:rPr>
        <w:t>387</w:t>
      </w:r>
      <w:r w:rsidRPr="007B5D03">
        <w:rPr>
          <w:rFonts w:hAnsi="標楷體"/>
          <w:sz w:val="30"/>
          <w:szCs w:val="30"/>
        </w:rPr>
        <w:t>）。所得</w:t>
      </w:r>
      <w:r w:rsidRPr="00D1648D">
        <w:rPr>
          <w:rFonts w:hAnsi="標楷體"/>
          <w:spacing w:val="6"/>
          <w:sz w:val="30"/>
          <w:szCs w:val="30"/>
        </w:rPr>
        <w:t>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停徵證券交易所得稅以及免</w:t>
      </w:r>
      <w:r w:rsidRPr="007B5D03">
        <w:rPr>
          <w:rFonts w:hAnsi="標楷體"/>
          <w:sz w:val="30"/>
          <w:szCs w:val="30"/>
        </w:rPr>
        <w:t>稅損失不得減除之規定，當時之財政部長郭婉容主要係因立法院考量延續獎勵投資條例時代，為健全資本市場之發展，停徵證券交易所得稅之政策，加上證券交易所得稅稽徵困難等原因（附件</w:t>
      </w:r>
      <w:r w:rsidRPr="007B5D03">
        <w:rPr>
          <w:sz w:val="30"/>
          <w:szCs w:val="30"/>
        </w:rPr>
        <w:t>3</w:t>
      </w:r>
      <w:r w:rsidRPr="007B5D03">
        <w:rPr>
          <w:rFonts w:hint="eastAsia"/>
          <w:sz w:val="30"/>
          <w:szCs w:val="30"/>
        </w:rPr>
        <w:t>4</w:t>
      </w:r>
      <w:r w:rsidRPr="007B5D03">
        <w:rPr>
          <w:rFonts w:hAnsi="標楷體"/>
          <w:sz w:val="30"/>
          <w:szCs w:val="30"/>
        </w:rPr>
        <w:t>，立法院公報第</w:t>
      </w:r>
      <w:r w:rsidRPr="007B5D03">
        <w:rPr>
          <w:sz w:val="30"/>
          <w:szCs w:val="30"/>
        </w:rPr>
        <w:t>79</w:t>
      </w:r>
      <w:r w:rsidRPr="007B5D03">
        <w:rPr>
          <w:rFonts w:hAnsi="標楷體"/>
          <w:sz w:val="30"/>
          <w:szCs w:val="30"/>
        </w:rPr>
        <w:t>卷第</w:t>
      </w:r>
      <w:r w:rsidRPr="007B5D03">
        <w:rPr>
          <w:sz w:val="30"/>
          <w:szCs w:val="30"/>
        </w:rPr>
        <w:t>59</w:t>
      </w:r>
      <w:r w:rsidRPr="007B5D03">
        <w:rPr>
          <w:rFonts w:hAnsi="標楷體"/>
          <w:sz w:val="30"/>
          <w:szCs w:val="30"/>
        </w:rPr>
        <w:t>期，頁</w:t>
      </w:r>
      <w:r w:rsidRPr="007B5D03">
        <w:rPr>
          <w:sz w:val="30"/>
          <w:szCs w:val="30"/>
        </w:rPr>
        <w:t>30</w:t>
      </w:r>
      <w:r w:rsidRPr="007B5D03">
        <w:rPr>
          <w:rFonts w:hAnsi="標楷體"/>
          <w:sz w:val="30"/>
          <w:szCs w:val="30"/>
        </w:rPr>
        <w:t>至</w:t>
      </w:r>
      <w:r w:rsidRPr="007B5D03">
        <w:rPr>
          <w:sz w:val="30"/>
          <w:szCs w:val="30"/>
        </w:rPr>
        <w:t>31</w:t>
      </w:r>
      <w:r w:rsidRPr="007B5D03">
        <w:rPr>
          <w:rFonts w:hAnsi="標楷體"/>
          <w:sz w:val="30"/>
          <w:szCs w:val="30"/>
        </w:rPr>
        <w:t>），始在所得稅法增訂停徵之法源依據，此一例外規定應作嚴格解釋，不論其適用對人民或國庫有利或不利。所得</w:t>
      </w:r>
      <w:r w:rsidRPr="00D1648D">
        <w:rPr>
          <w:rFonts w:hAnsi="標楷體"/>
          <w:spacing w:val="6"/>
          <w:sz w:val="30"/>
          <w:szCs w:val="30"/>
        </w:rPr>
        <w:t>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停徵證所稅之例外規定是為</w:t>
      </w:r>
      <w:r w:rsidRPr="007B5D03">
        <w:rPr>
          <w:rFonts w:hAnsi="標楷體"/>
          <w:sz w:val="30"/>
          <w:szCs w:val="30"/>
        </w:rPr>
        <w:t>健全資本市場發展之目的（　鈞院釋字第</w:t>
      </w:r>
      <w:r w:rsidRPr="007B5D03">
        <w:rPr>
          <w:sz w:val="30"/>
          <w:szCs w:val="30"/>
        </w:rPr>
        <w:t>565</w:t>
      </w:r>
      <w:r w:rsidRPr="007B5D03">
        <w:rPr>
          <w:rFonts w:hAnsi="標楷體"/>
          <w:sz w:val="30"/>
          <w:szCs w:val="30"/>
        </w:rPr>
        <w:t>號解釋參照），就權證課稅的時點而言，認購權證此種金融商品的創新乃至於獲得准許發行已是民國</w:t>
      </w:r>
      <w:r w:rsidRPr="007B5D03">
        <w:rPr>
          <w:sz w:val="30"/>
          <w:szCs w:val="30"/>
        </w:rPr>
        <w:t>86</w:t>
      </w:r>
      <w:r w:rsidRPr="007B5D03">
        <w:rPr>
          <w:rFonts w:hAnsi="標楷體"/>
          <w:sz w:val="30"/>
          <w:szCs w:val="30"/>
        </w:rPr>
        <w:t>年，也就是所得稅法第</w:t>
      </w:r>
      <w:r w:rsidRPr="007B5D03">
        <w:rPr>
          <w:sz w:val="30"/>
          <w:szCs w:val="30"/>
        </w:rPr>
        <w:t>4</w:t>
      </w:r>
      <w:r w:rsidRPr="007B5D03">
        <w:rPr>
          <w:rFonts w:hAnsi="標楷體"/>
          <w:sz w:val="30"/>
          <w:szCs w:val="30"/>
        </w:rPr>
        <w:t>條之</w:t>
      </w:r>
      <w:r w:rsidRPr="00D1648D">
        <w:rPr>
          <w:spacing w:val="6"/>
          <w:sz w:val="30"/>
          <w:szCs w:val="30"/>
        </w:rPr>
        <w:t>1</w:t>
      </w:r>
      <w:r w:rsidRPr="00D1648D">
        <w:rPr>
          <w:rFonts w:hAnsi="標楷體"/>
          <w:spacing w:val="6"/>
          <w:sz w:val="30"/>
          <w:szCs w:val="30"/>
        </w:rPr>
        <w:t>增訂</w:t>
      </w:r>
      <w:r w:rsidRPr="00D1648D">
        <w:rPr>
          <w:spacing w:val="6"/>
          <w:sz w:val="30"/>
          <w:szCs w:val="30"/>
        </w:rPr>
        <w:t>8</w:t>
      </w:r>
      <w:r w:rsidRPr="00D1648D">
        <w:rPr>
          <w:rFonts w:hAnsi="標楷體"/>
          <w:spacing w:val="6"/>
          <w:sz w:val="30"/>
          <w:szCs w:val="30"/>
        </w:rPr>
        <w:t>年之後的事。故而自所得稅法第</w:t>
      </w:r>
      <w:r w:rsidRPr="00D1648D">
        <w:rPr>
          <w:spacing w:val="6"/>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規定稅上免計證券交易損益乃係基於</w:t>
      </w:r>
      <w:r w:rsidRPr="00D1648D">
        <w:rPr>
          <w:rFonts w:hAnsi="標楷體"/>
          <w:spacing w:val="6"/>
          <w:sz w:val="30"/>
          <w:szCs w:val="30"/>
        </w:rPr>
        <w:t>股票市場之規範，在立法者之主觀認識（歷</w:t>
      </w:r>
      <w:r w:rsidRPr="00D1648D">
        <w:rPr>
          <w:rFonts w:hAnsi="標楷體"/>
          <w:spacing w:val="10"/>
          <w:sz w:val="30"/>
          <w:szCs w:val="30"/>
        </w:rPr>
        <w:t>史解釋）及自客觀意義認識其立法目的而</w:t>
      </w:r>
      <w:r w:rsidRPr="007B5D03">
        <w:rPr>
          <w:rFonts w:hAnsi="標楷體"/>
          <w:sz w:val="30"/>
          <w:szCs w:val="30"/>
        </w:rPr>
        <w:t>言，立法者並未料想到未來發展出之衍生性金融商品，此亦為所得稅法提案者財政部所自承（請參考前財政部長林全之發言），然而此一新金融商品之發展對社會經濟影響卻是與日俱增，當有規範上之需要，此即屬於演變式之體系違反，如以既有所得稅法第</w:t>
      </w:r>
      <w:r w:rsidRPr="007B5D03">
        <w:rPr>
          <w:sz w:val="30"/>
          <w:szCs w:val="30"/>
        </w:rPr>
        <w:t>4</w:t>
      </w:r>
      <w:r w:rsidRPr="007B5D03">
        <w:rPr>
          <w:rFonts w:hAnsi="標楷體"/>
          <w:sz w:val="30"/>
          <w:szCs w:val="30"/>
        </w:rPr>
        <w:lastRenderedPageBreak/>
        <w:t>條</w:t>
      </w:r>
      <w:r w:rsidRPr="00D1648D">
        <w:rPr>
          <w:rFonts w:hAnsi="標楷體"/>
          <w:spacing w:val="6"/>
          <w:sz w:val="30"/>
          <w:szCs w:val="30"/>
        </w:rPr>
        <w:t>之</w:t>
      </w:r>
      <w:r w:rsidRPr="00D1648D">
        <w:rPr>
          <w:spacing w:val="6"/>
          <w:sz w:val="30"/>
          <w:szCs w:val="30"/>
        </w:rPr>
        <w:t>1</w:t>
      </w:r>
      <w:r w:rsidRPr="00D1648D">
        <w:rPr>
          <w:rFonts w:hAnsi="標楷體"/>
          <w:spacing w:val="6"/>
          <w:sz w:val="30"/>
          <w:szCs w:val="30"/>
        </w:rPr>
        <w:t>加以規範，不僅所得稅法第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之</w:t>
      </w:r>
      <w:r w:rsidRPr="007B5D03">
        <w:rPr>
          <w:rFonts w:hAnsi="標楷體"/>
          <w:sz w:val="30"/>
          <w:szCs w:val="30"/>
        </w:rPr>
        <w:t>規定應以例外規定從嚴解釋之原則認定，其意旨僅限於對免稅收入之成本費用部分，在適用上已不包含權證交易，詳如前述。</w:t>
      </w:r>
    </w:p>
    <w:p w:rsidR="00514426" w:rsidRPr="007B5D03" w:rsidRDefault="00514426" w:rsidP="00D1648D">
      <w:pPr>
        <w:snapToGrid w:val="0"/>
        <w:spacing w:line="437" w:lineRule="exact"/>
        <w:ind w:left="2637"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是以</w:t>
      </w:r>
      <w:r w:rsidRPr="00D1648D">
        <w:rPr>
          <w:rFonts w:hAnsi="標楷體"/>
          <w:spacing w:val="6"/>
          <w:sz w:val="30"/>
          <w:szCs w:val="30"/>
        </w:rPr>
        <w:t>權證</w:t>
      </w:r>
      <w:r w:rsidRPr="007B5D03">
        <w:rPr>
          <w:rFonts w:hAnsi="標楷體"/>
          <w:sz w:val="30"/>
          <w:szCs w:val="30"/>
        </w:rPr>
        <w:t>交易十分明確地並非立法者於制定</w:t>
      </w:r>
      <w:r w:rsidRPr="00D1648D">
        <w:rPr>
          <w:rFonts w:hAnsi="標楷體"/>
          <w:spacing w:val="6"/>
          <w:sz w:val="30"/>
          <w:szCs w:val="30"/>
        </w:rPr>
        <w:t>所得稅法第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時，即已預料到有此種</w:t>
      </w:r>
      <w:r w:rsidRPr="007B5D03">
        <w:rPr>
          <w:rFonts w:hAnsi="標楷體"/>
          <w:sz w:val="30"/>
          <w:szCs w:val="30"/>
        </w:rPr>
        <w:t>與一般證券交易型態迥異之金融商品，所得</w:t>
      </w:r>
      <w:r w:rsidRPr="00D1648D">
        <w:rPr>
          <w:rFonts w:hAnsi="標楷體"/>
          <w:spacing w:val="6"/>
          <w:sz w:val="30"/>
          <w:szCs w:val="30"/>
        </w:rPr>
        <w:t>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之立法目的僅在對於免稅所</w:t>
      </w:r>
      <w:r w:rsidRPr="007B5D03">
        <w:rPr>
          <w:rFonts w:hAnsi="標楷體"/>
          <w:sz w:val="30"/>
          <w:szCs w:val="30"/>
        </w:rPr>
        <w:t>得所對應之費損不得自應稅收入扣減，其構成前述不准列舉減除非課稅所得或免稅所得之必要費用之客觀淨所得原則例外情形，除此而外，並無就應稅收入對應之避險損失亦否准扣減應稅收入之規範意旨。從而，財政部</w:t>
      </w:r>
      <w:r w:rsidRPr="007B5D03">
        <w:rPr>
          <w:sz w:val="30"/>
          <w:szCs w:val="30"/>
        </w:rPr>
        <w:t>86</w:t>
      </w:r>
      <w:r w:rsidRPr="007B5D03">
        <w:rPr>
          <w:rFonts w:hAnsi="標楷體"/>
          <w:sz w:val="30"/>
          <w:szCs w:val="30"/>
        </w:rPr>
        <w:t>年函釋認為權證避險交易損失部分應適</w:t>
      </w:r>
      <w:r w:rsidRPr="00D1648D">
        <w:rPr>
          <w:rFonts w:hAnsi="標楷體"/>
          <w:spacing w:val="6"/>
          <w:sz w:val="30"/>
          <w:szCs w:val="30"/>
        </w:rPr>
        <w:t>用所得稅法第</w:t>
      </w:r>
      <w:r w:rsidRPr="00D1648D">
        <w:rPr>
          <w:spacing w:val="6"/>
          <w:sz w:val="30"/>
          <w:szCs w:val="30"/>
        </w:rPr>
        <w:t>4</w:t>
      </w:r>
      <w:r w:rsidRPr="00D1648D">
        <w:rPr>
          <w:rFonts w:hAnsi="標楷體"/>
          <w:spacing w:val="6"/>
          <w:sz w:val="30"/>
          <w:szCs w:val="30"/>
        </w:rPr>
        <w:t>條之</w:t>
      </w:r>
      <w:r w:rsidRPr="00D1648D">
        <w:rPr>
          <w:spacing w:val="6"/>
          <w:sz w:val="30"/>
          <w:szCs w:val="30"/>
        </w:rPr>
        <w:t>1</w:t>
      </w:r>
      <w:r w:rsidRPr="00D1648D">
        <w:rPr>
          <w:rFonts w:hAnsi="標楷體"/>
          <w:spacing w:val="6"/>
          <w:sz w:val="30"/>
          <w:szCs w:val="30"/>
        </w:rPr>
        <w:t>之規定，此絕非有一</w:t>
      </w:r>
      <w:r w:rsidRPr="007B5D03">
        <w:rPr>
          <w:rFonts w:hAnsi="標楷體"/>
          <w:sz w:val="30"/>
          <w:szCs w:val="30"/>
        </w:rPr>
        <w:t>正當公益目的或稽徵經濟原則可排除客觀淨所得原則之適用。惟查最高行政法院確定判</w:t>
      </w:r>
      <w:r w:rsidRPr="00F608EA">
        <w:rPr>
          <w:rFonts w:hAnsi="標楷體"/>
          <w:spacing w:val="6"/>
          <w:sz w:val="30"/>
          <w:szCs w:val="30"/>
        </w:rPr>
        <w:t>決未詳細審究所得稅法第</w:t>
      </w:r>
      <w:r w:rsidRPr="00F608EA">
        <w:rPr>
          <w:spacing w:val="6"/>
          <w:sz w:val="30"/>
          <w:szCs w:val="30"/>
        </w:rPr>
        <w:t>4</w:t>
      </w:r>
      <w:r w:rsidRPr="00F608EA">
        <w:rPr>
          <w:rFonts w:hAnsi="標楷體"/>
          <w:spacing w:val="6"/>
          <w:sz w:val="30"/>
          <w:szCs w:val="30"/>
        </w:rPr>
        <w:t>條之</w:t>
      </w:r>
      <w:r w:rsidRPr="00F608EA">
        <w:rPr>
          <w:spacing w:val="6"/>
          <w:sz w:val="30"/>
          <w:szCs w:val="30"/>
        </w:rPr>
        <w:t>1</w:t>
      </w:r>
      <w:r w:rsidRPr="00F608EA">
        <w:rPr>
          <w:rFonts w:hAnsi="標楷體"/>
          <w:spacing w:val="6"/>
          <w:sz w:val="30"/>
          <w:szCs w:val="30"/>
        </w:rPr>
        <w:t>究竟有何</w:t>
      </w:r>
      <w:r w:rsidRPr="007B5D03">
        <w:rPr>
          <w:rFonts w:hAnsi="標楷體"/>
          <w:sz w:val="30"/>
          <w:szCs w:val="30"/>
        </w:rPr>
        <w:t>規範目的，逕行認為立法者對於何項費用應予認列有其形成空間，忽略量能課稅之違反必須要有比其更堅強之公益目的，始能構成量能課稅原則、客觀淨所得原則之例外。敢</w:t>
      </w:r>
      <w:r w:rsidRPr="00F608EA">
        <w:rPr>
          <w:rFonts w:hAnsi="標楷體"/>
          <w:spacing w:val="6"/>
          <w:sz w:val="30"/>
          <w:szCs w:val="30"/>
        </w:rPr>
        <w:t>問所得稅法第</w:t>
      </w:r>
      <w:r w:rsidRPr="00F608EA">
        <w:rPr>
          <w:spacing w:val="6"/>
          <w:sz w:val="30"/>
          <w:szCs w:val="30"/>
        </w:rPr>
        <w:t>4</w:t>
      </w:r>
      <w:r w:rsidRPr="00F608EA">
        <w:rPr>
          <w:rFonts w:hAnsi="標楷體"/>
          <w:spacing w:val="6"/>
          <w:sz w:val="30"/>
          <w:szCs w:val="30"/>
        </w:rPr>
        <w:t>條之</w:t>
      </w:r>
      <w:r w:rsidRPr="00F608EA">
        <w:rPr>
          <w:spacing w:val="6"/>
          <w:sz w:val="30"/>
          <w:szCs w:val="30"/>
        </w:rPr>
        <w:t>1</w:t>
      </w:r>
      <w:r w:rsidRPr="00F608EA">
        <w:rPr>
          <w:rFonts w:hAnsi="標楷體"/>
          <w:spacing w:val="6"/>
          <w:sz w:val="30"/>
          <w:szCs w:val="30"/>
        </w:rPr>
        <w:t>能夠找出應稅收入對</w:t>
      </w:r>
      <w:r w:rsidRPr="007B5D03">
        <w:rPr>
          <w:rFonts w:hAnsi="標楷體"/>
          <w:sz w:val="30"/>
          <w:szCs w:val="30"/>
        </w:rPr>
        <w:t>應之成本費用不准認列之規範目的乎？毋寧是立法者基於促進投資目的而獎勵證券交易所得免稅，惟基於所得稅法第</w:t>
      </w:r>
      <w:r w:rsidRPr="007B5D03">
        <w:rPr>
          <w:sz w:val="30"/>
          <w:szCs w:val="30"/>
        </w:rPr>
        <w:t>24</w:t>
      </w:r>
      <w:r w:rsidRPr="007B5D03">
        <w:rPr>
          <w:rFonts w:hAnsi="標楷體"/>
          <w:sz w:val="30"/>
          <w:szCs w:val="30"/>
        </w:rPr>
        <w:t>條之配合原則規定，於後段增</w:t>
      </w:r>
      <w:r w:rsidRPr="007B5D03">
        <w:rPr>
          <w:rFonts w:hAnsi="標楷體"/>
          <w:sz w:val="30"/>
          <w:szCs w:val="30"/>
        </w:rPr>
        <w:lastRenderedPageBreak/>
        <w:t>加免稅收入對應之費損不得自應稅收入中扣除，豈有反而要求屬應稅收入成本費用之避險損失不得自權利金中扣除，造成阻礙金融投資市場發展之副作用？是財政部</w:t>
      </w:r>
      <w:r w:rsidRPr="007B5D03">
        <w:rPr>
          <w:sz w:val="30"/>
          <w:szCs w:val="30"/>
        </w:rPr>
        <w:t>86</w:t>
      </w:r>
      <w:r w:rsidRPr="007B5D03">
        <w:rPr>
          <w:rFonts w:hAnsi="標楷體"/>
          <w:sz w:val="30"/>
          <w:szCs w:val="30"/>
        </w:rPr>
        <w:t>年函釋並尋無任何公益目的可作為違反量能課稅原則、客觀淨所得原則之正當化依據。</w:t>
      </w:r>
    </w:p>
    <w:p w:rsidR="00514426" w:rsidRPr="007B5D03" w:rsidRDefault="00514426" w:rsidP="00D1648D">
      <w:pPr>
        <w:snapToGrid w:val="0"/>
        <w:spacing w:line="437" w:lineRule="exact"/>
        <w:ind w:left="2637" w:hanging="482"/>
        <w:rPr>
          <w:sz w:val="30"/>
          <w:szCs w:val="30"/>
        </w:rPr>
      </w:pPr>
      <w:r w:rsidRPr="007B5D03">
        <w:rPr>
          <w:sz w:val="30"/>
          <w:szCs w:val="30"/>
        </w:rPr>
        <w:t>G</w:t>
      </w:r>
      <w:r w:rsidRPr="007B5D03">
        <w:rPr>
          <w:rFonts w:hAnsi="標楷體" w:hint="eastAsia"/>
          <w:sz w:val="30"/>
          <w:szCs w:val="30"/>
        </w:rPr>
        <w:t>、</w:t>
      </w:r>
      <w:r w:rsidRPr="007B5D03">
        <w:rPr>
          <w:rFonts w:hAnsi="標楷體"/>
          <w:sz w:val="30"/>
          <w:szCs w:val="30"/>
        </w:rPr>
        <w:t>詎料，本案臺北高等行政法院確定判決以如受捐贈收入、補償費收入、利息收入及認購權證之權利金收入等，其收入性質本無成本費用，或費用金額相對微小，形成收入與所得金額相近或對毛收入課稅之結果云云，支持適用財政部</w:t>
      </w:r>
      <w:r w:rsidRPr="007B5D03">
        <w:rPr>
          <w:sz w:val="30"/>
          <w:szCs w:val="30"/>
        </w:rPr>
        <w:t>86</w:t>
      </w:r>
      <w:r w:rsidRPr="007B5D03">
        <w:rPr>
          <w:rFonts w:hAnsi="標楷體"/>
          <w:sz w:val="30"/>
          <w:szCs w:val="30"/>
        </w:rPr>
        <w:t>年函釋結果雖造成權利金毛所得課稅現象，仍無違法、違憲，然而此一見解顯將本質上無成本費用之捐贈收入一併納入討論，已不足取；又補償費收入得扣減取得成本，此觀　鈞院</w:t>
      </w:r>
      <w:r w:rsidRPr="007B5D03">
        <w:rPr>
          <w:rFonts w:hAnsi="標楷體" w:hint="eastAsia"/>
          <w:sz w:val="30"/>
          <w:szCs w:val="30"/>
        </w:rPr>
        <w:t>釋字</w:t>
      </w:r>
      <w:r w:rsidRPr="007B5D03">
        <w:rPr>
          <w:rFonts w:hAnsi="標楷體"/>
          <w:sz w:val="30"/>
          <w:szCs w:val="30"/>
        </w:rPr>
        <w:t>第</w:t>
      </w:r>
      <w:r w:rsidRPr="007B5D03">
        <w:rPr>
          <w:sz w:val="30"/>
          <w:szCs w:val="30"/>
        </w:rPr>
        <w:t>607</w:t>
      </w:r>
      <w:r w:rsidRPr="007B5D03">
        <w:rPr>
          <w:rFonts w:hAnsi="標楷體"/>
          <w:sz w:val="30"/>
          <w:szCs w:val="30"/>
        </w:rPr>
        <w:t>號解釋合憲之財政部</w:t>
      </w:r>
      <w:smartTag w:uri="urn:schemas-microsoft-com:office:smarttags" w:element="chsdate">
        <w:smartTagPr>
          <w:attr w:name="IsROCDate" w:val="False"/>
          <w:attr w:name="IsLunarDate" w:val="False"/>
          <w:attr w:name="Day" w:val="16"/>
          <w:attr w:name="Month" w:val="8"/>
          <w:attr w:name="Year" w:val="1984"/>
        </w:smartTagPr>
        <w:r w:rsidRPr="007B5D03">
          <w:rPr>
            <w:sz w:val="30"/>
            <w:szCs w:val="30"/>
          </w:rPr>
          <w:t>84</w:t>
        </w:r>
        <w:r w:rsidRPr="007B5D03">
          <w:rPr>
            <w:rFonts w:hAnsi="標楷體"/>
            <w:sz w:val="30"/>
            <w:szCs w:val="30"/>
          </w:rPr>
          <w:t>年</w:t>
        </w:r>
        <w:r w:rsidRPr="007B5D03">
          <w:rPr>
            <w:sz w:val="30"/>
            <w:szCs w:val="30"/>
          </w:rPr>
          <w:t>8</w:t>
        </w:r>
        <w:r w:rsidRPr="007B5D03">
          <w:rPr>
            <w:rFonts w:hAnsi="標楷體"/>
            <w:sz w:val="30"/>
            <w:szCs w:val="30"/>
          </w:rPr>
          <w:t>月</w:t>
        </w:r>
        <w:r w:rsidRPr="007B5D03">
          <w:rPr>
            <w:sz w:val="30"/>
            <w:szCs w:val="30"/>
          </w:rPr>
          <w:t>16</w:t>
        </w:r>
        <w:r w:rsidRPr="007B5D03">
          <w:rPr>
            <w:rFonts w:hAnsi="標楷體"/>
            <w:sz w:val="30"/>
            <w:szCs w:val="30"/>
          </w:rPr>
          <w:t>日</w:t>
        </w:r>
      </w:smartTag>
      <w:r w:rsidRPr="007B5D03">
        <w:rPr>
          <w:rFonts w:hAnsi="標楷體"/>
          <w:sz w:val="30"/>
          <w:szCs w:val="30"/>
        </w:rPr>
        <w:t>台財稅第</w:t>
      </w:r>
      <w:r w:rsidRPr="007B5D03">
        <w:rPr>
          <w:sz w:val="30"/>
          <w:szCs w:val="30"/>
        </w:rPr>
        <w:t>841641639</w:t>
      </w:r>
      <w:r w:rsidRPr="007B5D03">
        <w:rPr>
          <w:rFonts w:hAnsi="標楷體"/>
          <w:sz w:val="30"/>
          <w:szCs w:val="30"/>
        </w:rPr>
        <w:t>號函「營利事業因政府舉辦公共工程或市地重劃，依拆遷補償辦法規定領取之各項補償費應列為其他收入，其必要成本及</w:t>
      </w:r>
      <w:r w:rsidRPr="00F608EA">
        <w:rPr>
          <w:rFonts w:hAnsi="標楷體"/>
          <w:spacing w:val="6"/>
          <w:sz w:val="30"/>
          <w:szCs w:val="30"/>
        </w:rPr>
        <w:t>相關費用准予一併核實認定」自明，並無本</w:t>
      </w:r>
      <w:r w:rsidRPr="007B5D03">
        <w:rPr>
          <w:rFonts w:hAnsi="標楷體"/>
          <w:sz w:val="30"/>
          <w:szCs w:val="30"/>
        </w:rPr>
        <w:t>質上真有成本而不准認列之立法規定，是以本案確定判決用以支持財政部</w:t>
      </w:r>
      <w:r w:rsidRPr="007B5D03">
        <w:rPr>
          <w:sz w:val="30"/>
          <w:szCs w:val="30"/>
        </w:rPr>
        <w:t>86</w:t>
      </w:r>
      <w:r w:rsidRPr="007B5D03">
        <w:rPr>
          <w:rFonts w:hAnsi="標楷體"/>
          <w:sz w:val="30"/>
          <w:szCs w:val="30"/>
        </w:rPr>
        <w:t>年函釋之論據，當屬無稽，亦見其違反量能課稅原則、客觀營業保障淨所得原則。</w:t>
      </w:r>
    </w:p>
    <w:p w:rsidR="00514426" w:rsidRPr="007B5D03" w:rsidRDefault="00514426" w:rsidP="00D1648D">
      <w:pPr>
        <w:snapToGrid w:val="0"/>
        <w:spacing w:line="437" w:lineRule="exact"/>
        <w:ind w:left="2637" w:hanging="482"/>
        <w:rPr>
          <w:sz w:val="30"/>
          <w:szCs w:val="30"/>
        </w:rPr>
      </w:pPr>
      <w:r w:rsidRPr="007B5D03">
        <w:rPr>
          <w:sz w:val="30"/>
          <w:szCs w:val="30"/>
        </w:rPr>
        <w:t>H</w:t>
      </w:r>
      <w:r w:rsidRPr="007B5D03">
        <w:rPr>
          <w:rFonts w:hAnsi="標楷體" w:hint="eastAsia"/>
          <w:sz w:val="30"/>
          <w:szCs w:val="30"/>
        </w:rPr>
        <w:t>、</w:t>
      </w:r>
      <w:r w:rsidRPr="007B5D03">
        <w:rPr>
          <w:rFonts w:hAnsi="標楷體"/>
          <w:sz w:val="30"/>
          <w:szCs w:val="30"/>
        </w:rPr>
        <w:t>附帶一言者，如承認避險交易損失得自權利金中扣除時，是否有租稅規避情事，而構成客觀</w:t>
      </w:r>
      <w:r w:rsidRPr="007B5D03">
        <w:rPr>
          <w:rFonts w:hAnsi="標楷體"/>
          <w:sz w:val="30"/>
          <w:szCs w:val="30"/>
        </w:rPr>
        <w:lastRenderedPageBreak/>
        <w:t>淨所得原則之例外？避險交易既然屬於證券主管機關所發布之法令強行規定要求，並非得任由券商為一般以獲利為目的之證券交易操作，況且避險交易亦須顧慮投資人於到期時請求交付標的股票，亦不可能不維持一定數量之標的股票，故在事實上亦不太可能發生藉避險操作之名，行證券交易獲利之實。且其避險措施方案係在國際通行避險標準（國際通用之避險交易公式</w:t>
      </w:r>
      <w:r w:rsidRPr="007B5D03">
        <w:rPr>
          <w:sz w:val="30"/>
          <w:szCs w:val="30"/>
        </w:rPr>
        <w:t>(Black and Scholes Model)</w:t>
      </w:r>
      <w:r w:rsidRPr="007B5D03">
        <w:rPr>
          <w:rFonts w:hAnsi="標楷體"/>
          <w:sz w:val="30"/>
          <w:szCs w:val="30"/>
        </w:rPr>
        <w:t>及避險交易實務</w:t>
      </w:r>
      <w:r w:rsidRPr="007B5D03">
        <w:rPr>
          <w:sz w:val="30"/>
          <w:szCs w:val="30"/>
        </w:rPr>
        <w:t>(delta hedge)</w:t>
      </w:r>
      <w:r w:rsidRPr="007B5D03">
        <w:rPr>
          <w:rFonts w:hAnsi="標楷體"/>
          <w:sz w:val="30"/>
          <w:szCs w:val="30"/>
        </w:rPr>
        <w:t>）之範圍內為之，並經證券主管機關核准後始得辦理，並非可由證券商任意浮濫為之，因此，從經濟上觀點而論，也具有經濟上之合理性與必要性，並不必擔心發生稅捐規避之流弊。</w:t>
      </w:r>
    </w:p>
    <w:p w:rsidR="00514426" w:rsidRPr="007B5D03" w:rsidRDefault="00514426" w:rsidP="00D1648D">
      <w:pPr>
        <w:snapToGrid w:val="0"/>
        <w:spacing w:line="437" w:lineRule="exact"/>
        <w:ind w:left="2637" w:hanging="482"/>
        <w:rPr>
          <w:sz w:val="30"/>
          <w:szCs w:val="30"/>
        </w:rPr>
      </w:pPr>
      <w:r w:rsidRPr="007B5D03">
        <w:rPr>
          <w:sz w:val="30"/>
          <w:szCs w:val="30"/>
        </w:rPr>
        <w:t>I</w:t>
      </w:r>
      <w:r w:rsidRPr="007B5D03">
        <w:rPr>
          <w:rFonts w:hAnsi="標楷體" w:hint="eastAsia"/>
          <w:sz w:val="30"/>
          <w:szCs w:val="30"/>
        </w:rPr>
        <w:t>、</w:t>
      </w:r>
      <w:r w:rsidRPr="007B5D03">
        <w:rPr>
          <w:rFonts w:hAnsi="標楷體"/>
          <w:sz w:val="30"/>
          <w:szCs w:val="30"/>
        </w:rPr>
        <w:t>倘若仍擔心證券商透過避險交易損失費用之扣除，有可能發生浮濫規避稅捐情事，亦即</w:t>
      </w:r>
      <w:r w:rsidRPr="00F608EA">
        <w:rPr>
          <w:rFonts w:hAnsi="標楷體"/>
          <w:spacing w:val="6"/>
          <w:sz w:val="30"/>
          <w:szCs w:val="30"/>
        </w:rPr>
        <w:t>如考量「發行人雖設立避險專戶，惟其自營</w:t>
      </w:r>
      <w:r w:rsidRPr="007B5D03">
        <w:rPr>
          <w:rFonts w:hAnsi="標楷體"/>
          <w:sz w:val="30"/>
          <w:szCs w:val="30"/>
        </w:rPr>
        <w:t>部門仍可買賣與避險標的相同之有價證券或期貨；為避免發行人透過交易安排，將自營部門依法不可扣除之證券交易損失或期貨交</w:t>
      </w:r>
      <w:r w:rsidRPr="00F608EA">
        <w:rPr>
          <w:rFonts w:hAnsi="標楷體"/>
          <w:spacing w:val="6"/>
          <w:sz w:val="30"/>
          <w:szCs w:val="30"/>
        </w:rPr>
        <w:t>易損失，轉換為認購（售）權證避險交易之損失而得以減除」之稅捐規避情事，亦可透</w:t>
      </w:r>
      <w:r w:rsidRPr="007B5D03">
        <w:rPr>
          <w:rFonts w:hAnsi="標楷體"/>
          <w:sz w:val="30"/>
          <w:szCs w:val="30"/>
        </w:rPr>
        <w:t>過稽徵機關進行查核勾稽以核實確認屬於避險交易之損失，始准扣除。又在本案中，因為當時法令規定，從事認購權證之證券商，其自營部門在發行認購權證之期間，不得買賣標的股票，故</w:t>
      </w:r>
      <w:r w:rsidRPr="007B5D03">
        <w:rPr>
          <w:rFonts w:hAnsi="標楷體"/>
          <w:sz w:val="30"/>
          <w:szCs w:val="30"/>
        </w:rPr>
        <w:lastRenderedPageBreak/>
        <w:t>在發行認購權證之始，所有自營部門之股票都要結轉至認購權證發行部門。所以本來不會發生二部門間費用帳目不清之問題。此外，縱然認為有稅捐規避之顧慮，亦可參考修正所得稅法第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第</w:t>
      </w:r>
      <w:r w:rsidRPr="007B5D03">
        <w:rPr>
          <w:sz w:val="30"/>
          <w:szCs w:val="30"/>
        </w:rPr>
        <w:t>1</w:t>
      </w:r>
      <w:r w:rsidRPr="007B5D03">
        <w:rPr>
          <w:rFonts w:hAnsi="標楷體"/>
          <w:sz w:val="30"/>
          <w:szCs w:val="30"/>
        </w:rPr>
        <w:t>項但書規定：「但基於風險管理而買賣經目的</w:t>
      </w:r>
      <w:r w:rsidRPr="00F608EA">
        <w:rPr>
          <w:rFonts w:hAnsi="標楷體"/>
          <w:spacing w:val="6"/>
          <w:sz w:val="30"/>
          <w:szCs w:val="30"/>
        </w:rPr>
        <w:t>事業主管機關核可之認購（售）權證與標的</w:t>
      </w:r>
      <w:r w:rsidRPr="007B5D03">
        <w:rPr>
          <w:rFonts w:hAnsi="標楷體"/>
          <w:sz w:val="30"/>
          <w:szCs w:val="30"/>
        </w:rPr>
        <w:t>有價證券之交易損失及買賣依期貨交易稅條例課徵期貨交易稅之期貨之交易損失，超過</w:t>
      </w:r>
      <w:r w:rsidRPr="00F608EA">
        <w:rPr>
          <w:rFonts w:hAnsi="標楷體"/>
          <w:spacing w:val="6"/>
          <w:sz w:val="30"/>
          <w:szCs w:val="30"/>
        </w:rPr>
        <w:t>發行認購（售）權證權利金收入減除各項相關發行成本與費用後之餘額部分，不得減除。」對於避險交易損失的扣除加以</w:t>
      </w:r>
      <w:r w:rsidRPr="00F608EA">
        <w:rPr>
          <w:rFonts w:hAnsi="標楷體" w:hint="eastAsia"/>
          <w:spacing w:val="6"/>
          <w:sz w:val="30"/>
          <w:szCs w:val="30"/>
        </w:rPr>
        <w:t>適當性</w:t>
      </w:r>
      <w:r w:rsidRPr="007B5D03">
        <w:rPr>
          <w:rFonts w:hAnsi="標楷體" w:hint="eastAsia"/>
          <w:sz w:val="30"/>
          <w:szCs w:val="30"/>
        </w:rPr>
        <w:t>或目的性之限制</w:t>
      </w:r>
      <w:r w:rsidRPr="007B5D03">
        <w:rPr>
          <w:rFonts w:hAnsi="標楷體"/>
          <w:sz w:val="30"/>
          <w:szCs w:val="30"/>
        </w:rPr>
        <w:t>，即足以達到目的。而不得因噎廢食，完全禁止避險交易損失作為費用扣除。故以整體觀察較能掌握發行權證之經</w:t>
      </w:r>
      <w:r w:rsidRPr="00490186">
        <w:rPr>
          <w:rFonts w:hAnsi="標楷體"/>
          <w:spacing w:val="6"/>
          <w:sz w:val="30"/>
          <w:szCs w:val="30"/>
        </w:rPr>
        <w:t>濟活動之內涵，並按照其實質淨額所得課</w:t>
      </w:r>
      <w:r w:rsidRPr="007B5D03">
        <w:rPr>
          <w:rFonts w:hAnsi="標楷體"/>
          <w:sz w:val="30"/>
          <w:szCs w:val="30"/>
        </w:rPr>
        <w:t>稅，以實現客觀淨額所得課稅原則，應屬於較符合事件本質的合理性的觀點（</w:t>
      </w:r>
      <w:r w:rsidRPr="007B5D03">
        <w:rPr>
          <w:rFonts w:hAnsi="標楷體"/>
          <w:sz w:val="30"/>
          <w:szCs w:val="30"/>
          <w:shd w:val="clear" w:color="auto" w:fill="FFFFFF"/>
        </w:rPr>
        <w:t>附件</w:t>
      </w:r>
      <w:r w:rsidRPr="007B5D03">
        <w:rPr>
          <w:sz w:val="30"/>
          <w:szCs w:val="30"/>
          <w:shd w:val="clear" w:color="auto" w:fill="FFFFFF"/>
        </w:rPr>
        <w:t>3</w:t>
      </w:r>
      <w:r w:rsidRPr="007B5D03">
        <w:rPr>
          <w:rFonts w:hint="eastAsia"/>
          <w:sz w:val="30"/>
          <w:szCs w:val="30"/>
          <w:shd w:val="clear" w:color="auto" w:fill="FFFFFF"/>
        </w:rPr>
        <w:t>5</w:t>
      </w:r>
      <w:r w:rsidRPr="007B5D03">
        <w:rPr>
          <w:rFonts w:hAnsi="標楷體" w:hint="eastAsia"/>
          <w:sz w:val="30"/>
          <w:szCs w:val="30"/>
        </w:rPr>
        <w:t>，</w:t>
      </w:r>
      <w:r w:rsidRPr="007B5D03">
        <w:rPr>
          <w:rFonts w:hAnsi="標楷體"/>
          <w:sz w:val="30"/>
          <w:szCs w:val="30"/>
        </w:rPr>
        <w:t>黃士洲，權證官司二審敗訴簡評</w:t>
      </w:r>
      <w:r w:rsidRPr="007B5D03">
        <w:rPr>
          <w:sz w:val="30"/>
          <w:szCs w:val="30"/>
        </w:rPr>
        <w:t>—</w:t>
      </w:r>
      <w:r w:rsidRPr="007B5D03">
        <w:rPr>
          <w:rFonts w:hAnsi="標楷體"/>
          <w:sz w:val="30"/>
          <w:szCs w:val="30"/>
        </w:rPr>
        <w:t>最高行政</w:t>
      </w:r>
      <w:r w:rsidRPr="00490186">
        <w:rPr>
          <w:rFonts w:hAnsi="標楷體"/>
          <w:spacing w:val="6"/>
          <w:sz w:val="30"/>
          <w:szCs w:val="30"/>
        </w:rPr>
        <w:t>法院</w:t>
      </w:r>
      <w:r w:rsidRPr="00490186">
        <w:rPr>
          <w:spacing w:val="6"/>
          <w:sz w:val="30"/>
          <w:szCs w:val="30"/>
        </w:rPr>
        <w:t>95</w:t>
      </w:r>
      <w:r w:rsidRPr="00490186">
        <w:rPr>
          <w:rFonts w:hAnsi="標楷體"/>
          <w:spacing w:val="6"/>
          <w:sz w:val="30"/>
          <w:szCs w:val="30"/>
        </w:rPr>
        <w:t>年判字第</w:t>
      </w:r>
      <w:r w:rsidRPr="00490186">
        <w:rPr>
          <w:spacing w:val="6"/>
          <w:sz w:val="30"/>
          <w:szCs w:val="30"/>
        </w:rPr>
        <w:t>2206</w:t>
      </w:r>
      <w:r w:rsidRPr="00490186">
        <w:rPr>
          <w:rFonts w:hAnsi="標楷體"/>
          <w:spacing w:val="6"/>
          <w:sz w:val="30"/>
          <w:szCs w:val="30"/>
        </w:rPr>
        <w:t>號判決評析，稅務旬</w:t>
      </w:r>
      <w:r w:rsidRPr="007B5D03">
        <w:rPr>
          <w:rFonts w:hAnsi="標楷體"/>
          <w:sz w:val="30"/>
          <w:szCs w:val="30"/>
        </w:rPr>
        <w:t>刊，</w:t>
      </w:r>
      <w:r w:rsidRPr="007B5D03">
        <w:rPr>
          <w:sz w:val="30"/>
          <w:szCs w:val="30"/>
        </w:rPr>
        <w:t>1994</w:t>
      </w:r>
      <w:r w:rsidRPr="007B5D03">
        <w:rPr>
          <w:rFonts w:hAnsi="標楷體"/>
          <w:sz w:val="30"/>
          <w:szCs w:val="30"/>
        </w:rPr>
        <w:t>期，</w:t>
      </w:r>
      <w:r w:rsidRPr="007B5D03">
        <w:rPr>
          <w:sz w:val="30"/>
          <w:szCs w:val="30"/>
        </w:rPr>
        <w:t>2007</w:t>
      </w:r>
      <w:r w:rsidRPr="007B5D03">
        <w:rPr>
          <w:rFonts w:hAnsi="標楷體"/>
          <w:sz w:val="30"/>
          <w:szCs w:val="30"/>
        </w:rPr>
        <w:t>年</w:t>
      </w:r>
      <w:r w:rsidRPr="007B5D03">
        <w:rPr>
          <w:sz w:val="30"/>
          <w:szCs w:val="30"/>
        </w:rPr>
        <w:t>2</w:t>
      </w:r>
      <w:r w:rsidRPr="007B5D03">
        <w:rPr>
          <w:rFonts w:hAnsi="標楷體"/>
          <w:sz w:val="30"/>
          <w:szCs w:val="30"/>
        </w:rPr>
        <w:t>月，頁</w:t>
      </w:r>
      <w:r w:rsidRPr="007B5D03">
        <w:rPr>
          <w:sz w:val="30"/>
          <w:szCs w:val="30"/>
        </w:rPr>
        <w:t>7</w:t>
      </w:r>
      <w:r w:rsidRPr="007B5D03">
        <w:rPr>
          <w:rFonts w:hAnsi="標楷體"/>
          <w:sz w:val="30"/>
          <w:szCs w:val="30"/>
        </w:rPr>
        <w:t>以下）。</w:t>
      </w:r>
    </w:p>
    <w:p w:rsidR="00514426" w:rsidRPr="007B5D03" w:rsidRDefault="00514426" w:rsidP="00D1648D">
      <w:pPr>
        <w:snapToGrid w:val="0"/>
        <w:spacing w:line="437" w:lineRule="exact"/>
        <w:ind w:left="2354" w:hanging="369"/>
        <w:rPr>
          <w:sz w:val="30"/>
          <w:szCs w:val="30"/>
        </w:rPr>
      </w:pPr>
      <w:r w:rsidRPr="007B5D03">
        <w:rPr>
          <w:sz w:val="30"/>
          <w:szCs w:val="30"/>
        </w:rPr>
        <w:t>(4)</w:t>
      </w:r>
      <w:r w:rsidRPr="007B5D03">
        <w:rPr>
          <w:rFonts w:hAnsi="標楷體"/>
          <w:sz w:val="30"/>
          <w:szCs w:val="30"/>
        </w:rPr>
        <w:t>財政部</w:t>
      </w:r>
      <w:r w:rsidRPr="007B5D03">
        <w:rPr>
          <w:sz w:val="30"/>
          <w:szCs w:val="30"/>
        </w:rPr>
        <w:t>86</w:t>
      </w:r>
      <w:r w:rsidRPr="007B5D03">
        <w:rPr>
          <w:rFonts w:hAnsi="標楷體"/>
          <w:sz w:val="30"/>
          <w:szCs w:val="30"/>
        </w:rPr>
        <w:t>年函釋未遵守合憲性解釋選取適當之解釋，有違量能課稅原則、租稅公平原則</w:t>
      </w:r>
    </w:p>
    <w:p w:rsidR="00514426" w:rsidRPr="007B5D03" w:rsidRDefault="00514426" w:rsidP="00490186">
      <w:pPr>
        <w:snapToGrid w:val="0"/>
        <w:spacing w:line="437" w:lineRule="exact"/>
        <w:ind w:left="2325" w:firstLine="329"/>
        <w:rPr>
          <w:sz w:val="30"/>
          <w:szCs w:val="30"/>
        </w:rPr>
      </w:pPr>
      <w:r w:rsidRPr="007B5D03">
        <w:rPr>
          <w:rFonts w:hAnsi="標楷體"/>
          <w:sz w:val="30"/>
          <w:szCs w:val="30"/>
        </w:rPr>
        <w:t>當法律解釋有二個以上可能性者，應選擇不違反憲法之解釋，此即為法學方法中之合憲性解釋原則，依前揭　鈞院釋字第</w:t>
      </w:r>
      <w:r w:rsidRPr="007B5D03">
        <w:rPr>
          <w:sz w:val="30"/>
          <w:szCs w:val="30"/>
        </w:rPr>
        <w:t>635</w:t>
      </w:r>
      <w:r w:rsidRPr="007B5D03">
        <w:rPr>
          <w:rFonts w:hAnsi="標楷體"/>
          <w:sz w:val="30"/>
          <w:szCs w:val="30"/>
        </w:rPr>
        <w:t>號解釋理由書意</w:t>
      </w:r>
      <w:r w:rsidRPr="007B5D03">
        <w:rPr>
          <w:rFonts w:hAnsi="標楷體"/>
          <w:sz w:val="30"/>
          <w:szCs w:val="30"/>
        </w:rPr>
        <w:lastRenderedPageBreak/>
        <w:t>旨，如違反一般法律解釋原則難謂與租稅法律主義、租稅公平原則相符。退步而言，</w:t>
      </w:r>
      <w:r w:rsidRPr="00490186">
        <w:rPr>
          <w:rFonts w:hAnsi="標楷體"/>
          <w:spacing w:val="4"/>
          <w:sz w:val="30"/>
          <w:szCs w:val="30"/>
        </w:rPr>
        <w:t>如認為所得稅法第</w:t>
      </w:r>
      <w:r w:rsidRPr="00490186">
        <w:rPr>
          <w:spacing w:val="4"/>
          <w:sz w:val="30"/>
          <w:szCs w:val="30"/>
        </w:rPr>
        <w:t>4</w:t>
      </w:r>
      <w:r w:rsidRPr="00490186">
        <w:rPr>
          <w:rFonts w:hAnsi="標楷體"/>
          <w:spacing w:val="4"/>
          <w:sz w:val="30"/>
          <w:szCs w:val="30"/>
        </w:rPr>
        <w:t>條之</w:t>
      </w:r>
      <w:r w:rsidRPr="00490186">
        <w:rPr>
          <w:spacing w:val="4"/>
          <w:sz w:val="30"/>
          <w:szCs w:val="30"/>
        </w:rPr>
        <w:t>1</w:t>
      </w:r>
      <w:r w:rsidRPr="00490186">
        <w:rPr>
          <w:rFonts w:hAnsi="標楷體"/>
          <w:spacing w:val="4"/>
          <w:sz w:val="30"/>
          <w:szCs w:val="30"/>
        </w:rPr>
        <w:t>之可能解釋有二時</w:t>
      </w:r>
      <w:r w:rsidRPr="00490186">
        <w:rPr>
          <w:rFonts w:hAnsi="標楷體"/>
          <w:spacing w:val="6"/>
          <w:sz w:val="30"/>
          <w:szCs w:val="30"/>
        </w:rPr>
        <w:t>（聲請人認為所得稅法第</w:t>
      </w:r>
      <w:r w:rsidRPr="00490186">
        <w:rPr>
          <w:spacing w:val="6"/>
          <w:sz w:val="30"/>
          <w:szCs w:val="30"/>
        </w:rPr>
        <w:t>4</w:t>
      </w:r>
      <w:r w:rsidRPr="00490186">
        <w:rPr>
          <w:rFonts w:hAnsi="標楷體"/>
          <w:spacing w:val="6"/>
          <w:sz w:val="30"/>
          <w:szCs w:val="30"/>
        </w:rPr>
        <w:t>條之</w:t>
      </w:r>
      <w:r w:rsidRPr="00490186">
        <w:rPr>
          <w:spacing w:val="6"/>
          <w:sz w:val="30"/>
          <w:szCs w:val="30"/>
        </w:rPr>
        <w:t>1</w:t>
      </w:r>
      <w:r w:rsidRPr="00490186">
        <w:rPr>
          <w:rFonts w:hAnsi="標楷體"/>
          <w:spacing w:val="6"/>
          <w:sz w:val="30"/>
          <w:szCs w:val="30"/>
        </w:rPr>
        <w:t>之可能文義</w:t>
      </w:r>
      <w:r w:rsidRPr="007B5D03">
        <w:rPr>
          <w:rFonts w:hAnsi="標楷體"/>
          <w:sz w:val="30"/>
          <w:szCs w:val="30"/>
        </w:rPr>
        <w:t>僅有一種，如前所述），一係合併前後段為整體構成要件，亦即證券交易收入免稅，故相對應之證券交易損失亦不得自應稅收入扣除，至於應稅收入對應之成本費用即非其規範之範圍；</w:t>
      </w:r>
      <w:r w:rsidRPr="00490186">
        <w:rPr>
          <w:rFonts w:hAnsi="標楷體"/>
          <w:spacing w:val="6"/>
          <w:sz w:val="30"/>
          <w:szCs w:val="30"/>
        </w:rPr>
        <w:t>二係以所得稅法第</w:t>
      </w:r>
      <w:r w:rsidRPr="00490186">
        <w:rPr>
          <w:spacing w:val="6"/>
          <w:sz w:val="30"/>
          <w:szCs w:val="30"/>
        </w:rPr>
        <w:t>4</w:t>
      </w:r>
      <w:r w:rsidRPr="00490186">
        <w:rPr>
          <w:rFonts w:hAnsi="標楷體"/>
          <w:spacing w:val="6"/>
          <w:sz w:val="30"/>
          <w:szCs w:val="30"/>
        </w:rPr>
        <w:t>條之</w:t>
      </w:r>
      <w:r w:rsidRPr="00490186">
        <w:rPr>
          <w:spacing w:val="6"/>
          <w:sz w:val="30"/>
          <w:szCs w:val="30"/>
        </w:rPr>
        <w:t>1</w:t>
      </w:r>
      <w:r w:rsidRPr="00490186">
        <w:rPr>
          <w:rFonts w:hAnsi="標楷體"/>
          <w:spacing w:val="6"/>
          <w:sz w:val="30"/>
          <w:szCs w:val="30"/>
        </w:rPr>
        <w:t>後段孤立作為一有</w:t>
      </w:r>
      <w:r w:rsidRPr="007B5D03">
        <w:rPr>
          <w:rFonts w:hAnsi="標楷體"/>
          <w:sz w:val="30"/>
          <w:szCs w:val="30"/>
        </w:rPr>
        <w:t>效構成要件，證券交易損失均不得自應稅收入減除，無論其是否為應稅收入之成本費用。由於後者之解釋有上開違反量能課稅原則、客觀營業保障淨所得原則，在合憲性解釋原則下，</w:t>
      </w:r>
      <w:r w:rsidRPr="00490186">
        <w:rPr>
          <w:rFonts w:hAnsi="標楷體"/>
          <w:spacing w:val="6"/>
          <w:sz w:val="30"/>
          <w:szCs w:val="30"/>
        </w:rPr>
        <w:t>僅得選擇前者作為所得稅法第</w:t>
      </w:r>
      <w:r w:rsidRPr="00490186">
        <w:rPr>
          <w:spacing w:val="6"/>
          <w:sz w:val="30"/>
          <w:szCs w:val="30"/>
        </w:rPr>
        <w:t>4</w:t>
      </w:r>
      <w:r w:rsidRPr="00490186">
        <w:rPr>
          <w:rFonts w:hAnsi="標楷體"/>
          <w:spacing w:val="6"/>
          <w:sz w:val="30"/>
          <w:szCs w:val="30"/>
        </w:rPr>
        <w:t>條之</w:t>
      </w:r>
      <w:r w:rsidRPr="00490186">
        <w:rPr>
          <w:spacing w:val="6"/>
          <w:sz w:val="30"/>
          <w:szCs w:val="30"/>
        </w:rPr>
        <w:t>1</w:t>
      </w:r>
      <w:r w:rsidRPr="00490186">
        <w:rPr>
          <w:rFonts w:hAnsi="標楷體"/>
          <w:spacing w:val="6"/>
          <w:sz w:val="30"/>
          <w:szCs w:val="30"/>
        </w:rPr>
        <w:t>之唯一</w:t>
      </w:r>
      <w:r w:rsidRPr="007B5D03">
        <w:rPr>
          <w:rFonts w:hAnsi="標楷體"/>
          <w:sz w:val="30"/>
          <w:szCs w:val="30"/>
        </w:rPr>
        <w:t>解釋。本案確定判決誤認所得稅法第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之適用範圍，對財政部</w:t>
      </w:r>
      <w:r w:rsidRPr="007B5D03">
        <w:rPr>
          <w:sz w:val="30"/>
          <w:szCs w:val="30"/>
        </w:rPr>
        <w:t>86</w:t>
      </w:r>
      <w:r w:rsidRPr="007B5D03">
        <w:rPr>
          <w:rFonts w:hAnsi="標楷體"/>
          <w:sz w:val="30"/>
          <w:szCs w:val="30"/>
        </w:rPr>
        <w:t>年函釋對毛所得課稅及剔除必要營業成本之違憲狀態，竟以立法形成自由為詞，不思以合憲性解釋方法妥適解釋所得稅法第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，其理由當不足以維持財政部</w:t>
      </w:r>
      <w:r w:rsidRPr="007B5D03">
        <w:rPr>
          <w:sz w:val="30"/>
          <w:szCs w:val="30"/>
        </w:rPr>
        <w:t>86</w:t>
      </w:r>
      <w:r w:rsidRPr="007B5D03">
        <w:rPr>
          <w:rFonts w:hAnsi="標楷體"/>
          <w:sz w:val="30"/>
          <w:szCs w:val="30"/>
        </w:rPr>
        <w:t>年函釋之合憲、合法性，亦可見財政部於作成</w:t>
      </w:r>
      <w:r w:rsidRPr="007B5D03">
        <w:rPr>
          <w:sz w:val="30"/>
          <w:szCs w:val="30"/>
        </w:rPr>
        <w:t>86</w:t>
      </w:r>
      <w:r w:rsidRPr="007B5D03">
        <w:rPr>
          <w:rFonts w:hAnsi="標楷體"/>
          <w:sz w:val="30"/>
          <w:szCs w:val="30"/>
        </w:rPr>
        <w:t>年函釋時，未本於憲法精神進行解釋，要難謂與憲政秩序相符。</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5.財</w:t>
      </w:r>
      <w:r w:rsidRPr="007B5D03">
        <w:rPr>
          <w:rFonts w:hAnsi="標楷體"/>
          <w:sz w:val="30"/>
          <w:szCs w:val="30"/>
        </w:rPr>
        <w:t>政部</w:t>
      </w:r>
      <w:r w:rsidRPr="007B5D03">
        <w:rPr>
          <w:sz w:val="30"/>
          <w:szCs w:val="30"/>
        </w:rPr>
        <w:t>86</w:t>
      </w:r>
      <w:r w:rsidRPr="007B5D03">
        <w:rPr>
          <w:rFonts w:hAnsi="標楷體"/>
          <w:sz w:val="30"/>
          <w:szCs w:val="30"/>
        </w:rPr>
        <w:t>年函釋未依平等原則解釋所得稅法，有違一般法律解釋原則及割裂適用法律，況財政部</w:t>
      </w:r>
      <w:r w:rsidRPr="007B5D03">
        <w:rPr>
          <w:sz w:val="30"/>
          <w:szCs w:val="30"/>
        </w:rPr>
        <w:t>86</w:t>
      </w:r>
      <w:r w:rsidRPr="007B5D03">
        <w:rPr>
          <w:rFonts w:hAnsi="標楷體"/>
          <w:sz w:val="30"/>
          <w:szCs w:val="30"/>
        </w:rPr>
        <w:t>年函釋亦非得以財稅差別而在本質上給予權證避險損失差別待遇，否則有違平等原則</w:t>
      </w:r>
    </w:p>
    <w:p w:rsidR="00514426" w:rsidRPr="007B5D03" w:rsidRDefault="00514426" w:rsidP="00FB2D5A">
      <w:pPr>
        <w:snapToGrid w:val="0"/>
        <w:spacing w:line="437" w:lineRule="exact"/>
        <w:ind w:left="2467" w:hanging="482"/>
        <w:rPr>
          <w:sz w:val="30"/>
          <w:szCs w:val="30"/>
        </w:rPr>
      </w:pPr>
      <w:r w:rsidRPr="007B5D03">
        <w:rPr>
          <w:sz w:val="30"/>
          <w:szCs w:val="30"/>
        </w:rPr>
        <w:t>(1)</w:t>
      </w:r>
      <w:r w:rsidRPr="007B5D03">
        <w:rPr>
          <w:rFonts w:hAnsi="標楷體"/>
          <w:sz w:val="30"/>
          <w:szCs w:val="30"/>
        </w:rPr>
        <w:t>平等原則之內涵及違憲檢驗方法</w:t>
      </w:r>
    </w:p>
    <w:p w:rsidR="00514426" w:rsidRPr="007B5D03" w:rsidRDefault="00514426" w:rsidP="00490186">
      <w:pPr>
        <w:snapToGrid w:val="0"/>
        <w:spacing w:line="437" w:lineRule="exact"/>
        <w:ind w:left="2637" w:hanging="482"/>
        <w:rPr>
          <w:sz w:val="30"/>
          <w:szCs w:val="30"/>
        </w:rPr>
      </w:pPr>
      <w:r w:rsidRPr="007B5D03">
        <w:rPr>
          <w:sz w:val="30"/>
          <w:szCs w:val="30"/>
        </w:rPr>
        <w:lastRenderedPageBreak/>
        <w:t>A</w:t>
      </w:r>
      <w:r w:rsidRPr="007B5D03">
        <w:rPr>
          <w:rFonts w:hAnsi="標楷體" w:hint="eastAsia"/>
          <w:sz w:val="30"/>
          <w:szCs w:val="30"/>
        </w:rPr>
        <w:t>、</w:t>
      </w:r>
      <w:r w:rsidRPr="007B5D03">
        <w:rPr>
          <w:rFonts w:hAnsi="標楷體"/>
          <w:sz w:val="30"/>
          <w:szCs w:val="30"/>
        </w:rPr>
        <w:t>按「至八十四年八月十六日台財稅第八四一六四一六三九號函說明二所引用之七十九年四月七日台財稅第七八</w:t>
      </w:r>
      <w:r w:rsidRPr="007B5D03">
        <w:rPr>
          <w:rFonts w:ascii="華康POP1體W5" w:eastAsia="華康POP1體W5" w:hint="eastAsia"/>
          <w:sz w:val="30"/>
          <w:szCs w:val="30"/>
        </w:rPr>
        <w:t>○</w:t>
      </w:r>
      <w:r w:rsidRPr="007B5D03">
        <w:rPr>
          <w:rFonts w:hAnsi="標楷體"/>
          <w:sz w:val="30"/>
          <w:szCs w:val="30"/>
        </w:rPr>
        <w:t>四三二七七二號函「因政府舉辦公共工程或市地重劃而徵收土地，依拆遷補償辦法規定發給之建築改良物或農作改良物補償費、自行拆遷獎勵金及人口搬遷補助費，核屬損害補償，應准免納所得稅」，對個人與營利事業所領取之地上物拆</w:t>
      </w:r>
      <w:r w:rsidRPr="00490186">
        <w:rPr>
          <w:rFonts w:hAnsi="標楷體"/>
          <w:spacing w:val="6"/>
          <w:sz w:val="30"/>
          <w:szCs w:val="30"/>
        </w:rPr>
        <w:t>遷補償費，如何繳納所得稅，為不同之處</w:t>
      </w:r>
      <w:r w:rsidRPr="007B5D03">
        <w:rPr>
          <w:rFonts w:hAnsi="標楷體"/>
          <w:sz w:val="30"/>
          <w:szCs w:val="30"/>
        </w:rPr>
        <w:t>理</w:t>
      </w:r>
      <w:r w:rsidRPr="007B5D03">
        <w:rPr>
          <w:rFonts w:hint="eastAsia"/>
          <w:sz w:val="30"/>
          <w:szCs w:val="30"/>
        </w:rPr>
        <w:t>……</w:t>
      </w:r>
      <w:r w:rsidRPr="007B5D03">
        <w:rPr>
          <w:rFonts w:hAnsi="標楷體"/>
          <w:sz w:val="30"/>
          <w:szCs w:val="30"/>
        </w:rPr>
        <w:t>，乃因個人與營利事業二者之稅率、所得結構、課稅基礎、應否設帳及得否攤提折舊等均有不同，稽徵機關對於個人領取之地上物拆遷補償費，依職權就其拆遷成本採取不同之認定方式，而非將個人拆遷補償費認定為非所得，亦非對個人拆遷補償費給予法律所未規定之免稅優惠，並未針對相同規範對象給予不合理之差別待遇，核與憲法第七條規定之平等原則尚無不符。」、「七十八年十月三十日修正公布之土地稅法第三十九條之二第一項爰明定：「農業用地在依法作農業使用時，移轉與自行耕作之農民繼續耕作</w:t>
      </w:r>
      <w:r w:rsidRPr="00584E30">
        <w:rPr>
          <w:rFonts w:hAnsi="標楷體"/>
          <w:spacing w:val="6"/>
          <w:sz w:val="30"/>
          <w:szCs w:val="30"/>
        </w:rPr>
        <w:t>者，免徵土地增值稅。」可知此係就自行耕</w:t>
      </w:r>
      <w:r w:rsidRPr="007B5D03">
        <w:rPr>
          <w:rFonts w:hAnsi="標楷體"/>
          <w:sz w:val="30"/>
          <w:szCs w:val="30"/>
        </w:rPr>
        <w:t>作之農民取得農業用地者，予以免徵土地增值稅之獎勵。此乃立法者為確保農業之永續發展，促進農地合理利用與調整農業產業結構所為之租稅優惠措施，其租稅優惠之目的甚為明確，亦有助於實現憲法第一百</w:t>
      </w:r>
      <w:r w:rsidRPr="007B5D03">
        <w:rPr>
          <w:rFonts w:hAnsi="標楷體"/>
          <w:sz w:val="30"/>
          <w:szCs w:val="30"/>
        </w:rPr>
        <w:lastRenderedPageBreak/>
        <w:t>四十三條第四項規定之意旨。立法者就自行耕作之農民取得農業用地，與非自行耕作者取得農業用地間，為租稅之差別對待，具有正當理由，與目的之達成並有合理關聯，符合憲法平等原則之要求。」　鈞院分別著有釋字第</w:t>
      </w:r>
      <w:r w:rsidRPr="007B5D03">
        <w:rPr>
          <w:sz w:val="30"/>
          <w:szCs w:val="30"/>
        </w:rPr>
        <w:t>607</w:t>
      </w:r>
      <w:r w:rsidRPr="007B5D03">
        <w:rPr>
          <w:rFonts w:hAnsi="標楷體"/>
          <w:sz w:val="30"/>
          <w:szCs w:val="30"/>
        </w:rPr>
        <w:t>號解釋理由書、釋字第</w:t>
      </w:r>
      <w:r w:rsidRPr="007B5D03">
        <w:rPr>
          <w:sz w:val="30"/>
          <w:szCs w:val="30"/>
        </w:rPr>
        <w:t>635</w:t>
      </w:r>
      <w:r w:rsidRPr="007B5D03">
        <w:rPr>
          <w:rFonts w:hAnsi="標楷體"/>
          <w:sz w:val="30"/>
          <w:szCs w:val="30"/>
        </w:rPr>
        <w:t>號解釋理由書在案可考，可知平等原則之檢驗標準有二，一係合目的性之審查基準，二係符合事物本質或者說是體系正義之審查基準，前者乃針對規範目的之審查，後者則依照法律體系所訂定之事務本質（基本價值決定），予以判斷是否屬同一事物之不合理差別待遇。</w:t>
      </w:r>
    </w:p>
    <w:p w:rsidR="00514426" w:rsidRPr="007B5D03" w:rsidRDefault="00514426" w:rsidP="00584E30">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學者指出，在判斷平等原則之流程上，先判斷系爭法規範有無存在差別待遇之問題，亦即比較二者間是否具有可相提並論性；第二要確定差別待遇之目的，判斷其係追求實質平等的目的或無涉實質平等的政策目的；第三係追求實質平等之合目的性審查，合理關</w:t>
      </w:r>
      <w:r w:rsidRPr="007B5D03">
        <w:rPr>
          <w:rFonts w:hAnsi="標楷體" w:hint="eastAsia"/>
          <w:sz w:val="30"/>
          <w:szCs w:val="30"/>
        </w:rPr>
        <w:t>聯</w:t>
      </w:r>
      <w:r w:rsidRPr="007B5D03">
        <w:rPr>
          <w:rFonts w:hAnsi="標楷體"/>
          <w:sz w:val="30"/>
          <w:szCs w:val="30"/>
        </w:rPr>
        <w:t>性之審查；第四係追求無實質平等之政策目的，必須從嚴審查（附件</w:t>
      </w:r>
      <w:r w:rsidRPr="007B5D03">
        <w:rPr>
          <w:sz w:val="30"/>
          <w:szCs w:val="30"/>
        </w:rPr>
        <w:t>3</w:t>
      </w:r>
      <w:r w:rsidRPr="007B5D03">
        <w:rPr>
          <w:rFonts w:hint="eastAsia"/>
          <w:sz w:val="30"/>
          <w:szCs w:val="30"/>
        </w:rPr>
        <w:t>6</w:t>
      </w:r>
      <w:r w:rsidRPr="007B5D03">
        <w:rPr>
          <w:rFonts w:hAnsi="標楷體"/>
          <w:sz w:val="30"/>
          <w:szCs w:val="30"/>
        </w:rPr>
        <w:t>，許宗力，從憲法解釋看待平等原則與違憲審查，收錄於中央研究院舉辦第二屆「憲法解釋之理論與實務」學術研討會，會議論文（一），民國</w:t>
      </w:r>
      <w:r w:rsidRPr="007B5D03">
        <w:rPr>
          <w:sz w:val="30"/>
          <w:szCs w:val="30"/>
        </w:rPr>
        <w:t>88</w:t>
      </w:r>
      <w:r w:rsidRPr="007B5D03">
        <w:rPr>
          <w:rFonts w:hAnsi="標楷體"/>
          <w:sz w:val="30"/>
          <w:szCs w:val="30"/>
        </w:rPr>
        <w:t>年，頁</w:t>
      </w:r>
      <w:r w:rsidRPr="007B5D03">
        <w:rPr>
          <w:sz w:val="30"/>
          <w:szCs w:val="30"/>
        </w:rPr>
        <w:t>120</w:t>
      </w:r>
      <w:r w:rsidRPr="007B5D03">
        <w:rPr>
          <w:rFonts w:hAnsi="標楷體"/>
          <w:sz w:val="30"/>
          <w:szCs w:val="30"/>
        </w:rPr>
        <w:t>以下）。</w:t>
      </w:r>
    </w:p>
    <w:p w:rsidR="00514426" w:rsidRPr="007B5D03" w:rsidRDefault="00514426" w:rsidP="00584E30">
      <w:pPr>
        <w:snapToGrid w:val="0"/>
        <w:spacing w:line="437" w:lineRule="exact"/>
        <w:ind w:left="2354" w:hanging="369"/>
        <w:rPr>
          <w:sz w:val="30"/>
          <w:szCs w:val="30"/>
        </w:rPr>
      </w:pPr>
      <w:r w:rsidRPr="007B5D03">
        <w:rPr>
          <w:sz w:val="30"/>
          <w:szCs w:val="30"/>
        </w:rPr>
        <w:t>(2)</w:t>
      </w:r>
      <w:r w:rsidRPr="00584E30">
        <w:rPr>
          <w:rFonts w:hAnsi="標楷體"/>
          <w:spacing w:val="-4"/>
          <w:sz w:val="30"/>
          <w:szCs w:val="30"/>
        </w:rPr>
        <w:t>從一法律事實、法律行為避免矛盾評價，對於權</w:t>
      </w:r>
      <w:r w:rsidRPr="00584E30">
        <w:rPr>
          <w:rFonts w:hAnsi="標楷體"/>
          <w:spacing w:val="4"/>
          <w:sz w:val="30"/>
          <w:szCs w:val="30"/>
        </w:rPr>
        <w:t>證交易之權利金成本（避險交易損失）不准扣</w:t>
      </w:r>
      <w:r w:rsidRPr="007B5D03">
        <w:rPr>
          <w:rFonts w:hAnsi="標楷體"/>
          <w:sz w:val="30"/>
          <w:szCs w:val="30"/>
        </w:rPr>
        <w:t>除，有違體系正義、平等原則，財政部</w:t>
      </w:r>
      <w:r w:rsidRPr="007B5D03">
        <w:rPr>
          <w:sz w:val="30"/>
          <w:szCs w:val="30"/>
        </w:rPr>
        <w:t>86</w:t>
      </w:r>
      <w:r w:rsidRPr="007B5D03">
        <w:rPr>
          <w:rFonts w:hAnsi="標楷體"/>
          <w:sz w:val="30"/>
          <w:szCs w:val="30"/>
        </w:rPr>
        <w:t>年函</w:t>
      </w:r>
      <w:r w:rsidRPr="007B5D03">
        <w:rPr>
          <w:rFonts w:hAnsi="標楷體"/>
          <w:sz w:val="30"/>
          <w:szCs w:val="30"/>
        </w:rPr>
        <w:lastRenderedPageBreak/>
        <w:t>釋並有未依適當法律解釋方法解釋所得稅法第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，亦有違租稅法律主義及租稅公平原則</w:t>
      </w:r>
    </w:p>
    <w:p w:rsidR="00514426" w:rsidRPr="007B5D03" w:rsidRDefault="00514426" w:rsidP="00584E30">
      <w:pPr>
        <w:snapToGrid w:val="0"/>
        <w:spacing w:line="437" w:lineRule="exact"/>
        <w:ind w:left="2637" w:hanging="482"/>
        <w:rPr>
          <w:b/>
          <w:sz w:val="30"/>
          <w:szCs w:val="30"/>
        </w:rPr>
      </w:pPr>
      <w:r w:rsidRPr="007B5D03">
        <w:rPr>
          <w:sz w:val="30"/>
          <w:szCs w:val="30"/>
        </w:rPr>
        <w:t>A</w:t>
      </w:r>
      <w:r w:rsidRPr="007B5D03">
        <w:rPr>
          <w:rFonts w:hAnsi="標楷體" w:hint="eastAsia"/>
          <w:sz w:val="30"/>
          <w:szCs w:val="30"/>
        </w:rPr>
        <w:t>、</w:t>
      </w:r>
      <w:r w:rsidRPr="007B5D03">
        <w:rPr>
          <w:rFonts w:hAnsi="標楷體"/>
          <w:sz w:val="30"/>
          <w:szCs w:val="30"/>
        </w:rPr>
        <w:t>如前述一個法律行為不得歧異評價之法學方法觀點，本於體系貫徹法律價值之觀點，對一個法律事實作成無矛盾之法律評價，其本</w:t>
      </w:r>
      <w:r w:rsidRPr="00584E30">
        <w:rPr>
          <w:rFonts w:hAnsi="標楷體"/>
          <w:spacing w:val="6"/>
          <w:sz w:val="30"/>
          <w:szCs w:val="30"/>
        </w:rPr>
        <w:t>身即為實現正義原則，從憲法上之原則而</w:t>
      </w:r>
      <w:r w:rsidRPr="007B5D03">
        <w:rPr>
          <w:rFonts w:hAnsi="標楷體"/>
          <w:sz w:val="30"/>
          <w:szCs w:val="30"/>
        </w:rPr>
        <w:t>論，即是平等原則之展現。</w:t>
      </w:r>
    </w:p>
    <w:p w:rsidR="00514426" w:rsidRPr="007B5D03" w:rsidRDefault="00514426" w:rsidP="00584E30">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一個法律事實如果同時滿足二個法律規定之構成要件時，此際應如何進行法律適用？由於權證交易應屬一個整體法律事實、法律行為，是以適用所得稅法第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項之規範收入成本配合原則，即權利金收入當可扣除</w:t>
      </w:r>
      <w:r w:rsidRPr="00AA1D37">
        <w:rPr>
          <w:rFonts w:hAnsi="標楷體"/>
          <w:spacing w:val="6"/>
          <w:sz w:val="30"/>
          <w:szCs w:val="30"/>
        </w:rPr>
        <w:t>避險交易成本，而所得稅法第</w:t>
      </w:r>
      <w:r w:rsidRPr="00AA1D37">
        <w:rPr>
          <w:spacing w:val="6"/>
          <w:sz w:val="30"/>
          <w:szCs w:val="30"/>
        </w:rPr>
        <w:t>4</w:t>
      </w:r>
      <w:r w:rsidRPr="00AA1D37">
        <w:rPr>
          <w:rFonts w:hAnsi="標楷體"/>
          <w:spacing w:val="6"/>
          <w:sz w:val="30"/>
          <w:szCs w:val="30"/>
        </w:rPr>
        <w:t>條之</w:t>
      </w:r>
      <w:r w:rsidRPr="00AA1D37">
        <w:rPr>
          <w:spacing w:val="6"/>
          <w:sz w:val="30"/>
          <w:szCs w:val="30"/>
        </w:rPr>
        <w:t>1</w:t>
      </w:r>
      <w:r w:rsidRPr="00AA1D37">
        <w:rPr>
          <w:rFonts w:hAnsi="標楷體"/>
          <w:spacing w:val="6"/>
          <w:sz w:val="30"/>
          <w:szCs w:val="30"/>
        </w:rPr>
        <w:t>規定</w:t>
      </w:r>
      <w:r w:rsidRPr="007B5D03">
        <w:rPr>
          <w:rFonts w:hAnsi="標楷體"/>
          <w:sz w:val="30"/>
          <w:szCs w:val="30"/>
        </w:rPr>
        <w:t>證券交易損失不得扣除應稅收入，如在權證交易案中同時適用所得稅法第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及第</w:t>
      </w:r>
      <w:r w:rsidRPr="00AA1D37">
        <w:rPr>
          <w:spacing w:val="6"/>
          <w:sz w:val="30"/>
          <w:szCs w:val="30"/>
        </w:rPr>
        <w:t>24</w:t>
      </w:r>
      <w:r w:rsidRPr="00AA1D37">
        <w:rPr>
          <w:rFonts w:hAnsi="標楷體"/>
          <w:spacing w:val="6"/>
          <w:sz w:val="30"/>
          <w:szCs w:val="30"/>
        </w:rPr>
        <w:t>條第</w:t>
      </w:r>
      <w:r w:rsidRPr="00AA1D37">
        <w:rPr>
          <w:spacing w:val="6"/>
          <w:sz w:val="30"/>
          <w:szCs w:val="30"/>
        </w:rPr>
        <w:t>1</w:t>
      </w:r>
      <w:r w:rsidRPr="00AA1D37">
        <w:rPr>
          <w:rFonts w:hAnsi="標楷體"/>
          <w:spacing w:val="6"/>
          <w:sz w:val="30"/>
          <w:szCs w:val="30"/>
        </w:rPr>
        <w:t>項，將會產生不能並存之法律效</w:t>
      </w:r>
      <w:r w:rsidRPr="007B5D03">
        <w:rPr>
          <w:rFonts w:hAnsi="標楷體"/>
          <w:sz w:val="30"/>
          <w:szCs w:val="30"/>
        </w:rPr>
        <w:t>果，此際就必須討論哪一條規定必須退讓。</w:t>
      </w:r>
      <w:r w:rsidRPr="00AA1D37">
        <w:rPr>
          <w:rFonts w:hAnsi="標楷體"/>
          <w:spacing w:val="6"/>
          <w:sz w:val="30"/>
          <w:szCs w:val="30"/>
        </w:rPr>
        <w:t>從前面討論之所得稅法第</w:t>
      </w:r>
      <w:r w:rsidRPr="00AA1D37">
        <w:rPr>
          <w:spacing w:val="6"/>
          <w:sz w:val="30"/>
          <w:szCs w:val="30"/>
        </w:rPr>
        <w:t>4</w:t>
      </w:r>
      <w:r w:rsidRPr="00AA1D37">
        <w:rPr>
          <w:rFonts w:hAnsi="標楷體"/>
          <w:spacing w:val="6"/>
          <w:sz w:val="30"/>
          <w:szCs w:val="30"/>
        </w:rPr>
        <w:t>條之</w:t>
      </w:r>
      <w:r w:rsidRPr="00AA1D37">
        <w:rPr>
          <w:spacing w:val="6"/>
          <w:sz w:val="30"/>
          <w:szCs w:val="30"/>
        </w:rPr>
        <w:t>1</w:t>
      </w:r>
      <w:r w:rsidRPr="00AA1D37">
        <w:rPr>
          <w:rFonts w:hAnsi="標楷體"/>
          <w:spacing w:val="6"/>
          <w:sz w:val="30"/>
          <w:szCs w:val="30"/>
        </w:rPr>
        <w:t>規範意旨</w:t>
      </w:r>
      <w:r w:rsidRPr="007B5D03">
        <w:rPr>
          <w:rFonts w:hAnsi="標楷體"/>
          <w:sz w:val="30"/>
          <w:szCs w:val="30"/>
        </w:rPr>
        <w:t>及其正確解釋而論，應不包括權證避險交易之規範，本無規範競合問題，設若真有競合問題，就應進一步探討何者為特別規定？所</w:t>
      </w:r>
      <w:r w:rsidRPr="00AA1D37">
        <w:rPr>
          <w:rFonts w:hAnsi="標楷體"/>
          <w:spacing w:val="6"/>
          <w:sz w:val="30"/>
          <w:szCs w:val="30"/>
        </w:rPr>
        <w:t>得稅法第</w:t>
      </w:r>
      <w:r w:rsidRPr="00AA1D37">
        <w:rPr>
          <w:spacing w:val="6"/>
          <w:sz w:val="30"/>
          <w:szCs w:val="30"/>
        </w:rPr>
        <w:t>4</w:t>
      </w:r>
      <w:r w:rsidRPr="00AA1D37">
        <w:rPr>
          <w:rFonts w:hAnsi="標楷體"/>
          <w:spacing w:val="6"/>
          <w:sz w:val="30"/>
          <w:szCs w:val="30"/>
        </w:rPr>
        <w:t>條之</w:t>
      </w:r>
      <w:r w:rsidRPr="00AA1D37">
        <w:rPr>
          <w:spacing w:val="6"/>
          <w:sz w:val="30"/>
          <w:szCs w:val="30"/>
        </w:rPr>
        <w:t>1</w:t>
      </w:r>
      <w:r w:rsidRPr="00AA1D37">
        <w:rPr>
          <w:rFonts w:hAnsi="標楷體"/>
          <w:spacing w:val="6"/>
          <w:sz w:val="30"/>
          <w:szCs w:val="30"/>
        </w:rPr>
        <w:t>在應稅收入對應之成本費</w:t>
      </w:r>
      <w:r w:rsidRPr="007B5D03">
        <w:rPr>
          <w:rFonts w:hAnsi="標楷體"/>
          <w:sz w:val="30"/>
          <w:szCs w:val="30"/>
        </w:rPr>
        <w:t>用問題上，顯然無明示其係所得稅法第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項之特別規定，故自評價整體權證交易僅能有一個法律評價之觀點，自不能僅以避險證券交易損失單獨評價，而應係以所得稅法第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項規定</w:t>
      </w:r>
      <w:r w:rsidRPr="007B5D03">
        <w:rPr>
          <w:rFonts w:hAnsi="標楷體"/>
          <w:sz w:val="30"/>
          <w:szCs w:val="30"/>
        </w:rPr>
        <w:lastRenderedPageBreak/>
        <w:t>加以整體評價，方為正辦。</w:t>
      </w:r>
    </w:p>
    <w:p w:rsidR="00514426" w:rsidRPr="007B5D03" w:rsidRDefault="00514426" w:rsidP="00AA1D37">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承上，財政部</w:t>
      </w:r>
      <w:r w:rsidRPr="007B5D03">
        <w:rPr>
          <w:sz w:val="30"/>
          <w:szCs w:val="30"/>
        </w:rPr>
        <w:t>86</w:t>
      </w:r>
      <w:r w:rsidRPr="007B5D03">
        <w:rPr>
          <w:rFonts w:hAnsi="標楷體"/>
          <w:sz w:val="30"/>
          <w:szCs w:val="30"/>
        </w:rPr>
        <w:t>年函釋即是僅以所得稅法第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後段「證券交易損失亦不得自所得額</w:t>
      </w:r>
      <w:r w:rsidRPr="00AA1D37">
        <w:rPr>
          <w:rFonts w:hAnsi="標楷體"/>
          <w:spacing w:val="6"/>
          <w:sz w:val="30"/>
          <w:szCs w:val="30"/>
        </w:rPr>
        <w:t>中減除」之規定孤立解釋，先未整體解釋所得稅法第</w:t>
      </w:r>
      <w:r w:rsidRPr="00AA1D37">
        <w:rPr>
          <w:spacing w:val="6"/>
          <w:sz w:val="30"/>
          <w:szCs w:val="30"/>
        </w:rPr>
        <w:t>4</w:t>
      </w:r>
      <w:r w:rsidRPr="00AA1D37">
        <w:rPr>
          <w:rFonts w:hAnsi="標楷體"/>
          <w:spacing w:val="6"/>
          <w:sz w:val="30"/>
          <w:szCs w:val="30"/>
        </w:rPr>
        <w:t>條之</w:t>
      </w:r>
      <w:r w:rsidRPr="00AA1D37">
        <w:rPr>
          <w:spacing w:val="6"/>
          <w:sz w:val="30"/>
          <w:szCs w:val="30"/>
        </w:rPr>
        <w:t>1</w:t>
      </w:r>
      <w:r w:rsidRPr="00AA1D37">
        <w:rPr>
          <w:rFonts w:hAnsi="標楷體"/>
          <w:spacing w:val="6"/>
          <w:sz w:val="30"/>
          <w:szCs w:val="30"/>
        </w:rPr>
        <w:t>適用範圍係以免稅收入對</w:t>
      </w:r>
      <w:r w:rsidRPr="007B5D03">
        <w:rPr>
          <w:rFonts w:hAnsi="標楷體"/>
          <w:sz w:val="30"/>
          <w:szCs w:val="30"/>
        </w:rPr>
        <w:t>應之成本費用為前提，又未顧慮此一解釋造成同一法律事實不同評價之狀態，復未檢討所得稅法第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何以在本案中形成對第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項之特別規定，實有未依法律妥適</w:t>
      </w:r>
      <w:r w:rsidRPr="00D87D34">
        <w:rPr>
          <w:rFonts w:hAnsi="標楷體"/>
          <w:spacing w:val="6"/>
          <w:sz w:val="30"/>
          <w:szCs w:val="30"/>
        </w:rPr>
        <w:t>解釋並有違反法律意旨，當有違反體系正</w:t>
      </w:r>
      <w:r w:rsidRPr="007B5D03">
        <w:rPr>
          <w:rFonts w:hAnsi="標楷體"/>
          <w:sz w:val="30"/>
          <w:szCs w:val="30"/>
        </w:rPr>
        <w:t>義、稅捐正義、平等原則。</w:t>
      </w:r>
    </w:p>
    <w:p w:rsidR="00514426" w:rsidRPr="007B5D03" w:rsidRDefault="00514426" w:rsidP="00D87D34">
      <w:pPr>
        <w:snapToGrid w:val="0"/>
        <w:spacing w:line="437" w:lineRule="exact"/>
        <w:ind w:left="2354" w:hanging="369"/>
        <w:rPr>
          <w:sz w:val="30"/>
          <w:szCs w:val="30"/>
        </w:rPr>
      </w:pPr>
      <w:r w:rsidRPr="007B5D03">
        <w:rPr>
          <w:sz w:val="30"/>
          <w:szCs w:val="30"/>
        </w:rPr>
        <w:t>(3)</w:t>
      </w:r>
      <w:r w:rsidRPr="007B5D03">
        <w:rPr>
          <w:rFonts w:hAnsi="標楷體"/>
          <w:sz w:val="30"/>
          <w:szCs w:val="30"/>
        </w:rPr>
        <w:t>財政部</w:t>
      </w:r>
      <w:r w:rsidRPr="007B5D03">
        <w:rPr>
          <w:sz w:val="30"/>
          <w:szCs w:val="30"/>
        </w:rPr>
        <w:t>86</w:t>
      </w:r>
      <w:r w:rsidRPr="007B5D03">
        <w:rPr>
          <w:rFonts w:hAnsi="標楷體"/>
          <w:sz w:val="30"/>
          <w:szCs w:val="30"/>
        </w:rPr>
        <w:t>年函釋未依體系正義進行適當之法律補充</w:t>
      </w:r>
    </w:p>
    <w:p w:rsidR="00514426" w:rsidRPr="007B5D03" w:rsidRDefault="00514426" w:rsidP="00D87D34">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立法者在制定所得稅法第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時，未能預見權證商品之出現，縱所得稅法第</w:t>
      </w:r>
      <w:r w:rsidRPr="007B5D03">
        <w:rPr>
          <w:sz w:val="30"/>
          <w:szCs w:val="30"/>
        </w:rPr>
        <w:t>4</w:t>
      </w:r>
      <w:r w:rsidRPr="007B5D03">
        <w:rPr>
          <w:rFonts w:hAnsi="標楷體"/>
          <w:sz w:val="30"/>
          <w:szCs w:val="30"/>
        </w:rPr>
        <w:t>條之</w:t>
      </w:r>
      <w:r w:rsidRPr="007B5D03">
        <w:rPr>
          <w:sz w:val="30"/>
          <w:szCs w:val="30"/>
        </w:rPr>
        <w:t>1</w:t>
      </w:r>
      <w:r w:rsidRPr="00D87D34">
        <w:rPr>
          <w:rFonts w:hAnsi="標楷體"/>
          <w:spacing w:val="6"/>
          <w:sz w:val="30"/>
          <w:szCs w:val="30"/>
        </w:rPr>
        <w:t>後段之文義可單獨適用於權證避險交易損</w:t>
      </w:r>
      <w:r w:rsidRPr="007B5D03">
        <w:rPr>
          <w:rFonts w:hAnsi="標楷體"/>
          <w:sz w:val="30"/>
          <w:szCs w:val="30"/>
        </w:rPr>
        <w:t>失，亦有形成演變式體系違反之法律漏洞，本於上開認識，行為時法令對於權證交易實</w:t>
      </w:r>
      <w:r w:rsidRPr="00D87D34">
        <w:rPr>
          <w:rFonts w:hAnsi="標楷體"/>
          <w:spacing w:val="6"/>
          <w:sz w:val="30"/>
          <w:szCs w:val="30"/>
        </w:rPr>
        <w:t>未有妥適規範，且所得稅法第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並不</w:t>
      </w:r>
      <w:r w:rsidRPr="007B5D03">
        <w:rPr>
          <w:rFonts w:hAnsi="標楷體"/>
          <w:sz w:val="30"/>
          <w:szCs w:val="30"/>
        </w:rPr>
        <w:t>構成法律依據，此際即有賴財稅主管機關或法院本於憲法及法律意旨進行適當之法律補充，始符合體系正義。</w:t>
      </w:r>
    </w:p>
    <w:p w:rsidR="00514426" w:rsidRPr="007B5D03" w:rsidRDefault="00514426" w:rsidP="00D87D34">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惟查財政部</w:t>
      </w:r>
      <w:r w:rsidRPr="007B5D03">
        <w:rPr>
          <w:sz w:val="30"/>
          <w:szCs w:val="30"/>
        </w:rPr>
        <w:t>86</w:t>
      </w:r>
      <w:r w:rsidRPr="007B5D03">
        <w:rPr>
          <w:rFonts w:hAnsi="標楷體"/>
          <w:sz w:val="30"/>
          <w:szCs w:val="30"/>
        </w:rPr>
        <w:t>年函釋對權證交易拆解為數行為，並對其中避險交易認屬證券交易行為，誤認立法者對權證交易已有意識加以規範，</w:t>
      </w:r>
      <w:r w:rsidRPr="00D87D34">
        <w:rPr>
          <w:rFonts w:hAnsi="標楷體"/>
          <w:spacing w:val="6"/>
          <w:sz w:val="30"/>
          <w:szCs w:val="30"/>
        </w:rPr>
        <w:t>引用所得稅法第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作為法律依據，誠</w:t>
      </w:r>
      <w:r w:rsidRPr="007B5D03">
        <w:rPr>
          <w:rFonts w:hAnsi="標楷體"/>
          <w:sz w:val="30"/>
          <w:szCs w:val="30"/>
        </w:rPr>
        <w:t>已</w:t>
      </w:r>
      <w:r w:rsidRPr="007B5D03">
        <w:rPr>
          <w:rFonts w:hAnsi="標楷體"/>
          <w:sz w:val="30"/>
          <w:szCs w:val="30"/>
        </w:rPr>
        <w:lastRenderedPageBreak/>
        <w:t>誤認無法律漏洞在先，所為解釋之妥當性</w:t>
      </w:r>
      <w:r w:rsidRPr="00D87D34">
        <w:rPr>
          <w:rFonts w:hAnsi="標楷體"/>
          <w:spacing w:val="6"/>
          <w:sz w:val="30"/>
          <w:szCs w:val="30"/>
        </w:rPr>
        <w:t>自有所疑。縱然以所得稅法第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後段</w:t>
      </w:r>
      <w:r w:rsidRPr="007B5D03">
        <w:rPr>
          <w:rFonts w:hAnsi="標楷體"/>
          <w:sz w:val="30"/>
          <w:szCs w:val="30"/>
        </w:rPr>
        <w:t>文義孤立觀察時，似乎對所有證券交易損失均不得扣除應稅收入，但基於對不同案件為不同處理之要求，對於所得稅法第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亦有作成限縮解釋或目的性限縮之必要，但</w:t>
      </w:r>
      <w:r w:rsidRPr="00D87D34">
        <w:rPr>
          <w:rFonts w:hAnsi="標楷體"/>
          <w:spacing w:val="6"/>
          <w:sz w:val="30"/>
          <w:szCs w:val="30"/>
        </w:rPr>
        <w:t>正本清源之道在於，所得稅法第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之</w:t>
      </w:r>
      <w:r w:rsidRPr="007B5D03">
        <w:rPr>
          <w:rFonts w:hAnsi="標楷體"/>
          <w:sz w:val="30"/>
          <w:szCs w:val="30"/>
        </w:rPr>
        <w:t>構成要件係針對免稅證券交易收入對應之成本費用不得扣減應稅收入，至於對於應稅權利金收入之避險交易損失，絕不是屬於所得</w:t>
      </w:r>
      <w:r w:rsidRPr="00D87D34">
        <w:rPr>
          <w:rFonts w:hAnsi="標楷體"/>
          <w:spacing w:val="6"/>
          <w:sz w:val="30"/>
          <w:szCs w:val="30"/>
        </w:rPr>
        <w:t>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規範範圍。如真顧慮所得稅法第</w:t>
      </w:r>
      <w:r w:rsidRPr="00D87D34">
        <w:rPr>
          <w:spacing w:val="6"/>
          <w:sz w:val="30"/>
          <w:szCs w:val="30"/>
        </w:rPr>
        <w:t>4</w:t>
      </w:r>
      <w:r w:rsidRPr="00D87D34">
        <w:rPr>
          <w:rFonts w:hAnsi="標楷體"/>
          <w:spacing w:val="6"/>
          <w:sz w:val="30"/>
          <w:szCs w:val="30"/>
        </w:rPr>
        <w:t>條之</w:t>
      </w:r>
      <w:r w:rsidRPr="00D87D34">
        <w:rPr>
          <w:spacing w:val="6"/>
          <w:sz w:val="30"/>
          <w:szCs w:val="30"/>
        </w:rPr>
        <w:t>1</w:t>
      </w:r>
      <w:r w:rsidRPr="00D87D34">
        <w:rPr>
          <w:rFonts w:hAnsi="標楷體"/>
          <w:spacing w:val="6"/>
          <w:sz w:val="30"/>
          <w:szCs w:val="30"/>
        </w:rPr>
        <w:t>後段之可能文義包含避險交易</w:t>
      </w:r>
      <w:r w:rsidRPr="007B5D03">
        <w:rPr>
          <w:rFonts w:hAnsi="標楷體"/>
          <w:sz w:val="30"/>
          <w:szCs w:val="30"/>
        </w:rPr>
        <w:t>時，亦應依照平等原則、體系正義作成適當之補充，從而，財政部</w:t>
      </w:r>
      <w:r w:rsidRPr="007B5D03">
        <w:rPr>
          <w:sz w:val="30"/>
          <w:szCs w:val="30"/>
        </w:rPr>
        <w:t>86</w:t>
      </w:r>
      <w:r w:rsidRPr="007B5D03">
        <w:rPr>
          <w:rFonts w:hAnsi="標楷體"/>
          <w:sz w:val="30"/>
          <w:szCs w:val="30"/>
        </w:rPr>
        <w:t>年函釋未作適當處理，當有違反平等原則之疑慮。</w:t>
      </w:r>
    </w:p>
    <w:p w:rsidR="00514426" w:rsidRPr="007B5D03" w:rsidRDefault="00514426" w:rsidP="00D87D34">
      <w:pPr>
        <w:snapToGrid w:val="0"/>
        <w:spacing w:line="437" w:lineRule="exact"/>
        <w:ind w:left="2354" w:hanging="369"/>
        <w:rPr>
          <w:sz w:val="30"/>
          <w:szCs w:val="30"/>
        </w:rPr>
      </w:pPr>
      <w:r w:rsidRPr="007B5D03">
        <w:rPr>
          <w:sz w:val="30"/>
          <w:szCs w:val="30"/>
        </w:rPr>
        <w:t>(4)</w:t>
      </w:r>
      <w:r w:rsidRPr="007B5D03">
        <w:rPr>
          <w:rFonts w:hAnsi="標楷體"/>
          <w:sz w:val="30"/>
          <w:szCs w:val="30"/>
        </w:rPr>
        <w:t>財政部</w:t>
      </w:r>
      <w:r w:rsidRPr="007B5D03">
        <w:rPr>
          <w:sz w:val="30"/>
          <w:szCs w:val="30"/>
        </w:rPr>
        <w:t>86</w:t>
      </w:r>
      <w:r w:rsidRPr="007B5D03">
        <w:rPr>
          <w:rFonts w:hAnsi="標楷體"/>
          <w:sz w:val="30"/>
          <w:szCs w:val="30"/>
        </w:rPr>
        <w:t>年函釋非得基於財稅差異而給予差別待遇</w:t>
      </w:r>
    </w:p>
    <w:p w:rsidR="00514426" w:rsidRPr="007B5D03" w:rsidRDefault="00514426" w:rsidP="00D87D34">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按「Ａ、按現行所得稅法在營利事業所得稅之課徵上，其稅基之計算，是建立在財務會</w:t>
      </w:r>
      <w:r w:rsidRPr="00D87D34">
        <w:rPr>
          <w:rFonts w:hAnsi="標楷體"/>
          <w:spacing w:val="6"/>
          <w:sz w:val="30"/>
          <w:szCs w:val="30"/>
        </w:rPr>
        <w:t>計上，只有在所得稅法令有特別規定時（例</w:t>
      </w:r>
      <w:r w:rsidRPr="007B5D03">
        <w:rPr>
          <w:rFonts w:hAnsi="標楷體"/>
          <w:sz w:val="30"/>
          <w:szCs w:val="30"/>
        </w:rPr>
        <w:t>如交際費支出在財務會計上雖予承認，但在</w:t>
      </w:r>
      <w:r w:rsidRPr="00D87D34">
        <w:rPr>
          <w:rFonts w:hAnsi="標楷體"/>
          <w:spacing w:val="6"/>
          <w:sz w:val="30"/>
          <w:szCs w:val="30"/>
        </w:rPr>
        <w:t>稅法上有限額限制，因此必須剔除超限部分，如此一來會造成稅基增加之結果）才進</w:t>
      </w:r>
      <w:r w:rsidRPr="00D87D34">
        <w:rPr>
          <w:rFonts w:hAnsi="標楷體"/>
          <w:spacing w:val="-8"/>
          <w:sz w:val="30"/>
          <w:szCs w:val="30"/>
        </w:rPr>
        <w:t>行「帳外調整」，故稅捐稽徵實務上常言及「稅</w:t>
      </w:r>
      <w:r w:rsidRPr="00D87D34">
        <w:rPr>
          <w:rFonts w:hAnsi="標楷體"/>
          <w:spacing w:val="6"/>
          <w:sz w:val="30"/>
          <w:szCs w:val="30"/>
        </w:rPr>
        <w:t>上或財上」間之調整，其道理即在於此，而</w:t>
      </w:r>
      <w:r w:rsidRPr="007B5D03">
        <w:rPr>
          <w:rFonts w:hAnsi="標楷體"/>
          <w:sz w:val="30"/>
          <w:szCs w:val="30"/>
        </w:rPr>
        <w:t>其相關之法規範有：</w:t>
      </w:r>
      <w:r w:rsidRPr="007B5D03">
        <w:rPr>
          <w:rFonts w:hAnsi="標楷體" w:hint="eastAsia"/>
          <w:sz w:val="30"/>
          <w:szCs w:val="30"/>
        </w:rPr>
        <w:t>1</w:t>
      </w:r>
      <w:r w:rsidRPr="007B5D03">
        <w:rPr>
          <w:rFonts w:hAnsi="標楷體"/>
          <w:sz w:val="30"/>
          <w:szCs w:val="30"/>
        </w:rPr>
        <w:t>、商業會計法第一條第</w:t>
      </w:r>
      <w:r w:rsidRPr="00D87D34">
        <w:rPr>
          <w:rFonts w:hAnsi="標楷體"/>
          <w:spacing w:val="4"/>
          <w:sz w:val="30"/>
          <w:szCs w:val="30"/>
        </w:rPr>
        <w:t>一項：</w:t>
      </w:r>
      <w:r w:rsidRPr="00D87D34">
        <w:rPr>
          <w:rFonts w:hAnsi="標楷體"/>
          <w:spacing w:val="4"/>
          <w:sz w:val="30"/>
          <w:szCs w:val="30"/>
        </w:rPr>
        <w:lastRenderedPageBreak/>
        <w:t>商業會計事務之處理依本法之規定。</w:t>
      </w:r>
      <w:r w:rsidRPr="007B5D03">
        <w:rPr>
          <w:rFonts w:hAnsi="標楷體" w:hint="eastAsia"/>
          <w:sz w:val="30"/>
          <w:szCs w:val="30"/>
        </w:rPr>
        <w:t>2</w:t>
      </w:r>
      <w:r w:rsidRPr="007B5D03">
        <w:rPr>
          <w:rFonts w:hAnsi="標楷體"/>
          <w:sz w:val="30"/>
          <w:szCs w:val="30"/>
        </w:rPr>
        <w:t>、商業會計法第二條第一項：本法所稱之商業謂以營利為目的之事業，其範圍依商業登記法、公司法及其他法律之規定。</w:t>
      </w:r>
      <w:r w:rsidRPr="007B5D03">
        <w:rPr>
          <w:rFonts w:hAnsi="標楷體" w:hint="eastAsia"/>
          <w:sz w:val="30"/>
          <w:szCs w:val="30"/>
        </w:rPr>
        <w:t>3</w:t>
      </w:r>
      <w:r w:rsidRPr="007B5D03">
        <w:rPr>
          <w:rFonts w:hAnsi="標楷體"/>
          <w:sz w:val="30"/>
          <w:szCs w:val="30"/>
        </w:rPr>
        <w:t>、營利事業所得稅查核準則第二條第二項：營利事業之會計事項，應參照商業會計法及財務會計準則公報等據實記載，產生其財務報表。至辦理所得稅結算申報或核課所得稅時，其帳載事項與所得稅法、所得稅法施行細則、促進產業升級條例、促進產業升級條例施行細則、中小企業發展條例，本準則暨有關法令</w:t>
      </w:r>
      <w:r w:rsidRPr="00A474B6">
        <w:rPr>
          <w:rFonts w:hAnsi="標楷體"/>
          <w:spacing w:val="6"/>
          <w:sz w:val="30"/>
          <w:szCs w:val="30"/>
        </w:rPr>
        <w:t>之規定未符者，均應於申報書內自行調整</w:t>
      </w:r>
      <w:r w:rsidRPr="007B5D03">
        <w:rPr>
          <w:rFonts w:hAnsi="標楷體"/>
          <w:sz w:val="30"/>
          <w:szCs w:val="30"/>
        </w:rPr>
        <w:t>之。</w:t>
      </w:r>
      <w:r w:rsidRPr="007B5D03">
        <w:rPr>
          <w:rFonts w:hAnsi="標楷體" w:hint="eastAsia"/>
          <w:sz w:val="30"/>
          <w:szCs w:val="30"/>
        </w:rPr>
        <w:t>4</w:t>
      </w:r>
      <w:r w:rsidRPr="007B5D03">
        <w:rPr>
          <w:rFonts w:hAnsi="標楷體"/>
          <w:sz w:val="30"/>
          <w:szCs w:val="30"/>
        </w:rPr>
        <w:t>、商業會計處理準則第二條：商業會計事務之處理，應依本法、本準則及有關法令辦理；其未規定者，依照一般公認會計原則辦理。Ｂ、在此法理基礎下，現行營利事業</w:t>
      </w:r>
      <w:r w:rsidRPr="00A474B6">
        <w:rPr>
          <w:rFonts w:hAnsi="標楷體"/>
          <w:spacing w:val="6"/>
          <w:sz w:val="30"/>
          <w:szCs w:val="30"/>
        </w:rPr>
        <w:t>所得稅結算申報書上，其左側之「帳載結算金額」乃是財務會計下之稅前盈餘，右側之「自行依法調整後金額」則是依稅法「帳外調整」後之課稅所得稅基。」此有臺北高等</w:t>
      </w:r>
      <w:r w:rsidRPr="007B5D03">
        <w:rPr>
          <w:rFonts w:hAnsi="標楷體"/>
          <w:sz w:val="30"/>
          <w:szCs w:val="30"/>
        </w:rPr>
        <w:t>行政法院</w:t>
      </w:r>
      <w:r w:rsidRPr="007B5D03">
        <w:rPr>
          <w:sz w:val="30"/>
          <w:szCs w:val="30"/>
        </w:rPr>
        <w:t>92</w:t>
      </w:r>
      <w:r w:rsidRPr="007B5D03">
        <w:rPr>
          <w:rFonts w:hAnsi="標楷體"/>
          <w:sz w:val="30"/>
          <w:szCs w:val="30"/>
        </w:rPr>
        <w:t>年度訴字第</w:t>
      </w:r>
      <w:r w:rsidRPr="007B5D03">
        <w:rPr>
          <w:sz w:val="30"/>
          <w:szCs w:val="30"/>
        </w:rPr>
        <w:t>4555</w:t>
      </w:r>
      <w:r w:rsidRPr="007B5D03">
        <w:rPr>
          <w:rFonts w:hAnsi="標楷體"/>
          <w:sz w:val="30"/>
          <w:szCs w:val="30"/>
        </w:rPr>
        <w:t>號判決可稽（附件</w:t>
      </w:r>
      <w:r w:rsidRPr="007B5D03">
        <w:rPr>
          <w:sz w:val="30"/>
          <w:szCs w:val="30"/>
        </w:rPr>
        <w:t>3</w:t>
      </w:r>
      <w:r w:rsidRPr="007B5D03">
        <w:rPr>
          <w:rFonts w:hint="eastAsia"/>
          <w:sz w:val="30"/>
          <w:szCs w:val="30"/>
        </w:rPr>
        <w:t>7</w:t>
      </w:r>
      <w:r w:rsidRPr="007B5D03">
        <w:rPr>
          <w:rFonts w:hAnsi="標楷體"/>
          <w:sz w:val="30"/>
          <w:szCs w:val="30"/>
        </w:rPr>
        <w:t>）。</w:t>
      </w:r>
    </w:p>
    <w:p w:rsidR="00514426" w:rsidRPr="007B5D03" w:rsidRDefault="00514426" w:rsidP="00A474B6">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租稅法規之平等原則審查，理論上仍應遵循上開平等原則的審查標準，先判斷有無形成差別待遇之相提並論性，就一般應稅收入之成本與避險損失予以差別待遇時，均屬於應稅收入之成本，應有相提並論性；再者就必須審查</w:t>
      </w:r>
      <w:r w:rsidRPr="007B5D03">
        <w:rPr>
          <w:rFonts w:hAnsi="標楷體"/>
          <w:sz w:val="30"/>
          <w:szCs w:val="30"/>
        </w:rPr>
        <w:lastRenderedPageBreak/>
        <w:t>財政部</w:t>
      </w:r>
      <w:r w:rsidRPr="007B5D03">
        <w:rPr>
          <w:sz w:val="30"/>
          <w:szCs w:val="30"/>
        </w:rPr>
        <w:t>86</w:t>
      </w:r>
      <w:r w:rsidRPr="007B5D03">
        <w:rPr>
          <w:rFonts w:hAnsi="標楷體"/>
          <w:sz w:val="30"/>
          <w:szCs w:val="30"/>
        </w:rPr>
        <w:t>年函釋是基於實質平等或政策目的所為之差別待遇，然財政部</w:t>
      </w:r>
      <w:r w:rsidRPr="007B5D03">
        <w:rPr>
          <w:sz w:val="30"/>
          <w:szCs w:val="30"/>
        </w:rPr>
        <w:t>86</w:t>
      </w:r>
      <w:r w:rsidRPr="007B5D03">
        <w:rPr>
          <w:rFonts w:hAnsi="標楷體"/>
          <w:sz w:val="30"/>
          <w:szCs w:val="30"/>
        </w:rPr>
        <w:t>年函釋本身既違反實質課稅原則、量能課稅原則，又無任何追求實質平等之目的，僅是單純地以為權證避險損失為證券交易損失，復</w:t>
      </w:r>
      <w:r w:rsidRPr="00A474B6">
        <w:rPr>
          <w:rFonts w:hAnsi="標楷體"/>
          <w:spacing w:val="6"/>
          <w:sz w:val="30"/>
          <w:szCs w:val="30"/>
        </w:rPr>
        <w:t>因所得稅法第</w:t>
      </w:r>
      <w:r w:rsidRPr="00A474B6">
        <w:rPr>
          <w:spacing w:val="6"/>
          <w:sz w:val="30"/>
          <w:szCs w:val="30"/>
        </w:rPr>
        <w:t>4</w:t>
      </w:r>
      <w:r w:rsidRPr="00A474B6">
        <w:rPr>
          <w:rFonts w:hAnsi="標楷體"/>
          <w:spacing w:val="6"/>
          <w:sz w:val="30"/>
          <w:szCs w:val="30"/>
        </w:rPr>
        <w:t>條之</w:t>
      </w:r>
      <w:r w:rsidRPr="00A474B6">
        <w:rPr>
          <w:spacing w:val="6"/>
          <w:sz w:val="30"/>
          <w:szCs w:val="30"/>
        </w:rPr>
        <w:t>1</w:t>
      </w:r>
      <w:r w:rsidRPr="00A474B6">
        <w:rPr>
          <w:rFonts w:hAnsi="標楷體"/>
          <w:spacing w:val="6"/>
          <w:sz w:val="30"/>
          <w:szCs w:val="30"/>
        </w:rPr>
        <w:t>本身為政策目的之規</w:t>
      </w:r>
      <w:r w:rsidRPr="007B5D03">
        <w:rPr>
          <w:rFonts w:hAnsi="標楷體"/>
          <w:sz w:val="30"/>
          <w:szCs w:val="30"/>
        </w:rPr>
        <w:t>定，故可認定應該從嚴審查。</w:t>
      </w:r>
    </w:p>
    <w:p w:rsidR="00514426" w:rsidRPr="007B5D03" w:rsidRDefault="00514426" w:rsidP="00132234">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是所謂財稅差異係指在所得稅法等法律或法規命令有相關規定下，才與財務會計異其處理，類型上包括永久性差異與暫時性差異。其中「永久性差異」</w:t>
      </w:r>
      <w:r w:rsidRPr="007B5D03">
        <w:rPr>
          <w:sz w:val="30"/>
          <w:szCs w:val="30"/>
        </w:rPr>
        <w:t>100</w:t>
      </w:r>
      <w:r w:rsidRPr="007B5D03">
        <w:rPr>
          <w:rFonts w:hAnsi="標楷體"/>
          <w:sz w:val="30"/>
          <w:szCs w:val="30"/>
        </w:rPr>
        <w:t>元，乃是指「財務會</w:t>
      </w:r>
      <w:r w:rsidRPr="00132234">
        <w:rPr>
          <w:rFonts w:hAnsi="標楷體"/>
          <w:spacing w:val="6"/>
          <w:sz w:val="30"/>
          <w:szCs w:val="30"/>
        </w:rPr>
        <w:t>計」認列之交際費，其中之</w:t>
      </w:r>
      <w:r w:rsidRPr="00132234">
        <w:rPr>
          <w:spacing w:val="6"/>
          <w:sz w:val="30"/>
          <w:szCs w:val="30"/>
        </w:rPr>
        <w:t>100</w:t>
      </w:r>
      <w:r w:rsidRPr="00132234">
        <w:rPr>
          <w:rFonts w:hAnsi="標楷體"/>
          <w:spacing w:val="6"/>
          <w:sz w:val="30"/>
          <w:szCs w:val="30"/>
        </w:rPr>
        <w:t>元超過了稅</w:t>
      </w:r>
      <w:r w:rsidRPr="007B5D03">
        <w:rPr>
          <w:rFonts w:hAnsi="標楷體"/>
          <w:sz w:val="30"/>
          <w:szCs w:val="30"/>
        </w:rPr>
        <w:t>法所定之限額，而遭剔除，因此納稅義務人多出了</w:t>
      </w:r>
      <w:r w:rsidRPr="007B5D03">
        <w:rPr>
          <w:sz w:val="30"/>
          <w:szCs w:val="30"/>
        </w:rPr>
        <w:t>100</w:t>
      </w:r>
      <w:r w:rsidRPr="007B5D03">
        <w:rPr>
          <w:rFonts w:hAnsi="標楷體"/>
          <w:sz w:val="30"/>
          <w:szCs w:val="30"/>
        </w:rPr>
        <w:t>元之盈餘。此項費用遭剔除，對</w:t>
      </w:r>
      <w:r w:rsidRPr="00132234">
        <w:rPr>
          <w:rFonts w:hAnsi="標楷體"/>
          <w:spacing w:val="6"/>
          <w:sz w:val="30"/>
          <w:szCs w:val="30"/>
        </w:rPr>
        <w:t>其往後之財務也不生任何影響，因此為「永</w:t>
      </w:r>
      <w:r w:rsidRPr="007B5D03">
        <w:rPr>
          <w:rFonts w:hAnsi="標楷體"/>
          <w:sz w:val="30"/>
          <w:szCs w:val="30"/>
        </w:rPr>
        <w:t>久性差異」；其中之「暫時性差異」</w:t>
      </w:r>
      <w:r w:rsidRPr="007B5D03">
        <w:rPr>
          <w:sz w:val="30"/>
          <w:szCs w:val="30"/>
        </w:rPr>
        <w:t>100</w:t>
      </w:r>
      <w:r w:rsidRPr="007B5D03">
        <w:rPr>
          <w:rFonts w:hAnsi="標楷體"/>
          <w:sz w:val="30"/>
          <w:szCs w:val="30"/>
        </w:rPr>
        <w:t>元，</w:t>
      </w:r>
      <w:r w:rsidRPr="00132234">
        <w:rPr>
          <w:rFonts w:hAnsi="標楷體"/>
          <w:spacing w:val="6"/>
          <w:sz w:val="30"/>
          <w:szCs w:val="30"/>
        </w:rPr>
        <w:t>乃是指「財務會計」規定之「固定資產攤提年限」較「稅務會計」規定之「固定資產攤</w:t>
      </w:r>
      <w:r w:rsidRPr="007B5D03">
        <w:rPr>
          <w:rFonts w:hAnsi="標楷體"/>
          <w:sz w:val="30"/>
          <w:szCs w:val="30"/>
        </w:rPr>
        <w:t>提年限」為短（每一年度攤提之金額較高），因此當年度攤提折舊之金額有</w:t>
      </w:r>
      <w:r w:rsidRPr="007B5D03">
        <w:rPr>
          <w:sz w:val="30"/>
          <w:szCs w:val="30"/>
        </w:rPr>
        <w:t>100</w:t>
      </w:r>
      <w:r w:rsidRPr="007B5D03">
        <w:rPr>
          <w:rFonts w:hAnsi="標楷體"/>
          <w:sz w:val="30"/>
          <w:szCs w:val="30"/>
        </w:rPr>
        <w:t>元在稅務會計不予承認，因此納稅義務人在當年度多出了</w:t>
      </w:r>
      <w:r w:rsidRPr="007B5D03">
        <w:rPr>
          <w:sz w:val="30"/>
          <w:szCs w:val="30"/>
        </w:rPr>
        <w:t>100</w:t>
      </w:r>
      <w:r w:rsidRPr="007B5D03">
        <w:rPr>
          <w:rFonts w:hAnsi="標楷體"/>
          <w:sz w:val="30"/>
          <w:szCs w:val="30"/>
        </w:rPr>
        <w:t>元之盈餘，但是此項攤提之費用雖</w:t>
      </w:r>
      <w:r w:rsidRPr="00132234">
        <w:rPr>
          <w:rFonts w:hAnsi="標楷體"/>
          <w:spacing w:val="6"/>
          <w:sz w:val="30"/>
          <w:szCs w:val="30"/>
        </w:rPr>
        <w:t>在本年度不被認列，但在往後年度仍可認</w:t>
      </w:r>
      <w:r w:rsidRPr="007B5D03">
        <w:rPr>
          <w:rFonts w:hAnsi="標楷體"/>
          <w:sz w:val="30"/>
          <w:szCs w:val="30"/>
        </w:rPr>
        <w:t>列，因此對應於此筆費用而繳納之所得稅負</w:t>
      </w:r>
      <w:r w:rsidRPr="00132234">
        <w:rPr>
          <w:rFonts w:hAnsi="標楷體"/>
          <w:spacing w:val="6"/>
          <w:sz w:val="30"/>
          <w:szCs w:val="30"/>
        </w:rPr>
        <w:t>在將來仍可享受少繳之利益，所以列為「暫</w:t>
      </w:r>
      <w:r w:rsidRPr="007B5D03">
        <w:rPr>
          <w:rFonts w:hAnsi="標楷體"/>
          <w:sz w:val="30"/>
          <w:szCs w:val="30"/>
        </w:rPr>
        <w:t>時性差異」。</w:t>
      </w:r>
    </w:p>
    <w:p w:rsidR="00514426" w:rsidRPr="007B5D03" w:rsidRDefault="00514426" w:rsidP="00132234">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從而永久性差異與暫時性差異係以對稅</w:t>
      </w:r>
      <w:r w:rsidRPr="007B5D03">
        <w:rPr>
          <w:rFonts w:hAnsi="標楷體" w:hint="eastAsia"/>
          <w:sz w:val="30"/>
          <w:szCs w:val="30"/>
        </w:rPr>
        <w:t>負</w:t>
      </w:r>
      <w:r w:rsidRPr="007B5D03">
        <w:rPr>
          <w:rFonts w:hAnsi="標楷體"/>
          <w:sz w:val="30"/>
          <w:szCs w:val="30"/>
        </w:rPr>
        <w:t>效</w:t>
      </w:r>
      <w:r w:rsidRPr="007B5D03">
        <w:rPr>
          <w:rFonts w:hAnsi="標楷體"/>
          <w:sz w:val="30"/>
          <w:szCs w:val="30"/>
        </w:rPr>
        <w:lastRenderedPageBreak/>
        <w:t>果之影響而論，對於暫時性差異最終對納稅義務人並無特別不利益，立法者似乎有著更多租稅政策考量之空間，然而對於永久性差異之影響，必須尋求一個正當化之基礎，不</w:t>
      </w:r>
      <w:r w:rsidRPr="00132234">
        <w:rPr>
          <w:rFonts w:hAnsi="標楷體"/>
          <w:spacing w:val="6"/>
          <w:sz w:val="30"/>
          <w:szCs w:val="30"/>
        </w:rPr>
        <w:t>論是基於立法之公益目的（亦即合目的性）</w:t>
      </w:r>
      <w:r w:rsidRPr="007B5D03">
        <w:rPr>
          <w:rFonts w:hAnsi="標楷體"/>
          <w:sz w:val="30"/>
          <w:szCs w:val="30"/>
        </w:rPr>
        <w:t>之觀點，抑或基於事物本質之差異而予以差別待遇。自永久性財稅差異之規定而論，通常基於該等費用之認列已超過必要費用認列</w:t>
      </w:r>
      <w:r w:rsidRPr="00F04A9B">
        <w:rPr>
          <w:rFonts w:hAnsi="標楷體"/>
          <w:spacing w:val="6"/>
          <w:sz w:val="30"/>
          <w:szCs w:val="30"/>
        </w:rPr>
        <w:t>之要件，始給予剔除（如交際費超限時，違</w:t>
      </w:r>
      <w:r w:rsidRPr="007B5D03">
        <w:rPr>
          <w:rFonts w:hAnsi="標楷體"/>
          <w:sz w:val="30"/>
          <w:szCs w:val="30"/>
        </w:rPr>
        <w:t>反必要費用認列之相當性原則，本非必要費用，可參考附件</w:t>
      </w:r>
      <w:r w:rsidRPr="007B5D03">
        <w:rPr>
          <w:sz w:val="30"/>
          <w:szCs w:val="30"/>
        </w:rPr>
        <w:t>2</w:t>
      </w:r>
      <w:r w:rsidRPr="007B5D03">
        <w:rPr>
          <w:rFonts w:hint="eastAsia"/>
          <w:sz w:val="30"/>
          <w:szCs w:val="30"/>
        </w:rPr>
        <w:t>8</w:t>
      </w:r>
      <w:r w:rsidRPr="007B5D03">
        <w:rPr>
          <w:rFonts w:hAnsi="標楷體"/>
          <w:sz w:val="30"/>
          <w:szCs w:val="30"/>
        </w:rPr>
        <w:t>，陳清秀，論客觀的淨額所得原則，頁</w:t>
      </w:r>
      <w:r w:rsidRPr="007B5D03">
        <w:rPr>
          <w:sz w:val="30"/>
          <w:szCs w:val="30"/>
        </w:rPr>
        <w:t>271</w:t>
      </w:r>
      <w:r w:rsidRPr="007B5D03">
        <w:rPr>
          <w:rFonts w:hAnsi="標楷體"/>
          <w:sz w:val="30"/>
          <w:szCs w:val="30"/>
        </w:rPr>
        <w:t>至</w:t>
      </w:r>
      <w:r w:rsidRPr="007B5D03">
        <w:rPr>
          <w:sz w:val="30"/>
          <w:szCs w:val="30"/>
        </w:rPr>
        <w:t>272</w:t>
      </w:r>
      <w:r w:rsidRPr="007B5D03">
        <w:rPr>
          <w:rFonts w:hAnsi="標楷體"/>
          <w:sz w:val="30"/>
          <w:szCs w:val="30"/>
        </w:rPr>
        <w:t>），或者立法者本於</w:t>
      </w:r>
      <w:r w:rsidRPr="00F04A9B">
        <w:rPr>
          <w:rFonts w:hAnsi="標楷體"/>
          <w:spacing w:val="6"/>
          <w:sz w:val="30"/>
          <w:szCs w:val="30"/>
        </w:rPr>
        <w:t>公益目的所為之財稅差異特別處理（例如一</w:t>
      </w:r>
      <w:r w:rsidRPr="007B5D03">
        <w:rPr>
          <w:rFonts w:hAnsi="標楷體"/>
          <w:sz w:val="30"/>
          <w:szCs w:val="30"/>
        </w:rPr>
        <w:t>般賺取免稅證券交易所得行為所發生之證券交易損失不得扣減應稅收入），其立法形成空間應如同前述量能課稅原則在例外情形下退讓相同。</w:t>
      </w:r>
    </w:p>
    <w:p w:rsidR="00514426" w:rsidRPr="007B5D03" w:rsidRDefault="00514426" w:rsidP="00F04A9B">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F04A9B">
        <w:rPr>
          <w:rFonts w:hAnsi="標楷體"/>
          <w:spacing w:val="6"/>
          <w:sz w:val="30"/>
          <w:szCs w:val="30"/>
        </w:rPr>
        <w:t>自所得稅法第</w:t>
      </w:r>
      <w:r w:rsidRPr="00F04A9B">
        <w:rPr>
          <w:spacing w:val="6"/>
          <w:sz w:val="30"/>
          <w:szCs w:val="30"/>
        </w:rPr>
        <w:t>4</w:t>
      </w:r>
      <w:r w:rsidRPr="00F04A9B">
        <w:rPr>
          <w:rFonts w:hAnsi="標楷體"/>
          <w:spacing w:val="6"/>
          <w:sz w:val="30"/>
          <w:szCs w:val="30"/>
        </w:rPr>
        <w:t>條之</w:t>
      </w:r>
      <w:r w:rsidRPr="00F04A9B">
        <w:rPr>
          <w:spacing w:val="6"/>
          <w:sz w:val="30"/>
          <w:szCs w:val="30"/>
        </w:rPr>
        <w:t>1</w:t>
      </w:r>
      <w:r w:rsidRPr="00F04A9B">
        <w:rPr>
          <w:rFonts w:hAnsi="標楷體"/>
          <w:spacing w:val="6"/>
          <w:sz w:val="30"/>
          <w:szCs w:val="30"/>
        </w:rPr>
        <w:t>規範目的而論，其為</w:t>
      </w:r>
      <w:r w:rsidRPr="007B5D03">
        <w:rPr>
          <w:rFonts w:hAnsi="標楷體"/>
          <w:sz w:val="30"/>
          <w:szCs w:val="30"/>
        </w:rPr>
        <w:t>促進投資市場活絡，復為符合租稅公平及配合原則，乃規定證券交易損失不得自應稅收入中扣減，然而財政部</w:t>
      </w:r>
      <w:r w:rsidRPr="007B5D03">
        <w:rPr>
          <w:sz w:val="30"/>
          <w:szCs w:val="30"/>
        </w:rPr>
        <w:t>86</w:t>
      </w:r>
      <w:r w:rsidRPr="007B5D03">
        <w:rPr>
          <w:rFonts w:hAnsi="標楷體"/>
          <w:sz w:val="30"/>
          <w:szCs w:val="30"/>
        </w:rPr>
        <w:t>年函釋對其誤解而認定權證避險交易損失不得自應稅權利金收入中扣除，其僅係誤解權證交易課稅關係之定性所為錯誤之課稅處置，並非已確認權證避險交易損失與其他應稅收入對應之成本有何本質上不同，即該函釋並非從體系正義觀</w:t>
      </w:r>
      <w:r w:rsidRPr="00F04A9B">
        <w:rPr>
          <w:rFonts w:hAnsi="標楷體"/>
          <w:spacing w:val="-6"/>
          <w:sz w:val="30"/>
          <w:szCs w:val="30"/>
        </w:rPr>
        <w:t>點追求實質上平等，且亦非符合所得稅法第</w:t>
      </w:r>
      <w:r w:rsidRPr="00F04A9B">
        <w:rPr>
          <w:spacing w:val="-6"/>
          <w:sz w:val="30"/>
          <w:szCs w:val="30"/>
        </w:rPr>
        <w:t>4</w:t>
      </w:r>
      <w:r w:rsidRPr="007B5D03">
        <w:rPr>
          <w:rFonts w:hAnsi="標楷體"/>
          <w:sz w:val="30"/>
          <w:szCs w:val="30"/>
        </w:rPr>
        <w:t>條之</w:t>
      </w:r>
      <w:r w:rsidRPr="007B5D03">
        <w:rPr>
          <w:sz w:val="30"/>
          <w:szCs w:val="30"/>
        </w:rPr>
        <w:t>1</w:t>
      </w:r>
      <w:r w:rsidRPr="007B5D03">
        <w:rPr>
          <w:rFonts w:hAnsi="標楷體"/>
          <w:sz w:val="30"/>
          <w:szCs w:val="30"/>
        </w:rPr>
        <w:t>之立</w:t>
      </w:r>
      <w:r w:rsidRPr="007B5D03">
        <w:rPr>
          <w:rFonts w:hAnsi="標楷體"/>
          <w:sz w:val="30"/>
          <w:szCs w:val="30"/>
        </w:rPr>
        <w:lastRenderedPageBreak/>
        <w:t>法目的（詳如前述），亦無符合目的性可言，從而依上開檢驗標準，如　鈞院未能獲致財政部</w:t>
      </w:r>
      <w:r w:rsidRPr="007B5D03">
        <w:rPr>
          <w:sz w:val="30"/>
          <w:szCs w:val="30"/>
        </w:rPr>
        <w:t>86</w:t>
      </w:r>
      <w:r w:rsidRPr="007B5D03">
        <w:rPr>
          <w:rFonts w:hAnsi="標楷體"/>
          <w:sz w:val="30"/>
          <w:szCs w:val="30"/>
        </w:rPr>
        <w:t>年函釋確係符合所得稅法</w:t>
      </w:r>
      <w:r w:rsidRPr="00F04A9B">
        <w:rPr>
          <w:rFonts w:hAnsi="標楷體"/>
          <w:spacing w:val="6"/>
          <w:sz w:val="30"/>
          <w:szCs w:val="30"/>
        </w:rPr>
        <w:t>第</w:t>
      </w:r>
      <w:r w:rsidRPr="00F04A9B">
        <w:rPr>
          <w:spacing w:val="6"/>
          <w:sz w:val="30"/>
          <w:szCs w:val="30"/>
        </w:rPr>
        <w:t>4</w:t>
      </w:r>
      <w:r w:rsidRPr="00F04A9B">
        <w:rPr>
          <w:rFonts w:hAnsi="標楷體"/>
          <w:spacing w:val="6"/>
          <w:sz w:val="30"/>
          <w:szCs w:val="30"/>
        </w:rPr>
        <w:t>條之</w:t>
      </w:r>
      <w:r w:rsidRPr="00F04A9B">
        <w:rPr>
          <w:spacing w:val="6"/>
          <w:sz w:val="30"/>
          <w:szCs w:val="30"/>
        </w:rPr>
        <w:t>1</w:t>
      </w:r>
      <w:r w:rsidRPr="00F04A9B">
        <w:rPr>
          <w:rFonts w:hAnsi="標楷體"/>
          <w:spacing w:val="6"/>
          <w:sz w:val="30"/>
          <w:szCs w:val="30"/>
        </w:rPr>
        <w:t>之應有法律解釋原則之確信，實</w:t>
      </w:r>
      <w:r w:rsidRPr="007B5D03">
        <w:rPr>
          <w:rFonts w:hAnsi="標楷體"/>
          <w:sz w:val="30"/>
          <w:szCs w:val="30"/>
        </w:rPr>
        <w:t>應從嚴審查，並對之宣告違反平等原則。</w:t>
      </w:r>
    </w:p>
    <w:p w:rsidR="00514426" w:rsidRPr="007B5D03" w:rsidRDefault="00514426" w:rsidP="00054D16">
      <w:pPr>
        <w:snapToGrid w:val="0"/>
        <w:spacing w:line="437" w:lineRule="exact"/>
        <w:ind w:left="2354" w:hanging="369"/>
        <w:rPr>
          <w:sz w:val="30"/>
          <w:szCs w:val="30"/>
        </w:rPr>
      </w:pPr>
      <w:r w:rsidRPr="007B5D03">
        <w:rPr>
          <w:sz w:val="30"/>
          <w:szCs w:val="30"/>
        </w:rPr>
        <w:t>(5)</w:t>
      </w:r>
      <w:r w:rsidRPr="007B5D03">
        <w:rPr>
          <w:rFonts w:hAnsi="標楷體"/>
          <w:sz w:val="30"/>
          <w:szCs w:val="30"/>
        </w:rPr>
        <w:t>財政部</w:t>
      </w:r>
      <w:r w:rsidRPr="007B5D03">
        <w:rPr>
          <w:sz w:val="30"/>
          <w:szCs w:val="30"/>
        </w:rPr>
        <w:t>86</w:t>
      </w:r>
      <w:r w:rsidRPr="007B5D03">
        <w:rPr>
          <w:rFonts w:hAnsi="標楷體"/>
          <w:sz w:val="30"/>
          <w:szCs w:val="30"/>
        </w:rPr>
        <w:t>年函釋有違　鈞院釋字第</w:t>
      </w:r>
      <w:r w:rsidRPr="007B5D03">
        <w:rPr>
          <w:sz w:val="30"/>
          <w:szCs w:val="30"/>
        </w:rPr>
        <w:t>385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割裂適用禁止原則，亦與平等原則有所齟齬</w:t>
      </w:r>
    </w:p>
    <w:p w:rsidR="00514426" w:rsidRPr="007B5D03" w:rsidRDefault="00514426" w:rsidP="00054D16">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054D16">
        <w:rPr>
          <w:rFonts w:hAnsi="標楷體"/>
          <w:spacing w:val="-6"/>
          <w:sz w:val="30"/>
          <w:szCs w:val="30"/>
        </w:rPr>
        <w:t>按　鈞院釋字第</w:t>
      </w:r>
      <w:r w:rsidRPr="00054D16">
        <w:rPr>
          <w:spacing w:val="-6"/>
          <w:sz w:val="30"/>
          <w:szCs w:val="30"/>
        </w:rPr>
        <w:t>385</w:t>
      </w:r>
      <w:r w:rsidRPr="00054D16">
        <w:rPr>
          <w:rFonts w:hAnsi="標楷體"/>
          <w:spacing w:val="-6"/>
          <w:sz w:val="30"/>
          <w:szCs w:val="30"/>
        </w:rPr>
        <w:t>號解釋理由書略謂：「憲</w:t>
      </w:r>
      <w:r w:rsidRPr="007B5D03">
        <w:rPr>
          <w:rFonts w:hAnsi="標楷體"/>
          <w:sz w:val="30"/>
          <w:szCs w:val="30"/>
        </w:rPr>
        <w:t>法第十九條規定人民有依法律納稅之義務，固係指人民有依據法律所定之納稅主體、稅目、稅率、納稅方法及納稅期間等項而負納稅義務之意，然課人民以繳納租稅之法律，於適用時，該法律所定之事項若權利義務相關連者，本於法律適用之整體性及權利義務之平衡，當不得任意割裂適用。中華民國七十六年一月二十六日修正公布之獎勵投資條例第三條核准獎勵之外國公司，依同條例第十六條第三項規定，其所設分公司之所得，於繳納營利事業所得後，將其稅後盈餘給付總公司時，應按其給付額扣繳百分之二十所得稅，立法意旨係因外國公司在我國境內之分公司既享受租稅減免之優惠，則其稅後盈餘欲給付總公司時，自應負擔上述所得稅扣繳義務，否則，外國公司即得以成立分公司之方式規避我國稅負。故兩者係相互關連之規定，要不得割裂適用。茲前述獎勵投資條例雖於七十九年</w:t>
      </w:r>
      <w:r w:rsidRPr="007B5D03">
        <w:rPr>
          <w:rFonts w:hAnsi="標楷體" w:hint="eastAsia"/>
          <w:sz w:val="30"/>
          <w:szCs w:val="30"/>
        </w:rPr>
        <w:t>十</w:t>
      </w:r>
      <w:r w:rsidRPr="007B5D03">
        <w:rPr>
          <w:rFonts w:hAnsi="標楷體"/>
          <w:sz w:val="30"/>
          <w:szCs w:val="30"/>
        </w:rPr>
        <w:t>二月三十一日施</w:t>
      </w:r>
      <w:r w:rsidRPr="007B5D03">
        <w:rPr>
          <w:rFonts w:hAnsi="標楷體"/>
          <w:sz w:val="30"/>
          <w:szCs w:val="30"/>
        </w:rPr>
        <w:lastRenderedPageBreak/>
        <w:t>行期間屆滿而失效，惟在該條例施行期間內核准之案件（五年或四年免稅），就該個案言，尚不因該條例施行期間屆滿而失效，仍繼續適用該條例予以獎勵，俾保障投資人之權益。是經核准獎勵投資之外國公司於獎勵投資條例適行期間屆滿後，既仍得享受免稅優惠，其與此相關連之總公司稅負，自應併依同條例第</w:t>
      </w:r>
      <w:r w:rsidRPr="00054D16">
        <w:rPr>
          <w:rFonts w:hAnsi="標楷體"/>
          <w:spacing w:val="6"/>
          <w:sz w:val="30"/>
          <w:szCs w:val="30"/>
        </w:rPr>
        <w:t>十六條第三項扣繳所得稅，方符原立法意旨。」該解釋所謂權利義務相關連是基於同</w:t>
      </w:r>
      <w:r w:rsidRPr="00054D16">
        <w:rPr>
          <w:rFonts w:hAnsi="標楷體"/>
          <w:spacing w:val="10"/>
          <w:sz w:val="30"/>
          <w:szCs w:val="30"/>
        </w:rPr>
        <w:t>一法律事實（亦即外國公司營利事業所得</w:t>
      </w:r>
      <w:r w:rsidRPr="007B5D03">
        <w:rPr>
          <w:rFonts w:hAnsi="標楷體"/>
          <w:sz w:val="30"/>
          <w:szCs w:val="30"/>
        </w:rPr>
        <w:t>稅），法律給予相對應之二個規定，如一規定適用時另一規定也必須加以適用。從抽象上而言，割裂適用禁止原則乃為求法律適用整體性與權利義務之平衡，亦即此屬於體系正義之展現，對於同一法律事實得並存之法律效果應予一併適用，對於同一法律事實規範之不並存的法律效果則必須予以調和，有關財政部</w:t>
      </w:r>
      <w:r w:rsidRPr="007B5D03">
        <w:rPr>
          <w:sz w:val="30"/>
          <w:szCs w:val="30"/>
        </w:rPr>
        <w:t>86</w:t>
      </w:r>
      <w:r w:rsidRPr="007B5D03">
        <w:rPr>
          <w:rFonts w:hAnsi="標楷體"/>
          <w:sz w:val="30"/>
          <w:szCs w:val="30"/>
        </w:rPr>
        <w:t>年函釋對權證交易稅上規範競合處理之謬誤，已如上述。</w:t>
      </w:r>
    </w:p>
    <w:p w:rsidR="00514426" w:rsidRPr="007B5D03" w:rsidRDefault="00514426" w:rsidP="00AC0320">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另從應稅收入既然應予課稅，相對應之成本費用自得予以扣減，此乃行為時所得稅法第</w:t>
      </w:r>
      <w:r w:rsidRPr="00AC0320">
        <w:rPr>
          <w:spacing w:val="6"/>
          <w:sz w:val="30"/>
          <w:szCs w:val="30"/>
        </w:rPr>
        <w:t>24</w:t>
      </w:r>
      <w:r w:rsidRPr="00AC0320">
        <w:rPr>
          <w:rFonts w:hAnsi="標楷體"/>
          <w:spacing w:val="6"/>
          <w:sz w:val="30"/>
          <w:szCs w:val="30"/>
        </w:rPr>
        <w:t>條第</w:t>
      </w:r>
      <w:r w:rsidRPr="00AC0320">
        <w:rPr>
          <w:spacing w:val="6"/>
          <w:sz w:val="30"/>
          <w:szCs w:val="30"/>
        </w:rPr>
        <w:t>1</w:t>
      </w:r>
      <w:r w:rsidRPr="00AC0320">
        <w:rPr>
          <w:rFonts w:hAnsi="標楷體"/>
          <w:spacing w:val="6"/>
          <w:sz w:val="30"/>
          <w:szCs w:val="30"/>
        </w:rPr>
        <w:t>項所給予之配套措施，財政部</w:t>
      </w:r>
      <w:r w:rsidRPr="00AC0320">
        <w:rPr>
          <w:spacing w:val="6"/>
          <w:sz w:val="30"/>
          <w:szCs w:val="30"/>
        </w:rPr>
        <w:t>86</w:t>
      </w:r>
      <w:r w:rsidRPr="00AC0320">
        <w:rPr>
          <w:rFonts w:hAnsi="標楷體"/>
          <w:spacing w:val="6"/>
          <w:sz w:val="30"/>
          <w:szCs w:val="30"/>
        </w:rPr>
        <w:t>年函釋立基於所得稅法第</w:t>
      </w:r>
      <w:r w:rsidRPr="00AC0320">
        <w:rPr>
          <w:spacing w:val="6"/>
          <w:sz w:val="30"/>
          <w:szCs w:val="30"/>
        </w:rPr>
        <w:t>4</w:t>
      </w:r>
      <w:r w:rsidRPr="00AC0320">
        <w:rPr>
          <w:rFonts w:hAnsi="標楷體"/>
          <w:spacing w:val="6"/>
          <w:sz w:val="30"/>
          <w:szCs w:val="30"/>
        </w:rPr>
        <w:t>條之</w:t>
      </w:r>
      <w:r w:rsidRPr="00AC0320">
        <w:rPr>
          <w:spacing w:val="6"/>
          <w:sz w:val="30"/>
          <w:szCs w:val="30"/>
        </w:rPr>
        <w:t>1</w:t>
      </w:r>
      <w:r w:rsidRPr="00AC0320">
        <w:rPr>
          <w:rFonts w:hAnsi="標楷體"/>
          <w:spacing w:val="6"/>
          <w:sz w:val="30"/>
          <w:szCs w:val="30"/>
        </w:rPr>
        <w:t>後段之規</w:t>
      </w:r>
      <w:r w:rsidRPr="007B5D03">
        <w:rPr>
          <w:rFonts w:hAnsi="標楷體"/>
          <w:sz w:val="30"/>
          <w:szCs w:val="30"/>
        </w:rPr>
        <w:t>定，將原屬於免稅收入對應之費損不得自應稅收入扣減之規定，使證券交易損失單獨成為絕對不可扣減應稅收入，先將一法律行為割裂為</w:t>
      </w:r>
      <w:r w:rsidRPr="007B5D03">
        <w:rPr>
          <w:rFonts w:hAnsi="標楷體"/>
          <w:sz w:val="30"/>
          <w:szCs w:val="30"/>
        </w:rPr>
        <w:lastRenderedPageBreak/>
        <w:t>二個以上之法律行為，並排除原應適用之所得稅法第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項規定，反而適用針對免稅收入對應之成本費用之規定，對聲請人等發行權證人形成權利義務之不平衡，不符合法律適用之整體性，違背體系正義之要求。簡言之，財政部</w:t>
      </w:r>
      <w:r w:rsidRPr="007B5D03">
        <w:rPr>
          <w:sz w:val="30"/>
          <w:szCs w:val="30"/>
        </w:rPr>
        <w:t>86</w:t>
      </w:r>
      <w:r w:rsidRPr="007B5D03">
        <w:rPr>
          <w:rFonts w:hAnsi="標楷體"/>
          <w:sz w:val="30"/>
          <w:szCs w:val="30"/>
        </w:rPr>
        <w:t>年函釋對權證發行收取之權利金認屬應稅收入，卻對權利金對應之避險交易損失認屬不得扣減應稅收入，對同一法律事實之整體法律規定予以割裂適用，有違　鈞院釋字第</w:t>
      </w:r>
      <w:r w:rsidRPr="007B5D03">
        <w:rPr>
          <w:sz w:val="30"/>
          <w:szCs w:val="30"/>
        </w:rPr>
        <w:t>385</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意旨，至為明顯。</w:t>
      </w:r>
    </w:p>
    <w:p w:rsidR="00514426" w:rsidRPr="007B5D03" w:rsidRDefault="00514426" w:rsidP="00FE4CCD">
      <w:pPr>
        <w:snapToGrid w:val="0"/>
        <w:spacing w:line="437" w:lineRule="exact"/>
        <w:ind w:left="2354" w:hanging="369"/>
        <w:rPr>
          <w:sz w:val="30"/>
          <w:szCs w:val="30"/>
        </w:rPr>
      </w:pPr>
      <w:r w:rsidRPr="007B5D03">
        <w:rPr>
          <w:sz w:val="30"/>
          <w:szCs w:val="30"/>
        </w:rPr>
        <w:t>(6)</w:t>
      </w:r>
      <w:r w:rsidRPr="007B5D03">
        <w:rPr>
          <w:rFonts w:hAnsi="標楷體"/>
          <w:sz w:val="30"/>
          <w:szCs w:val="30"/>
        </w:rPr>
        <w:t>允許權證避險損失不適用所得稅法第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，乃係為符合其交易本質所為之法律評價，並無產生與其他證券交易之差別待遇</w:t>
      </w:r>
    </w:p>
    <w:p w:rsidR="00514426" w:rsidRPr="007B5D03" w:rsidRDefault="00514426" w:rsidP="00FE4CCD">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按行政院在</w:t>
      </w:r>
      <w:r w:rsidRPr="007B5D03">
        <w:rPr>
          <w:sz w:val="30"/>
          <w:szCs w:val="30"/>
        </w:rPr>
        <w:t>96</w:t>
      </w:r>
      <w:r w:rsidRPr="007B5D03">
        <w:rPr>
          <w:rFonts w:hAnsi="標楷體"/>
          <w:sz w:val="30"/>
          <w:szCs w:val="30"/>
        </w:rPr>
        <w:t>年提案增訂所得稅法第</w:t>
      </w:r>
      <w:r w:rsidRPr="007B5D03">
        <w:rPr>
          <w:sz w:val="30"/>
          <w:szCs w:val="30"/>
        </w:rPr>
        <w:t>24</w:t>
      </w:r>
      <w:r w:rsidRPr="007B5D03">
        <w:rPr>
          <w:rFonts w:hAnsi="標楷體"/>
          <w:sz w:val="30"/>
          <w:szCs w:val="30"/>
        </w:rPr>
        <w:t>條</w:t>
      </w:r>
      <w:r w:rsidRPr="00FE4CCD">
        <w:rPr>
          <w:rFonts w:hAnsi="標楷體"/>
          <w:spacing w:val="6"/>
          <w:sz w:val="30"/>
          <w:szCs w:val="30"/>
        </w:rPr>
        <w:t>之</w:t>
      </w:r>
      <w:r w:rsidRPr="00FE4CCD">
        <w:rPr>
          <w:spacing w:val="6"/>
          <w:sz w:val="30"/>
          <w:szCs w:val="30"/>
        </w:rPr>
        <w:t>2</w:t>
      </w:r>
      <w:r w:rsidRPr="00FE4CCD">
        <w:rPr>
          <w:rFonts w:hAnsi="標楷體"/>
          <w:spacing w:val="6"/>
          <w:sz w:val="30"/>
          <w:szCs w:val="30"/>
        </w:rPr>
        <w:t>第</w:t>
      </w:r>
      <w:r w:rsidRPr="00FE4CCD">
        <w:rPr>
          <w:spacing w:val="6"/>
          <w:sz w:val="30"/>
          <w:szCs w:val="30"/>
        </w:rPr>
        <w:t>1</w:t>
      </w:r>
      <w:r w:rsidRPr="00FE4CCD">
        <w:rPr>
          <w:rFonts w:hAnsi="標楷體"/>
          <w:spacing w:val="6"/>
          <w:sz w:val="30"/>
          <w:szCs w:val="30"/>
        </w:rPr>
        <w:t>項本文規定承認應作為費用扣除：「經目的事業主管機關核准發行認購（售）權證者，發行人發行認購（售）權證，於該</w:t>
      </w:r>
      <w:r w:rsidRPr="007B5D03">
        <w:rPr>
          <w:rFonts w:hAnsi="標楷體"/>
          <w:sz w:val="30"/>
          <w:szCs w:val="30"/>
        </w:rPr>
        <w:t>權證發行日至到期日期間，基於風險管理而買賣經目的事業主管機關核可之有價證券及衍生性金融商品之交易所得或損失，應併計發行認購（售）權證之損益課稅，不適用第</w:t>
      </w:r>
      <w:r w:rsidRPr="007B5D03">
        <w:rPr>
          <w:sz w:val="30"/>
          <w:szCs w:val="30"/>
        </w:rPr>
        <w:t>4</w:t>
      </w:r>
      <w:r w:rsidRPr="00FE4CCD">
        <w:rPr>
          <w:rFonts w:hAnsi="標楷體"/>
          <w:spacing w:val="6"/>
          <w:sz w:val="30"/>
          <w:szCs w:val="30"/>
        </w:rPr>
        <w:t>條之</w:t>
      </w:r>
      <w:r w:rsidRPr="00FE4CCD">
        <w:rPr>
          <w:spacing w:val="6"/>
          <w:sz w:val="30"/>
          <w:szCs w:val="30"/>
        </w:rPr>
        <w:t>1</w:t>
      </w:r>
      <w:r w:rsidRPr="00FE4CCD">
        <w:rPr>
          <w:rFonts w:hAnsi="標楷體"/>
          <w:spacing w:val="6"/>
          <w:sz w:val="30"/>
          <w:szCs w:val="30"/>
        </w:rPr>
        <w:t>及第</w:t>
      </w:r>
      <w:r w:rsidRPr="00FE4CCD">
        <w:rPr>
          <w:spacing w:val="6"/>
          <w:sz w:val="30"/>
          <w:szCs w:val="30"/>
        </w:rPr>
        <w:t>4</w:t>
      </w:r>
      <w:r w:rsidRPr="00FE4CCD">
        <w:rPr>
          <w:rFonts w:hAnsi="標楷體"/>
          <w:spacing w:val="6"/>
          <w:sz w:val="30"/>
          <w:szCs w:val="30"/>
        </w:rPr>
        <w:t>條之</w:t>
      </w:r>
      <w:r w:rsidRPr="00FE4CCD">
        <w:rPr>
          <w:spacing w:val="6"/>
          <w:sz w:val="30"/>
          <w:szCs w:val="30"/>
        </w:rPr>
        <w:t>2</w:t>
      </w:r>
      <w:r w:rsidRPr="00FE4CCD">
        <w:rPr>
          <w:rFonts w:hAnsi="標楷體"/>
          <w:spacing w:val="6"/>
          <w:sz w:val="30"/>
          <w:szCs w:val="30"/>
        </w:rPr>
        <w:t>規定。」明確表達修法</w:t>
      </w:r>
      <w:r w:rsidRPr="007B5D03">
        <w:rPr>
          <w:rFonts w:hAnsi="標楷體"/>
          <w:sz w:val="30"/>
          <w:szCs w:val="30"/>
        </w:rPr>
        <w:t>前不讓權證交易之相關避險損失併計權證發行損益課稅之函釋係錯誤見解。並於</w:t>
      </w:r>
      <w:smartTag w:uri="urn:schemas-microsoft-com:office:smarttags" w:element="chsdate">
        <w:smartTagPr>
          <w:attr w:name="IsROCDate" w:val="False"/>
          <w:attr w:name="IsLunarDate" w:val="False"/>
          <w:attr w:name="Day" w:val="15"/>
          <w:attr w:name="Month" w:val="6"/>
          <w:attr w:name="Year" w:val="1996"/>
        </w:smartTagPr>
        <w:r w:rsidRPr="007B5D03">
          <w:rPr>
            <w:sz w:val="30"/>
            <w:szCs w:val="30"/>
          </w:rPr>
          <w:t>96</w:t>
        </w:r>
        <w:r w:rsidRPr="007B5D03">
          <w:rPr>
            <w:rFonts w:hAnsi="標楷體"/>
            <w:sz w:val="30"/>
            <w:szCs w:val="30"/>
          </w:rPr>
          <w:t>年</w:t>
        </w:r>
        <w:smartTag w:uri="urn:schemas-microsoft-com:office:smarttags" w:element="chsdate">
          <w:smartTagPr>
            <w:attr w:name="IsROCDate" w:val="False"/>
            <w:attr w:name="IsLunarDate" w:val="False"/>
            <w:attr w:name="Day" w:val="15"/>
            <w:attr w:name="Month" w:val="6"/>
            <w:attr w:name="Year" w:val="2007"/>
          </w:smartTagPr>
          <w:r w:rsidRPr="007B5D03">
            <w:rPr>
              <w:sz w:val="30"/>
              <w:szCs w:val="30"/>
            </w:rPr>
            <w:t>6</w:t>
          </w:r>
          <w:r w:rsidRPr="007B5D03">
            <w:rPr>
              <w:rFonts w:hAnsi="標楷體"/>
              <w:sz w:val="30"/>
              <w:szCs w:val="30"/>
            </w:rPr>
            <w:t>月</w:t>
          </w:r>
          <w:r w:rsidRPr="007B5D03">
            <w:rPr>
              <w:sz w:val="30"/>
              <w:szCs w:val="30"/>
            </w:rPr>
            <w:t>15</w:t>
          </w:r>
          <w:r w:rsidRPr="007B5D03">
            <w:rPr>
              <w:rFonts w:hAnsi="標楷體"/>
              <w:sz w:val="30"/>
              <w:szCs w:val="30"/>
            </w:rPr>
            <w:t>日</w:t>
          </w:r>
        </w:smartTag>
      </w:smartTag>
      <w:r w:rsidRPr="007B5D03">
        <w:rPr>
          <w:rFonts w:hAnsi="標楷體"/>
          <w:sz w:val="30"/>
          <w:szCs w:val="30"/>
        </w:rPr>
        <w:t>經立法院通過，</w:t>
      </w:r>
      <w:smartTag w:uri="urn:schemas-microsoft-com:office:smarttags" w:element="chsdate">
        <w:smartTagPr>
          <w:attr w:name="IsROCDate" w:val="False"/>
          <w:attr w:name="IsLunarDate" w:val="False"/>
          <w:attr w:name="Day" w:val="11"/>
          <w:attr w:name="Month" w:val="7"/>
          <w:attr w:name="Year" w:val="2011"/>
        </w:smartTagPr>
        <w:r w:rsidRPr="007B5D03">
          <w:rPr>
            <w:sz w:val="30"/>
            <w:szCs w:val="30"/>
          </w:rPr>
          <w:t>7</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施行。依本條立法體系位於所得稅法第</w:t>
      </w:r>
      <w:r w:rsidRPr="007B5D03">
        <w:rPr>
          <w:sz w:val="30"/>
          <w:szCs w:val="30"/>
        </w:rPr>
        <w:t>24</w:t>
      </w:r>
      <w:r w:rsidRPr="007B5D03">
        <w:rPr>
          <w:rFonts w:hAnsi="標楷體"/>
          <w:sz w:val="30"/>
          <w:szCs w:val="30"/>
        </w:rPr>
        <w:t>條客觀淨額所得原</w:t>
      </w:r>
      <w:r w:rsidRPr="007B5D03">
        <w:rPr>
          <w:rFonts w:hAnsi="標楷體"/>
          <w:sz w:val="30"/>
          <w:szCs w:val="30"/>
        </w:rPr>
        <w:lastRenderedPageBreak/>
        <w:t>則之後，顯係補充上述原則之立法。證諸聲請人一再重申，權證發行者相關之避險</w:t>
      </w:r>
      <w:r w:rsidRPr="00FE4CCD">
        <w:rPr>
          <w:rFonts w:hAnsi="標楷體"/>
          <w:spacing w:val="6"/>
          <w:sz w:val="30"/>
          <w:szCs w:val="30"/>
        </w:rPr>
        <w:t>交易損失實應優先適用所得稅法第</w:t>
      </w:r>
      <w:r w:rsidRPr="00FE4CCD">
        <w:rPr>
          <w:spacing w:val="6"/>
          <w:sz w:val="30"/>
          <w:szCs w:val="30"/>
        </w:rPr>
        <w:t>24</w:t>
      </w:r>
      <w:r w:rsidRPr="00FE4CCD">
        <w:rPr>
          <w:rFonts w:hAnsi="標楷體"/>
          <w:spacing w:val="6"/>
          <w:sz w:val="30"/>
          <w:szCs w:val="30"/>
        </w:rPr>
        <w:t>條規</w:t>
      </w:r>
      <w:r w:rsidRPr="007B5D03">
        <w:rPr>
          <w:rFonts w:hAnsi="標楷體"/>
          <w:sz w:val="30"/>
          <w:szCs w:val="30"/>
        </w:rPr>
        <w:t>定，而排除所得稅法第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之適用，乃係符合稅法精神的當然解釋之論據獲得立法確認。雖然立法院在增修上述條文時，並未規定得追溯既往，但該立法確認客觀淨所得原則，並釐清新法非屬租稅優惠規定，對於修正前權證課稅案件自具有解釋上之指標意義。</w:t>
      </w:r>
    </w:p>
    <w:p w:rsidR="00514426" w:rsidRPr="007B5D03" w:rsidRDefault="00514426" w:rsidP="002839FB">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再按自法律制定過程觀察，原本立法院在</w:t>
      </w:r>
      <w:r w:rsidRPr="007B5D03">
        <w:rPr>
          <w:sz w:val="30"/>
          <w:szCs w:val="30"/>
        </w:rPr>
        <w:t>92</w:t>
      </w:r>
      <w:r w:rsidRPr="007B5D03">
        <w:rPr>
          <w:rFonts w:hAnsi="標楷體"/>
          <w:sz w:val="30"/>
          <w:szCs w:val="30"/>
        </w:rPr>
        <w:t>年曾有立法修正權證課稅，但因表決程序有</w:t>
      </w:r>
      <w:r w:rsidRPr="002839FB">
        <w:rPr>
          <w:sz w:val="30"/>
          <w:szCs w:val="30"/>
        </w:rPr>
        <w:t>發生</w:t>
      </w:r>
      <w:r w:rsidRPr="007B5D03">
        <w:rPr>
          <w:rFonts w:hAnsi="標楷體"/>
          <w:sz w:val="30"/>
          <w:szCs w:val="30"/>
        </w:rPr>
        <w:t>立法未能成立之情形，所以財政部才有一個就算新法溯及既往也只能至</w:t>
      </w:r>
      <w:smartTag w:uri="urn:schemas-microsoft-com:office:smarttags" w:element="chsdate">
        <w:smartTagPr>
          <w:attr w:name="IsROCDate" w:val="False"/>
          <w:attr w:name="IsLunarDate" w:val="False"/>
          <w:attr w:name="Day" w:val="1"/>
          <w:attr w:name="Month" w:val="1"/>
          <w:attr w:name="Year" w:val="1992"/>
        </w:smartTagPr>
        <w:r w:rsidRPr="007B5D03">
          <w:rPr>
            <w:sz w:val="30"/>
            <w:szCs w:val="30"/>
          </w:rPr>
          <w:t>92</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2839FB">
          <w:rPr>
            <w:rFonts w:hAnsi="標楷體"/>
            <w:spacing w:val="-6"/>
            <w:sz w:val="30"/>
            <w:szCs w:val="30"/>
          </w:rPr>
          <w:t>日</w:t>
        </w:r>
      </w:smartTag>
      <w:r w:rsidRPr="002839FB">
        <w:rPr>
          <w:rFonts w:hAnsi="標楷體"/>
          <w:spacing w:val="-6"/>
          <w:sz w:val="30"/>
          <w:szCs w:val="30"/>
        </w:rPr>
        <w:t>的底限，有人稱之為「</w:t>
      </w:r>
      <w:r w:rsidRPr="002839FB">
        <w:rPr>
          <w:spacing w:val="-6"/>
          <w:sz w:val="30"/>
          <w:szCs w:val="30"/>
        </w:rPr>
        <w:t>92</w:t>
      </w:r>
      <w:r w:rsidRPr="002839FB">
        <w:rPr>
          <w:rFonts w:hAnsi="標楷體"/>
          <w:spacing w:val="-6"/>
          <w:sz w:val="30"/>
          <w:szCs w:val="30"/>
        </w:rPr>
        <w:t>共識」。以下謹節</w:t>
      </w:r>
      <w:r w:rsidRPr="007B5D03">
        <w:rPr>
          <w:rFonts w:hAnsi="標楷體"/>
          <w:sz w:val="30"/>
          <w:szCs w:val="30"/>
        </w:rPr>
        <w:t>錄立法委員與前財政部長林全之發言立法院公報第</w:t>
      </w:r>
      <w:r w:rsidRPr="007B5D03">
        <w:rPr>
          <w:sz w:val="30"/>
          <w:szCs w:val="30"/>
        </w:rPr>
        <w:t>94</w:t>
      </w:r>
      <w:r w:rsidRPr="007B5D03">
        <w:rPr>
          <w:rFonts w:hAnsi="標楷體"/>
          <w:sz w:val="30"/>
          <w:szCs w:val="30"/>
        </w:rPr>
        <w:t>卷第</w:t>
      </w:r>
      <w:r w:rsidRPr="007B5D03">
        <w:rPr>
          <w:sz w:val="30"/>
          <w:szCs w:val="30"/>
        </w:rPr>
        <w:t>62</w:t>
      </w:r>
      <w:r w:rsidRPr="007B5D03">
        <w:rPr>
          <w:rFonts w:hAnsi="標楷體"/>
          <w:sz w:val="30"/>
          <w:szCs w:val="30"/>
        </w:rPr>
        <w:t>期，委員會</w:t>
      </w:r>
      <w:r w:rsidRPr="007B5D03">
        <w:rPr>
          <w:rFonts w:hAnsi="標楷體" w:hint="eastAsia"/>
          <w:sz w:val="30"/>
          <w:szCs w:val="30"/>
        </w:rPr>
        <w:t>紀</w:t>
      </w:r>
      <w:r w:rsidRPr="007B5D03">
        <w:rPr>
          <w:rFonts w:hAnsi="標楷體"/>
          <w:sz w:val="30"/>
          <w:szCs w:val="30"/>
        </w:rPr>
        <w:t>錄，頁</w:t>
      </w:r>
      <w:r w:rsidRPr="007B5D03">
        <w:rPr>
          <w:sz w:val="30"/>
          <w:szCs w:val="30"/>
        </w:rPr>
        <w:t>318</w:t>
      </w:r>
      <w:r w:rsidRPr="007B5D03">
        <w:rPr>
          <w:rFonts w:hAnsi="標楷體"/>
          <w:sz w:val="30"/>
          <w:szCs w:val="30"/>
        </w:rPr>
        <w:t>至</w:t>
      </w:r>
      <w:r w:rsidRPr="007B5D03">
        <w:rPr>
          <w:sz w:val="30"/>
          <w:szCs w:val="30"/>
        </w:rPr>
        <w:t>319</w:t>
      </w:r>
      <w:r w:rsidRPr="007B5D03">
        <w:rPr>
          <w:rFonts w:hAnsi="標楷體"/>
          <w:sz w:val="30"/>
          <w:szCs w:val="30"/>
        </w:rPr>
        <w:t>，謹供　鈞院參酌：</w:t>
      </w:r>
    </w:p>
    <w:p w:rsidR="00514426" w:rsidRPr="007B5D03" w:rsidRDefault="00514426" w:rsidP="00FB2D5A">
      <w:pPr>
        <w:snapToGrid w:val="0"/>
        <w:spacing w:line="437" w:lineRule="exact"/>
        <w:ind w:left="2949" w:hanging="227"/>
        <w:rPr>
          <w:sz w:val="30"/>
          <w:szCs w:val="30"/>
        </w:rPr>
      </w:pPr>
      <w:r w:rsidRPr="007B5D03">
        <w:rPr>
          <w:sz w:val="30"/>
          <w:szCs w:val="30"/>
        </w:rPr>
        <w:t>a</w:t>
      </w:r>
      <w:r w:rsidRPr="007B5D03">
        <w:rPr>
          <w:rFonts w:hAnsi="標楷體" w:hint="eastAsia"/>
          <w:sz w:val="30"/>
          <w:szCs w:val="30"/>
        </w:rPr>
        <w:t>.</w:t>
      </w:r>
      <w:r w:rsidRPr="002839FB">
        <w:rPr>
          <w:rFonts w:hAnsi="標楷體"/>
          <w:spacing w:val="-6"/>
          <w:sz w:val="30"/>
          <w:szCs w:val="30"/>
        </w:rPr>
        <w:t>劉憶如委員：「其實</w:t>
      </w:r>
      <w:r w:rsidRPr="002839FB">
        <w:rPr>
          <w:spacing w:val="-6"/>
          <w:sz w:val="30"/>
          <w:szCs w:val="30"/>
        </w:rPr>
        <w:t>92</w:t>
      </w:r>
      <w:r w:rsidRPr="002839FB">
        <w:rPr>
          <w:rFonts w:hAnsi="標楷體"/>
          <w:spacing w:val="-6"/>
          <w:sz w:val="30"/>
          <w:szCs w:val="30"/>
        </w:rPr>
        <w:t>年時立法院發生了一項很明顯的錯誤，這項錯誤是因為排案所造成的，當時有甲案和乙案兩個案子，甲案是主張溯及既往的版本，乙案是財政部所提不溯及既往的版本。包括本席在內的</w:t>
      </w:r>
      <w:r w:rsidRPr="002839FB">
        <w:rPr>
          <w:spacing w:val="-6"/>
          <w:sz w:val="30"/>
          <w:szCs w:val="30"/>
        </w:rPr>
        <w:t>3</w:t>
      </w:r>
      <w:r w:rsidRPr="002839FB">
        <w:rPr>
          <w:rFonts w:hAnsi="標楷體"/>
          <w:spacing w:val="-6"/>
          <w:sz w:val="30"/>
          <w:szCs w:val="30"/>
        </w:rPr>
        <w:t>位財經</w:t>
      </w:r>
      <w:r w:rsidRPr="002839FB">
        <w:rPr>
          <w:rFonts w:hAnsi="標楷體"/>
          <w:sz w:val="30"/>
          <w:szCs w:val="30"/>
        </w:rPr>
        <w:t>委員從</w:t>
      </w:r>
      <w:r w:rsidRPr="002839FB">
        <w:rPr>
          <w:sz w:val="30"/>
          <w:szCs w:val="30"/>
        </w:rPr>
        <w:t>87</w:t>
      </w:r>
      <w:r w:rsidRPr="002839FB">
        <w:rPr>
          <w:rFonts w:hAnsi="標楷體"/>
          <w:sz w:val="30"/>
          <w:szCs w:val="30"/>
        </w:rPr>
        <w:t>年開始就一直支持要溯及既往，而國、親當時也決定要支持溯及既往的甲</w:t>
      </w:r>
      <w:r w:rsidRPr="002839FB">
        <w:rPr>
          <w:rFonts w:hAnsi="標楷體"/>
          <w:spacing w:val="-6"/>
          <w:sz w:val="30"/>
          <w:szCs w:val="30"/>
        </w:rPr>
        <w:t>案，本席敢保證所有教授衍生性商品的財經</w:t>
      </w:r>
      <w:r w:rsidRPr="002839FB">
        <w:rPr>
          <w:rFonts w:hAnsi="標楷體"/>
          <w:sz w:val="30"/>
          <w:szCs w:val="30"/>
        </w:rPr>
        <w:t>學者都會支持券商是對的，而行政院是錯</w:t>
      </w:r>
      <w:r w:rsidRPr="002839FB">
        <w:rPr>
          <w:rFonts w:hAnsi="標楷體"/>
          <w:spacing w:val="-6"/>
          <w:sz w:val="30"/>
          <w:szCs w:val="30"/>
        </w:rPr>
        <w:t>的。照</w:t>
      </w:r>
      <w:r w:rsidRPr="002839FB">
        <w:rPr>
          <w:rFonts w:hAnsi="標楷體"/>
          <w:spacing w:val="-6"/>
          <w:sz w:val="30"/>
          <w:szCs w:val="30"/>
        </w:rPr>
        <w:lastRenderedPageBreak/>
        <w:t>理說，當時應該是先表決甲案，如果這個案子遭否決的話，那麼我們也能接受行</w:t>
      </w:r>
      <w:r w:rsidRPr="002B1E1F">
        <w:rPr>
          <w:rFonts w:hAnsi="標楷體"/>
          <w:sz w:val="30"/>
          <w:szCs w:val="30"/>
        </w:rPr>
        <w:t>政院的版本，也就是從</w:t>
      </w:r>
      <w:smartTag w:uri="urn:schemas-microsoft-com:office:smarttags" w:element="chsdate">
        <w:smartTagPr>
          <w:attr w:name="IsROCDate" w:val="False"/>
          <w:attr w:name="IsLunarDate" w:val="False"/>
          <w:attr w:name="Day" w:val="1"/>
          <w:attr w:name="Month" w:val="1"/>
          <w:attr w:name="Year" w:val="1992"/>
        </w:smartTagPr>
        <w:r w:rsidRPr="002B1E1F">
          <w:rPr>
            <w:sz w:val="30"/>
            <w:szCs w:val="30"/>
          </w:rPr>
          <w:t>92</w:t>
        </w:r>
        <w:r w:rsidRPr="002B1E1F">
          <w:rPr>
            <w:rFonts w:hAnsi="標楷體"/>
            <w:sz w:val="30"/>
            <w:szCs w:val="30"/>
          </w:rPr>
          <w:t>年</w:t>
        </w:r>
        <w:r w:rsidRPr="002B1E1F">
          <w:rPr>
            <w:sz w:val="30"/>
            <w:szCs w:val="30"/>
          </w:rPr>
          <w:t>1</w:t>
        </w:r>
        <w:r w:rsidRPr="002B1E1F">
          <w:rPr>
            <w:rFonts w:hAnsi="標楷體"/>
            <w:sz w:val="30"/>
            <w:szCs w:val="30"/>
          </w:rPr>
          <w:t>月</w:t>
        </w:r>
        <w:r w:rsidRPr="002B1E1F">
          <w:rPr>
            <w:sz w:val="30"/>
            <w:szCs w:val="30"/>
          </w:rPr>
          <w:t>1</w:t>
        </w:r>
        <w:r w:rsidRPr="002B1E1F">
          <w:rPr>
            <w:rFonts w:hAnsi="標楷體"/>
            <w:sz w:val="30"/>
            <w:szCs w:val="30"/>
          </w:rPr>
          <w:t>日</w:t>
        </w:r>
      </w:smartTag>
      <w:r w:rsidRPr="002B1E1F">
        <w:rPr>
          <w:rFonts w:hAnsi="標楷體"/>
          <w:sz w:val="30"/>
          <w:szCs w:val="30"/>
        </w:rPr>
        <w:t>起開</w:t>
      </w:r>
      <w:r w:rsidRPr="002839FB">
        <w:rPr>
          <w:rFonts w:hAnsi="標楷體"/>
          <w:spacing w:val="-6"/>
          <w:sz w:val="30"/>
          <w:szCs w:val="30"/>
        </w:rPr>
        <w:t>始適用溯及既往。可是表決的順序卻錯了，當時竟然是先表決乙案，計有民進黨與台聯</w:t>
      </w:r>
      <w:r w:rsidRPr="002B1E1F">
        <w:rPr>
          <w:rFonts w:hAnsi="標楷體"/>
          <w:sz w:val="30"/>
          <w:szCs w:val="30"/>
        </w:rPr>
        <w:t>黨同仁</w:t>
      </w:r>
      <w:r w:rsidRPr="002B1E1F">
        <w:rPr>
          <w:sz w:val="30"/>
          <w:szCs w:val="30"/>
        </w:rPr>
        <w:t>93</w:t>
      </w:r>
      <w:r w:rsidRPr="002B1E1F">
        <w:rPr>
          <w:rFonts w:hAnsi="標楷體"/>
          <w:sz w:val="30"/>
          <w:szCs w:val="30"/>
        </w:rPr>
        <w:t>人支持，而國、親兩黨並不支持</w:t>
      </w:r>
      <w:r w:rsidRPr="002839FB">
        <w:rPr>
          <w:rFonts w:hAnsi="標楷體"/>
          <w:spacing w:val="-6"/>
          <w:sz w:val="30"/>
          <w:szCs w:val="30"/>
        </w:rPr>
        <w:t>不溯及既往的乙案，事實上，溯及既往的甲案後來表決時也通過了，結果因為吳委員敦義的關係，所以後來只好重付表決，最後變</w:t>
      </w:r>
      <w:r w:rsidRPr="002B1E1F">
        <w:rPr>
          <w:rFonts w:hAnsi="標楷體"/>
          <w:sz w:val="30"/>
          <w:szCs w:val="30"/>
        </w:rPr>
        <w:t>成只有</w:t>
      </w:r>
      <w:r w:rsidRPr="002B1E1F">
        <w:rPr>
          <w:sz w:val="30"/>
          <w:szCs w:val="30"/>
        </w:rPr>
        <w:t>89</w:t>
      </w:r>
      <w:r w:rsidRPr="002B1E1F">
        <w:rPr>
          <w:rFonts w:hAnsi="標楷體"/>
          <w:sz w:val="30"/>
          <w:szCs w:val="30"/>
        </w:rPr>
        <w:t>個人支持甲案，也因此後來兩個案子都沒有通過。其實支持從</w:t>
      </w:r>
      <w:smartTag w:uri="urn:schemas-microsoft-com:office:smarttags" w:element="chsdate">
        <w:smartTagPr>
          <w:attr w:name="IsROCDate" w:val="False"/>
          <w:attr w:name="IsLunarDate" w:val="False"/>
          <w:attr w:name="Day" w:val="1"/>
          <w:attr w:name="Month" w:val="1"/>
          <w:attr w:name="Year" w:val="1992"/>
        </w:smartTagPr>
        <w:r w:rsidRPr="002B1E1F">
          <w:rPr>
            <w:sz w:val="30"/>
            <w:szCs w:val="30"/>
          </w:rPr>
          <w:t>92</w:t>
        </w:r>
        <w:r w:rsidRPr="002B1E1F">
          <w:rPr>
            <w:rFonts w:hAnsi="標楷體"/>
            <w:sz w:val="30"/>
            <w:szCs w:val="30"/>
          </w:rPr>
          <w:t>年</w:t>
        </w:r>
        <w:r w:rsidRPr="002B1E1F">
          <w:rPr>
            <w:sz w:val="30"/>
            <w:szCs w:val="30"/>
          </w:rPr>
          <w:t>1</w:t>
        </w:r>
        <w:r w:rsidRPr="002B1E1F">
          <w:rPr>
            <w:rFonts w:hAnsi="標楷體"/>
            <w:sz w:val="30"/>
            <w:szCs w:val="30"/>
          </w:rPr>
          <w:t>月</w:t>
        </w:r>
        <w:r w:rsidRPr="002B1E1F">
          <w:rPr>
            <w:sz w:val="30"/>
            <w:szCs w:val="30"/>
          </w:rPr>
          <w:t>1</w:t>
        </w:r>
        <w:r w:rsidRPr="002839FB">
          <w:rPr>
            <w:rFonts w:hAnsi="標楷體"/>
            <w:spacing w:val="-6"/>
            <w:sz w:val="30"/>
            <w:szCs w:val="30"/>
          </w:rPr>
          <w:t>日</w:t>
        </w:r>
      </w:smartTag>
      <w:r w:rsidRPr="002839FB">
        <w:rPr>
          <w:rFonts w:hAnsi="標楷體"/>
          <w:spacing w:val="-6"/>
          <w:sz w:val="30"/>
          <w:szCs w:val="30"/>
        </w:rPr>
        <w:t>開始就更正錯誤，讓臺灣的資本市場步上正軌的人數共有</w:t>
      </w:r>
      <w:r w:rsidRPr="002839FB">
        <w:rPr>
          <w:spacing w:val="-6"/>
          <w:sz w:val="30"/>
          <w:szCs w:val="30"/>
        </w:rPr>
        <w:t>182</w:t>
      </w:r>
      <w:r w:rsidRPr="002839FB">
        <w:rPr>
          <w:rFonts w:hAnsi="標楷體"/>
          <w:spacing w:val="-6"/>
          <w:sz w:val="30"/>
          <w:szCs w:val="30"/>
        </w:rPr>
        <w:t>人，但因為立法院的表決順序錯誤，所以造成了冤屈，隨著時間的累積，金額也越來越大。</w:t>
      </w:r>
      <w:r w:rsidRPr="002839FB">
        <w:rPr>
          <w:rFonts w:hint="eastAsia"/>
          <w:spacing w:val="-6"/>
          <w:sz w:val="30"/>
          <w:szCs w:val="30"/>
        </w:rPr>
        <w:t>……</w:t>
      </w:r>
      <w:r w:rsidRPr="002839FB">
        <w:rPr>
          <w:rFonts w:hAnsi="標楷體"/>
          <w:spacing w:val="-6"/>
          <w:sz w:val="30"/>
          <w:szCs w:val="30"/>
        </w:rPr>
        <w:t>據本席所知，</w:t>
      </w:r>
      <w:r w:rsidRPr="002B1E1F">
        <w:rPr>
          <w:rFonts w:hAnsi="標楷體"/>
          <w:sz w:val="30"/>
          <w:szCs w:val="30"/>
        </w:rPr>
        <w:t>針對</w:t>
      </w:r>
      <w:smartTag w:uri="urn:schemas-microsoft-com:office:smarttags" w:element="chsdate">
        <w:smartTagPr>
          <w:attr w:name="IsROCDate" w:val="False"/>
          <w:attr w:name="IsLunarDate" w:val="False"/>
          <w:attr w:name="Day" w:val="1"/>
          <w:attr w:name="Month" w:val="1"/>
          <w:attr w:name="Year" w:val="1992"/>
        </w:smartTagPr>
        <w:r w:rsidRPr="002B1E1F">
          <w:rPr>
            <w:sz w:val="30"/>
            <w:szCs w:val="30"/>
          </w:rPr>
          <w:t>92</w:t>
        </w:r>
        <w:r w:rsidRPr="002B1E1F">
          <w:rPr>
            <w:rFonts w:hAnsi="標楷體"/>
            <w:sz w:val="30"/>
            <w:szCs w:val="30"/>
          </w:rPr>
          <w:t>年</w:t>
        </w:r>
        <w:r w:rsidRPr="002B1E1F">
          <w:rPr>
            <w:sz w:val="30"/>
            <w:szCs w:val="30"/>
          </w:rPr>
          <w:t>1</w:t>
        </w:r>
        <w:r w:rsidRPr="002B1E1F">
          <w:rPr>
            <w:rFonts w:hAnsi="標楷體"/>
            <w:sz w:val="30"/>
            <w:szCs w:val="30"/>
          </w:rPr>
          <w:t>月</w:t>
        </w:r>
        <w:r w:rsidRPr="002B1E1F">
          <w:rPr>
            <w:sz w:val="30"/>
            <w:szCs w:val="30"/>
          </w:rPr>
          <w:t>1</w:t>
        </w:r>
        <w:r w:rsidRPr="002B1E1F">
          <w:rPr>
            <w:rFonts w:hAnsi="標楷體"/>
            <w:sz w:val="30"/>
            <w:szCs w:val="30"/>
          </w:rPr>
          <w:t>日</w:t>
        </w:r>
      </w:smartTag>
      <w:r w:rsidRPr="002B1E1F">
        <w:rPr>
          <w:rFonts w:hAnsi="標楷體"/>
          <w:sz w:val="30"/>
          <w:szCs w:val="30"/>
        </w:rPr>
        <w:t>之後的部分，你們已經</w:t>
      </w:r>
      <w:r w:rsidRPr="002839FB">
        <w:rPr>
          <w:rFonts w:hAnsi="標楷體"/>
          <w:spacing w:val="-6"/>
          <w:sz w:val="30"/>
          <w:szCs w:val="30"/>
        </w:rPr>
        <w:t>和券商達成協議，因為上回立法院表決順序</w:t>
      </w:r>
      <w:r w:rsidRPr="002B1E1F">
        <w:rPr>
          <w:rFonts w:hAnsi="標楷體"/>
          <w:sz w:val="30"/>
          <w:szCs w:val="30"/>
        </w:rPr>
        <w:t>錯誤，不然應該從</w:t>
      </w:r>
      <w:smartTag w:uri="urn:schemas-microsoft-com:office:smarttags" w:element="chsdate">
        <w:smartTagPr>
          <w:attr w:name="IsROCDate" w:val="False"/>
          <w:attr w:name="IsLunarDate" w:val="False"/>
          <w:attr w:name="Day" w:val="1"/>
          <w:attr w:name="Month" w:val="1"/>
          <w:attr w:name="Year" w:val="1992"/>
        </w:smartTagPr>
        <w:r w:rsidRPr="002B1E1F">
          <w:rPr>
            <w:sz w:val="30"/>
            <w:szCs w:val="30"/>
          </w:rPr>
          <w:t>92</w:t>
        </w:r>
        <w:r w:rsidRPr="002B1E1F">
          <w:rPr>
            <w:rFonts w:hAnsi="標楷體"/>
            <w:sz w:val="30"/>
            <w:szCs w:val="30"/>
          </w:rPr>
          <w:t>年</w:t>
        </w:r>
        <w:r w:rsidRPr="002B1E1F">
          <w:rPr>
            <w:sz w:val="30"/>
            <w:szCs w:val="30"/>
          </w:rPr>
          <w:t>1</w:t>
        </w:r>
        <w:r w:rsidRPr="002B1E1F">
          <w:rPr>
            <w:rFonts w:hAnsi="標楷體"/>
            <w:sz w:val="30"/>
            <w:szCs w:val="30"/>
          </w:rPr>
          <w:t>月</w:t>
        </w:r>
        <w:r w:rsidRPr="002B1E1F">
          <w:rPr>
            <w:sz w:val="30"/>
            <w:szCs w:val="30"/>
          </w:rPr>
          <w:t>1</w:t>
        </w:r>
        <w:r w:rsidRPr="002B1E1F">
          <w:rPr>
            <w:rFonts w:hAnsi="標楷體"/>
            <w:sz w:val="30"/>
            <w:szCs w:val="30"/>
          </w:rPr>
          <w:t>日</w:t>
        </w:r>
      </w:smartTag>
      <w:r w:rsidRPr="002B1E1F">
        <w:rPr>
          <w:rFonts w:hAnsi="標楷體"/>
          <w:sz w:val="30"/>
          <w:szCs w:val="30"/>
        </w:rPr>
        <w:t>就可以開始適用了，因此這部分財政部是可以接受的，至於</w:t>
      </w:r>
      <w:smartTag w:uri="urn:schemas-microsoft-com:office:smarttags" w:element="chsdate">
        <w:smartTagPr>
          <w:attr w:name="IsROCDate" w:val="False"/>
          <w:attr w:name="IsLunarDate" w:val="False"/>
          <w:attr w:name="Day" w:val="1"/>
          <w:attr w:name="Month" w:val="1"/>
          <w:attr w:name="Year" w:val="1992"/>
        </w:smartTagPr>
        <w:r w:rsidRPr="002B1E1F">
          <w:rPr>
            <w:sz w:val="30"/>
            <w:szCs w:val="30"/>
          </w:rPr>
          <w:t>92</w:t>
        </w:r>
        <w:r w:rsidRPr="002B1E1F">
          <w:rPr>
            <w:rFonts w:hAnsi="標楷體"/>
            <w:sz w:val="30"/>
            <w:szCs w:val="30"/>
          </w:rPr>
          <w:t>年</w:t>
        </w:r>
        <w:r w:rsidRPr="002B1E1F">
          <w:rPr>
            <w:sz w:val="30"/>
            <w:szCs w:val="30"/>
          </w:rPr>
          <w:t>1</w:t>
        </w:r>
        <w:r w:rsidRPr="002B1E1F">
          <w:rPr>
            <w:rFonts w:hAnsi="標楷體"/>
            <w:sz w:val="30"/>
            <w:szCs w:val="30"/>
          </w:rPr>
          <w:t>月</w:t>
        </w:r>
        <w:r w:rsidRPr="002B1E1F">
          <w:rPr>
            <w:sz w:val="30"/>
            <w:szCs w:val="30"/>
          </w:rPr>
          <w:t>1</w:t>
        </w:r>
        <w:r w:rsidRPr="002B1E1F">
          <w:rPr>
            <w:rFonts w:hAnsi="標楷體"/>
            <w:sz w:val="30"/>
            <w:szCs w:val="30"/>
          </w:rPr>
          <w:t>日</w:t>
        </w:r>
      </w:smartTag>
      <w:r w:rsidRPr="002B1E1F">
        <w:rPr>
          <w:rFonts w:hAnsi="標楷體"/>
          <w:sz w:val="30"/>
          <w:szCs w:val="30"/>
        </w:rPr>
        <w:t>之前的部分，就必</w:t>
      </w:r>
      <w:r w:rsidRPr="002839FB">
        <w:rPr>
          <w:rFonts w:hAnsi="標楷體"/>
          <w:spacing w:val="-6"/>
          <w:sz w:val="30"/>
          <w:szCs w:val="30"/>
        </w:rPr>
        <w:t>須逐件打官司。」</w:t>
      </w:r>
    </w:p>
    <w:p w:rsidR="00514426" w:rsidRPr="007B5D03" w:rsidRDefault="00514426" w:rsidP="00FB2D5A">
      <w:pPr>
        <w:snapToGrid w:val="0"/>
        <w:spacing w:line="437" w:lineRule="exact"/>
        <w:ind w:left="2949" w:hanging="227"/>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林重謨委員：「當初表決時，本席也在場，</w:t>
      </w:r>
      <w:r w:rsidRPr="002B1E1F">
        <w:rPr>
          <w:rFonts w:hAnsi="標楷體"/>
          <w:spacing w:val="-6"/>
          <w:sz w:val="30"/>
          <w:szCs w:val="30"/>
        </w:rPr>
        <w:t>老實說，立法院表決時的程序很重要，當時民進黨的立場是贊成不溯及既往，而當天會</w:t>
      </w:r>
      <w:r w:rsidRPr="007B5D03">
        <w:rPr>
          <w:rFonts w:hAnsi="標楷體"/>
          <w:sz w:val="30"/>
          <w:szCs w:val="30"/>
        </w:rPr>
        <w:t>場的氣氛是打算不讓主張不溯及既往的第</w:t>
      </w:r>
      <w:r w:rsidRPr="002B1E1F">
        <w:rPr>
          <w:rFonts w:hAnsi="標楷體"/>
          <w:spacing w:val="-6"/>
          <w:sz w:val="30"/>
          <w:szCs w:val="30"/>
        </w:rPr>
        <w:t>一案通過，然後要通過贊成溯及既往的第二</w:t>
      </w:r>
      <w:r w:rsidRPr="007B5D03">
        <w:rPr>
          <w:rFonts w:hAnsi="標楷體"/>
          <w:sz w:val="30"/>
          <w:szCs w:val="30"/>
        </w:rPr>
        <w:t>案，也就是說，從</w:t>
      </w:r>
      <w:r w:rsidRPr="007B5D03">
        <w:rPr>
          <w:sz w:val="30"/>
          <w:szCs w:val="30"/>
        </w:rPr>
        <w:t>87</w:t>
      </w:r>
      <w:r w:rsidRPr="007B5D03">
        <w:rPr>
          <w:rFonts w:hAnsi="標楷體"/>
          <w:sz w:val="30"/>
          <w:szCs w:val="30"/>
        </w:rPr>
        <w:t>年之後的稅全部要退還給</w:t>
      </w:r>
      <w:r w:rsidRPr="007B5D03">
        <w:rPr>
          <w:rFonts w:hAnsi="標楷體"/>
          <w:sz w:val="30"/>
          <w:szCs w:val="30"/>
        </w:rPr>
        <w:lastRenderedPageBreak/>
        <w:t>券商。本來有</w:t>
      </w:r>
      <w:r w:rsidRPr="007B5D03">
        <w:rPr>
          <w:sz w:val="30"/>
          <w:szCs w:val="30"/>
        </w:rPr>
        <w:t>182</w:t>
      </w:r>
      <w:r w:rsidRPr="007B5D03">
        <w:rPr>
          <w:rFonts w:hAnsi="標楷體"/>
          <w:sz w:val="30"/>
          <w:szCs w:val="30"/>
        </w:rPr>
        <w:t>人支持第</w:t>
      </w:r>
      <w:r w:rsidRPr="007B5D03">
        <w:rPr>
          <w:sz w:val="30"/>
          <w:szCs w:val="30"/>
        </w:rPr>
        <w:t>2</w:t>
      </w:r>
      <w:r w:rsidRPr="007B5D03">
        <w:rPr>
          <w:rFonts w:hAnsi="標楷體"/>
          <w:sz w:val="30"/>
          <w:szCs w:val="30"/>
        </w:rPr>
        <w:t>案，卻在重付投票時，因為聽到吳敦義委員喊出『圖利財團』，大家立刻反對該案。」</w:t>
      </w:r>
    </w:p>
    <w:p w:rsidR="00514426" w:rsidRPr="007B5D03" w:rsidRDefault="00514426" w:rsidP="00FB2D5A">
      <w:pPr>
        <w:snapToGrid w:val="0"/>
        <w:spacing w:line="437" w:lineRule="exact"/>
        <w:ind w:left="2949" w:hanging="227"/>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前財政部長林全備詢時亦表示：「原本財政</w:t>
      </w:r>
      <w:r w:rsidRPr="002B1E1F">
        <w:rPr>
          <w:rFonts w:hAnsi="標楷體"/>
          <w:spacing w:val="-6"/>
          <w:sz w:val="30"/>
          <w:szCs w:val="30"/>
        </w:rPr>
        <w:t>部所提的版本</w:t>
      </w:r>
      <w:r w:rsidRPr="002B1E1F">
        <w:rPr>
          <w:rFonts w:hAnsi="標楷體" w:hint="eastAsia"/>
          <w:spacing w:val="-6"/>
          <w:sz w:val="30"/>
          <w:szCs w:val="30"/>
        </w:rPr>
        <w:t>並</w:t>
      </w:r>
      <w:r w:rsidRPr="002B1E1F">
        <w:rPr>
          <w:rFonts w:hAnsi="標楷體"/>
          <w:spacing w:val="-6"/>
          <w:sz w:val="30"/>
          <w:szCs w:val="30"/>
        </w:rPr>
        <w:t>沒有溯及既往，但如果券商公會有這樣的要求，那我們認為起碼</w:t>
      </w:r>
      <w:smartTag w:uri="urn:schemas-microsoft-com:office:smarttags" w:element="chsdate">
        <w:smartTagPr>
          <w:attr w:name="IsROCDate" w:val="False"/>
          <w:attr w:name="IsLunarDate" w:val="False"/>
          <w:attr w:name="Day" w:val="1"/>
          <w:attr w:name="Month" w:val="1"/>
          <w:attr w:name="Year" w:val="1992"/>
        </w:smartTagPr>
        <w:r w:rsidRPr="002B1E1F">
          <w:rPr>
            <w:spacing w:val="-6"/>
            <w:sz w:val="30"/>
            <w:szCs w:val="30"/>
          </w:rPr>
          <w:t>92</w:t>
        </w:r>
        <w:r w:rsidRPr="002B1E1F">
          <w:rPr>
            <w:rFonts w:hAnsi="標楷體"/>
            <w:spacing w:val="-6"/>
            <w:sz w:val="30"/>
            <w:szCs w:val="30"/>
          </w:rPr>
          <w:t>年</w:t>
        </w:r>
        <w:r w:rsidRPr="002B1E1F">
          <w:rPr>
            <w:spacing w:val="-6"/>
            <w:sz w:val="30"/>
            <w:szCs w:val="30"/>
          </w:rPr>
          <w:t>1</w:t>
        </w:r>
        <w:r w:rsidRPr="002B1E1F">
          <w:rPr>
            <w:rFonts w:hAnsi="標楷體"/>
            <w:spacing w:val="-6"/>
            <w:sz w:val="30"/>
            <w:szCs w:val="30"/>
          </w:rPr>
          <w:t>月</w:t>
        </w:r>
        <w:r w:rsidRPr="002B1E1F">
          <w:rPr>
            <w:spacing w:val="-6"/>
            <w:sz w:val="30"/>
            <w:szCs w:val="30"/>
          </w:rPr>
          <w:t>1</w:t>
        </w:r>
        <w:r w:rsidRPr="002B1E1F">
          <w:rPr>
            <w:rFonts w:hAnsi="標楷體"/>
            <w:spacing w:val="-6"/>
            <w:sz w:val="30"/>
            <w:szCs w:val="30"/>
          </w:rPr>
          <w:t>日</w:t>
        </w:r>
      </w:smartTag>
      <w:r w:rsidRPr="002B1E1F">
        <w:rPr>
          <w:rFonts w:hAnsi="標楷體"/>
          <w:spacing w:val="-6"/>
          <w:sz w:val="30"/>
          <w:szCs w:val="30"/>
        </w:rPr>
        <w:t>之前不能溯及既往，不過，前提還是要尊重大院最後的決定。</w:t>
      </w:r>
      <w:r w:rsidRPr="002B1E1F">
        <w:rPr>
          <w:rFonts w:hint="eastAsia"/>
          <w:spacing w:val="-6"/>
          <w:sz w:val="30"/>
          <w:szCs w:val="30"/>
        </w:rPr>
        <w:t>……</w:t>
      </w:r>
      <w:r w:rsidRPr="002B1E1F">
        <w:rPr>
          <w:rFonts w:hAnsi="標楷體"/>
          <w:spacing w:val="-6"/>
          <w:sz w:val="30"/>
          <w:szCs w:val="30"/>
        </w:rPr>
        <w:t>劉委員剛剛已經很清楚的把這個問題的背景講出來了，雖然委員對於財政部的責備較為嚴苛一點，但我們希望在兩者之間達成平衡，所以券商公會提出這樣的要求時，我們才會說如果立法院同意的話，財政部就不會反對。」「原則上我們希望不溯及既往，也就是法律何時通過就何時生效，但如果我們接受了券商公會的看法，就可以從</w:t>
      </w:r>
      <w:smartTag w:uri="urn:schemas-microsoft-com:office:smarttags" w:element="chsdate">
        <w:smartTagPr>
          <w:attr w:name="IsROCDate" w:val="False"/>
          <w:attr w:name="IsLunarDate" w:val="False"/>
          <w:attr w:name="Day" w:val="1"/>
          <w:attr w:name="Month" w:val="1"/>
          <w:attr w:name="Year" w:val="1992"/>
        </w:smartTagPr>
        <w:r w:rsidRPr="002B1E1F">
          <w:rPr>
            <w:spacing w:val="-6"/>
            <w:sz w:val="30"/>
            <w:szCs w:val="30"/>
          </w:rPr>
          <w:t>92</w:t>
        </w:r>
        <w:r w:rsidRPr="002B1E1F">
          <w:rPr>
            <w:rFonts w:hAnsi="標楷體"/>
            <w:spacing w:val="-6"/>
            <w:sz w:val="30"/>
            <w:szCs w:val="30"/>
          </w:rPr>
          <w:t>年</w:t>
        </w:r>
        <w:r w:rsidRPr="002B1E1F">
          <w:rPr>
            <w:spacing w:val="-6"/>
            <w:sz w:val="30"/>
            <w:szCs w:val="30"/>
          </w:rPr>
          <w:t>1</w:t>
        </w:r>
        <w:r w:rsidRPr="002B1E1F">
          <w:rPr>
            <w:rFonts w:hAnsi="標楷體"/>
            <w:spacing w:val="-6"/>
            <w:sz w:val="30"/>
            <w:szCs w:val="30"/>
          </w:rPr>
          <w:t>月</w:t>
        </w:r>
        <w:r w:rsidRPr="002B1E1F">
          <w:rPr>
            <w:spacing w:val="-6"/>
            <w:sz w:val="30"/>
            <w:szCs w:val="30"/>
          </w:rPr>
          <w:t>1</w:t>
        </w:r>
        <w:r w:rsidRPr="002B1E1F">
          <w:rPr>
            <w:rFonts w:hAnsi="標楷體"/>
            <w:spacing w:val="-6"/>
            <w:sz w:val="30"/>
            <w:szCs w:val="30"/>
          </w:rPr>
          <w:t>日</w:t>
        </w:r>
      </w:smartTag>
      <w:r w:rsidRPr="002B1E1F">
        <w:rPr>
          <w:rFonts w:hAnsi="標楷體"/>
          <w:spacing w:val="-6"/>
          <w:sz w:val="30"/>
          <w:szCs w:val="30"/>
        </w:rPr>
        <w:t>開始。」（附件</w:t>
      </w:r>
      <w:r w:rsidRPr="002B1E1F">
        <w:rPr>
          <w:spacing w:val="-6"/>
          <w:sz w:val="30"/>
          <w:szCs w:val="30"/>
        </w:rPr>
        <w:t>3</w:t>
      </w:r>
      <w:r w:rsidRPr="002B1E1F">
        <w:rPr>
          <w:rFonts w:hint="eastAsia"/>
          <w:spacing w:val="-6"/>
          <w:sz w:val="30"/>
          <w:szCs w:val="30"/>
        </w:rPr>
        <w:t>1</w:t>
      </w:r>
      <w:r w:rsidRPr="002B1E1F">
        <w:rPr>
          <w:rFonts w:hAnsi="標楷體"/>
          <w:spacing w:val="-6"/>
          <w:sz w:val="30"/>
          <w:szCs w:val="30"/>
        </w:rPr>
        <w:t>，立法院公報第</w:t>
      </w:r>
      <w:r w:rsidRPr="002B1E1F">
        <w:rPr>
          <w:spacing w:val="-6"/>
          <w:sz w:val="30"/>
          <w:szCs w:val="30"/>
        </w:rPr>
        <w:t>94</w:t>
      </w:r>
      <w:r w:rsidRPr="002B1E1F">
        <w:rPr>
          <w:rFonts w:hAnsi="標楷體"/>
          <w:spacing w:val="-6"/>
          <w:sz w:val="30"/>
          <w:szCs w:val="30"/>
        </w:rPr>
        <w:t>卷第</w:t>
      </w:r>
      <w:r w:rsidRPr="002B1E1F">
        <w:rPr>
          <w:spacing w:val="-6"/>
          <w:sz w:val="30"/>
          <w:szCs w:val="30"/>
        </w:rPr>
        <w:t>62</w:t>
      </w:r>
      <w:r w:rsidRPr="002B1E1F">
        <w:rPr>
          <w:rFonts w:hAnsi="標楷體"/>
          <w:spacing w:val="-6"/>
          <w:sz w:val="30"/>
          <w:szCs w:val="30"/>
        </w:rPr>
        <w:t>期，頁</w:t>
      </w:r>
      <w:r w:rsidRPr="002B1E1F">
        <w:rPr>
          <w:spacing w:val="-6"/>
          <w:sz w:val="30"/>
          <w:szCs w:val="30"/>
        </w:rPr>
        <w:t>319</w:t>
      </w:r>
      <w:r w:rsidRPr="002B1E1F">
        <w:rPr>
          <w:rFonts w:hAnsi="標楷體"/>
          <w:spacing w:val="-6"/>
          <w:sz w:val="30"/>
          <w:szCs w:val="30"/>
        </w:rPr>
        <w:t>及</w:t>
      </w:r>
      <w:r w:rsidRPr="002B1E1F">
        <w:rPr>
          <w:spacing w:val="-6"/>
          <w:sz w:val="30"/>
          <w:szCs w:val="30"/>
        </w:rPr>
        <w:t>321</w:t>
      </w:r>
      <w:r w:rsidRPr="002B1E1F">
        <w:rPr>
          <w:rFonts w:hAnsi="標楷體"/>
          <w:spacing w:val="-6"/>
          <w:sz w:val="30"/>
          <w:szCs w:val="30"/>
        </w:rPr>
        <w:t>）。</w:t>
      </w:r>
    </w:p>
    <w:p w:rsidR="00514426" w:rsidRPr="007B5D03" w:rsidRDefault="00514426" w:rsidP="002839FB">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承上，自立法院修訂所得稅法第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之立法過程而言，其實立法委員與財政部均確認新法為一正確之立法，只是對於是否溯及</w:t>
      </w:r>
      <w:r w:rsidRPr="002B1E1F">
        <w:rPr>
          <w:rFonts w:hAnsi="標楷體"/>
          <w:spacing w:val="6"/>
          <w:sz w:val="30"/>
          <w:szCs w:val="30"/>
        </w:rPr>
        <w:t>既往及應溯及自</w:t>
      </w:r>
      <w:r w:rsidRPr="002B1E1F">
        <w:rPr>
          <w:spacing w:val="6"/>
          <w:sz w:val="30"/>
          <w:szCs w:val="30"/>
        </w:rPr>
        <w:t>87</w:t>
      </w:r>
      <w:r w:rsidRPr="002B1E1F">
        <w:rPr>
          <w:rFonts w:hAnsi="標楷體"/>
          <w:spacing w:val="6"/>
          <w:sz w:val="30"/>
          <w:szCs w:val="30"/>
        </w:rPr>
        <w:t>年抑或</w:t>
      </w:r>
      <w:r w:rsidRPr="002B1E1F">
        <w:rPr>
          <w:spacing w:val="6"/>
          <w:sz w:val="30"/>
          <w:szCs w:val="30"/>
        </w:rPr>
        <w:t>92</w:t>
      </w:r>
      <w:r w:rsidRPr="002B1E1F">
        <w:rPr>
          <w:rFonts w:hAnsi="標楷體"/>
          <w:spacing w:val="6"/>
          <w:sz w:val="30"/>
          <w:szCs w:val="30"/>
        </w:rPr>
        <w:t>年有所爭議。</w:t>
      </w:r>
      <w:r w:rsidRPr="007B5D03">
        <w:rPr>
          <w:rFonts w:hAnsi="標楷體"/>
          <w:sz w:val="30"/>
          <w:szCs w:val="30"/>
        </w:rPr>
        <w:t>法律溯及既往與否確實涉及到法治國家基本原則之判斷，本非可輕易動搖，不過既然權證課稅問題可以確認是一個法律漏洞，而新法又為正確之立法，對此等解釋性質而非構成要件規</w:t>
      </w:r>
      <w:r w:rsidRPr="007B5D03">
        <w:rPr>
          <w:rFonts w:hAnsi="標楷體"/>
          <w:sz w:val="30"/>
          <w:szCs w:val="30"/>
        </w:rPr>
        <w:lastRenderedPageBreak/>
        <w:t>定之法律，在新法施行前之案件亦應在未侵害人民權利之情形下，亦無妨比照新法意旨處理，亦即如同信託法雖在</w:t>
      </w:r>
      <w:r w:rsidRPr="007B5D03">
        <w:rPr>
          <w:sz w:val="30"/>
          <w:szCs w:val="30"/>
        </w:rPr>
        <w:t>85</w:t>
      </w:r>
      <w:r w:rsidRPr="007B5D03">
        <w:rPr>
          <w:rFonts w:hAnsi="標楷體"/>
          <w:sz w:val="30"/>
          <w:szCs w:val="30"/>
        </w:rPr>
        <w:t>年施行，但對施行前成立之信託契約，亦得以法理方式適用信託法之規定，此參臺灣高等法</w:t>
      </w:r>
      <w:r w:rsidRPr="00CE3547">
        <w:rPr>
          <w:rFonts w:hAnsi="標楷體"/>
          <w:spacing w:val="-12"/>
          <w:sz w:val="30"/>
          <w:szCs w:val="30"/>
        </w:rPr>
        <w:t>院上字第</w:t>
      </w:r>
      <w:r w:rsidRPr="00CE3547">
        <w:rPr>
          <w:spacing w:val="-12"/>
          <w:sz w:val="30"/>
          <w:szCs w:val="30"/>
        </w:rPr>
        <w:t>1686</w:t>
      </w:r>
      <w:r w:rsidRPr="00CE3547">
        <w:rPr>
          <w:rFonts w:hAnsi="標楷體"/>
          <w:spacing w:val="-12"/>
          <w:sz w:val="30"/>
          <w:szCs w:val="30"/>
        </w:rPr>
        <w:t>號民事判決：「再，「稱信託者，</w:t>
      </w:r>
      <w:r w:rsidRPr="007B5D03">
        <w:rPr>
          <w:rFonts w:hAnsi="標楷體"/>
          <w:sz w:val="30"/>
          <w:szCs w:val="30"/>
        </w:rPr>
        <w:t>謂委託人將財產權移轉或為其他處分，使受託人依信託本旨，為受益人之利益或為特定</w:t>
      </w:r>
      <w:r w:rsidRPr="00CE3547">
        <w:rPr>
          <w:rFonts w:hAnsi="標楷體"/>
          <w:spacing w:val="6"/>
          <w:sz w:val="30"/>
          <w:szCs w:val="30"/>
        </w:rPr>
        <w:t>之目的，管理或處分信託財產之關係。」信</w:t>
      </w:r>
      <w:r w:rsidRPr="007B5D03">
        <w:rPr>
          <w:rFonts w:hAnsi="標楷體"/>
          <w:sz w:val="30"/>
          <w:szCs w:val="30"/>
        </w:rPr>
        <w:t>託法第一條定有明文。按信託法雖訂立於八十五年一月二十六日，而本件上訴人主張之有關信託關係之事實發生於信託法訂立前，</w:t>
      </w:r>
      <w:r w:rsidRPr="00CE3547">
        <w:rPr>
          <w:rFonts w:hAnsi="標楷體"/>
          <w:spacing w:val="6"/>
          <w:sz w:val="30"/>
          <w:szCs w:val="30"/>
        </w:rPr>
        <w:t>惟因有關「信託」之概念及行為於信託法訂</w:t>
      </w:r>
      <w:r w:rsidRPr="007B5D03">
        <w:rPr>
          <w:rFonts w:hAnsi="標楷體"/>
          <w:sz w:val="30"/>
          <w:szCs w:val="30"/>
        </w:rPr>
        <w:t>立前即已存在，信託法堪認係將原已存在之信託概念予以明文化，故有關信託之意義堪</w:t>
      </w:r>
      <w:r w:rsidRPr="00CE3547">
        <w:rPr>
          <w:rFonts w:hAnsi="標楷體"/>
          <w:spacing w:val="6"/>
          <w:sz w:val="30"/>
          <w:szCs w:val="30"/>
        </w:rPr>
        <w:t>以現行信託法第一條之規定為據，合予說</w:t>
      </w:r>
      <w:r w:rsidRPr="00CE3547">
        <w:rPr>
          <w:rFonts w:hAnsi="標楷體"/>
          <w:spacing w:val="-6"/>
          <w:sz w:val="30"/>
          <w:szCs w:val="30"/>
        </w:rPr>
        <w:t>明。」故財政部</w:t>
      </w:r>
      <w:r w:rsidRPr="00CE3547">
        <w:rPr>
          <w:spacing w:val="-6"/>
          <w:sz w:val="30"/>
          <w:szCs w:val="30"/>
        </w:rPr>
        <w:t>86</w:t>
      </w:r>
      <w:r w:rsidRPr="00CE3547">
        <w:rPr>
          <w:rFonts w:hAnsi="標楷體"/>
          <w:spacing w:val="-6"/>
          <w:sz w:val="30"/>
          <w:szCs w:val="30"/>
        </w:rPr>
        <w:t>年函釋之實質上違誤狀態，</w:t>
      </w:r>
      <w:r w:rsidRPr="007B5D03">
        <w:rPr>
          <w:rFonts w:hAnsi="標楷體"/>
          <w:sz w:val="30"/>
          <w:szCs w:val="30"/>
        </w:rPr>
        <w:t>亦應可獲得確認。</w:t>
      </w:r>
    </w:p>
    <w:p w:rsidR="00514426" w:rsidRPr="007B5D03" w:rsidRDefault="00514426" w:rsidP="00CE3547">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查一般證券交易行為係人民本於自由意志決</w:t>
      </w:r>
      <w:r w:rsidRPr="00CE3547">
        <w:rPr>
          <w:rFonts w:hAnsi="標楷體"/>
          <w:spacing w:val="6"/>
          <w:sz w:val="30"/>
          <w:szCs w:val="30"/>
        </w:rPr>
        <w:t>定，從事以獲得收入所得為目的之經濟活</w:t>
      </w:r>
      <w:r w:rsidRPr="007B5D03">
        <w:rPr>
          <w:rFonts w:hAnsi="標楷體"/>
          <w:sz w:val="30"/>
          <w:szCs w:val="30"/>
        </w:rPr>
        <w:t>動，其所得免稅，因此基於收入與成本費用配合原則，相對的發生費用損失也不准自其他課稅所得中減除。反之，發行權證交易而進行之避險行為，乃是法規強行規定要求，</w:t>
      </w:r>
      <w:r w:rsidRPr="00CE3547">
        <w:rPr>
          <w:rFonts w:hAnsi="標楷體"/>
          <w:spacing w:val="6"/>
          <w:sz w:val="30"/>
          <w:szCs w:val="30"/>
        </w:rPr>
        <w:t>納稅人並無意思決定自由，加上其係以「避</w:t>
      </w:r>
      <w:r w:rsidRPr="00CE3547">
        <w:rPr>
          <w:rFonts w:hAnsi="標楷體"/>
          <w:spacing w:val="-8"/>
          <w:sz w:val="30"/>
          <w:szCs w:val="30"/>
        </w:rPr>
        <w:t>險」（減少損失）為目的，其避險交易只是「從</w:t>
      </w:r>
      <w:r w:rsidRPr="00CE3547">
        <w:rPr>
          <w:rFonts w:hAnsi="標楷體"/>
          <w:spacing w:val="6"/>
          <w:sz w:val="30"/>
          <w:szCs w:val="30"/>
        </w:rPr>
        <w:t>屬性」之手段，最終目的乃是為獲得發行權</w:t>
      </w:r>
      <w:r w:rsidRPr="007438D7">
        <w:rPr>
          <w:rFonts w:hAnsi="標楷體"/>
          <w:spacing w:val="6"/>
          <w:sz w:val="30"/>
          <w:szCs w:val="30"/>
        </w:rPr>
        <w:t>證收益（權利</w:t>
      </w:r>
      <w:r w:rsidRPr="007438D7">
        <w:rPr>
          <w:rFonts w:hAnsi="標楷體"/>
          <w:spacing w:val="6"/>
          <w:sz w:val="30"/>
          <w:szCs w:val="30"/>
        </w:rPr>
        <w:lastRenderedPageBreak/>
        <w:t>金收入）為目的，因此避險交易並非以獲得證券交易「所得」為目的，且</w:t>
      </w:r>
      <w:r w:rsidRPr="007B5D03">
        <w:rPr>
          <w:rFonts w:hAnsi="標楷體"/>
          <w:sz w:val="30"/>
          <w:szCs w:val="30"/>
        </w:rPr>
        <w:t>避險行為通常均會產生損失，此與一般證券交易活動係以獲得證券交易所得之目的，明顯不同。就此根據李存修教授之研究報告，全國發行權證之券商多年來從事避險交易之</w:t>
      </w:r>
      <w:r w:rsidRPr="00B947F4">
        <w:rPr>
          <w:rFonts w:hAnsi="標楷體"/>
          <w:spacing w:val="-6"/>
          <w:sz w:val="30"/>
          <w:szCs w:val="30"/>
        </w:rPr>
        <w:t>統計，絕大多數均呈現虧損結果，可以證明。</w:t>
      </w:r>
      <w:r w:rsidRPr="007B5D03">
        <w:rPr>
          <w:rFonts w:hAnsi="標楷體"/>
          <w:sz w:val="30"/>
          <w:szCs w:val="30"/>
        </w:rPr>
        <w:t>亦即避險交易行為乃是發行權證之券商為獲得發行權證收入所得之目的而投入之成本費</w:t>
      </w:r>
      <w:r w:rsidRPr="00B947F4">
        <w:rPr>
          <w:rFonts w:hAnsi="標楷體"/>
          <w:spacing w:val="6"/>
          <w:sz w:val="30"/>
          <w:szCs w:val="30"/>
        </w:rPr>
        <w:t>用交易性質，因此其避險行為所生之「形式</w:t>
      </w:r>
      <w:r w:rsidRPr="007B5D03">
        <w:rPr>
          <w:rFonts w:hAnsi="標楷體"/>
          <w:sz w:val="30"/>
          <w:szCs w:val="30"/>
        </w:rPr>
        <w:t>上為證券之交易損失」，性質上應歸屬於發行權證收入之成本費用性質，而不應歸屬於一</w:t>
      </w:r>
      <w:r w:rsidRPr="00B947F4">
        <w:rPr>
          <w:rFonts w:hAnsi="標楷體"/>
          <w:spacing w:val="-6"/>
          <w:sz w:val="30"/>
          <w:szCs w:val="30"/>
        </w:rPr>
        <w:t>般證券交易損失性質，不應適用所得稅法第</w:t>
      </w:r>
      <w:r w:rsidRPr="00B947F4">
        <w:rPr>
          <w:spacing w:val="-6"/>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w:t>
      </w:r>
    </w:p>
    <w:p w:rsidR="00514426" w:rsidRPr="007B5D03" w:rsidRDefault="00514426" w:rsidP="00B947F4">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B947F4">
        <w:rPr>
          <w:rFonts w:hAnsi="標楷體"/>
          <w:spacing w:val="6"/>
          <w:sz w:val="30"/>
          <w:szCs w:val="30"/>
        </w:rPr>
        <w:t>是故，如果認購（售）權證中避險交易部分</w:t>
      </w:r>
      <w:r w:rsidRPr="007B5D03">
        <w:rPr>
          <w:rFonts w:hAnsi="標楷體"/>
          <w:sz w:val="30"/>
          <w:szCs w:val="30"/>
        </w:rPr>
        <w:t>真應以證券交易作稅上處理，新法之規定豈非又造成差別待遇？蓋立法者不得恣意為差別待遇，必須本於事物本質或公益目的之正當理由為合理差別待遇，新法所顯示之立法意旨係權證交易之避險成本扣除應稅權利金收入屬於配合原則之規定，是以立法者亦明示其並非可割裂評價為證券交易之本質，故屬於對不同事物為不同處遇之差別規範，並不違反平等原則。是以財政部</w:t>
      </w:r>
      <w:r w:rsidRPr="007B5D03">
        <w:rPr>
          <w:sz w:val="30"/>
          <w:szCs w:val="30"/>
        </w:rPr>
        <w:t>86</w:t>
      </w:r>
      <w:r w:rsidRPr="007B5D03">
        <w:rPr>
          <w:rFonts w:hAnsi="標楷體"/>
          <w:sz w:val="30"/>
          <w:szCs w:val="30"/>
        </w:rPr>
        <w:t>年函釋顧慮</w:t>
      </w:r>
      <w:r w:rsidRPr="00B947F4">
        <w:rPr>
          <w:rFonts w:hAnsi="標楷體"/>
          <w:spacing w:val="6"/>
          <w:sz w:val="30"/>
          <w:szCs w:val="30"/>
        </w:rPr>
        <w:t>所得稅法第</w:t>
      </w:r>
      <w:r w:rsidRPr="00B947F4">
        <w:rPr>
          <w:spacing w:val="6"/>
          <w:sz w:val="30"/>
          <w:szCs w:val="30"/>
        </w:rPr>
        <w:t>4</w:t>
      </w:r>
      <w:r w:rsidRPr="00B947F4">
        <w:rPr>
          <w:rFonts w:hAnsi="標楷體"/>
          <w:spacing w:val="6"/>
          <w:sz w:val="30"/>
          <w:szCs w:val="30"/>
        </w:rPr>
        <w:t>條之</w:t>
      </w:r>
      <w:r w:rsidRPr="00B947F4">
        <w:rPr>
          <w:spacing w:val="6"/>
          <w:sz w:val="30"/>
          <w:szCs w:val="30"/>
        </w:rPr>
        <w:t>1</w:t>
      </w:r>
      <w:r w:rsidRPr="00B947F4">
        <w:rPr>
          <w:rFonts w:hAnsi="標楷體"/>
          <w:spacing w:val="6"/>
          <w:sz w:val="30"/>
          <w:szCs w:val="30"/>
        </w:rPr>
        <w:t>對於權證交易課稅之處</w:t>
      </w:r>
      <w:r w:rsidRPr="007B5D03">
        <w:rPr>
          <w:rFonts w:hAnsi="標楷體"/>
          <w:sz w:val="30"/>
          <w:szCs w:val="30"/>
        </w:rPr>
        <w:t>理，似有以為對權證交易避險損失之特別處理，對其他證券交易為差別待遇之疑慮，應屬多餘。</w:t>
      </w:r>
    </w:p>
    <w:p w:rsidR="00514426" w:rsidRPr="007B5D03" w:rsidRDefault="00514426" w:rsidP="009B13DC">
      <w:pPr>
        <w:snapToGrid w:val="0"/>
        <w:spacing w:line="437" w:lineRule="exact"/>
        <w:ind w:left="2354" w:hanging="369"/>
        <w:rPr>
          <w:sz w:val="30"/>
          <w:szCs w:val="30"/>
        </w:rPr>
      </w:pPr>
      <w:r w:rsidRPr="007B5D03">
        <w:rPr>
          <w:sz w:val="30"/>
          <w:szCs w:val="30"/>
        </w:rPr>
        <w:lastRenderedPageBreak/>
        <w:t>(7)</w:t>
      </w:r>
      <w:r w:rsidRPr="007B5D03">
        <w:rPr>
          <w:rFonts w:hAnsi="標楷體"/>
          <w:sz w:val="30"/>
          <w:szCs w:val="30"/>
        </w:rPr>
        <w:t>財政部</w:t>
      </w:r>
      <w:r w:rsidRPr="007B5D03">
        <w:rPr>
          <w:sz w:val="30"/>
          <w:szCs w:val="30"/>
        </w:rPr>
        <w:t>86</w:t>
      </w:r>
      <w:r w:rsidRPr="007B5D03">
        <w:rPr>
          <w:rFonts w:hAnsi="標楷體"/>
          <w:sz w:val="30"/>
          <w:szCs w:val="30"/>
        </w:rPr>
        <w:t>年函釋與財政部</w:t>
      </w:r>
      <w:smartTag w:uri="urn:schemas-microsoft-com:office:smarttags" w:element="chsdate">
        <w:smartTagPr>
          <w:attr w:name="IsROCDate" w:val="False"/>
          <w:attr w:name="IsLunarDate" w:val="False"/>
          <w:attr w:name="Day" w:val="8"/>
          <w:attr w:name="Month" w:val="2"/>
          <w:attr w:name="Year" w:val="1983"/>
        </w:smartTagPr>
        <w:r w:rsidRPr="007B5D03">
          <w:rPr>
            <w:sz w:val="30"/>
            <w:szCs w:val="30"/>
          </w:rPr>
          <w:t>83</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8</w:t>
        </w:r>
        <w:r w:rsidRPr="007B5D03">
          <w:rPr>
            <w:rFonts w:hAnsi="標楷體"/>
            <w:sz w:val="30"/>
            <w:szCs w:val="30"/>
          </w:rPr>
          <w:t>日</w:t>
        </w:r>
      </w:smartTag>
      <w:r w:rsidRPr="007B5D03">
        <w:rPr>
          <w:rFonts w:hAnsi="標楷體"/>
          <w:sz w:val="30"/>
          <w:szCs w:val="30"/>
        </w:rPr>
        <w:t>台財稅第</w:t>
      </w:r>
      <w:r w:rsidRPr="007B5D03">
        <w:rPr>
          <w:sz w:val="30"/>
          <w:szCs w:val="30"/>
        </w:rPr>
        <w:t>831582472</w:t>
      </w:r>
      <w:r w:rsidRPr="007B5D03">
        <w:rPr>
          <w:rFonts w:hAnsi="標楷體"/>
          <w:sz w:val="30"/>
          <w:szCs w:val="30"/>
        </w:rPr>
        <w:t>號函就同屬配合原則之情形予以差別對待，並非有堅強之公益目的，自有違反平等原則之情</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按財政部</w:t>
      </w:r>
      <w:smartTag w:uri="urn:schemas-microsoft-com:office:smarttags" w:element="chsdate">
        <w:smartTagPr>
          <w:attr w:name="IsROCDate" w:val="False"/>
          <w:attr w:name="IsLunarDate" w:val="False"/>
          <w:attr w:name="Day" w:val="8"/>
          <w:attr w:name="Month" w:val="2"/>
          <w:attr w:name="Year" w:val="1983"/>
        </w:smartTagPr>
        <w:r w:rsidRPr="007B5D03">
          <w:rPr>
            <w:sz w:val="30"/>
            <w:szCs w:val="30"/>
          </w:rPr>
          <w:t>83</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8</w:t>
        </w:r>
        <w:r w:rsidRPr="007B5D03">
          <w:rPr>
            <w:rFonts w:hAnsi="標楷體"/>
            <w:sz w:val="30"/>
            <w:szCs w:val="30"/>
          </w:rPr>
          <w:t>日</w:t>
        </w:r>
      </w:smartTag>
      <w:r w:rsidRPr="007B5D03">
        <w:rPr>
          <w:rFonts w:hAnsi="標楷體"/>
          <w:sz w:val="30"/>
          <w:szCs w:val="30"/>
        </w:rPr>
        <w:t>台財稅第</w:t>
      </w:r>
      <w:r w:rsidRPr="007B5D03">
        <w:rPr>
          <w:sz w:val="30"/>
          <w:szCs w:val="30"/>
        </w:rPr>
        <w:t>831582472</w:t>
      </w:r>
      <w:r w:rsidRPr="007B5D03">
        <w:rPr>
          <w:rFonts w:hAnsi="標楷體"/>
          <w:sz w:val="30"/>
          <w:szCs w:val="30"/>
        </w:rPr>
        <w:t>號函：「三、以有價證券買賣為專業之營利事業，其營業費用及借款利息，除可合理明確歸屬者得個別歸屬認列外，應按核定有價證券出售收入、投資收益、債券利息收入及其他營業收入比例，計算有價證券出售部分應分攤之費用及利息，自有價證券出售收入項下減除」，其經由　鈞院釋字第</w:t>
      </w:r>
      <w:r w:rsidRPr="007B5D03">
        <w:rPr>
          <w:sz w:val="30"/>
          <w:szCs w:val="30"/>
        </w:rPr>
        <w:t>493</w:t>
      </w:r>
      <w:r w:rsidRPr="007B5D03">
        <w:rPr>
          <w:rFonts w:hAnsi="標楷體"/>
          <w:sz w:val="30"/>
          <w:szCs w:val="30"/>
        </w:rPr>
        <w:t>號解釋乃依所得稅法第</w:t>
      </w:r>
      <w:r w:rsidRPr="007B5D03">
        <w:rPr>
          <w:sz w:val="30"/>
          <w:szCs w:val="30"/>
        </w:rPr>
        <w:t>24</w:t>
      </w:r>
      <w:r w:rsidRPr="007B5D03">
        <w:rPr>
          <w:rFonts w:hAnsi="標楷體"/>
          <w:sz w:val="30"/>
          <w:szCs w:val="30"/>
        </w:rPr>
        <w:t>條之配合原則規定肯認該函釋之合憲性，亦即可合理明確歸屬於應稅收入及免稅收入之費用即應個別歸屬，此乃配合原則之意旨。</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惟財政部</w:t>
      </w:r>
      <w:r w:rsidRPr="007B5D03">
        <w:rPr>
          <w:sz w:val="30"/>
          <w:szCs w:val="30"/>
        </w:rPr>
        <w:t>86</w:t>
      </w:r>
      <w:r w:rsidRPr="007B5D03">
        <w:rPr>
          <w:rFonts w:hAnsi="標楷體"/>
          <w:sz w:val="30"/>
          <w:szCs w:val="30"/>
        </w:rPr>
        <w:t>年函釋對於同屬配合原則應適用</w:t>
      </w:r>
      <w:r w:rsidRPr="00945A6E">
        <w:rPr>
          <w:rFonts w:hAnsi="標楷體"/>
          <w:spacing w:val="6"/>
          <w:sz w:val="30"/>
          <w:szCs w:val="30"/>
        </w:rPr>
        <w:t>之情形，採取與財政部</w:t>
      </w:r>
      <w:r w:rsidRPr="00945A6E">
        <w:rPr>
          <w:spacing w:val="6"/>
          <w:sz w:val="30"/>
          <w:szCs w:val="30"/>
        </w:rPr>
        <w:t>83</w:t>
      </w:r>
      <w:r w:rsidRPr="00945A6E">
        <w:rPr>
          <w:rFonts w:hAnsi="標楷體"/>
          <w:spacing w:val="6"/>
          <w:sz w:val="30"/>
          <w:szCs w:val="30"/>
        </w:rPr>
        <w:t>年函釋相異之處</w:t>
      </w:r>
      <w:r w:rsidRPr="007B5D03">
        <w:rPr>
          <w:rFonts w:hAnsi="標楷體"/>
          <w:sz w:val="30"/>
          <w:szCs w:val="30"/>
        </w:rPr>
        <w:t>遇，權證避險損失在事物本質上係可明確歸屬應稅收入成本費用，卻不准依證券買賣為專業之營利事業之一般費用認列標準，將可明確歸屬應稅收入之成本費用併計於應稅收入，又財政部</w:t>
      </w:r>
      <w:r w:rsidRPr="007B5D03">
        <w:rPr>
          <w:sz w:val="30"/>
          <w:szCs w:val="30"/>
        </w:rPr>
        <w:t>86</w:t>
      </w:r>
      <w:r w:rsidRPr="007B5D03">
        <w:rPr>
          <w:rFonts w:hAnsi="標楷體"/>
          <w:sz w:val="30"/>
          <w:szCs w:val="30"/>
        </w:rPr>
        <w:t>年函釋並無配合原則之正當公益目的已如前述，在此亦有財政部</w:t>
      </w:r>
      <w:r w:rsidRPr="007B5D03">
        <w:rPr>
          <w:sz w:val="30"/>
          <w:szCs w:val="30"/>
        </w:rPr>
        <w:t>86</w:t>
      </w:r>
      <w:r w:rsidRPr="007B5D03">
        <w:rPr>
          <w:rFonts w:hAnsi="標楷體"/>
          <w:sz w:val="30"/>
          <w:szCs w:val="30"/>
        </w:rPr>
        <w:t>年函釋與財政部</w:t>
      </w:r>
      <w:r w:rsidRPr="007B5D03">
        <w:rPr>
          <w:sz w:val="30"/>
          <w:szCs w:val="30"/>
        </w:rPr>
        <w:t>83</w:t>
      </w:r>
      <w:r w:rsidRPr="007B5D03">
        <w:rPr>
          <w:rFonts w:hAnsi="標楷體"/>
          <w:sz w:val="30"/>
          <w:szCs w:val="30"/>
        </w:rPr>
        <w:t>年函釋相較所顯示之不合理差別待遇。</w:t>
      </w:r>
    </w:p>
    <w:p w:rsidR="00514426" w:rsidRPr="007B5D03" w:rsidRDefault="00514426" w:rsidP="00945A6E">
      <w:pPr>
        <w:snapToGrid w:val="0"/>
        <w:spacing w:line="437" w:lineRule="exact"/>
        <w:ind w:left="2354" w:hanging="369"/>
        <w:rPr>
          <w:sz w:val="30"/>
          <w:szCs w:val="30"/>
        </w:rPr>
      </w:pPr>
      <w:r w:rsidRPr="007B5D03">
        <w:rPr>
          <w:sz w:val="30"/>
          <w:szCs w:val="30"/>
        </w:rPr>
        <w:t>(8)</w:t>
      </w:r>
      <w:r w:rsidRPr="007B5D03">
        <w:rPr>
          <w:rFonts w:hAnsi="標楷體"/>
          <w:sz w:val="30"/>
          <w:szCs w:val="30"/>
        </w:rPr>
        <w:t>財政部</w:t>
      </w:r>
      <w:r w:rsidRPr="007B5D03">
        <w:rPr>
          <w:sz w:val="30"/>
          <w:szCs w:val="30"/>
        </w:rPr>
        <w:t>86</w:t>
      </w:r>
      <w:r w:rsidRPr="007B5D03">
        <w:rPr>
          <w:rFonts w:hAnsi="標楷體"/>
          <w:sz w:val="30"/>
          <w:szCs w:val="30"/>
        </w:rPr>
        <w:t>年函釋對國內外券商有產生無正當理</w:t>
      </w:r>
      <w:r w:rsidRPr="007B5D03">
        <w:rPr>
          <w:rFonts w:hAnsi="標楷體"/>
          <w:sz w:val="30"/>
          <w:szCs w:val="30"/>
        </w:rPr>
        <w:lastRenderedPageBreak/>
        <w:t>由之差別待遇</w:t>
      </w:r>
    </w:p>
    <w:p w:rsidR="00514426" w:rsidRPr="007B5D03" w:rsidRDefault="00514426" w:rsidP="00945A6E">
      <w:pPr>
        <w:snapToGrid w:val="0"/>
        <w:spacing w:line="437" w:lineRule="exact"/>
        <w:ind w:left="2325" w:firstLine="329"/>
        <w:rPr>
          <w:sz w:val="30"/>
          <w:szCs w:val="30"/>
        </w:rPr>
      </w:pPr>
      <w:r w:rsidRPr="007B5D03">
        <w:rPr>
          <w:rFonts w:hAnsi="標楷體"/>
          <w:sz w:val="30"/>
          <w:szCs w:val="30"/>
        </w:rPr>
        <w:t>財政部</w:t>
      </w:r>
      <w:r w:rsidRPr="007B5D03">
        <w:rPr>
          <w:sz w:val="30"/>
          <w:szCs w:val="30"/>
        </w:rPr>
        <w:t>86</w:t>
      </w:r>
      <w:r w:rsidRPr="007B5D03">
        <w:rPr>
          <w:rFonts w:hAnsi="標楷體"/>
          <w:sz w:val="30"/>
          <w:szCs w:val="30"/>
        </w:rPr>
        <w:t>年函釋適用之結果，於國內券商核課其權證交易所得，因不准扣除權證交易之避險成本，僅得減除少量之權證銷售管理費用，導致幾近是對其毛收入課稅，券商實質稅負約占權證發行權利金收</w:t>
      </w:r>
      <w:r w:rsidRPr="007B5D03">
        <w:rPr>
          <w:rFonts w:hAnsi="標楷體" w:hint="eastAsia"/>
          <w:sz w:val="30"/>
          <w:szCs w:val="30"/>
        </w:rPr>
        <w:t>入</w:t>
      </w:r>
      <w:r w:rsidRPr="007B5D03">
        <w:rPr>
          <w:sz w:val="30"/>
          <w:szCs w:val="30"/>
        </w:rPr>
        <w:t>25%(</w:t>
      </w:r>
      <w:r w:rsidRPr="007B5D03">
        <w:rPr>
          <w:rFonts w:hAnsi="標楷體"/>
          <w:sz w:val="30"/>
          <w:szCs w:val="30"/>
        </w:rPr>
        <w:t>毛收</w:t>
      </w:r>
      <w:r w:rsidRPr="007B5D03">
        <w:rPr>
          <w:rFonts w:ascii="標楷體" w:hAnsi="標楷體"/>
          <w:sz w:val="30"/>
          <w:szCs w:val="30"/>
        </w:rPr>
        <w:t>入</w:t>
      </w:r>
      <w:r w:rsidRPr="007B5D03">
        <w:rPr>
          <w:rFonts w:ascii="標楷體" w:hAnsi="標楷體" w:hint="eastAsia"/>
          <w:sz w:val="30"/>
          <w:szCs w:val="30"/>
        </w:rPr>
        <w:t>×</w:t>
      </w:r>
      <w:r w:rsidRPr="007B5D03">
        <w:rPr>
          <w:sz w:val="30"/>
          <w:szCs w:val="30"/>
        </w:rPr>
        <w:t>25%)</w:t>
      </w:r>
      <w:r w:rsidRPr="007B5D03">
        <w:rPr>
          <w:rFonts w:hAnsi="標楷體"/>
          <w:sz w:val="30"/>
          <w:szCs w:val="30"/>
        </w:rPr>
        <w:t>，卻對從事相同權證交易之外資券商，准其適用所得稅法第</w:t>
      </w:r>
      <w:r w:rsidRPr="007B5D03">
        <w:rPr>
          <w:sz w:val="30"/>
          <w:szCs w:val="30"/>
        </w:rPr>
        <w:t>25</w:t>
      </w:r>
      <w:r w:rsidRPr="007B5D03">
        <w:rPr>
          <w:rFonts w:hAnsi="標楷體"/>
          <w:sz w:val="30"/>
          <w:szCs w:val="30"/>
        </w:rPr>
        <w:t>條，依其收入之</w:t>
      </w:r>
      <w:r w:rsidRPr="007B5D03">
        <w:rPr>
          <w:sz w:val="30"/>
          <w:szCs w:val="30"/>
        </w:rPr>
        <w:t>15%</w:t>
      </w:r>
      <w:r w:rsidRPr="007B5D03">
        <w:rPr>
          <w:rFonts w:hAnsi="標楷體"/>
          <w:sz w:val="30"/>
          <w:szCs w:val="30"/>
        </w:rPr>
        <w:t>核課所得稅，致外資券商僅須負擔權證交易毛收入</w:t>
      </w:r>
      <w:r w:rsidRPr="007B5D03">
        <w:rPr>
          <w:sz w:val="30"/>
          <w:szCs w:val="30"/>
        </w:rPr>
        <w:t>3.75%(</w:t>
      </w:r>
      <w:r w:rsidRPr="007B5D03">
        <w:rPr>
          <w:rFonts w:hAnsi="標楷體"/>
          <w:sz w:val="30"/>
          <w:szCs w:val="30"/>
        </w:rPr>
        <w:t>收</w:t>
      </w:r>
      <w:r w:rsidRPr="00945A6E">
        <w:rPr>
          <w:rFonts w:ascii="標楷體" w:hAnsi="標楷體"/>
          <w:spacing w:val="-6"/>
          <w:sz w:val="30"/>
          <w:szCs w:val="30"/>
        </w:rPr>
        <w:t>入</w:t>
      </w:r>
      <w:r w:rsidRPr="00945A6E">
        <w:rPr>
          <w:rFonts w:ascii="標楷體" w:hAnsi="標楷體" w:hint="eastAsia"/>
          <w:spacing w:val="-6"/>
          <w:sz w:val="30"/>
          <w:szCs w:val="30"/>
        </w:rPr>
        <w:t>×</w:t>
      </w:r>
      <w:r w:rsidRPr="00945A6E">
        <w:rPr>
          <w:spacing w:val="-6"/>
          <w:sz w:val="30"/>
          <w:szCs w:val="30"/>
        </w:rPr>
        <w:t>15</w:t>
      </w:r>
      <w:r w:rsidRPr="00945A6E">
        <w:rPr>
          <w:rFonts w:ascii="標楷體" w:hAnsi="標楷體"/>
          <w:spacing w:val="-6"/>
          <w:sz w:val="30"/>
          <w:szCs w:val="30"/>
        </w:rPr>
        <w:t>%</w:t>
      </w:r>
      <w:r w:rsidRPr="00945A6E">
        <w:rPr>
          <w:rFonts w:ascii="標楷體" w:hAnsi="標楷體" w:hint="eastAsia"/>
          <w:spacing w:val="-6"/>
          <w:sz w:val="30"/>
          <w:szCs w:val="30"/>
        </w:rPr>
        <w:t>×</w:t>
      </w:r>
      <w:r w:rsidRPr="00945A6E">
        <w:rPr>
          <w:spacing w:val="-6"/>
          <w:sz w:val="30"/>
          <w:szCs w:val="30"/>
        </w:rPr>
        <w:t>25%)</w:t>
      </w:r>
      <w:r w:rsidRPr="00945A6E">
        <w:rPr>
          <w:rFonts w:hAnsi="標楷體"/>
          <w:spacing w:val="-6"/>
          <w:sz w:val="30"/>
          <w:szCs w:val="30"/>
        </w:rPr>
        <w:t>。亦即，對於權證交易國內內資券</w:t>
      </w:r>
      <w:r w:rsidRPr="007B5D03">
        <w:rPr>
          <w:rFonts w:hAnsi="標楷體"/>
          <w:sz w:val="30"/>
          <w:szCs w:val="30"/>
        </w:rPr>
        <w:t>商之稅負竟僅是國內之外資券商的</w:t>
      </w:r>
      <w:r w:rsidRPr="007B5D03">
        <w:rPr>
          <w:sz w:val="30"/>
          <w:szCs w:val="30"/>
        </w:rPr>
        <w:t>6.67</w:t>
      </w:r>
      <w:r w:rsidRPr="007B5D03">
        <w:rPr>
          <w:rFonts w:hAnsi="標楷體"/>
          <w:sz w:val="30"/>
          <w:szCs w:val="30"/>
        </w:rPr>
        <w:t>倍</w:t>
      </w:r>
      <w:r w:rsidRPr="007B5D03">
        <w:rPr>
          <w:sz w:val="30"/>
          <w:szCs w:val="30"/>
        </w:rPr>
        <w:t>(25%/3.75%)</w:t>
      </w:r>
      <w:r w:rsidRPr="007B5D03">
        <w:rPr>
          <w:rFonts w:hAnsi="標楷體"/>
          <w:sz w:val="30"/>
          <w:szCs w:val="30"/>
        </w:rPr>
        <w:t>。對於性質相同之權證交易，外資與內資券商竟負擔顯不相稱之稅負，此種差別待遇顯不符分配正義，衡諸於稅捐正義，財稅主管機關既無法律依據，亦無合理正當理由特別優惠於外資券商，相較於對內資券商卻課予特別租稅負擔，違反稅制競爭中立性原則，損</w:t>
      </w:r>
      <w:r w:rsidRPr="00945A6E">
        <w:rPr>
          <w:rFonts w:hAnsi="標楷體"/>
          <w:spacing w:val="6"/>
          <w:sz w:val="30"/>
          <w:szCs w:val="30"/>
        </w:rPr>
        <w:t>害公平競爭環境，不利於我國本土產業之發</w:t>
      </w:r>
      <w:r w:rsidRPr="007B5D03">
        <w:rPr>
          <w:rFonts w:hAnsi="標楷體"/>
          <w:sz w:val="30"/>
          <w:szCs w:val="30"/>
        </w:rPr>
        <w:t>展，顯已侵害人民受憲法保障之平等權，違反憲法第</w:t>
      </w:r>
      <w:r w:rsidRPr="007B5D03">
        <w:rPr>
          <w:sz w:val="30"/>
          <w:szCs w:val="30"/>
        </w:rPr>
        <w:t>7</w:t>
      </w:r>
      <w:r w:rsidRPr="007B5D03">
        <w:rPr>
          <w:rFonts w:hAnsi="標楷體"/>
          <w:sz w:val="30"/>
          <w:szCs w:val="30"/>
        </w:rPr>
        <w:t>條平等原則。</w:t>
      </w:r>
    </w:p>
    <w:p w:rsidR="00514426" w:rsidRPr="007B5D03" w:rsidRDefault="00514426" w:rsidP="00945A6E">
      <w:pPr>
        <w:snapToGrid w:val="0"/>
        <w:spacing w:line="437" w:lineRule="exact"/>
        <w:ind w:left="1974" w:hanging="284"/>
        <w:rPr>
          <w:sz w:val="30"/>
          <w:szCs w:val="30"/>
        </w:rPr>
      </w:pPr>
      <w:r w:rsidRPr="007B5D03">
        <w:rPr>
          <w:rFonts w:ascii="標楷體" w:hAnsi="標楷體"/>
          <w:sz w:val="30"/>
          <w:szCs w:val="30"/>
        </w:rPr>
        <w:t>6.財</w:t>
      </w:r>
      <w:r w:rsidRPr="007B5D03">
        <w:rPr>
          <w:rFonts w:hAnsi="標楷體"/>
          <w:sz w:val="30"/>
          <w:szCs w:val="30"/>
        </w:rPr>
        <w:t>政部</w:t>
      </w:r>
      <w:r w:rsidRPr="007B5D03">
        <w:rPr>
          <w:sz w:val="30"/>
          <w:szCs w:val="30"/>
        </w:rPr>
        <w:t>86</w:t>
      </w:r>
      <w:r w:rsidRPr="007B5D03">
        <w:rPr>
          <w:rFonts w:hAnsi="標楷體"/>
          <w:sz w:val="30"/>
          <w:szCs w:val="30"/>
        </w:rPr>
        <w:t>年函釋並無法有助於其行政目的，且對券商形成過於苛刻之課稅結果，有違比例原則</w:t>
      </w:r>
    </w:p>
    <w:p w:rsidR="00514426" w:rsidRPr="007B5D03" w:rsidRDefault="00514426" w:rsidP="00FB2D5A">
      <w:pPr>
        <w:snapToGrid w:val="0"/>
        <w:spacing w:line="437" w:lineRule="exact"/>
        <w:ind w:left="2467" w:hanging="482"/>
        <w:rPr>
          <w:sz w:val="30"/>
          <w:szCs w:val="30"/>
        </w:rPr>
      </w:pPr>
      <w:r w:rsidRPr="007B5D03">
        <w:rPr>
          <w:sz w:val="30"/>
          <w:szCs w:val="30"/>
        </w:rPr>
        <w:t>(1)</w:t>
      </w:r>
      <w:r w:rsidRPr="007B5D03">
        <w:rPr>
          <w:rFonts w:hAnsi="標楷體"/>
          <w:sz w:val="30"/>
          <w:szCs w:val="30"/>
        </w:rPr>
        <w:t>比例原則之意涵</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按憲法第</w:t>
      </w:r>
      <w:r w:rsidRPr="007B5D03">
        <w:rPr>
          <w:sz w:val="30"/>
          <w:szCs w:val="30"/>
        </w:rPr>
        <w:t>23</w:t>
      </w:r>
      <w:r w:rsidRPr="007B5D03">
        <w:rPr>
          <w:rFonts w:hAnsi="標楷體"/>
          <w:sz w:val="30"/>
          <w:szCs w:val="30"/>
        </w:rPr>
        <w:t>條規定：「以上各條列舉之自由權利，除為防止妨礙他人自由、避免緊急危難、維持社會秩序或增進公共利益所必要者</w:t>
      </w:r>
      <w:r w:rsidRPr="004C4F43">
        <w:rPr>
          <w:rFonts w:hAnsi="標楷體"/>
          <w:spacing w:val="6"/>
          <w:sz w:val="30"/>
          <w:szCs w:val="30"/>
        </w:rPr>
        <w:t>外，不得以法律限制之。」故限制人民權利自由</w:t>
      </w:r>
      <w:r w:rsidRPr="004C4F43">
        <w:rPr>
          <w:rFonts w:hAnsi="標楷體"/>
          <w:spacing w:val="6"/>
          <w:sz w:val="30"/>
          <w:szCs w:val="30"/>
        </w:rPr>
        <w:lastRenderedPageBreak/>
        <w:t>應基於「防止妨礙他人自由、避免緊急危難、維持社會秩序或增進公共利益」之目</w:t>
      </w:r>
      <w:r w:rsidRPr="007B5D03">
        <w:rPr>
          <w:rFonts w:hAnsi="標楷體"/>
          <w:sz w:val="30"/>
          <w:szCs w:val="30"/>
        </w:rPr>
        <w:t>的，此即手段必須有助於目的之達成之適合性原則，在必要限度內限制人民自由權利，所稱之「必要」包括最小侵害性及合比例性，故我國學者及　鈞院解釋大多將憲法第</w:t>
      </w:r>
      <w:r w:rsidRPr="007B5D03">
        <w:rPr>
          <w:sz w:val="30"/>
          <w:szCs w:val="30"/>
        </w:rPr>
        <w:t>23</w:t>
      </w:r>
      <w:r w:rsidRPr="007B5D03">
        <w:rPr>
          <w:rFonts w:hAnsi="標楷體"/>
          <w:sz w:val="30"/>
          <w:szCs w:val="30"/>
        </w:rPr>
        <w:t>條作為比例原則之規範，適合性原則要求限制</w:t>
      </w:r>
      <w:r w:rsidRPr="004C4F43">
        <w:rPr>
          <w:rFonts w:hAnsi="標楷體"/>
          <w:spacing w:val="6"/>
          <w:sz w:val="30"/>
          <w:szCs w:val="30"/>
        </w:rPr>
        <w:t>人權之手段必須適合公益目的之達成；其</w:t>
      </w:r>
      <w:r w:rsidRPr="007B5D03">
        <w:rPr>
          <w:rFonts w:hAnsi="標楷體"/>
          <w:sz w:val="30"/>
          <w:szCs w:val="30"/>
        </w:rPr>
        <w:t>次，必要原則要求所有符合適合性原則之限制人權手段中，只能選擇其中對人權限制最小的手段，故又稱為最小侵害原則或不得已原則；最後，狹義比例原則要求不能用犧牲</w:t>
      </w:r>
      <w:r w:rsidRPr="004C4F43">
        <w:rPr>
          <w:rFonts w:hAnsi="標楷體"/>
          <w:spacing w:val="-6"/>
          <w:sz w:val="30"/>
          <w:szCs w:val="30"/>
        </w:rPr>
        <w:t>過大人民私益之手段，追求一個較小的公益。</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次按行政程序法第</w:t>
      </w:r>
      <w:r w:rsidRPr="007B5D03">
        <w:rPr>
          <w:sz w:val="30"/>
          <w:szCs w:val="30"/>
        </w:rPr>
        <w:t>7</w:t>
      </w:r>
      <w:r w:rsidRPr="007B5D03">
        <w:rPr>
          <w:rFonts w:hAnsi="標楷體"/>
          <w:sz w:val="30"/>
          <w:szCs w:val="30"/>
        </w:rPr>
        <w:t>條將上開憲法第</w:t>
      </w:r>
      <w:r w:rsidRPr="007B5D03">
        <w:rPr>
          <w:sz w:val="30"/>
          <w:szCs w:val="30"/>
        </w:rPr>
        <w:t>23</w:t>
      </w:r>
      <w:r w:rsidRPr="007B5D03">
        <w:rPr>
          <w:rFonts w:hAnsi="標楷體"/>
          <w:sz w:val="30"/>
          <w:szCs w:val="30"/>
        </w:rPr>
        <w:t>條比例原則予以更具體化規定：「行政行為，應依下列原則為之︰一、採取之方法應有助於目的之達成。二、有多種同樣能達成目的之方法時，應選擇對人民權益損害最少者。三、採取之方法所造成之損害不得與欲達成目的之利益顯失均衡。」第一款即為適合性原則，第二款為必要原則（最小侵害原則），第三款為狹義比例原則。</w:t>
      </w:r>
    </w:p>
    <w:p w:rsidR="00514426" w:rsidRPr="007B5D03" w:rsidRDefault="00514426" w:rsidP="004C4F43">
      <w:pPr>
        <w:snapToGrid w:val="0"/>
        <w:spacing w:line="437" w:lineRule="exact"/>
        <w:ind w:left="2354" w:hanging="369"/>
        <w:rPr>
          <w:sz w:val="30"/>
          <w:szCs w:val="30"/>
        </w:rPr>
      </w:pPr>
      <w:r w:rsidRPr="007B5D03">
        <w:rPr>
          <w:sz w:val="30"/>
          <w:szCs w:val="30"/>
        </w:rPr>
        <w:t>(2)</w:t>
      </w:r>
      <w:r w:rsidRPr="007B5D03">
        <w:rPr>
          <w:rFonts w:hAnsi="標楷體"/>
          <w:sz w:val="30"/>
          <w:szCs w:val="30"/>
        </w:rPr>
        <w:t>財政部</w:t>
      </w:r>
      <w:r w:rsidRPr="007B5D03">
        <w:rPr>
          <w:sz w:val="30"/>
          <w:szCs w:val="30"/>
        </w:rPr>
        <w:t>86</w:t>
      </w:r>
      <w:r w:rsidRPr="007B5D03">
        <w:rPr>
          <w:rFonts w:hAnsi="標楷體"/>
          <w:sz w:val="30"/>
          <w:szCs w:val="30"/>
        </w:rPr>
        <w:t>年函釋無助於所得稅法第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規範目的之達成，不符合適合性原則</w:t>
      </w:r>
    </w:p>
    <w:p w:rsidR="00514426" w:rsidRPr="007B5D03" w:rsidRDefault="00514426" w:rsidP="004C4F43">
      <w:pPr>
        <w:snapToGrid w:val="0"/>
        <w:spacing w:line="437" w:lineRule="exact"/>
        <w:ind w:left="2325" w:firstLine="329"/>
        <w:rPr>
          <w:sz w:val="30"/>
          <w:szCs w:val="30"/>
        </w:rPr>
      </w:pPr>
      <w:r w:rsidRPr="007B5D03">
        <w:rPr>
          <w:rFonts w:hAnsi="標楷體"/>
          <w:sz w:val="30"/>
          <w:szCs w:val="30"/>
        </w:rPr>
        <w:t>財政部</w:t>
      </w:r>
      <w:r w:rsidRPr="007B5D03">
        <w:rPr>
          <w:sz w:val="30"/>
          <w:szCs w:val="30"/>
        </w:rPr>
        <w:t>86</w:t>
      </w:r>
      <w:r w:rsidRPr="007B5D03">
        <w:rPr>
          <w:rFonts w:hAnsi="標楷體"/>
          <w:sz w:val="30"/>
          <w:szCs w:val="30"/>
        </w:rPr>
        <w:t>年函釋其主要意旨係為依照所得稅</w:t>
      </w:r>
      <w:r w:rsidRPr="004C4F43">
        <w:rPr>
          <w:rFonts w:hAnsi="標楷體"/>
          <w:spacing w:val="6"/>
          <w:sz w:val="30"/>
          <w:szCs w:val="30"/>
        </w:rPr>
        <w:t>法第</w:t>
      </w:r>
      <w:r w:rsidRPr="004C4F43">
        <w:rPr>
          <w:spacing w:val="6"/>
          <w:sz w:val="30"/>
          <w:szCs w:val="30"/>
        </w:rPr>
        <w:t>4</w:t>
      </w:r>
      <w:r w:rsidRPr="004C4F43">
        <w:rPr>
          <w:rFonts w:hAnsi="標楷體"/>
          <w:spacing w:val="6"/>
          <w:sz w:val="30"/>
          <w:szCs w:val="30"/>
        </w:rPr>
        <w:t>條之</w:t>
      </w:r>
      <w:r w:rsidRPr="004C4F43">
        <w:rPr>
          <w:spacing w:val="6"/>
          <w:sz w:val="30"/>
          <w:szCs w:val="30"/>
        </w:rPr>
        <w:t>1</w:t>
      </w:r>
      <w:r w:rsidRPr="004C4F43">
        <w:rPr>
          <w:rFonts w:hAnsi="標楷體"/>
          <w:spacing w:val="6"/>
          <w:sz w:val="30"/>
          <w:szCs w:val="30"/>
        </w:rPr>
        <w:t>之規定，針對避險交易部分切割</w:t>
      </w:r>
      <w:r w:rsidRPr="004C4F43">
        <w:rPr>
          <w:rFonts w:hAnsi="標楷體"/>
          <w:spacing w:val="6"/>
          <w:sz w:val="30"/>
          <w:szCs w:val="30"/>
        </w:rPr>
        <w:lastRenderedPageBreak/>
        <w:t>出來適用所得稅法第</w:t>
      </w:r>
      <w:r w:rsidRPr="004C4F43">
        <w:rPr>
          <w:spacing w:val="6"/>
          <w:sz w:val="30"/>
          <w:szCs w:val="30"/>
        </w:rPr>
        <w:t>4</w:t>
      </w:r>
      <w:r w:rsidRPr="004C4F43">
        <w:rPr>
          <w:rFonts w:hAnsi="標楷體"/>
          <w:spacing w:val="6"/>
          <w:sz w:val="30"/>
          <w:szCs w:val="30"/>
        </w:rPr>
        <w:t>條之</w:t>
      </w:r>
      <w:r w:rsidRPr="004C4F43">
        <w:rPr>
          <w:spacing w:val="6"/>
          <w:sz w:val="30"/>
          <w:szCs w:val="30"/>
        </w:rPr>
        <w:t>1</w:t>
      </w:r>
      <w:r w:rsidRPr="004C4F43">
        <w:rPr>
          <w:rFonts w:hAnsi="標楷體"/>
          <w:spacing w:val="6"/>
          <w:sz w:val="30"/>
          <w:szCs w:val="30"/>
        </w:rPr>
        <w:t>之規定。然而其超出所得稅法第</w:t>
      </w:r>
      <w:r w:rsidRPr="004C4F43">
        <w:rPr>
          <w:spacing w:val="6"/>
          <w:sz w:val="30"/>
          <w:szCs w:val="30"/>
        </w:rPr>
        <w:t>4</w:t>
      </w:r>
      <w:r w:rsidRPr="004C4F43">
        <w:rPr>
          <w:rFonts w:hAnsi="標楷體"/>
          <w:spacing w:val="6"/>
          <w:sz w:val="30"/>
          <w:szCs w:val="30"/>
        </w:rPr>
        <w:t>條之</w:t>
      </w:r>
      <w:r w:rsidRPr="004C4F43">
        <w:rPr>
          <w:spacing w:val="6"/>
          <w:sz w:val="30"/>
          <w:szCs w:val="30"/>
        </w:rPr>
        <w:t>1</w:t>
      </w:r>
      <w:r w:rsidRPr="004C4F43">
        <w:rPr>
          <w:rFonts w:hAnsi="標楷體"/>
          <w:spacing w:val="6"/>
          <w:sz w:val="30"/>
          <w:szCs w:val="30"/>
        </w:rPr>
        <w:t>之文義及規範目的已</w:t>
      </w:r>
      <w:r w:rsidRPr="007B5D03">
        <w:rPr>
          <w:rFonts w:hAnsi="標楷體"/>
          <w:sz w:val="30"/>
          <w:szCs w:val="30"/>
        </w:rPr>
        <w:t>如前述，從適合性原則之角度而言，此種行政</w:t>
      </w:r>
      <w:r w:rsidRPr="004C4F43">
        <w:rPr>
          <w:rFonts w:hAnsi="標楷體"/>
          <w:spacing w:val="6"/>
          <w:sz w:val="30"/>
          <w:szCs w:val="30"/>
        </w:rPr>
        <w:t>作為亦無從達成所得稅法第</w:t>
      </w:r>
      <w:r w:rsidRPr="004C4F43">
        <w:rPr>
          <w:spacing w:val="6"/>
          <w:sz w:val="30"/>
          <w:szCs w:val="30"/>
        </w:rPr>
        <w:t>4</w:t>
      </w:r>
      <w:r w:rsidRPr="004C4F43">
        <w:rPr>
          <w:rFonts w:hAnsi="標楷體"/>
          <w:spacing w:val="6"/>
          <w:sz w:val="30"/>
          <w:szCs w:val="30"/>
        </w:rPr>
        <w:t>條之</w:t>
      </w:r>
      <w:r w:rsidRPr="004C4F43">
        <w:rPr>
          <w:spacing w:val="6"/>
          <w:sz w:val="30"/>
          <w:szCs w:val="30"/>
        </w:rPr>
        <w:t>1</w:t>
      </w:r>
      <w:r w:rsidRPr="004C4F43">
        <w:rPr>
          <w:rFonts w:hAnsi="標楷體"/>
          <w:spacing w:val="6"/>
          <w:sz w:val="30"/>
          <w:szCs w:val="30"/>
        </w:rPr>
        <w:t>之規範目</w:t>
      </w:r>
      <w:r w:rsidRPr="007B5D03">
        <w:rPr>
          <w:rFonts w:hAnsi="標楷體"/>
          <w:sz w:val="30"/>
          <w:szCs w:val="30"/>
        </w:rPr>
        <w:t>的，且自財政部</w:t>
      </w:r>
      <w:r w:rsidRPr="007B5D03">
        <w:rPr>
          <w:sz w:val="30"/>
          <w:szCs w:val="30"/>
        </w:rPr>
        <w:t>86</w:t>
      </w:r>
      <w:r w:rsidRPr="007B5D03">
        <w:rPr>
          <w:rFonts w:hAnsi="標楷體"/>
          <w:sz w:val="30"/>
          <w:szCs w:val="30"/>
        </w:rPr>
        <w:t>年函釋之規範意旨，可能找</w:t>
      </w:r>
      <w:r w:rsidRPr="004C4F43">
        <w:rPr>
          <w:rFonts w:hAnsi="標楷體"/>
          <w:spacing w:val="6"/>
          <w:sz w:val="30"/>
          <w:szCs w:val="30"/>
        </w:rPr>
        <w:t>不出除為達成所得稅法第</w:t>
      </w:r>
      <w:r w:rsidRPr="004C4F43">
        <w:rPr>
          <w:spacing w:val="6"/>
          <w:sz w:val="30"/>
          <w:szCs w:val="30"/>
        </w:rPr>
        <w:t>4</w:t>
      </w:r>
      <w:r w:rsidRPr="004C4F43">
        <w:rPr>
          <w:rFonts w:hAnsi="標楷體"/>
          <w:spacing w:val="6"/>
          <w:sz w:val="30"/>
          <w:szCs w:val="30"/>
        </w:rPr>
        <w:t>條之</w:t>
      </w:r>
      <w:r w:rsidRPr="004C4F43">
        <w:rPr>
          <w:spacing w:val="6"/>
          <w:sz w:val="30"/>
          <w:szCs w:val="30"/>
        </w:rPr>
        <w:t>1</w:t>
      </w:r>
      <w:r w:rsidRPr="004C4F43">
        <w:rPr>
          <w:rFonts w:hAnsi="標楷體"/>
          <w:spacing w:val="6"/>
          <w:sz w:val="30"/>
          <w:szCs w:val="30"/>
        </w:rPr>
        <w:t>規範目的外</w:t>
      </w:r>
      <w:r w:rsidRPr="007B5D03">
        <w:rPr>
          <w:rFonts w:hAnsi="標楷體"/>
          <w:sz w:val="30"/>
          <w:szCs w:val="30"/>
        </w:rPr>
        <w:t>之其他公益上目的，從而可以確認財政部</w:t>
      </w:r>
      <w:r w:rsidRPr="007B5D03">
        <w:rPr>
          <w:sz w:val="30"/>
          <w:szCs w:val="30"/>
        </w:rPr>
        <w:t>86</w:t>
      </w:r>
      <w:r w:rsidRPr="007B5D03">
        <w:rPr>
          <w:rFonts w:hAnsi="標楷體"/>
          <w:sz w:val="30"/>
          <w:szCs w:val="30"/>
        </w:rPr>
        <w:t>年函釋與適合性原則不符。</w:t>
      </w:r>
    </w:p>
    <w:p w:rsidR="00514426" w:rsidRPr="007B5D03" w:rsidRDefault="00514426" w:rsidP="004C4F43">
      <w:pPr>
        <w:snapToGrid w:val="0"/>
        <w:spacing w:line="437" w:lineRule="exact"/>
        <w:ind w:left="2354" w:hanging="369"/>
        <w:rPr>
          <w:sz w:val="30"/>
          <w:szCs w:val="30"/>
        </w:rPr>
      </w:pPr>
      <w:r w:rsidRPr="007B5D03">
        <w:rPr>
          <w:sz w:val="30"/>
          <w:szCs w:val="30"/>
        </w:rPr>
        <w:t>(3)</w:t>
      </w:r>
      <w:r w:rsidRPr="007B5D03">
        <w:rPr>
          <w:rFonts w:hAnsi="標楷體"/>
          <w:sz w:val="30"/>
          <w:szCs w:val="30"/>
        </w:rPr>
        <w:t>財政部</w:t>
      </w:r>
      <w:r w:rsidRPr="007B5D03">
        <w:rPr>
          <w:sz w:val="30"/>
          <w:szCs w:val="30"/>
        </w:rPr>
        <w:t>86</w:t>
      </w:r>
      <w:r w:rsidRPr="007B5D03">
        <w:rPr>
          <w:rFonts w:hAnsi="標楷體"/>
          <w:sz w:val="30"/>
          <w:szCs w:val="30"/>
        </w:rPr>
        <w:t>年函釋課稅之結果將造成對聲請人財產權及營業自由之嚴重限制，有違狹義比例原則</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憲法第</w:t>
      </w:r>
      <w:r w:rsidRPr="007B5D03">
        <w:rPr>
          <w:sz w:val="30"/>
          <w:szCs w:val="30"/>
        </w:rPr>
        <w:t>23</w:t>
      </w:r>
      <w:r w:rsidRPr="007B5D03">
        <w:rPr>
          <w:rFonts w:hAnsi="標楷體"/>
          <w:sz w:val="30"/>
          <w:szCs w:val="30"/>
        </w:rPr>
        <w:t>條之比例原則包括適合性原則、最小侵害原則及狹義比例原則。所稱狹義比例原則係手段不得與欲追求之目的不成比例，</w:t>
      </w:r>
      <w:r w:rsidRPr="004C4F43">
        <w:rPr>
          <w:rFonts w:hAnsi="標楷體"/>
          <w:spacing w:val="6"/>
          <w:sz w:val="30"/>
          <w:szCs w:val="30"/>
        </w:rPr>
        <w:t>德國聯邦憲法法院提出一公式「愈如何，則愈如何」的比較性命題，亦即手段侵害愈嚴</w:t>
      </w:r>
      <w:r w:rsidRPr="007B5D03">
        <w:rPr>
          <w:rFonts w:hAnsi="標楷體"/>
          <w:sz w:val="30"/>
          <w:szCs w:val="30"/>
        </w:rPr>
        <w:t>重，其正當化之理由便必須愈重要。其衡量因素包括基本權本身之抽象價值、受侵害之具體程度、公益之重要性、公益所面臨之迫切性、相關副作用（附件</w:t>
      </w:r>
      <w:r w:rsidRPr="007B5D03">
        <w:rPr>
          <w:sz w:val="30"/>
          <w:szCs w:val="30"/>
        </w:rPr>
        <w:t>38</w:t>
      </w:r>
      <w:r w:rsidRPr="007B5D03">
        <w:rPr>
          <w:rFonts w:hAnsi="標楷體"/>
          <w:sz w:val="30"/>
          <w:szCs w:val="30"/>
        </w:rPr>
        <w:t>，盛子龍</w:t>
      </w:r>
      <w:r w:rsidRPr="007B5D03">
        <w:rPr>
          <w:rFonts w:hAnsi="標楷體"/>
          <w:sz w:val="30"/>
          <w:szCs w:val="30"/>
          <w:lang w:val="de-DE"/>
        </w:rPr>
        <w:t>，</w:t>
      </w:r>
      <w:r w:rsidRPr="007B5D03">
        <w:rPr>
          <w:rFonts w:hAnsi="標楷體"/>
          <w:sz w:val="30"/>
          <w:szCs w:val="30"/>
        </w:rPr>
        <w:t>比例原則作為規範違憲審查之準則</w:t>
      </w:r>
      <w:r w:rsidRPr="007B5D03">
        <w:rPr>
          <w:sz w:val="30"/>
          <w:szCs w:val="30"/>
          <w:lang w:val="de-DE"/>
        </w:rPr>
        <w:t>—</w:t>
      </w:r>
      <w:r w:rsidRPr="007B5D03">
        <w:rPr>
          <w:rFonts w:hAnsi="標楷體"/>
          <w:sz w:val="30"/>
          <w:szCs w:val="30"/>
        </w:rPr>
        <w:t>西德聯邦憲法法院判決及學說之研究</w:t>
      </w:r>
      <w:r w:rsidRPr="007B5D03">
        <w:rPr>
          <w:rFonts w:hAnsi="標楷體"/>
          <w:sz w:val="30"/>
          <w:szCs w:val="30"/>
          <w:lang w:val="de-DE"/>
        </w:rPr>
        <w:t>，</w:t>
      </w:r>
      <w:r w:rsidRPr="007B5D03">
        <w:rPr>
          <w:rFonts w:hAnsi="標楷體" w:hint="eastAsia"/>
          <w:sz w:val="30"/>
          <w:szCs w:val="30"/>
        </w:rPr>
        <w:t>78</w:t>
      </w:r>
      <w:r w:rsidRPr="007B5D03">
        <w:rPr>
          <w:rFonts w:hAnsi="標楷體"/>
          <w:sz w:val="30"/>
          <w:szCs w:val="30"/>
        </w:rPr>
        <w:t>年台大法研所</w:t>
      </w:r>
      <w:r w:rsidRPr="004C4F43">
        <w:rPr>
          <w:rFonts w:hAnsi="標楷體"/>
          <w:spacing w:val="-6"/>
          <w:sz w:val="30"/>
          <w:szCs w:val="30"/>
        </w:rPr>
        <w:t>碩士論文，頁</w:t>
      </w:r>
      <w:r w:rsidRPr="004C4F43">
        <w:rPr>
          <w:spacing w:val="-6"/>
          <w:sz w:val="30"/>
          <w:szCs w:val="30"/>
        </w:rPr>
        <w:t>133</w:t>
      </w:r>
      <w:r w:rsidRPr="004C4F43">
        <w:rPr>
          <w:rFonts w:hAnsi="標楷體"/>
          <w:spacing w:val="-6"/>
          <w:sz w:val="30"/>
          <w:szCs w:val="30"/>
        </w:rPr>
        <w:t>至</w:t>
      </w:r>
      <w:r w:rsidRPr="004C4F43">
        <w:rPr>
          <w:spacing w:val="-6"/>
          <w:sz w:val="30"/>
          <w:szCs w:val="30"/>
        </w:rPr>
        <w:t>143</w:t>
      </w:r>
      <w:r w:rsidRPr="004C4F43">
        <w:rPr>
          <w:rFonts w:hAnsi="標楷體"/>
          <w:spacing w:val="-6"/>
          <w:sz w:val="30"/>
          <w:szCs w:val="30"/>
        </w:rPr>
        <w:t>）。財政部</w:t>
      </w:r>
      <w:r w:rsidRPr="004C4F43">
        <w:rPr>
          <w:spacing w:val="-6"/>
          <w:sz w:val="30"/>
          <w:szCs w:val="30"/>
        </w:rPr>
        <w:t>86</w:t>
      </w:r>
      <w:r w:rsidRPr="004C4F43">
        <w:rPr>
          <w:rFonts w:hAnsi="標楷體"/>
          <w:spacing w:val="-6"/>
          <w:sz w:val="30"/>
          <w:szCs w:val="30"/>
        </w:rPr>
        <w:t>年函釋</w:t>
      </w:r>
      <w:r w:rsidRPr="007B5D03">
        <w:rPr>
          <w:rFonts w:hAnsi="標楷體"/>
          <w:sz w:val="30"/>
          <w:szCs w:val="30"/>
        </w:rPr>
        <w:t>自上開因素衡量時，均有手段與目的顯失均衡之現象，且其並非追求比量能課稅原則更堅強之公益。</w:t>
      </w:r>
    </w:p>
    <w:p w:rsidR="00514426" w:rsidRPr="007B5D03" w:rsidRDefault="00514426" w:rsidP="009B13DC">
      <w:pPr>
        <w:snapToGrid w:val="0"/>
        <w:spacing w:line="437" w:lineRule="exact"/>
        <w:ind w:left="2637" w:hanging="482"/>
        <w:rPr>
          <w:sz w:val="30"/>
          <w:szCs w:val="30"/>
          <w:lang w:val="de-DE"/>
        </w:rPr>
      </w:pPr>
      <w:r w:rsidRPr="007B5D03">
        <w:rPr>
          <w:sz w:val="30"/>
          <w:szCs w:val="30"/>
        </w:rPr>
        <w:t>B</w:t>
      </w:r>
      <w:r w:rsidRPr="007B5D03">
        <w:rPr>
          <w:rFonts w:hAnsi="標楷體" w:hint="eastAsia"/>
          <w:sz w:val="30"/>
          <w:szCs w:val="30"/>
        </w:rPr>
        <w:t>、</w:t>
      </w:r>
      <w:r w:rsidRPr="007B5D03">
        <w:rPr>
          <w:rFonts w:hAnsi="標楷體"/>
          <w:sz w:val="30"/>
          <w:szCs w:val="30"/>
        </w:rPr>
        <w:t>所以簡單地說，狹義比例原則在權衡的是受法規侵害之人民權益與規範欲達成之公益，在人</w:t>
      </w:r>
      <w:r w:rsidRPr="007B5D03">
        <w:rPr>
          <w:rFonts w:hAnsi="標楷體"/>
          <w:sz w:val="30"/>
          <w:szCs w:val="30"/>
        </w:rPr>
        <w:lastRenderedPageBreak/>
        <w:t>民權益部分係考量受侵害人民之基本權價值及侵害程度，也應考慮與結果無關之副作用等因素，例如德國學者</w:t>
      </w:r>
      <w:r w:rsidRPr="007B5D03">
        <w:rPr>
          <w:sz w:val="30"/>
          <w:szCs w:val="30"/>
        </w:rPr>
        <w:t>Gentz</w:t>
      </w:r>
      <w:r w:rsidRPr="007B5D03">
        <w:rPr>
          <w:rFonts w:hAnsi="標楷體"/>
          <w:sz w:val="30"/>
          <w:szCs w:val="30"/>
        </w:rPr>
        <w:t>認為在比例原則上比較基本權侵害的嚴重程度，與結果無關的副作用也需一併考慮，所謂結果為</w:t>
      </w:r>
      <w:r w:rsidRPr="00502E62">
        <w:rPr>
          <w:rFonts w:hAnsi="標楷體"/>
          <w:spacing w:val="-6"/>
          <w:sz w:val="30"/>
          <w:szCs w:val="30"/>
        </w:rPr>
        <w:t>立法者所預期產生之結果（附件</w:t>
      </w:r>
      <w:r w:rsidRPr="00502E62">
        <w:rPr>
          <w:spacing w:val="-6"/>
          <w:sz w:val="30"/>
          <w:szCs w:val="30"/>
        </w:rPr>
        <w:t>38</w:t>
      </w:r>
      <w:r w:rsidRPr="00502E62">
        <w:rPr>
          <w:rFonts w:hAnsi="標楷體"/>
          <w:spacing w:val="-6"/>
          <w:sz w:val="30"/>
          <w:szCs w:val="30"/>
        </w:rPr>
        <w:t>，盛子龍，</w:t>
      </w:r>
      <w:r w:rsidRPr="007B5D03">
        <w:rPr>
          <w:rFonts w:hAnsi="標楷體"/>
          <w:sz w:val="30"/>
          <w:szCs w:val="30"/>
        </w:rPr>
        <w:t>比例原則作為規範違憲審查之準則</w:t>
      </w:r>
      <w:r w:rsidRPr="007B5D03">
        <w:rPr>
          <w:sz w:val="30"/>
          <w:szCs w:val="30"/>
          <w:lang w:val="de-DE"/>
        </w:rPr>
        <w:t>—</w:t>
      </w:r>
      <w:r w:rsidRPr="007B5D03">
        <w:rPr>
          <w:rFonts w:hAnsi="標楷體"/>
          <w:sz w:val="30"/>
          <w:szCs w:val="30"/>
        </w:rPr>
        <w:t>西德聯邦憲法法院判決及學說之研究</w:t>
      </w:r>
      <w:r w:rsidRPr="007B5D03">
        <w:rPr>
          <w:rFonts w:hAnsi="標楷體"/>
          <w:sz w:val="30"/>
          <w:szCs w:val="30"/>
          <w:lang w:val="de-DE"/>
        </w:rPr>
        <w:t>，</w:t>
      </w:r>
      <w:r w:rsidRPr="007B5D03">
        <w:rPr>
          <w:rFonts w:hAnsi="標楷體" w:hint="eastAsia"/>
          <w:sz w:val="30"/>
          <w:szCs w:val="30"/>
        </w:rPr>
        <w:t>78</w:t>
      </w:r>
      <w:r w:rsidRPr="007B5D03">
        <w:rPr>
          <w:rFonts w:hAnsi="標楷體"/>
          <w:sz w:val="30"/>
          <w:szCs w:val="30"/>
        </w:rPr>
        <w:t>年台大法</w:t>
      </w:r>
      <w:r w:rsidRPr="00502E62">
        <w:rPr>
          <w:rFonts w:hAnsi="標楷體"/>
          <w:spacing w:val="-6"/>
          <w:sz w:val="30"/>
          <w:szCs w:val="30"/>
        </w:rPr>
        <w:t>研所碩士論文，頁</w:t>
      </w:r>
      <w:r w:rsidRPr="00502E62">
        <w:rPr>
          <w:spacing w:val="-6"/>
          <w:sz w:val="30"/>
          <w:szCs w:val="30"/>
        </w:rPr>
        <w:t>91</w:t>
      </w:r>
      <w:r w:rsidRPr="00502E62">
        <w:rPr>
          <w:rFonts w:hAnsi="標楷體"/>
          <w:spacing w:val="-6"/>
          <w:sz w:val="30"/>
          <w:szCs w:val="30"/>
        </w:rPr>
        <w:t>。），故如因規範之侵害</w:t>
      </w:r>
      <w:r w:rsidRPr="007B5D03">
        <w:rPr>
          <w:rFonts w:hAnsi="標楷體"/>
          <w:sz w:val="30"/>
          <w:szCs w:val="30"/>
        </w:rPr>
        <w:t>效果產生規範制定者所無預期之效果，應屬與結果無關之副作用，與結果無關之副作用應加入人民權益侵害之一方，共同對抗公益之理由之正當性。</w:t>
      </w:r>
    </w:p>
    <w:p w:rsidR="00514426" w:rsidRPr="007B5D03" w:rsidRDefault="00514426" w:rsidP="009B13DC">
      <w:pPr>
        <w:snapToGrid w:val="0"/>
        <w:spacing w:line="437" w:lineRule="exact"/>
        <w:ind w:left="2637" w:hanging="482"/>
        <w:rPr>
          <w:sz w:val="30"/>
          <w:szCs w:val="30"/>
        </w:rPr>
      </w:pPr>
      <w:r w:rsidRPr="007B5D03">
        <w:rPr>
          <w:sz w:val="30"/>
          <w:szCs w:val="30"/>
          <w:lang w:val="de-DE"/>
        </w:rPr>
        <w:t>C</w:t>
      </w:r>
      <w:r w:rsidRPr="007B5D03">
        <w:rPr>
          <w:rFonts w:hAnsi="標楷體" w:hint="eastAsia"/>
          <w:sz w:val="30"/>
          <w:szCs w:val="30"/>
          <w:lang w:val="de-DE"/>
        </w:rPr>
        <w:t>、</w:t>
      </w:r>
      <w:r w:rsidRPr="007B5D03">
        <w:rPr>
          <w:rFonts w:hAnsi="標楷體"/>
          <w:sz w:val="30"/>
          <w:szCs w:val="30"/>
        </w:rPr>
        <w:t>稅捐的課徵是對所有權不同階段表彰的經濟給付能力加以掌握，稅捐課徵理論上不及財產所有權本體，而係對所有權之收益參與分配，故現行稅法主要就是針對財產所有權的變動加以課稅，亦即對於所得階段與支出階段加以課稅。所得階段課稅是就一定期間內所有權增長及個人財產增加為負擔對象，換言之，所得稅是國家對財產增長參與分配。（附件</w:t>
      </w:r>
      <w:r w:rsidRPr="007B5D03">
        <w:rPr>
          <w:sz w:val="30"/>
          <w:szCs w:val="30"/>
        </w:rPr>
        <w:t>4</w:t>
      </w:r>
      <w:r w:rsidRPr="007B5D03">
        <w:rPr>
          <w:rFonts w:hAnsi="標楷體"/>
          <w:sz w:val="30"/>
          <w:szCs w:val="30"/>
        </w:rPr>
        <w:t>，葛克昌，所得稅法與憲法，頁</w:t>
      </w:r>
      <w:r w:rsidRPr="007B5D03">
        <w:rPr>
          <w:sz w:val="30"/>
          <w:szCs w:val="30"/>
        </w:rPr>
        <w:t>37</w:t>
      </w:r>
      <w:r w:rsidRPr="006C6124">
        <w:rPr>
          <w:rFonts w:hAnsi="標楷體"/>
          <w:spacing w:val="-6"/>
          <w:sz w:val="30"/>
          <w:szCs w:val="30"/>
        </w:rPr>
        <w:t>至</w:t>
      </w:r>
      <w:r w:rsidRPr="006C6124">
        <w:rPr>
          <w:spacing w:val="-6"/>
          <w:sz w:val="30"/>
          <w:szCs w:val="30"/>
        </w:rPr>
        <w:t>38</w:t>
      </w:r>
      <w:r w:rsidRPr="006C6124">
        <w:rPr>
          <w:rFonts w:hAnsi="標楷體"/>
          <w:spacing w:val="-6"/>
          <w:sz w:val="30"/>
          <w:szCs w:val="30"/>
        </w:rPr>
        <w:t>），故在於依其一定期間內所有權增長所</w:t>
      </w:r>
      <w:r w:rsidRPr="007B5D03">
        <w:rPr>
          <w:rFonts w:hAnsi="標楷體"/>
          <w:sz w:val="30"/>
          <w:szCs w:val="30"/>
        </w:rPr>
        <w:t>生之私人利用性在私有財產受憲法之制度性</w:t>
      </w:r>
      <w:r w:rsidRPr="006C6124">
        <w:rPr>
          <w:rFonts w:hAnsi="標楷體"/>
          <w:spacing w:val="6"/>
          <w:sz w:val="30"/>
          <w:szCs w:val="30"/>
        </w:rPr>
        <w:t>保障下，國家只能透過法律規定之徵課稅</w:t>
      </w:r>
      <w:r w:rsidRPr="007B5D03">
        <w:rPr>
          <w:rFonts w:hAnsi="標楷體"/>
          <w:sz w:val="30"/>
          <w:szCs w:val="30"/>
        </w:rPr>
        <w:t>捐，分享人民對經濟財產之使用、收益及處分之經濟成果，且其應有適當比例，不得侵犯經濟財產本體，否則</w:t>
      </w:r>
      <w:r w:rsidRPr="007B5D03">
        <w:rPr>
          <w:rFonts w:hAnsi="標楷體"/>
          <w:sz w:val="30"/>
          <w:szCs w:val="30"/>
        </w:rPr>
        <w:lastRenderedPageBreak/>
        <w:t>即違反比例原則。依</w:t>
      </w:r>
      <w:r w:rsidRPr="006C6124">
        <w:rPr>
          <w:rFonts w:hAnsi="標楷體"/>
          <w:spacing w:val="6"/>
          <w:sz w:val="30"/>
          <w:szCs w:val="30"/>
        </w:rPr>
        <w:t>憲法比例原則，至少稅捐對於財產權之介入，僅能及於財產之收益（孳息）成果，不</w:t>
      </w:r>
      <w:r w:rsidRPr="007B5D03">
        <w:rPr>
          <w:rFonts w:hAnsi="標楷體"/>
          <w:sz w:val="30"/>
          <w:szCs w:val="30"/>
        </w:rPr>
        <w:t>能及於經濟財產權本體則可確立，否則將變成變相沒收人民之財產，嚴重破壞憲法保障人民擁有私有財產權之制度，自與憲法保障人民之財產權之精神有違。</w:t>
      </w:r>
    </w:p>
    <w:p w:rsidR="00514426" w:rsidRPr="007B5D03" w:rsidRDefault="00514426" w:rsidP="009B13DC">
      <w:pPr>
        <w:snapToGrid w:val="0"/>
        <w:spacing w:line="437" w:lineRule="exact"/>
        <w:ind w:left="2637" w:hanging="482"/>
        <w:rPr>
          <w:rFonts w:hAnsi="標楷體"/>
          <w:sz w:val="30"/>
          <w:szCs w:val="30"/>
        </w:rPr>
      </w:pPr>
      <w:r w:rsidRPr="007B5D03">
        <w:rPr>
          <w:sz w:val="30"/>
          <w:szCs w:val="30"/>
        </w:rPr>
        <w:t>D</w:t>
      </w:r>
      <w:r w:rsidRPr="007B5D03">
        <w:rPr>
          <w:rFonts w:hAnsi="標楷體" w:hint="eastAsia"/>
          <w:sz w:val="30"/>
          <w:szCs w:val="30"/>
        </w:rPr>
        <w:t>、</w:t>
      </w:r>
      <w:r w:rsidRPr="007B5D03">
        <w:rPr>
          <w:rFonts w:hAnsi="標楷體"/>
          <w:sz w:val="30"/>
          <w:szCs w:val="30"/>
        </w:rPr>
        <w:t>經查，本案權證交易若依財政部函示不准減除避險費用損失，而僅就發行權證收入計算課稅所得時，則將產生過度課稅之現象，導致虛增大量所得，而虛增所得稅負擔。是以依據證券商業同業公會委託台大財務金融系李存修教授研究結果，針對全國</w:t>
      </w:r>
      <w:r w:rsidRPr="007B5D03">
        <w:rPr>
          <w:sz w:val="30"/>
          <w:szCs w:val="30"/>
        </w:rPr>
        <w:t>18</w:t>
      </w:r>
      <w:r w:rsidRPr="007B5D03">
        <w:rPr>
          <w:rFonts w:hAnsi="標楷體"/>
          <w:sz w:val="30"/>
          <w:szCs w:val="30"/>
        </w:rPr>
        <w:t>家發行權證之券商統計</w:t>
      </w:r>
      <w:r w:rsidRPr="007B5D03">
        <w:rPr>
          <w:sz w:val="30"/>
          <w:szCs w:val="30"/>
        </w:rPr>
        <w:t>87</w:t>
      </w:r>
      <w:r w:rsidRPr="007B5D03">
        <w:rPr>
          <w:rFonts w:hAnsi="標楷體"/>
          <w:sz w:val="30"/>
          <w:szCs w:val="30"/>
        </w:rPr>
        <w:t>年至</w:t>
      </w:r>
      <w:r w:rsidRPr="007B5D03">
        <w:rPr>
          <w:sz w:val="30"/>
          <w:szCs w:val="30"/>
        </w:rPr>
        <w:t>93</w:t>
      </w:r>
      <w:r w:rsidRPr="007B5D03">
        <w:rPr>
          <w:rFonts w:hAnsi="標楷體"/>
          <w:sz w:val="30"/>
          <w:szCs w:val="30"/>
        </w:rPr>
        <w:t>年</w:t>
      </w:r>
      <w:r w:rsidRPr="007B5D03">
        <w:rPr>
          <w:sz w:val="30"/>
          <w:szCs w:val="30"/>
        </w:rPr>
        <w:t>7</w:t>
      </w:r>
      <w:r w:rsidRPr="007B5D03">
        <w:rPr>
          <w:rFonts w:hAnsi="標楷體"/>
          <w:sz w:val="30"/>
          <w:szCs w:val="30"/>
        </w:rPr>
        <w:t>月底止，「由表</w:t>
      </w:r>
      <w:r w:rsidRPr="006C6124">
        <w:rPr>
          <w:rFonts w:hAnsi="標楷體"/>
          <w:spacing w:val="6"/>
          <w:sz w:val="30"/>
          <w:szCs w:val="30"/>
        </w:rPr>
        <w:t>五及表五（續）可知，年度淨獲利</w:t>
      </w:r>
      <w:r w:rsidRPr="006C6124">
        <w:rPr>
          <w:rFonts w:hAnsi="標楷體" w:hint="eastAsia"/>
          <w:spacing w:val="6"/>
          <w:sz w:val="30"/>
          <w:szCs w:val="30"/>
        </w:rPr>
        <w:t>占</w:t>
      </w:r>
      <w:r w:rsidRPr="006C6124">
        <w:rPr>
          <w:rFonts w:hAnsi="標楷體"/>
          <w:spacing w:val="6"/>
          <w:sz w:val="30"/>
          <w:szCs w:val="30"/>
        </w:rPr>
        <w:t>權利金總收入百分比之平均在</w:t>
      </w:r>
      <w:r w:rsidRPr="006C6124">
        <w:rPr>
          <w:spacing w:val="6"/>
          <w:sz w:val="30"/>
          <w:szCs w:val="30"/>
        </w:rPr>
        <w:t>4.77</w:t>
      </w:r>
      <w:r w:rsidRPr="006C6124">
        <w:rPr>
          <w:rFonts w:hAnsi="標楷體"/>
          <w:spacing w:val="6"/>
          <w:sz w:val="30"/>
          <w:szCs w:val="30"/>
        </w:rPr>
        <w:t>％至</w:t>
      </w:r>
      <w:r w:rsidRPr="006C6124">
        <w:rPr>
          <w:spacing w:val="6"/>
          <w:sz w:val="30"/>
          <w:szCs w:val="30"/>
        </w:rPr>
        <w:t>21.35</w:t>
      </w:r>
      <w:r w:rsidRPr="006C6124">
        <w:rPr>
          <w:rFonts w:hAnsi="標楷體"/>
          <w:spacing w:val="6"/>
          <w:sz w:val="30"/>
          <w:szCs w:val="30"/>
        </w:rPr>
        <w:t>％之</w:t>
      </w:r>
      <w:r w:rsidRPr="007B5D03">
        <w:rPr>
          <w:rFonts w:hAnsi="標楷體"/>
          <w:sz w:val="30"/>
          <w:szCs w:val="30"/>
        </w:rPr>
        <w:t>間，皆未超過</w:t>
      </w:r>
      <w:r w:rsidRPr="007B5D03">
        <w:rPr>
          <w:sz w:val="30"/>
          <w:szCs w:val="30"/>
        </w:rPr>
        <w:t>25</w:t>
      </w:r>
      <w:r w:rsidRPr="007B5D03">
        <w:rPr>
          <w:rFonts w:hAnsi="標楷體"/>
          <w:sz w:val="30"/>
          <w:szCs w:val="30"/>
        </w:rPr>
        <w:t>％，以</w:t>
      </w:r>
      <w:r w:rsidRPr="007B5D03">
        <w:rPr>
          <w:sz w:val="30"/>
          <w:szCs w:val="30"/>
        </w:rPr>
        <w:t>93</w:t>
      </w:r>
      <w:r w:rsidRPr="007B5D03">
        <w:rPr>
          <w:rFonts w:hAnsi="標楷體"/>
          <w:sz w:val="30"/>
          <w:szCs w:val="30"/>
        </w:rPr>
        <w:t>年</w:t>
      </w:r>
      <w:r w:rsidRPr="007B5D03">
        <w:rPr>
          <w:sz w:val="30"/>
          <w:szCs w:val="30"/>
        </w:rPr>
        <w:t>7</w:t>
      </w:r>
      <w:r w:rsidRPr="007B5D03">
        <w:rPr>
          <w:rFonts w:hAnsi="標楷體"/>
          <w:sz w:val="30"/>
          <w:szCs w:val="30"/>
        </w:rPr>
        <w:t>月底之前到期的所有權證來看，總權利金累計已達</w:t>
      </w:r>
      <w:r w:rsidRPr="007B5D03">
        <w:rPr>
          <w:sz w:val="30"/>
          <w:szCs w:val="30"/>
        </w:rPr>
        <w:t>742.25</w:t>
      </w:r>
      <w:r w:rsidRPr="007B5D03">
        <w:rPr>
          <w:rFonts w:hAnsi="標楷體"/>
          <w:sz w:val="30"/>
          <w:szCs w:val="30"/>
        </w:rPr>
        <w:t>億元，淨收益僅為</w:t>
      </w:r>
      <w:r w:rsidRPr="007B5D03">
        <w:rPr>
          <w:sz w:val="30"/>
          <w:szCs w:val="30"/>
        </w:rPr>
        <w:t>121.52</w:t>
      </w:r>
      <w:r w:rsidRPr="007B5D03">
        <w:rPr>
          <w:rFonts w:hAnsi="標楷體"/>
          <w:sz w:val="30"/>
          <w:szCs w:val="30"/>
        </w:rPr>
        <w:t>億元，約</w:t>
      </w:r>
      <w:r w:rsidRPr="007B5D03">
        <w:rPr>
          <w:rFonts w:hAnsi="標楷體" w:hint="eastAsia"/>
          <w:sz w:val="30"/>
          <w:szCs w:val="30"/>
        </w:rPr>
        <w:t>占</w:t>
      </w:r>
      <w:r w:rsidRPr="007B5D03">
        <w:rPr>
          <w:rFonts w:hAnsi="標楷體"/>
          <w:sz w:val="30"/>
          <w:szCs w:val="30"/>
        </w:rPr>
        <w:t>權利金總收入之</w:t>
      </w:r>
      <w:r w:rsidRPr="007B5D03">
        <w:rPr>
          <w:sz w:val="30"/>
          <w:szCs w:val="30"/>
        </w:rPr>
        <w:t>16.37</w:t>
      </w:r>
      <w:r w:rsidRPr="007B5D03">
        <w:rPr>
          <w:rFonts w:hAnsi="標楷體"/>
          <w:sz w:val="30"/>
          <w:szCs w:val="30"/>
        </w:rPr>
        <w:t>％。」「全體權證市場之</w:t>
      </w:r>
      <w:r w:rsidRPr="007B5D03">
        <w:rPr>
          <w:sz w:val="30"/>
          <w:szCs w:val="30"/>
        </w:rPr>
        <w:t>volatility markup</w:t>
      </w:r>
      <w:r w:rsidRPr="007B5D03">
        <w:rPr>
          <w:rFonts w:hAnsi="標楷體"/>
          <w:sz w:val="30"/>
          <w:szCs w:val="30"/>
        </w:rPr>
        <w:t>平均為</w:t>
      </w:r>
      <w:r w:rsidRPr="007B5D03">
        <w:rPr>
          <w:sz w:val="30"/>
          <w:szCs w:val="30"/>
        </w:rPr>
        <w:t>17.60</w:t>
      </w:r>
      <w:r w:rsidRPr="007B5D03">
        <w:rPr>
          <w:rFonts w:hAnsi="標楷體"/>
          <w:sz w:val="30"/>
          <w:szCs w:val="30"/>
        </w:rPr>
        <w:t>％，淨獲利</w:t>
      </w:r>
      <w:r w:rsidRPr="007B5D03">
        <w:rPr>
          <w:rFonts w:hAnsi="標楷體" w:hint="eastAsia"/>
          <w:sz w:val="30"/>
          <w:szCs w:val="30"/>
        </w:rPr>
        <w:t>占</w:t>
      </w:r>
      <w:r w:rsidRPr="007B5D03">
        <w:rPr>
          <w:rFonts w:hAnsi="標楷體"/>
          <w:sz w:val="30"/>
          <w:szCs w:val="30"/>
        </w:rPr>
        <w:t>權利金總收入之</w:t>
      </w:r>
      <w:r w:rsidRPr="007B5D03">
        <w:rPr>
          <w:sz w:val="30"/>
          <w:szCs w:val="30"/>
        </w:rPr>
        <w:t>16.37</w:t>
      </w:r>
      <w:r w:rsidRPr="007B5D03">
        <w:rPr>
          <w:rFonts w:hAnsi="標楷體"/>
          <w:sz w:val="30"/>
          <w:szCs w:val="30"/>
        </w:rPr>
        <w:t>％，未達</w:t>
      </w:r>
      <w:r w:rsidRPr="007B5D03">
        <w:rPr>
          <w:sz w:val="30"/>
          <w:szCs w:val="30"/>
        </w:rPr>
        <w:t>25</w:t>
      </w:r>
      <w:r w:rsidRPr="007B5D03">
        <w:rPr>
          <w:rFonts w:hAnsi="標楷體"/>
          <w:sz w:val="30"/>
          <w:szCs w:val="30"/>
        </w:rPr>
        <w:t>％，若要課徵</w:t>
      </w:r>
      <w:r w:rsidRPr="007B5D03">
        <w:rPr>
          <w:sz w:val="30"/>
          <w:szCs w:val="30"/>
        </w:rPr>
        <w:t>25</w:t>
      </w:r>
      <w:r w:rsidRPr="007B5D03">
        <w:rPr>
          <w:rFonts w:hAnsi="標楷體"/>
          <w:sz w:val="30"/>
          <w:szCs w:val="30"/>
        </w:rPr>
        <w:t>％的營利事業所得稅，則會產生</w:t>
      </w:r>
      <w:r w:rsidRPr="007B5D03">
        <w:rPr>
          <w:sz w:val="30"/>
          <w:szCs w:val="30"/>
        </w:rPr>
        <w:t>8.63</w:t>
      </w:r>
      <w:r w:rsidRPr="007B5D03">
        <w:rPr>
          <w:rFonts w:hAnsi="標楷體"/>
          <w:sz w:val="30"/>
          <w:szCs w:val="30"/>
        </w:rPr>
        <w:t>％之虧損。」、「依表三與表四之估算，全體權證市場避險操作之成本加上其他直接相關成本約為權利金收入之</w:t>
      </w:r>
      <w:r w:rsidRPr="007B5D03">
        <w:rPr>
          <w:sz w:val="30"/>
          <w:szCs w:val="30"/>
        </w:rPr>
        <w:t>78.42</w:t>
      </w:r>
      <w:r w:rsidRPr="007B5D03">
        <w:rPr>
          <w:rFonts w:hAnsi="標楷體"/>
          <w:sz w:val="30"/>
          <w:szCs w:val="30"/>
        </w:rPr>
        <w:t>％，而券商發行權證之管銷費用及其他固定費用約</w:t>
      </w:r>
      <w:r w:rsidRPr="007B5D03">
        <w:rPr>
          <w:rFonts w:hAnsi="標楷體" w:hint="eastAsia"/>
          <w:sz w:val="30"/>
          <w:szCs w:val="30"/>
        </w:rPr>
        <w:t>占</w:t>
      </w:r>
      <w:r w:rsidRPr="007B5D03">
        <w:rPr>
          <w:rFonts w:hAnsi="標楷體"/>
          <w:sz w:val="30"/>
          <w:szCs w:val="30"/>
        </w:rPr>
        <w:t>權利金總收入之</w:t>
      </w:r>
      <w:r w:rsidRPr="007B5D03">
        <w:rPr>
          <w:sz w:val="30"/>
          <w:szCs w:val="30"/>
        </w:rPr>
        <w:t>5.21</w:t>
      </w:r>
      <w:r w:rsidRPr="007B5D03">
        <w:rPr>
          <w:rFonts w:hAnsi="標楷體"/>
          <w:sz w:val="30"/>
          <w:szCs w:val="30"/>
        </w:rPr>
        <w:t>％。</w:t>
      </w:r>
      <w:r w:rsidRPr="007B5D03">
        <w:rPr>
          <w:rFonts w:hAnsi="標楷體"/>
          <w:sz w:val="30"/>
          <w:szCs w:val="30"/>
        </w:rPr>
        <w:lastRenderedPageBreak/>
        <w:t>兩者合計，成本高達權利金總收入之</w:t>
      </w:r>
      <w:r w:rsidRPr="007B5D03">
        <w:rPr>
          <w:sz w:val="30"/>
          <w:szCs w:val="30"/>
        </w:rPr>
        <w:t>83.63</w:t>
      </w:r>
      <w:r w:rsidRPr="007B5D03">
        <w:rPr>
          <w:rFonts w:hAnsi="標楷體"/>
          <w:sz w:val="30"/>
          <w:szCs w:val="30"/>
        </w:rPr>
        <w:t>％。若權利金收入被課徵</w:t>
      </w:r>
      <w:r w:rsidRPr="007B5D03">
        <w:rPr>
          <w:sz w:val="30"/>
          <w:szCs w:val="30"/>
        </w:rPr>
        <w:t>25</w:t>
      </w:r>
      <w:r w:rsidRPr="007B5D03">
        <w:rPr>
          <w:rFonts w:hAnsi="標楷體"/>
          <w:sz w:val="30"/>
          <w:szCs w:val="30"/>
        </w:rPr>
        <w:t>％之所得稅，全體發行人即產生</w:t>
      </w:r>
      <w:r w:rsidRPr="007B5D03">
        <w:rPr>
          <w:sz w:val="30"/>
          <w:szCs w:val="30"/>
        </w:rPr>
        <w:t>8.63</w:t>
      </w:r>
      <w:r w:rsidRPr="007B5D03">
        <w:rPr>
          <w:rFonts w:hAnsi="標楷體"/>
          <w:sz w:val="30"/>
          <w:szCs w:val="30"/>
        </w:rPr>
        <w:t>％之稅後損</w:t>
      </w:r>
      <w:r w:rsidRPr="006C6124">
        <w:rPr>
          <w:rFonts w:hAnsi="標楷體"/>
          <w:spacing w:val="-6"/>
          <w:sz w:val="30"/>
          <w:szCs w:val="30"/>
        </w:rPr>
        <w:t>失，形成做愈多虧愈多之現象。」（附件</w:t>
      </w:r>
      <w:r w:rsidRPr="006C6124">
        <w:rPr>
          <w:spacing w:val="-6"/>
          <w:sz w:val="30"/>
          <w:szCs w:val="30"/>
        </w:rPr>
        <w:t>28</w:t>
      </w:r>
      <w:r w:rsidRPr="006C6124">
        <w:rPr>
          <w:rFonts w:hAnsi="標楷體"/>
          <w:spacing w:val="-6"/>
          <w:sz w:val="30"/>
          <w:szCs w:val="30"/>
        </w:rPr>
        <w:t>，</w:t>
      </w:r>
      <w:r w:rsidRPr="006C6124">
        <w:rPr>
          <w:rFonts w:hAnsi="標楷體"/>
          <w:spacing w:val="6"/>
          <w:sz w:val="30"/>
          <w:szCs w:val="30"/>
        </w:rPr>
        <w:t>李存修教授，證券商發行認購（售）權證之</w:t>
      </w:r>
      <w:r w:rsidRPr="007B5D03">
        <w:rPr>
          <w:rFonts w:hAnsi="標楷體"/>
          <w:sz w:val="30"/>
          <w:szCs w:val="30"/>
        </w:rPr>
        <w:t>定價策略及各項相關成本分析研究報告，</w:t>
      </w:r>
      <w:r w:rsidRPr="007B5D03">
        <w:rPr>
          <w:sz w:val="30"/>
          <w:szCs w:val="30"/>
        </w:rPr>
        <w:t>93</w:t>
      </w:r>
      <w:r w:rsidRPr="006C6124">
        <w:rPr>
          <w:rFonts w:hAnsi="標楷體"/>
          <w:spacing w:val="-6"/>
          <w:sz w:val="30"/>
          <w:szCs w:val="30"/>
        </w:rPr>
        <w:t>年</w:t>
      </w:r>
      <w:r w:rsidRPr="006C6124">
        <w:rPr>
          <w:spacing w:val="-6"/>
          <w:sz w:val="30"/>
          <w:szCs w:val="30"/>
        </w:rPr>
        <w:t>8</w:t>
      </w:r>
      <w:r w:rsidRPr="006C6124">
        <w:rPr>
          <w:rFonts w:hAnsi="標楷體"/>
          <w:spacing w:val="-6"/>
          <w:sz w:val="30"/>
          <w:szCs w:val="30"/>
        </w:rPr>
        <w:t>月</w:t>
      </w:r>
      <w:r w:rsidRPr="006C6124">
        <w:rPr>
          <w:rFonts w:hAnsi="標楷體" w:hint="eastAsia"/>
          <w:spacing w:val="-6"/>
          <w:sz w:val="30"/>
          <w:szCs w:val="30"/>
        </w:rPr>
        <w:t>，</w:t>
      </w:r>
      <w:r w:rsidRPr="006C6124">
        <w:rPr>
          <w:rFonts w:hAnsi="標楷體"/>
          <w:spacing w:val="-6"/>
          <w:sz w:val="30"/>
          <w:szCs w:val="30"/>
        </w:rPr>
        <w:t>頁</w:t>
      </w:r>
      <w:r w:rsidRPr="006C6124">
        <w:rPr>
          <w:spacing w:val="-6"/>
          <w:sz w:val="30"/>
          <w:szCs w:val="30"/>
        </w:rPr>
        <w:t>19</w:t>
      </w:r>
      <w:r w:rsidRPr="006C6124">
        <w:rPr>
          <w:rFonts w:hAnsi="標楷體"/>
          <w:spacing w:val="-6"/>
          <w:sz w:val="30"/>
          <w:szCs w:val="30"/>
        </w:rPr>
        <w:t>、</w:t>
      </w:r>
      <w:r w:rsidRPr="006C6124">
        <w:rPr>
          <w:spacing w:val="-6"/>
          <w:sz w:val="30"/>
          <w:szCs w:val="30"/>
        </w:rPr>
        <w:t>29</w:t>
      </w:r>
      <w:r w:rsidRPr="006C6124">
        <w:rPr>
          <w:rFonts w:hAnsi="標楷體"/>
          <w:spacing w:val="-6"/>
          <w:sz w:val="30"/>
          <w:szCs w:val="30"/>
        </w:rPr>
        <w:t>）。</w:t>
      </w:r>
      <w:r w:rsidRPr="006C6124">
        <w:rPr>
          <w:rFonts w:hAnsi="標楷體" w:hint="eastAsia"/>
          <w:spacing w:val="-6"/>
          <w:sz w:val="30"/>
          <w:szCs w:val="30"/>
        </w:rPr>
        <w:t>就</w:t>
      </w:r>
      <w:r w:rsidRPr="006C6124">
        <w:rPr>
          <w:rFonts w:hAnsi="標楷體"/>
          <w:spacing w:val="-6"/>
          <w:sz w:val="30"/>
          <w:szCs w:val="30"/>
        </w:rPr>
        <w:t>聲請人</w:t>
      </w:r>
      <w:r w:rsidRPr="006C6124">
        <w:rPr>
          <w:rFonts w:hAnsi="標楷體" w:hint="eastAsia"/>
          <w:spacing w:val="-6"/>
          <w:sz w:val="30"/>
          <w:szCs w:val="30"/>
        </w:rPr>
        <w:t>本年度到期權</w:t>
      </w:r>
      <w:r w:rsidRPr="006C6124">
        <w:rPr>
          <w:rFonts w:hAnsi="標楷體" w:hint="eastAsia"/>
          <w:spacing w:val="6"/>
          <w:sz w:val="30"/>
          <w:szCs w:val="30"/>
        </w:rPr>
        <w:t>證之</w:t>
      </w:r>
      <w:r w:rsidRPr="006C6124">
        <w:rPr>
          <w:rFonts w:hAnsi="標楷體"/>
          <w:spacing w:val="6"/>
          <w:sz w:val="30"/>
          <w:szCs w:val="30"/>
        </w:rPr>
        <w:t>實際利得（減除避險損失及相關成本費</w:t>
      </w:r>
      <w:r w:rsidRPr="007B5D03">
        <w:rPr>
          <w:rFonts w:hAnsi="標楷體"/>
          <w:sz w:val="30"/>
          <w:szCs w:val="30"/>
        </w:rPr>
        <w:t>用後之所得）係新臺幣</w:t>
      </w:r>
      <w:r w:rsidRPr="007B5D03">
        <w:rPr>
          <w:rFonts w:hint="eastAsia"/>
          <w:sz w:val="30"/>
          <w:szCs w:val="30"/>
        </w:rPr>
        <w:t>（</w:t>
      </w:r>
      <w:r w:rsidRPr="007B5D03">
        <w:rPr>
          <w:rFonts w:hAnsi="標楷體"/>
          <w:sz w:val="30"/>
          <w:szCs w:val="30"/>
        </w:rPr>
        <w:t>下同</w:t>
      </w:r>
      <w:r w:rsidRPr="007B5D03">
        <w:rPr>
          <w:rFonts w:hint="eastAsia"/>
          <w:sz w:val="30"/>
          <w:szCs w:val="30"/>
        </w:rPr>
        <w:t>）</w:t>
      </w:r>
      <w:r w:rsidRPr="007B5D03">
        <w:rPr>
          <w:sz w:val="30"/>
          <w:szCs w:val="30"/>
        </w:rPr>
        <w:t>252,264,587</w:t>
      </w:r>
      <w:r w:rsidRPr="006C6124">
        <w:rPr>
          <w:rFonts w:hAnsi="標楷體"/>
          <w:spacing w:val="-6"/>
          <w:sz w:val="30"/>
          <w:szCs w:val="30"/>
        </w:rPr>
        <w:t>元（附件</w:t>
      </w:r>
      <w:r w:rsidRPr="006C6124">
        <w:rPr>
          <w:spacing w:val="-6"/>
          <w:sz w:val="30"/>
          <w:szCs w:val="30"/>
        </w:rPr>
        <w:t>39</w:t>
      </w:r>
      <w:r w:rsidRPr="006C6124">
        <w:rPr>
          <w:rFonts w:hAnsi="標楷體"/>
          <w:spacing w:val="-6"/>
          <w:sz w:val="30"/>
          <w:szCs w:val="30"/>
        </w:rPr>
        <w:t>，權證損益計算表），惟</w:t>
      </w:r>
      <w:r w:rsidRPr="006C6124">
        <w:rPr>
          <w:rFonts w:hAnsi="標楷體" w:hint="eastAsia"/>
          <w:spacing w:val="-6"/>
          <w:sz w:val="30"/>
          <w:szCs w:val="30"/>
        </w:rPr>
        <w:t>查</w:t>
      </w:r>
      <w:r w:rsidRPr="006C6124">
        <w:rPr>
          <w:rFonts w:hAnsi="標楷體"/>
          <w:spacing w:val="-6"/>
          <w:sz w:val="30"/>
          <w:szCs w:val="30"/>
        </w:rPr>
        <w:t>財政部</w:t>
      </w:r>
      <w:r w:rsidRPr="007B5D03">
        <w:rPr>
          <w:rFonts w:hAnsi="標楷體" w:hint="eastAsia"/>
          <w:sz w:val="30"/>
          <w:szCs w:val="30"/>
        </w:rPr>
        <w:t>臺</w:t>
      </w:r>
      <w:r w:rsidRPr="007B5D03">
        <w:rPr>
          <w:rFonts w:hAnsi="標楷體"/>
          <w:sz w:val="30"/>
          <w:szCs w:val="30"/>
        </w:rPr>
        <w:t>北市國稅局</w:t>
      </w:r>
      <w:r w:rsidRPr="007B5D03">
        <w:rPr>
          <w:rFonts w:hAnsi="標楷體" w:hint="eastAsia"/>
          <w:sz w:val="30"/>
          <w:szCs w:val="30"/>
        </w:rPr>
        <w:t>將聲請人原列報為免稅之權利</w:t>
      </w:r>
      <w:r w:rsidRPr="006C6124">
        <w:rPr>
          <w:rFonts w:hAnsi="標楷體" w:hint="eastAsia"/>
          <w:spacing w:val="6"/>
          <w:sz w:val="30"/>
          <w:szCs w:val="30"/>
        </w:rPr>
        <w:t>金收入</w:t>
      </w:r>
      <w:r w:rsidRPr="006C6124">
        <w:rPr>
          <w:spacing w:val="6"/>
          <w:sz w:val="30"/>
          <w:szCs w:val="30"/>
        </w:rPr>
        <w:t>1,352,592,500</w:t>
      </w:r>
      <w:r w:rsidRPr="006C6124">
        <w:rPr>
          <w:rFonts w:hAnsi="標楷體"/>
          <w:spacing w:val="6"/>
          <w:sz w:val="30"/>
          <w:szCs w:val="30"/>
        </w:rPr>
        <w:t>元</w:t>
      </w:r>
      <w:r w:rsidRPr="006C6124">
        <w:rPr>
          <w:rFonts w:hAnsi="標楷體" w:hint="eastAsia"/>
          <w:spacing w:val="6"/>
          <w:sz w:val="30"/>
          <w:szCs w:val="30"/>
        </w:rPr>
        <w:t>部分調增至營業收</w:t>
      </w:r>
      <w:r w:rsidRPr="007B5D03">
        <w:rPr>
          <w:rFonts w:hAnsi="標楷體" w:hint="eastAsia"/>
          <w:sz w:val="30"/>
          <w:szCs w:val="30"/>
        </w:rPr>
        <w:t>入，卻不准權證避險損失列為應稅權利金收入之成本，其中有關避險損失金額部分，最高行政法院確定判決所載財政部臺北市國稅局主張不准避險損失為</w:t>
      </w:r>
      <w:r w:rsidRPr="007B5D03">
        <w:rPr>
          <w:rFonts w:hAnsi="標楷體" w:hint="eastAsia"/>
          <w:sz w:val="30"/>
          <w:szCs w:val="30"/>
        </w:rPr>
        <w:t>952,699,735</w:t>
      </w:r>
      <w:r w:rsidRPr="007B5D03">
        <w:rPr>
          <w:rFonts w:hAnsi="標楷體" w:hint="eastAsia"/>
          <w:sz w:val="30"/>
          <w:szCs w:val="30"/>
        </w:rPr>
        <w:t>元，係依聲請人財務報表上之</w:t>
      </w:r>
      <w:r w:rsidRPr="007B5D03">
        <w:rPr>
          <w:rFonts w:hAnsi="標楷體"/>
          <w:sz w:val="30"/>
          <w:szCs w:val="30"/>
        </w:rPr>
        <w:t>避險損失</w:t>
      </w:r>
      <w:r w:rsidRPr="007B5D03">
        <w:rPr>
          <w:rFonts w:hAnsi="標楷體" w:hint="eastAsia"/>
          <w:sz w:val="30"/>
          <w:szCs w:val="30"/>
        </w:rPr>
        <w:t>核算之金額，包含未到期權證之</w:t>
      </w:r>
      <w:r w:rsidRPr="007B5D03">
        <w:rPr>
          <w:rFonts w:hAnsi="標楷體"/>
          <w:sz w:val="30"/>
          <w:szCs w:val="30"/>
        </w:rPr>
        <w:t>避險損失</w:t>
      </w:r>
      <w:r w:rsidRPr="007B5D03">
        <w:rPr>
          <w:rFonts w:hAnsi="標楷體" w:hint="eastAsia"/>
          <w:sz w:val="30"/>
          <w:szCs w:val="30"/>
        </w:rPr>
        <w:t>，惟如僅以</w:t>
      </w:r>
      <w:r w:rsidRPr="007B5D03">
        <w:rPr>
          <w:rFonts w:hAnsi="標楷體" w:hint="eastAsia"/>
          <w:sz w:val="30"/>
          <w:szCs w:val="30"/>
        </w:rPr>
        <w:t>91</w:t>
      </w:r>
      <w:r w:rsidRPr="007B5D03">
        <w:rPr>
          <w:rFonts w:hAnsi="標楷體" w:hint="eastAsia"/>
          <w:sz w:val="30"/>
          <w:szCs w:val="30"/>
        </w:rPr>
        <w:t>年</w:t>
      </w:r>
      <w:r w:rsidRPr="006C6124">
        <w:rPr>
          <w:rFonts w:hAnsi="標楷體" w:hint="eastAsia"/>
          <w:spacing w:val="6"/>
          <w:sz w:val="30"/>
          <w:szCs w:val="30"/>
        </w:rPr>
        <w:t>度到期權證之</w:t>
      </w:r>
      <w:r w:rsidRPr="006C6124">
        <w:rPr>
          <w:rFonts w:hAnsi="標楷體"/>
          <w:spacing w:val="6"/>
          <w:sz w:val="30"/>
          <w:szCs w:val="30"/>
        </w:rPr>
        <w:t>避險損失</w:t>
      </w:r>
      <w:r w:rsidRPr="006C6124">
        <w:rPr>
          <w:rFonts w:hAnsi="標楷體" w:hint="eastAsia"/>
          <w:spacing w:val="6"/>
          <w:sz w:val="30"/>
          <w:szCs w:val="30"/>
        </w:rPr>
        <w:t>計算</w:t>
      </w:r>
      <w:r w:rsidRPr="006C6124">
        <w:rPr>
          <w:spacing w:val="6"/>
          <w:sz w:val="30"/>
          <w:szCs w:val="30"/>
        </w:rPr>
        <w:t>993,857,034</w:t>
      </w:r>
      <w:r w:rsidRPr="006C6124">
        <w:rPr>
          <w:rFonts w:hAnsi="標楷體"/>
          <w:spacing w:val="6"/>
          <w:sz w:val="30"/>
          <w:szCs w:val="30"/>
        </w:rPr>
        <w:t>元</w:t>
      </w:r>
      <w:r w:rsidRPr="006C6124">
        <w:rPr>
          <w:rFonts w:hAnsi="標楷體" w:hint="eastAsia"/>
          <w:spacing w:val="-6"/>
          <w:sz w:val="30"/>
          <w:szCs w:val="30"/>
        </w:rPr>
        <w:t>（詳如附件</w:t>
      </w:r>
      <w:r w:rsidRPr="006C6124">
        <w:rPr>
          <w:rFonts w:hAnsi="標楷體" w:hint="eastAsia"/>
          <w:spacing w:val="-6"/>
          <w:sz w:val="30"/>
          <w:szCs w:val="30"/>
        </w:rPr>
        <w:t>39</w:t>
      </w:r>
      <w:r w:rsidRPr="006C6124">
        <w:rPr>
          <w:rFonts w:hAnsi="標楷體" w:hint="eastAsia"/>
          <w:spacing w:val="-6"/>
          <w:sz w:val="30"/>
          <w:szCs w:val="30"/>
        </w:rPr>
        <w:t>）。是以聲請人因財政部臺北市</w:t>
      </w:r>
      <w:r w:rsidRPr="006C6124">
        <w:rPr>
          <w:rFonts w:hAnsi="標楷體" w:hint="eastAsia"/>
          <w:spacing w:val="6"/>
          <w:sz w:val="30"/>
          <w:szCs w:val="30"/>
        </w:rPr>
        <w:t>國稅局所</w:t>
      </w:r>
      <w:r w:rsidRPr="006C6124">
        <w:rPr>
          <w:rFonts w:hAnsi="標楷體"/>
          <w:spacing w:val="6"/>
          <w:sz w:val="30"/>
          <w:szCs w:val="30"/>
        </w:rPr>
        <w:t>核定權證之利益為</w:t>
      </w:r>
      <w:r w:rsidRPr="006C6124">
        <w:rPr>
          <w:spacing w:val="6"/>
          <w:sz w:val="30"/>
          <w:szCs w:val="30"/>
        </w:rPr>
        <w:t>1,352,592,500</w:t>
      </w:r>
      <w:r w:rsidRPr="007B5D03">
        <w:rPr>
          <w:rFonts w:hAnsi="標楷體"/>
          <w:sz w:val="30"/>
          <w:szCs w:val="30"/>
        </w:rPr>
        <w:t>元</w:t>
      </w:r>
      <w:r w:rsidRPr="007B5D03">
        <w:rPr>
          <w:rFonts w:hAnsi="標楷體" w:hint="eastAsia"/>
          <w:sz w:val="30"/>
          <w:szCs w:val="30"/>
        </w:rPr>
        <w:t>，</w:t>
      </w:r>
      <w:r w:rsidRPr="007B5D03">
        <w:rPr>
          <w:rFonts w:hAnsi="標楷體"/>
          <w:sz w:val="30"/>
          <w:szCs w:val="30"/>
        </w:rPr>
        <w:t>應課稅額為</w:t>
      </w:r>
      <w:r w:rsidRPr="007B5D03">
        <w:rPr>
          <w:sz w:val="30"/>
          <w:szCs w:val="30"/>
        </w:rPr>
        <w:t>338,148,125</w:t>
      </w:r>
      <w:r w:rsidRPr="007B5D03">
        <w:rPr>
          <w:rFonts w:hAnsi="標楷體"/>
          <w:sz w:val="30"/>
          <w:szCs w:val="30"/>
        </w:rPr>
        <w:t>元，是聲請人在</w:t>
      </w:r>
      <w:r w:rsidRPr="006C6124">
        <w:rPr>
          <w:spacing w:val="6"/>
          <w:sz w:val="30"/>
          <w:szCs w:val="30"/>
        </w:rPr>
        <w:t>91</w:t>
      </w:r>
      <w:r w:rsidRPr="006C6124">
        <w:rPr>
          <w:rFonts w:hAnsi="標楷體"/>
          <w:spacing w:val="6"/>
          <w:sz w:val="30"/>
          <w:szCs w:val="30"/>
        </w:rPr>
        <w:t>年度權證交易之實際獲利</w:t>
      </w:r>
      <w:r w:rsidRPr="006C6124">
        <w:rPr>
          <w:spacing w:val="6"/>
          <w:sz w:val="30"/>
          <w:szCs w:val="30"/>
        </w:rPr>
        <w:t>252,264,587</w:t>
      </w:r>
      <w:r w:rsidRPr="006C6124">
        <w:rPr>
          <w:rFonts w:hAnsi="標楷體"/>
          <w:spacing w:val="6"/>
          <w:sz w:val="30"/>
          <w:szCs w:val="30"/>
        </w:rPr>
        <w:t>元</w:t>
      </w:r>
      <w:r w:rsidRPr="007B5D03">
        <w:rPr>
          <w:rFonts w:hAnsi="標楷體"/>
          <w:sz w:val="30"/>
          <w:szCs w:val="30"/>
        </w:rPr>
        <w:t>之狀態，卻因適用財政部</w:t>
      </w:r>
      <w:r w:rsidRPr="007B5D03">
        <w:rPr>
          <w:sz w:val="30"/>
          <w:szCs w:val="30"/>
        </w:rPr>
        <w:t>86</w:t>
      </w:r>
      <w:r w:rsidRPr="007B5D03">
        <w:rPr>
          <w:rFonts w:hAnsi="標楷體"/>
          <w:sz w:val="30"/>
          <w:szCs w:val="30"/>
        </w:rPr>
        <w:t>年函釋而核定增加此等高額之課稅所得，而就此權證交易實質稅負為</w:t>
      </w:r>
      <w:r w:rsidRPr="007B5D03">
        <w:rPr>
          <w:sz w:val="30"/>
          <w:szCs w:val="30"/>
        </w:rPr>
        <w:t>338,148,125</w:t>
      </w:r>
      <w:r w:rsidRPr="007B5D03">
        <w:rPr>
          <w:rFonts w:hAnsi="標楷體"/>
          <w:sz w:val="30"/>
          <w:szCs w:val="30"/>
        </w:rPr>
        <w:t>元，高達權證交易所得</w:t>
      </w:r>
      <w:r w:rsidRPr="006C6124">
        <w:rPr>
          <w:spacing w:val="-6"/>
          <w:sz w:val="30"/>
          <w:szCs w:val="30"/>
        </w:rPr>
        <w:t>134.05%</w:t>
      </w:r>
      <w:r w:rsidRPr="006C6124">
        <w:rPr>
          <w:rFonts w:hAnsi="標楷體"/>
          <w:spacing w:val="-6"/>
          <w:sz w:val="30"/>
          <w:szCs w:val="30"/>
        </w:rPr>
        <w:t>以上之租稅負擔，實際上</w:t>
      </w:r>
      <w:r w:rsidRPr="006C6124">
        <w:rPr>
          <w:rFonts w:hAnsi="標楷體"/>
          <w:spacing w:val="-6"/>
          <w:sz w:val="30"/>
          <w:szCs w:val="30"/>
        </w:rPr>
        <w:lastRenderedPageBreak/>
        <w:t>確實產生了</w:t>
      </w:r>
      <w:r w:rsidRPr="006C6124">
        <w:rPr>
          <w:rFonts w:hAnsi="標楷體"/>
          <w:spacing w:val="6"/>
          <w:sz w:val="30"/>
          <w:szCs w:val="30"/>
        </w:rPr>
        <w:t>過度課稅的結果，對於憲法上保護之財產</w:t>
      </w:r>
      <w:r w:rsidRPr="007B5D03">
        <w:rPr>
          <w:rFonts w:hAnsi="標楷體"/>
          <w:sz w:val="30"/>
          <w:szCs w:val="30"/>
        </w:rPr>
        <w:t>權，業已超出財產權社會義務所應負擔之範圍，這點應是可以確認的，從而從基本權侵害的嚴重性而言，要難謂不重大。</w:t>
      </w:r>
    </w:p>
    <w:p w:rsidR="00514426" w:rsidRPr="007B5D03" w:rsidRDefault="00514426" w:rsidP="009B13DC">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再審查是否因財政部</w:t>
      </w:r>
      <w:r w:rsidRPr="007B5D03">
        <w:rPr>
          <w:sz w:val="30"/>
          <w:szCs w:val="30"/>
        </w:rPr>
        <w:t>86</w:t>
      </w:r>
      <w:r w:rsidRPr="007B5D03">
        <w:rPr>
          <w:rFonts w:hAnsi="標楷體"/>
          <w:sz w:val="30"/>
          <w:szCs w:val="30"/>
        </w:rPr>
        <w:t>年函釋之適用</w:t>
      </w:r>
      <w:r w:rsidRPr="007B5D03">
        <w:rPr>
          <w:rFonts w:hAnsi="標楷體" w:hint="eastAsia"/>
          <w:sz w:val="30"/>
          <w:szCs w:val="30"/>
        </w:rPr>
        <w:t>結</w:t>
      </w:r>
      <w:r w:rsidRPr="007B5D03">
        <w:rPr>
          <w:rFonts w:hAnsi="標楷體"/>
          <w:sz w:val="30"/>
          <w:szCs w:val="30"/>
        </w:rPr>
        <w:t>果，產生與結果無關之副作用乙節，可先確定的是，財政部</w:t>
      </w:r>
      <w:r w:rsidRPr="007B5D03">
        <w:rPr>
          <w:sz w:val="30"/>
          <w:szCs w:val="30"/>
        </w:rPr>
        <w:t>86</w:t>
      </w:r>
      <w:r w:rsidRPr="007B5D03">
        <w:rPr>
          <w:rFonts w:hAnsi="標楷體"/>
          <w:sz w:val="30"/>
          <w:szCs w:val="30"/>
        </w:rPr>
        <w:t>年函釋之規範制定者所預期之法律效果為權證避險交易損失應單獨適用證券交易損失不得自應稅所得中扣除之法律效果，如因該規範效果以外之侵害，即為與結</w:t>
      </w:r>
      <w:r w:rsidRPr="006C6124">
        <w:rPr>
          <w:rFonts w:hAnsi="標楷體"/>
          <w:spacing w:val="6"/>
          <w:sz w:val="30"/>
          <w:szCs w:val="30"/>
        </w:rPr>
        <w:t>果無關之副作用。據新聞資料「為了抗議權</w:t>
      </w:r>
      <w:r w:rsidRPr="007B5D03">
        <w:rPr>
          <w:rFonts w:hAnsi="標楷體"/>
          <w:sz w:val="30"/>
          <w:szCs w:val="30"/>
        </w:rPr>
        <w:t>證稅率不公與法案審理之延宕，券商決議於</w:t>
      </w:r>
      <w:r w:rsidRPr="007B5D03">
        <w:rPr>
          <w:sz w:val="30"/>
          <w:szCs w:val="30"/>
        </w:rPr>
        <w:t>2004</w:t>
      </w:r>
      <w:r w:rsidRPr="007B5D03">
        <w:rPr>
          <w:rFonts w:hAnsi="標楷體"/>
          <w:sz w:val="30"/>
          <w:szCs w:val="30"/>
        </w:rPr>
        <w:t>年</w:t>
      </w:r>
      <w:smartTag w:uri="urn:schemas-microsoft-com:office:smarttags" w:element="chsdate">
        <w:smartTagPr>
          <w:attr w:name="IsROCDate" w:val="False"/>
          <w:attr w:name="IsLunarDate" w:val="False"/>
          <w:attr w:name="Day" w:val="7"/>
          <w:attr w:name="Month" w:val="7"/>
          <w:attr w:name="Year" w:val="2011"/>
        </w:smartTagPr>
        <w:r w:rsidRPr="007B5D03">
          <w:rPr>
            <w:sz w:val="30"/>
            <w:szCs w:val="30"/>
          </w:rPr>
          <w:t>7</w:t>
        </w:r>
        <w:r w:rsidRPr="007B5D03">
          <w:rPr>
            <w:rFonts w:hAnsi="標楷體"/>
            <w:sz w:val="30"/>
            <w:szCs w:val="30"/>
          </w:rPr>
          <w:t>月</w:t>
        </w:r>
        <w:r w:rsidRPr="007B5D03">
          <w:rPr>
            <w:sz w:val="30"/>
            <w:szCs w:val="30"/>
          </w:rPr>
          <w:t>7</w:t>
        </w:r>
        <w:r w:rsidRPr="007B5D03">
          <w:rPr>
            <w:rFonts w:hAnsi="標楷體"/>
            <w:sz w:val="30"/>
            <w:szCs w:val="30"/>
          </w:rPr>
          <w:t>日</w:t>
        </w:r>
      </w:smartTag>
      <w:r w:rsidRPr="007B5D03">
        <w:rPr>
          <w:rFonts w:hAnsi="標楷體"/>
          <w:sz w:val="30"/>
          <w:szCs w:val="30"/>
        </w:rPr>
        <w:t>起罷發權證，後在</w:t>
      </w:r>
      <w:r w:rsidRPr="007B5D03">
        <w:rPr>
          <w:sz w:val="30"/>
          <w:szCs w:val="30"/>
        </w:rPr>
        <w:t>11</w:t>
      </w:r>
      <w:r w:rsidRPr="007B5D03">
        <w:rPr>
          <w:rFonts w:hAnsi="標楷體"/>
          <w:sz w:val="30"/>
          <w:szCs w:val="30"/>
        </w:rPr>
        <w:t>月中旬</w:t>
      </w:r>
      <w:r w:rsidRPr="006C6124">
        <w:rPr>
          <w:rFonts w:hAnsi="標楷體"/>
          <w:spacing w:val="6"/>
          <w:sz w:val="30"/>
          <w:szCs w:val="30"/>
        </w:rPr>
        <w:t>大華證</w:t>
      </w:r>
      <w:r w:rsidRPr="006C6124">
        <w:rPr>
          <w:rFonts w:hAnsi="標楷體" w:hint="eastAsia"/>
          <w:spacing w:val="6"/>
          <w:sz w:val="30"/>
          <w:szCs w:val="30"/>
        </w:rPr>
        <w:t>券</w:t>
      </w:r>
      <w:r w:rsidRPr="006C6124">
        <w:rPr>
          <w:rFonts w:hAnsi="標楷體"/>
          <w:spacing w:val="6"/>
          <w:sz w:val="30"/>
          <w:szCs w:val="30"/>
        </w:rPr>
        <w:t>行政訴訟暫時勝訴而同意重發權</w:t>
      </w:r>
      <w:r w:rsidRPr="007B5D03">
        <w:rPr>
          <w:rFonts w:hAnsi="標楷體"/>
          <w:sz w:val="30"/>
          <w:szCs w:val="30"/>
        </w:rPr>
        <w:t>證。停發影響在於，權證發行市場因只出不進，發行停頓加上自然到期，權證市場急遽</w:t>
      </w:r>
      <w:r w:rsidRPr="006C6124">
        <w:rPr>
          <w:rFonts w:hAnsi="標楷體"/>
          <w:spacing w:val="6"/>
          <w:sz w:val="30"/>
          <w:szCs w:val="30"/>
        </w:rPr>
        <w:t>萎縮，在</w:t>
      </w:r>
      <w:smartTag w:uri="urn:schemas-microsoft-com:office:smarttags" w:element="chsdate">
        <w:smartTagPr>
          <w:attr w:name="IsROCDate" w:val="False"/>
          <w:attr w:name="IsLunarDate" w:val="False"/>
          <w:attr w:name="Day" w:val="9"/>
          <w:attr w:name="Month" w:val="7"/>
          <w:attr w:name="Year" w:val="2011"/>
        </w:smartTagPr>
        <w:r w:rsidRPr="006C6124">
          <w:rPr>
            <w:spacing w:val="6"/>
            <w:sz w:val="30"/>
            <w:szCs w:val="30"/>
          </w:rPr>
          <w:t>7</w:t>
        </w:r>
        <w:r w:rsidRPr="006C6124">
          <w:rPr>
            <w:rFonts w:hAnsi="標楷體"/>
            <w:spacing w:val="6"/>
            <w:sz w:val="30"/>
            <w:szCs w:val="30"/>
          </w:rPr>
          <w:t>月</w:t>
        </w:r>
        <w:r w:rsidRPr="006C6124">
          <w:rPr>
            <w:spacing w:val="6"/>
            <w:sz w:val="30"/>
            <w:szCs w:val="30"/>
          </w:rPr>
          <w:t>9</w:t>
        </w:r>
        <w:r w:rsidRPr="006C6124">
          <w:rPr>
            <w:rFonts w:hAnsi="標楷體"/>
            <w:spacing w:val="6"/>
            <w:sz w:val="30"/>
            <w:szCs w:val="30"/>
          </w:rPr>
          <w:t>日</w:t>
        </w:r>
      </w:smartTag>
      <w:r w:rsidRPr="006C6124">
        <w:rPr>
          <w:rFonts w:hAnsi="標楷體"/>
          <w:spacing w:val="6"/>
          <w:sz w:val="30"/>
          <w:szCs w:val="30"/>
        </w:rPr>
        <w:t>停發權證前，上市掛牌的</w:t>
      </w:r>
      <w:r w:rsidRPr="007B5D03">
        <w:rPr>
          <w:rFonts w:hAnsi="標楷體"/>
          <w:sz w:val="30"/>
          <w:szCs w:val="30"/>
        </w:rPr>
        <w:t>權證檔數為</w:t>
      </w:r>
      <w:r w:rsidRPr="007B5D03">
        <w:rPr>
          <w:sz w:val="30"/>
          <w:szCs w:val="30"/>
        </w:rPr>
        <w:t>296</w:t>
      </w:r>
      <w:r w:rsidRPr="007B5D03">
        <w:rPr>
          <w:rFonts w:hAnsi="標楷體"/>
          <w:sz w:val="30"/>
          <w:szCs w:val="30"/>
        </w:rPr>
        <w:t>檔、上櫃掛牌檔數</w:t>
      </w:r>
      <w:r w:rsidRPr="007B5D03">
        <w:rPr>
          <w:sz w:val="30"/>
          <w:szCs w:val="30"/>
        </w:rPr>
        <w:t>13</w:t>
      </w:r>
      <w:r w:rsidRPr="007B5D03">
        <w:rPr>
          <w:rFonts w:hAnsi="標楷體"/>
          <w:sz w:val="30"/>
          <w:szCs w:val="30"/>
        </w:rPr>
        <w:t>檔，合</w:t>
      </w:r>
      <w:r w:rsidRPr="004A34CC">
        <w:rPr>
          <w:rFonts w:hAnsi="標楷體"/>
          <w:spacing w:val="6"/>
          <w:sz w:val="30"/>
          <w:szCs w:val="30"/>
        </w:rPr>
        <w:t>計共</w:t>
      </w:r>
      <w:r w:rsidRPr="004A34CC">
        <w:rPr>
          <w:spacing w:val="6"/>
          <w:sz w:val="30"/>
          <w:szCs w:val="30"/>
        </w:rPr>
        <w:t>309</w:t>
      </w:r>
      <w:r w:rsidRPr="004A34CC">
        <w:rPr>
          <w:rFonts w:hAnsi="標楷體"/>
          <w:spacing w:val="6"/>
          <w:sz w:val="30"/>
          <w:szCs w:val="30"/>
        </w:rPr>
        <w:t>檔；但</w:t>
      </w:r>
      <w:r w:rsidRPr="004A34CC">
        <w:rPr>
          <w:spacing w:val="6"/>
          <w:sz w:val="30"/>
          <w:szCs w:val="30"/>
        </w:rPr>
        <w:t>4</w:t>
      </w:r>
      <w:r w:rsidRPr="004A34CC">
        <w:rPr>
          <w:rFonts w:hAnsi="標楷體"/>
          <w:spacing w:val="6"/>
          <w:sz w:val="30"/>
          <w:szCs w:val="30"/>
        </w:rPr>
        <w:t>個月後，上市掛牌權證僅餘</w:t>
      </w:r>
      <w:r w:rsidRPr="004A34CC">
        <w:rPr>
          <w:spacing w:val="6"/>
          <w:sz w:val="30"/>
          <w:szCs w:val="30"/>
        </w:rPr>
        <w:t>101</w:t>
      </w:r>
      <w:r w:rsidRPr="004A34CC">
        <w:rPr>
          <w:rFonts w:hAnsi="標楷體"/>
          <w:spacing w:val="6"/>
          <w:sz w:val="30"/>
          <w:szCs w:val="30"/>
        </w:rPr>
        <w:t>檔、上櫃權證只剩</w:t>
      </w:r>
      <w:r w:rsidRPr="004A34CC">
        <w:rPr>
          <w:spacing w:val="6"/>
          <w:sz w:val="30"/>
          <w:szCs w:val="30"/>
        </w:rPr>
        <w:t>1</w:t>
      </w:r>
      <w:r w:rsidRPr="004A34CC">
        <w:rPr>
          <w:rFonts w:hAnsi="標楷體"/>
          <w:spacing w:val="6"/>
          <w:sz w:val="30"/>
          <w:szCs w:val="30"/>
        </w:rPr>
        <w:t>檔，發行市場縮</w:t>
      </w:r>
      <w:r w:rsidRPr="007B5D03">
        <w:rPr>
          <w:rFonts w:hAnsi="標楷體"/>
          <w:sz w:val="30"/>
          <w:szCs w:val="30"/>
        </w:rPr>
        <w:t>水近</w:t>
      </w:r>
      <w:r w:rsidRPr="007B5D03">
        <w:rPr>
          <w:sz w:val="30"/>
          <w:szCs w:val="30"/>
        </w:rPr>
        <w:t>7</w:t>
      </w:r>
      <w:r w:rsidRPr="007B5D03">
        <w:rPr>
          <w:rFonts w:hAnsi="標楷體"/>
          <w:sz w:val="30"/>
          <w:szCs w:val="30"/>
        </w:rPr>
        <w:t>成；另外，因權證可供現貨交易避險之用，停發對市場成交值有負面影響，</w:t>
      </w:r>
      <w:r w:rsidRPr="007B5D03">
        <w:rPr>
          <w:sz w:val="30"/>
          <w:szCs w:val="30"/>
        </w:rPr>
        <w:t>2004</w:t>
      </w:r>
      <w:r w:rsidRPr="007B5D03">
        <w:rPr>
          <w:rFonts w:hAnsi="標楷體"/>
          <w:sz w:val="30"/>
          <w:szCs w:val="30"/>
        </w:rPr>
        <w:t>年</w:t>
      </w:r>
      <w:r w:rsidRPr="007B5D03">
        <w:rPr>
          <w:sz w:val="30"/>
          <w:szCs w:val="30"/>
        </w:rPr>
        <w:t>7</w:t>
      </w:r>
      <w:r w:rsidRPr="007B5D03">
        <w:rPr>
          <w:rFonts w:hAnsi="標楷體"/>
          <w:sz w:val="30"/>
          <w:szCs w:val="30"/>
        </w:rPr>
        <w:t>至</w:t>
      </w:r>
      <w:r w:rsidRPr="007B5D03">
        <w:rPr>
          <w:sz w:val="30"/>
          <w:szCs w:val="30"/>
        </w:rPr>
        <w:t>11</w:t>
      </w:r>
      <w:r w:rsidRPr="007B5D03">
        <w:rPr>
          <w:rFonts w:hAnsi="標楷體"/>
          <w:sz w:val="30"/>
          <w:szCs w:val="30"/>
        </w:rPr>
        <w:t>月，股市成交量僅約</w:t>
      </w:r>
      <w:r w:rsidRPr="007B5D03">
        <w:rPr>
          <w:sz w:val="30"/>
          <w:szCs w:val="30"/>
        </w:rPr>
        <w:t>480</w:t>
      </w:r>
      <w:r w:rsidRPr="007B5D03">
        <w:rPr>
          <w:rFonts w:hAnsi="標楷體"/>
          <w:sz w:val="30"/>
          <w:szCs w:val="30"/>
        </w:rPr>
        <w:t>至</w:t>
      </w:r>
      <w:r w:rsidRPr="007B5D03">
        <w:rPr>
          <w:sz w:val="30"/>
          <w:szCs w:val="30"/>
        </w:rPr>
        <w:t>750</w:t>
      </w:r>
      <w:r w:rsidRPr="007B5D03">
        <w:rPr>
          <w:rFonts w:hAnsi="標楷體"/>
          <w:sz w:val="30"/>
          <w:szCs w:val="30"/>
        </w:rPr>
        <w:t>億元之間，遠低於上半年平均</w:t>
      </w:r>
      <w:r w:rsidRPr="007B5D03">
        <w:rPr>
          <w:sz w:val="30"/>
          <w:szCs w:val="30"/>
        </w:rPr>
        <w:t>1030</w:t>
      </w:r>
      <w:r w:rsidRPr="007B5D03">
        <w:rPr>
          <w:rFonts w:hAnsi="標楷體"/>
          <w:sz w:val="30"/>
          <w:szCs w:val="30"/>
        </w:rPr>
        <w:t>億元之成交</w:t>
      </w:r>
      <w:r w:rsidRPr="004A34CC">
        <w:rPr>
          <w:rFonts w:hAnsi="標楷體"/>
          <w:spacing w:val="-6"/>
          <w:sz w:val="30"/>
          <w:szCs w:val="30"/>
        </w:rPr>
        <w:t>量」、「因立法院、財政部漠視</w:t>
      </w:r>
      <w:r w:rsidRPr="004A34CC">
        <w:rPr>
          <w:spacing w:val="-6"/>
          <w:sz w:val="30"/>
          <w:szCs w:val="30"/>
        </w:rPr>
        <w:t>”</w:t>
      </w:r>
      <w:r w:rsidRPr="004A34CC">
        <w:rPr>
          <w:rFonts w:hAnsi="標楷體"/>
          <w:spacing w:val="-6"/>
          <w:sz w:val="30"/>
          <w:szCs w:val="30"/>
        </w:rPr>
        <w:t>九二共識</w:t>
      </w:r>
      <w:r w:rsidRPr="004A34CC">
        <w:rPr>
          <w:spacing w:val="-6"/>
          <w:sz w:val="30"/>
          <w:szCs w:val="30"/>
        </w:rPr>
        <w:t>”</w:t>
      </w:r>
      <w:r w:rsidRPr="004A34CC">
        <w:rPr>
          <w:rFonts w:hAnsi="標楷體"/>
          <w:spacing w:val="-6"/>
          <w:sz w:val="30"/>
          <w:szCs w:val="30"/>
        </w:rPr>
        <w:t>，</w:t>
      </w:r>
      <w:r w:rsidRPr="004A34CC">
        <w:rPr>
          <w:rFonts w:hAnsi="標楷體"/>
          <w:spacing w:val="-4"/>
          <w:sz w:val="30"/>
          <w:szCs w:val="30"/>
        </w:rPr>
        <w:t>券商自</w:t>
      </w:r>
      <w:r w:rsidRPr="004A34CC">
        <w:rPr>
          <w:spacing w:val="-4"/>
          <w:sz w:val="30"/>
          <w:szCs w:val="30"/>
        </w:rPr>
        <w:t>2006</w:t>
      </w:r>
      <w:r w:rsidRPr="004A34CC">
        <w:rPr>
          <w:rFonts w:hAnsi="標楷體"/>
          <w:spacing w:val="-4"/>
          <w:sz w:val="30"/>
          <w:szCs w:val="30"/>
        </w:rPr>
        <w:t>年</w:t>
      </w:r>
      <w:smartTag w:uri="urn:schemas-microsoft-com:office:smarttags" w:element="chsdate">
        <w:smartTagPr>
          <w:attr w:name="IsROCDate" w:val="False"/>
          <w:attr w:name="IsLunarDate" w:val="False"/>
          <w:attr w:name="Day" w:val="1"/>
          <w:attr w:name="Month" w:val="1"/>
          <w:attr w:name="Year" w:val="2011"/>
        </w:smartTagPr>
        <w:r w:rsidRPr="004A34CC">
          <w:rPr>
            <w:spacing w:val="-4"/>
            <w:sz w:val="30"/>
            <w:szCs w:val="30"/>
          </w:rPr>
          <w:t>1</w:t>
        </w:r>
        <w:r w:rsidRPr="004A34CC">
          <w:rPr>
            <w:rFonts w:hAnsi="標楷體"/>
            <w:spacing w:val="-4"/>
            <w:sz w:val="30"/>
            <w:szCs w:val="30"/>
          </w:rPr>
          <w:t>月</w:t>
        </w:r>
        <w:r w:rsidRPr="004A34CC">
          <w:rPr>
            <w:spacing w:val="-4"/>
            <w:sz w:val="30"/>
            <w:szCs w:val="30"/>
          </w:rPr>
          <w:t>1</w:t>
        </w:r>
        <w:r w:rsidRPr="004A34CC">
          <w:rPr>
            <w:rFonts w:hAnsi="標楷體"/>
            <w:spacing w:val="-4"/>
            <w:sz w:val="30"/>
            <w:szCs w:val="30"/>
          </w:rPr>
          <w:t>日</w:t>
        </w:r>
      </w:smartTag>
      <w:r w:rsidRPr="004A34CC">
        <w:rPr>
          <w:rFonts w:hAnsi="標楷體"/>
          <w:spacing w:val="-4"/>
          <w:sz w:val="30"/>
          <w:szCs w:val="30"/>
        </w:rPr>
        <w:t>起二度停發權證」（附件</w:t>
      </w:r>
      <w:r w:rsidRPr="004A34CC">
        <w:rPr>
          <w:spacing w:val="-4"/>
          <w:sz w:val="30"/>
          <w:szCs w:val="30"/>
        </w:rPr>
        <w:t>40</w:t>
      </w:r>
      <w:r w:rsidRPr="004A34CC">
        <w:rPr>
          <w:rFonts w:hAnsi="標楷體"/>
          <w:spacing w:val="-4"/>
          <w:sz w:val="30"/>
          <w:szCs w:val="30"/>
        </w:rPr>
        <w:t>，</w:t>
      </w:r>
      <w:r w:rsidRPr="004A34CC">
        <w:rPr>
          <w:rFonts w:hAnsi="標楷體"/>
          <w:bCs/>
          <w:spacing w:val="-4"/>
          <w:sz w:val="30"/>
          <w:szCs w:val="30"/>
        </w:rPr>
        <w:t>【月報】專</w:t>
      </w:r>
      <w:r w:rsidRPr="004A34CC">
        <w:rPr>
          <w:rFonts w:hAnsi="標楷體"/>
          <w:bCs/>
          <w:spacing w:val="-4"/>
          <w:sz w:val="30"/>
          <w:szCs w:val="30"/>
        </w:rPr>
        <w:lastRenderedPageBreak/>
        <w:t>題評析：權證退稅爭議之演</w:t>
      </w:r>
      <w:r w:rsidRPr="007B5D03">
        <w:rPr>
          <w:rFonts w:hAnsi="標楷體"/>
          <w:bCs/>
          <w:sz w:val="30"/>
          <w:szCs w:val="30"/>
        </w:rPr>
        <w:t>進與影響、網址：</w:t>
      </w:r>
      <w:hyperlink r:id="rId17" w:history="1">
        <w:r w:rsidRPr="007B5D03">
          <w:rPr>
            <w:rStyle w:val="afff4"/>
            <w:bCs/>
            <w:color w:val="auto"/>
            <w:spacing w:val="-20"/>
            <w:sz w:val="30"/>
            <w:szCs w:val="30"/>
          </w:rPr>
          <w:t>http://stock.yam.com/rsh/article.php/350945</w:t>
        </w:r>
      </w:hyperlink>
      <w:r w:rsidRPr="007B5D03">
        <w:rPr>
          <w:rFonts w:hAnsi="標楷體"/>
          <w:bCs/>
          <w:spacing w:val="-20"/>
          <w:sz w:val="30"/>
          <w:szCs w:val="30"/>
        </w:rPr>
        <w:t>）</w:t>
      </w:r>
      <w:r w:rsidRPr="007B5D03">
        <w:rPr>
          <w:rFonts w:hAnsi="標楷體"/>
          <w:bCs/>
          <w:sz w:val="30"/>
          <w:szCs w:val="30"/>
        </w:rPr>
        <w:t>「</w:t>
      </w:r>
      <w:r w:rsidRPr="007B5D03">
        <w:rPr>
          <w:rFonts w:hAnsi="標楷體"/>
          <w:sz w:val="30"/>
          <w:szCs w:val="30"/>
        </w:rPr>
        <w:t>券商估計，停發權證後，政府每年將減少</w:t>
      </w:r>
      <w:r w:rsidRPr="007B5D03">
        <w:rPr>
          <w:sz w:val="30"/>
          <w:szCs w:val="30"/>
        </w:rPr>
        <w:t>50</w:t>
      </w:r>
      <w:r w:rsidRPr="007B5D03">
        <w:rPr>
          <w:rFonts w:hAnsi="標楷體"/>
          <w:sz w:val="30"/>
          <w:szCs w:val="30"/>
        </w:rPr>
        <w:t>億元稅收，對券商來說，不但少了權證生意可做，現有的大批權證部門人力如何善後，更是個頭痛的大問題。面對眼前僵局，券商也很無奈，只能希望立法院趕緊通過修法，讓避險損失可以扣除，如此一來，券商便會恢復發行權證，讓投資人重新擁抱權證市場。」（附件</w:t>
      </w:r>
      <w:r w:rsidRPr="007B5D03">
        <w:rPr>
          <w:sz w:val="30"/>
          <w:szCs w:val="30"/>
        </w:rPr>
        <w:t>41</w:t>
      </w:r>
      <w:r w:rsidRPr="007B5D03">
        <w:rPr>
          <w:rFonts w:hAnsi="標楷體"/>
          <w:sz w:val="30"/>
          <w:szCs w:val="30"/>
        </w:rPr>
        <w:t>，</w:t>
      </w:r>
      <w:r w:rsidRPr="007B5D03">
        <w:rPr>
          <w:rStyle w:val="afffc"/>
          <w:rFonts w:hAnsi="標楷體"/>
          <w:b w:val="0"/>
          <w:sz w:val="30"/>
          <w:szCs w:val="30"/>
        </w:rPr>
        <w:t>權證最快年底在台股消失，理財週刊第</w:t>
      </w:r>
      <w:r w:rsidRPr="007B5D03">
        <w:rPr>
          <w:rStyle w:val="afffc"/>
          <w:b w:val="0"/>
          <w:sz w:val="30"/>
          <w:szCs w:val="30"/>
        </w:rPr>
        <w:t>301</w:t>
      </w:r>
      <w:r w:rsidRPr="007B5D03">
        <w:rPr>
          <w:rStyle w:val="afffc"/>
          <w:rFonts w:hAnsi="標楷體"/>
          <w:b w:val="0"/>
          <w:sz w:val="30"/>
          <w:szCs w:val="30"/>
        </w:rPr>
        <w:t>期，網址：</w:t>
      </w:r>
      <w:hyperlink r:id="rId18" w:history="1">
        <w:r w:rsidRPr="007B5D03">
          <w:rPr>
            <w:rStyle w:val="afff4"/>
            <w:color w:val="auto"/>
            <w:spacing w:val="-2"/>
            <w:sz w:val="30"/>
            <w:szCs w:val="30"/>
          </w:rPr>
          <w:t>http://fn.yam.com/fninfo/php/article.php/384618</w:t>
        </w:r>
      </w:hyperlink>
      <w:r w:rsidRPr="007B5D03">
        <w:rPr>
          <w:rStyle w:val="afffc"/>
          <w:rFonts w:hAnsi="標楷體"/>
          <w:b w:val="0"/>
          <w:sz w:val="30"/>
          <w:szCs w:val="30"/>
        </w:rPr>
        <w:t>）。依上揭新聞事件可知，券商因權證課稅不公，剝奪其合理商業利潤，只好採用全體停發權證之激烈手段因應，顯見財政部</w:t>
      </w:r>
      <w:r w:rsidRPr="007B5D03">
        <w:rPr>
          <w:rStyle w:val="afffc"/>
          <w:b w:val="0"/>
          <w:sz w:val="30"/>
          <w:szCs w:val="30"/>
        </w:rPr>
        <w:t>86</w:t>
      </w:r>
      <w:r w:rsidRPr="007B5D03">
        <w:rPr>
          <w:rStyle w:val="afffc"/>
          <w:rFonts w:hAnsi="標楷體"/>
          <w:b w:val="0"/>
          <w:sz w:val="30"/>
          <w:szCs w:val="30"/>
        </w:rPr>
        <w:t>年函釋確實引發了一個規範制定者所未預期之基本權侵害，亦即影響券商職業選擇自由之職業客觀要件。所謂職業客觀要件係指從事某一行業須符合特定之客觀經濟情況，而這些</w:t>
      </w:r>
      <w:r w:rsidRPr="00CC4917">
        <w:rPr>
          <w:rStyle w:val="afffc"/>
          <w:rFonts w:hAnsi="標楷體"/>
          <w:b w:val="0"/>
          <w:spacing w:val="8"/>
          <w:sz w:val="30"/>
          <w:szCs w:val="30"/>
        </w:rPr>
        <w:t>情況非行為人主觀能力所能遂行者（附件</w:t>
      </w:r>
      <w:r w:rsidRPr="00CC4917">
        <w:rPr>
          <w:rStyle w:val="afffc"/>
          <w:b w:val="0"/>
          <w:spacing w:val="-10"/>
          <w:sz w:val="30"/>
          <w:szCs w:val="30"/>
        </w:rPr>
        <w:t>42</w:t>
      </w:r>
      <w:r w:rsidRPr="00CC4917">
        <w:rPr>
          <w:rStyle w:val="afffc"/>
          <w:rFonts w:hAnsi="標楷體"/>
          <w:b w:val="0"/>
          <w:spacing w:val="-10"/>
          <w:sz w:val="30"/>
          <w:szCs w:val="30"/>
        </w:rPr>
        <w:t>，李惠宗，憲法要義第二版，頁</w:t>
      </w:r>
      <w:r w:rsidRPr="00CC4917">
        <w:rPr>
          <w:rStyle w:val="afffc"/>
          <w:b w:val="0"/>
          <w:spacing w:val="-10"/>
          <w:sz w:val="30"/>
          <w:szCs w:val="30"/>
        </w:rPr>
        <w:t>176</w:t>
      </w:r>
      <w:r w:rsidRPr="00CC4917">
        <w:rPr>
          <w:rStyle w:val="afffc"/>
          <w:rFonts w:hAnsi="標楷體"/>
          <w:b w:val="0"/>
          <w:spacing w:val="-10"/>
          <w:sz w:val="30"/>
          <w:szCs w:val="30"/>
        </w:rPr>
        <w:t>、</w:t>
      </w:r>
      <w:r w:rsidRPr="00CC4917">
        <w:rPr>
          <w:rStyle w:val="afffc"/>
          <w:b w:val="0"/>
          <w:spacing w:val="-10"/>
          <w:sz w:val="30"/>
          <w:szCs w:val="30"/>
        </w:rPr>
        <w:t>177</w:t>
      </w:r>
      <w:r w:rsidRPr="00CC4917">
        <w:rPr>
          <w:rStyle w:val="afffc"/>
          <w:rFonts w:hAnsi="標楷體"/>
          <w:b w:val="0"/>
          <w:spacing w:val="-10"/>
          <w:sz w:val="30"/>
          <w:szCs w:val="30"/>
        </w:rPr>
        <w:t>）。</w:t>
      </w:r>
      <w:r w:rsidRPr="007B5D03">
        <w:rPr>
          <w:rStyle w:val="afffc"/>
          <w:rFonts w:hAnsi="標楷體"/>
          <w:b w:val="0"/>
          <w:sz w:val="30"/>
          <w:szCs w:val="30"/>
        </w:rPr>
        <w:t>因權證交易之稅前實際獲利雖是可以預期，但因為財政部</w:t>
      </w:r>
      <w:r w:rsidRPr="007B5D03">
        <w:rPr>
          <w:rStyle w:val="afffc"/>
          <w:b w:val="0"/>
          <w:sz w:val="30"/>
          <w:szCs w:val="30"/>
        </w:rPr>
        <w:t>86</w:t>
      </w:r>
      <w:r w:rsidRPr="007B5D03">
        <w:rPr>
          <w:rStyle w:val="afffc"/>
          <w:rFonts w:hAnsi="標楷體"/>
          <w:b w:val="0"/>
          <w:sz w:val="30"/>
          <w:szCs w:val="30"/>
        </w:rPr>
        <w:t>年函釋課稅之結果，產生券</w:t>
      </w:r>
      <w:r w:rsidRPr="00CC4917">
        <w:rPr>
          <w:rStyle w:val="afffc"/>
          <w:rFonts w:hAnsi="標楷體"/>
          <w:b w:val="0"/>
          <w:spacing w:val="6"/>
          <w:sz w:val="30"/>
          <w:szCs w:val="30"/>
        </w:rPr>
        <w:t>商之實質</w:t>
      </w:r>
      <w:r w:rsidRPr="00CC4917">
        <w:rPr>
          <w:rFonts w:hAnsi="標楷體"/>
          <w:spacing w:val="6"/>
          <w:sz w:val="30"/>
          <w:szCs w:val="30"/>
        </w:rPr>
        <w:t>淨獲利</w:t>
      </w:r>
      <w:r w:rsidRPr="00CC4917">
        <w:rPr>
          <w:rFonts w:hAnsi="標楷體" w:hint="eastAsia"/>
          <w:spacing w:val="6"/>
          <w:sz w:val="30"/>
          <w:szCs w:val="30"/>
        </w:rPr>
        <w:t>占</w:t>
      </w:r>
      <w:r w:rsidRPr="00CC4917">
        <w:rPr>
          <w:rFonts w:hAnsi="標楷體"/>
          <w:spacing w:val="6"/>
          <w:sz w:val="30"/>
          <w:szCs w:val="30"/>
        </w:rPr>
        <w:t>權利金總收入</w:t>
      </w:r>
      <w:r w:rsidRPr="00CC4917">
        <w:rPr>
          <w:spacing w:val="6"/>
          <w:sz w:val="30"/>
          <w:szCs w:val="30"/>
        </w:rPr>
        <w:t>25</w:t>
      </w:r>
      <w:r w:rsidRPr="00CC4917">
        <w:rPr>
          <w:rFonts w:hAnsi="標楷體"/>
          <w:spacing w:val="6"/>
          <w:sz w:val="30"/>
          <w:szCs w:val="30"/>
        </w:rPr>
        <w:t>％以上</w:t>
      </w:r>
      <w:r w:rsidRPr="007B5D03">
        <w:rPr>
          <w:rFonts w:hAnsi="標楷體"/>
          <w:sz w:val="30"/>
          <w:szCs w:val="30"/>
        </w:rPr>
        <w:t>者，才有獲利之空間，此種獲利要求絕非任何一家券商有主觀能力所能達成。如採用此種課稅方式，自然</w:t>
      </w:r>
      <w:r w:rsidRPr="007B5D03">
        <w:rPr>
          <w:rFonts w:hAnsi="標楷體"/>
          <w:sz w:val="30"/>
          <w:szCs w:val="30"/>
        </w:rPr>
        <w:lastRenderedPageBreak/>
        <w:t>形成強迫券商退出權證市場之副作用，此點亦是　鈞院應仔細加以考量者。</w:t>
      </w:r>
    </w:p>
    <w:p w:rsidR="00514426" w:rsidRPr="007B5D03" w:rsidRDefault="00514426" w:rsidP="009B13DC">
      <w:pPr>
        <w:snapToGrid w:val="0"/>
        <w:spacing w:line="437" w:lineRule="exact"/>
        <w:ind w:left="2637"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財政部</w:t>
      </w:r>
      <w:r w:rsidRPr="007B5D03">
        <w:rPr>
          <w:sz w:val="30"/>
          <w:szCs w:val="30"/>
        </w:rPr>
        <w:t>86</w:t>
      </w:r>
      <w:r w:rsidRPr="007B5D03">
        <w:rPr>
          <w:rFonts w:hAnsi="標楷體"/>
          <w:sz w:val="30"/>
          <w:szCs w:val="30"/>
        </w:rPr>
        <w:t>年函釋導致券商發行權證產生無利可圖之結果，券商為因應此種稅負影響，可能有兩種解決方式，其一為將避險損失無法自權利金收入項下扣除所增加之租稅成本，反映於向投資人收取之權利金，來決定該權</w:t>
      </w:r>
      <w:r w:rsidRPr="00CC4917">
        <w:rPr>
          <w:rFonts w:hAnsi="標楷體"/>
          <w:spacing w:val="-6"/>
          <w:sz w:val="30"/>
          <w:szCs w:val="30"/>
        </w:rPr>
        <w:t>利金之金額，換言之，即券商在發行權證時，</w:t>
      </w:r>
      <w:r w:rsidRPr="007B5D03">
        <w:rPr>
          <w:rFonts w:hAnsi="標楷體"/>
          <w:sz w:val="30"/>
          <w:szCs w:val="30"/>
        </w:rPr>
        <w:t>向投資人收取較高之權利金而將租稅成本實際轉嫁予投資人；其二則為，採取停發權證之手段，事實上券商為表達對該函釋之不滿曾二度停發權證，已如上述。</w:t>
      </w:r>
    </w:p>
    <w:p w:rsidR="00514426" w:rsidRPr="007B5D03" w:rsidRDefault="00514426" w:rsidP="00FB2D5A">
      <w:pPr>
        <w:snapToGrid w:val="0"/>
        <w:spacing w:line="437" w:lineRule="exact"/>
        <w:ind w:left="3204" w:hanging="482"/>
        <w:rPr>
          <w:sz w:val="30"/>
          <w:szCs w:val="30"/>
        </w:rPr>
      </w:pPr>
      <w:r w:rsidRPr="007B5D03">
        <w:rPr>
          <w:sz w:val="30"/>
          <w:szCs w:val="30"/>
        </w:rPr>
        <w:t>a.</w:t>
      </w:r>
      <w:r w:rsidRPr="007B5D03">
        <w:rPr>
          <w:rFonts w:hAnsi="標楷體"/>
          <w:sz w:val="30"/>
          <w:szCs w:val="30"/>
        </w:rPr>
        <w:t>就第一種方式（轉嫁租稅成本）而言</w:t>
      </w:r>
      <w:r w:rsidRPr="007B5D03">
        <w:rPr>
          <w:sz w:val="30"/>
          <w:szCs w:val="30"/>
        </w:rPr>
        <w:t>:</w:t>
      </w:r>
    </w:p>
    <w:p w:rsidR="00514426" w:rsidRPr="007B5D03" w:rsidRDefault="00514426" w:rsidP="00CC4917">
      <w:pPr>
        <w:snapToGrid w:val="0"/>
        <w:spacing w:line="437" w:lineRule="exact"/>
        <w:ind w:left="2920" w:firstLine="340"/>
        <w:rPr>
          <w:sz w:val="30"/>
          <w:szCs w:val="30"/>
        </w:rPr>
      </w:pPr>
      <w:r w:rsidRPr="007B5D03">
        <w:rPr>
          <w:rFonts w:hAnsi="標楷體"/>
          <w:sz w:val="30"/>
          <w:szCs w:val="30"/>
        </w:rPr>
        <w:t>將財政部</w:t>
      </w:r>
      <w:r w:rsidRPr="007B5D03">
        <w:rPr>
          <w:sz w:val="30"/>
          <w:szCs w:val="30"/>
        </w:rPr>
        <w:t>86</w:t>
      </w:r>
      <w:r w:rsidRPr="007B5D03">
        <w:rPr>
          <w:rFonts w:hAnsi="標楷體"/>
          <w:sz w:val="30"/>
          <w:szCs w:val="30"/>
        </w:rPr>
        <w:t>年函釋之權利金毛額課稅因</w:t>
      </w:r>
      <w:r w:rsidRPr="00A63E42">
        <w:rPr>
          <w:rFonts w:hAnsi="標楷體"/>
          <w:spacing w:val="-6"/>
          <w:sz w:val="30"/>
          <w:szCs w:val="30"/>
        </w:rPr>
        <w:t>素，以提高權利金方式處理，此即為最高行</w:t>
      </w:r>
      <w:r w:rsidRPr="007B5D03">
        <w:rPr>
          <w:rFonts w:hAnsi="標楷體"/>
          <w:sz w:val="30"/>
          <w:szCs w:val="30"/>
        </w:rPr>
        <w:t>政法院判決所言：「依其從事證券業之專業</w:t>
      </w:r>
      <w:r w:rsidRPr="00CC61D8">
        <w:rPr>
          <w:rFonts w:hAnsi="標楷體"/>
          <w:spacing w:val="6"/>
          <w:sz w:val="30"/>
          <w:szCs w:val="30"/>
        </w:rPr>
        <w:t>知識，亦知悉行為時所得稅法第</w:t>
      </w:r>
      <w:r w:rsidRPr="00CC61D8">
        <w:rPr>
          <w:spacing w:val="6"/>
          <w:sz w:val="30"/>
          <w:szCs w:val="30"/>
        </w:rPr>
        <w:t>4</w:t>
      </w:r>
      <w:r w:rsidRPr="00CC61D8">
        <w:rPr>
          <w:rFonts w:hAnsi="標楷體"/>
          <w:spacing w:val="6"/>
          <w:sz w:val="30"/>
          <w:szCs w:val="30"/>
        </w:rPr>
        <w:t>條之</w:t>
      </w:r>
      <w:r w:rsidRPr="00CC61D8">
        <w:rPr>
          <w:spacing w:val="6"/>
          <w:sz w:val="30"/>
          <w:szCs w:val="30"/>
        </w:rPr>
        <w:t>1</w:t>
      </w:r>
      <w:r w:rsidRPr="00CC61D8">
        <w:rPr>
          <w:rFonts w:hAnsi="標楷體"/>
          <w:spacing w:val="-6"/>
          <w:sz w:val="30"/>
          <w:szCs w:val="30"/>
        </w:rPr>
        <w:t>規定，其為避險之證券交易所得既可免稅，</w:t>
      </w:r>
      <w:r w:rsidRPr="007B5D03">
        <w:rPr>
          <w:rFonts w:hAnsi="標楷體"/>
          <w:sz w:val="30"/>
          <w:szCs w:val="30"/>
        </w:rPr>
        <w:t>其因避險之證券交易損失即不得自所得額</w:t>
      </w:r>
      <w:r w:rsidRPr="00CC61D8">
        <w:rPr>
          <w:rFonts w:hAnsi="標楷體"/>
          <w:spacing w:val="-6"/>
          <w:sz w:val="30"/>
          <w:szCs w:val="30"/>
        </w:rPr>
        <w:t>中減除，理應充分衡量其發行該認購權證之利潤與風險後，再行決定該權利金之金額，以發行最符合其經濟效益之商品，自不得僅</w:t>
      </w:r>
      <w:r w:rsidRPr="00741EC3">
        <w:rPr>
          <w:rFonts w:hAnsi="標楷體"/>
          <w:sz w:val="30"/>
          <w:szCs w:val="30"/>
        </w:rPr>
        <w:t>因其係依照於發行認購權證時之規定買進</w:t>
      </w:r>
      <w:r w:rsidRPr="00CC61D8">
        <w:rPr>
          <w:rFonts w:hAnsi="標楷體"/>
          <w:spacing w:val="-6"/>
          <w:sz w:val="30"/>
          <w:szCs w:val="30"/>
        </w:rPr>
        <w:t>或賣出股票之證券交易，即主張該種證券交</w:t>
      </w:r>
      <w:r w:rsidRPr="00741EC3">
        <w:rPr>
          <w:rFonts w:hAnsi="標楷體"/>
          <w:sz w:val="30"/>
          <w:szCs w:val="30"/>
        </w:rPr>
        <w:t>易係出於強制而與一般消費者為證券交易</w:t>
      </w:r>
      <w:r w:rsidRPr="00CC61D8">
        <w:rPr>
          <w:rFonts w:hAnsi="標楷體"/>
          <w:spacing w:val="-6"/>
          <w:sz w:val="30"/>
          <w:szCs w:val="30"/>
        </w:rPr>
        <w:t>有所不同，並要求於稅法上異其計算。」此即第一種</w:t>
      </w:r>
      <w:r w:rsidRPr="00CC61D8">
        <w:rPr>
          <w:rFonts w:hAnsi="標楷體"/>
          <w:spacing w:val="-6"/>
          <w:sz w:val="30"/>
          <w:szCs w:val="30"/>
        </w:rPr>
        <w:lastRenderedPageBreak/>
        <w:t>處理方式，將避險損失無法自權利金收入項下扣除所增加之租稅成本，轉嫁至投資人。然而，身為投資人在面對各種不同類型之金融商品時，勢必以其投入成本及其</w:t>
      </w:r>
      <w:r w:rsidRPr="00741EC3">
        <w:rPr>
          <w:rFonts w:hAnsi="標楷體"/>
          <w:sz w:val="30"/>
          <w:szCs w:val="30"/>
        </w:rPr>
        <w:t>可能回收之獲利程度作為衡量投資標的之</w:t>
      </w:r>
      <w:r w:rsidRPr="00CC61D8">
        <w:rPr>
          <w:rFonts w:hAnsi="標楷體"/>
          <w:spacing w:val="-6"/>
          <w:sz w:val="30"/>
          <w:szCs w:val="30"/>
        </w:rPr>
        <w:t>主要因素，尤其認購權證所實際投資之標的亦為特定股票，僅係認購權證以選擇權之方式發行，投資人有權利在未來一定期間內，</w:t>
      </w:r>
      <w:r w:rsidRPr="00741EC3">
        <w:rPr>
          <w:rFonts w:hAnsi="標楷體"/>
          <w:spacing w:val="6"/>
          <w:sz w:val="30"/>
          <w:szCs w:val="30"/>
        </w:rPr>
        <w:t>依事先約定價格購買一定數量之標的股</w:t>
      </w:r>
      <w:r w:rsidRPr="00CC61D8">
        <w:rPr>
          <w:rFonts w:hAnsi="標楷體"/>
          <w:spacing w:val="-6"/>
          <w:sz w:val="30"/>
          <w:szCs w:val="30"/>
        </w:rPr>
        <w:t>票。是如券商將發行權證所增加之租稅成本轉嫁至向投資人所收取之權利金，即係增加投資人之投資成本，此即與權證購買人僅以</w:t>
      </w:r>
      <w:r w:rsidRPr="00741EC3">
        <w:rPr>
          <w:rFonts w:hAnsi="標楷體"/>
          <w:sz w:val="30"/>
          <w:szCs w:val="30"/>
        </w:rPr>
        <w:t>相對標的股票之極小價值購買權證以取得</w:t>
      </w:r>
      <w:r w:rsidRPr="00CC61D8">
        <w:rPr>
          <w:rFonts w:hAnsi="標楷體"/>
          <w:spacing w:val="-6"/>
          <w:sz w:val="30"/>
          <w:szCs w:val="30"/>
        </w:rPr>
        <w:t>選擇權之原始商品設計模式相違背，因為投</w:t>
      </w:r>
      <w:r w:rsidRPr="00741EC3">
        <w:rPr>
          <w:rFonts w:hAnsi="標楷體"/>
          <w:sz w:val="30"/>
          <w:szCs w:val="30"/>
        </w:rPr>
        <w:t>資人得否因權證購買而就能以較市價為低之價格承購標的股票，本就處於非確定狀</w:t>
      </w:r>
      <w:r w:rsidRPr="00CC61D8">
        <w:rPr>
          <w:rFonts w:hAnsi="標楷體"/>
          <w:spacing w:val="-6"/>
          <w:sz w:val="30"/>
          <w:szCs w:val="30"/>
        </w:rPr>
        <w:t>態，權證商品之推出就是使投資人以極小之權利金取得可低價購買標的股票之機會，如因稅負因素而提高權利金，將相當程度減低投資人之購買意願，蓋在投資人仍有其他種類之金融商品可供選擇時，必然促使投資人轉為投資其他具有替代性質之金融商品，導致認購權證在投資市場上遭到排擠，因對於投資人而言如有對其效用相等、價格不同之多種金融商品可選擇時，自然不會選擇一個已經與其設計初衷有重大變更之商品，而會</w:t>
      </w:r>
      <w:r w:rsidRPr="00741EC3">
        <w:rPr>
          <w:rFonts w:hAnsi="標楷體"/>
          <w:spacing w:val="6"/>
          <w:sz w:val="30"/>
          <w:szCs w:val="30"/>
        </w:rPr>
        <w:t>趨向選擇價格較低或較無風險</w:t>
      </w:r>
      <w:r w:rsidRPr="00741EC3">
        <w:rPr>
          <w:rFonts w:hAnsi="標楷體"/>
          <w:spacing w:val="6"/>
          <w:sz w:val="30"/>
          <w:szCs w:val="30"/>
        </w:rPr>
        <w:lastRenderedPageBreak/>
        <w:t>之金融商</w:t>
      </w:r>
      <w:r w:rsidRPr="00CC61D8">
        <w:rPr>
          <w:rFonts w:hAnsi="標楷體"/>
          <w:spacing w:val="-6"/>
          <w:sz w:val="30"/>
          <w:szCs w:val="30"/>
        </w:rPr>
        <w:t>品，例如：以個股股票或股價連動之相關金</w:t>
      </w:r>
      <w:r w:rsidRPr="00741EC3">
        <w:rPr>
          <w:rFonts w:hAnsi="標楷體"/>
          <w:sz w:val="30"/>
          <w:szCs w:val="30"/>
        </w:rPr>
        <w:t>融商品，除了認購權證以外，尚有一般股票、股票型基金或股權連結型結構型商品</w:t>
      </w:r>
      <w:r w:rsidRPr="00CC61D8">
        <w:rPr>
          <w:rFonts w:hAnsi="標楷體"/>
          <w:spacing w:val="-6"/>
          <w:sz w:val="30"/>
          <w:szCs w:val="30"/>
        </w:rPr>
        <w:t>（債券或定存）等投資工具，如認購權證之權利金過高，導致投資成本已超過投資人合理之期待利潤時，投資人勢必選擇放棄投資成本較高之認購權證，而改為投資其他具有替代性質之金融商品，最終將使此種認購權證之金融商品失去競爭力，甚至因而被迫退</w:t>
      </w:r>
      <w:r w:rsidRPr="00741EC3">
        <w:rPr>
          <w:rFonts w:hAnsi="標楷體"/>
          <w:sz w:val="30"/>
          <w:szCs w:val="30"/>
        </w:rPr>
        <w:t>出市場。如排除</w:t>
      </w:r>
      <w:r w:rsidRPr="00741EC3">
        <w:rPr>
          <w:sz w:val="30"/>
          <w:szCs w:val="30"/>
        </w:rPr>
        <w:t>96</w:t>
      </w:r>
      <w:r w:rsidRPr="00741EC3">
        <w:rPr>
          <w:rFonts w:hAnsi="標楷體"/>
          <w:sz w:val="30"/>
          <w:szCs w:val="30"/>
        </w:rPr>
        <w:t>年之修法因素，而財政部</w:t>
      </w:r>
      <w:r w:rsidRPr="00741EC3">
        <w:rPr>
          <w:sz w:val="30"/>
          <w:szCs w:val="30"/>
        </w:rPr>
        <w:t>86</w:t>
      </w:r>
      <w:r w:rsidRPr="00741EC3">
        <w:rPr>
          <w:rFonts w:hAnsi="標楷體"/>
          <w:sz w:val="30"/>
          <w:szCs w:val="30"/>
        </w:rPr>
        <w:t>年函釋亦確實使券商停發權證，只不過</w:t>
      </w:r>
      <w:r w:rsidRPr="00741EC3">
        <w:rPr>
          <w:sz w:val="30"/>
          <w:szCs w:val="30"/>
        </w:rPr>
        <w:t>92</w:t>
      </w:r>
      <w:r w:rsidRPr="00741EC3">
        <w:rPr>
          <w:rFonts w:hAnsi="標楷體"/>
          <w:sz w:val="30"/>
          <w:szCs w:val="30"/>
        </w:rPr>
        <w:t>年以來一直有修法溯及既往的有利因</w:t>
      </w:r>
      <w:r w:rsidRPr="00CC61D8">
        <w:rPr>
          <w:rFonts w:hAnsi="標楷體"/>
          <w:spacing w:val="-6"/>
          <w:sz w:val="30"/>
          <w:szCs w:val="30"/>
        </w:rPr>
        <w:t>素，及券商因衍生性金融商品之人才養成不易，是券商仍相信修法前案件之避險損失仍</w:t>
      </w:r>
      <w:r w:rsidRPr="00741EC3">
        <w:rPr>
          <w:rFonts w:hAnsi="標楷體"/>
          <w:sz w:val="30"/>
          <w:szCs w:val="30"/>
        </w:rPr>
        <w:t>有尋得救濟之機會，使券商能等待至</w:t>
      </w:r>
      <w:r w:rsidRPr="00741EC3">
        <w:rPr>
          <w:sz w:val="30"/>
          <w:szCs w:val="30"/>
        </w:rPr>
        <w:t>96</w:t>
      </w:r>
      <w:r w:rsidRPr="00741EC3">
        <w:rPr>
          <w:rFonts w:hAnsi="標楷體"/>
          <w:sz w:val="30"/>
          <w:szCs w:val="30"/>
        </w:rPr>
        <w:t>年修法時點，惟財政部</w:t>
      </w:r>
      <w:r w:rsidRPr="00741EC3">
        <w:rPr>
          <w:sz w:val="30"/>
          <w:szCs w:val="30"/>
        </w:rPr>
        <w:t>86</w:t>
      </w:r>
      <w:r w:rsidRPr="00741EC3">
        <w:rPr>
          <w:rFonts w:hAnsi="標楷體"/>
          <w:sz w:val="30"/>
          <w:szCs w:val="30"/>
        </w:rPr>
        <w:t>年函釋之見解客觀</w:t>
      </w:r>
      <w:r w:rsidRPr="00CC61D8">
        <w:rPr>
          <w:rFonts w:hAnsi="標楷體"/>
          <w:spacing w:val="-6"/>
          <w:sz w:val="30"/>
          <w:szCs w:val="30"/>
        </w:rPr>
        <w:t>上確實會產生權證退出市場之結果，又挾對所得稅法第</w:t>
      </w:r>
      <w:r w:rsidRPr="00CC61D8">
        <w:rPr>
          <w:spacing w:val="-6"/>
          <w:sz w:val="30"/>
          <w:szCs w:val="30"/>
        </w:rPr>
        <w:t>4</w:t>
      </w:r>
      <w:r w:rsidRPr="00CC61D8">
        <w:rPr>
          <w:rFonts w:hAnsi="標楷體"/>
          <w:spacing w:val="-6"/>
          <w:sz w:val="30"/>
          <w:szCs w:val="30"/>
        </w:rPr>
        <w:t>條之</w:t>
      </w:r>
      <w:r w:rsidRPr="00CC61D8">
        <w:rPr>
          <w:spacing w:val="-6"/>
          <w:sz w:val="30"/>
          <w:szCs w:val="30"/>
        </w:rPr>
        <w:t>1</w:t>
      </w:r>
      <w:r w:rsidRPr="00CC61D8">
        <w:rPr>
          <w:rFonts w:hAnsi="標楷體"/>
          <w:spacing w:val="-6"/>
          <w:sz w:val="30"/>
          <w:szCs w:val="30"/>
        </w:rPr>
        <w:t>之錯誤解讀將認購權證之商品認定為應予毛額課稅之商品，實質導致無任何政策目的之寓禁於徵之效果，亦即</w:t>
      </w:r>
      <w:r w:rsidRPr="00741EC3">
        <w:rPr>
          <w:sz w:val="30"/>
          <w:szCs w:val="30"/>
        </w:rPr>
        <w:t>86</w:t>
      </w:r>
      <w:r w:rsidRPr="00741EC3">
        <w:rPr>
          <w:rFonts w:hAnsi="標楷體"/>
          <w:sz w:val="30"/>
          <w:szCs w:val="30"/>
        </w:rPr>
        <w:t>年函釋否認認購權證避險交易損失可於</w:t>
      </w:r>
      <w:r w:rsidRPr="00CC61D8">
        <w:rPr>
          <w:rFonts w:hAnsi="標楷體"/>
          <w:spacing w:val="-6"/>
          <w:sz w:val="30"/>
          <w:szCs w:val="30"/>
        </w:rPr>
        <w:t>權利金收入中扣除，乃係透過租稅手段介入金融市場之自由發展，形成與其他具有替代性質之金融商品之租稅上差別待遇，並無任</w:t>
      </w:r>
      <w:r w:rsidRPr="00741EC3">
        <w:rPr>
          <w:rFonts w:hAnsi="標楷體"/>
          <w:sz w:val="30"/>
          <w:szCs w:val="30"/>
        </w:rPr>
        <w:t>何合理正當理由，不僅違反租稅中立性原</w:t>
      </w:r>
      <w:r w:rsidRPr="00CC61D8">
        <w:rPr>
          <w:rFonts w:hAnsi="標楷體"/>
          <w:spacing w:val="-6"/>
          <w:sz w:val="30"/>
          <w:szCs w:val="30"/>
        </w:rPr>
        <w:t>則，亦與平等原則相違，更重要的是，會形成</w:t>
      </w:r>
      <w:r w:rsidRPr="00CC61D8">
        <w:rPr>
          <w:rFonts w:hAnsi="標楷體"/>
          <w:spacing w:val="-6"/>
          <w:sz w:val="30"/>
          <w:szCs w:val="30"/>
        </w:rPr>
        <w:lastRenderedPageBreak/>
        <w:t>過大之基本權侵害，而違反比例原則，相關影響鑒請　鈞院參酌。</w:t>
      </w:r>
    </w:p>
    <w:p w:rsidR="00514426" w:rsidRPr="007B5D03" w:rsidRDefault="00514426" w:rsidP="00FB2D5A">
      <w:pPr>
        <w:snapToGrid w:val="0"/>
        <w:spacing w:line="437" w:lineRule="exact"/>
        <w:ind w:left="3204" w:hanging="482"/>
        <w:rPr>
          <w:sz w:val="30"/>
          <w:szCs w:val="30"/>
        </w:rPr>
      </w:pPr>
      <w:r w:rsidRPr="007B5D03">
        <w:rPr>
          <w:sz w:val="30"/>
          <w:szCs w:val="30"/>
        </w:rPr>
        <w:t>b.</w:t>
      </w:r>
      <w:r w:rsidRPr="007B5D03">
        <w:rPr>
          <w:rFonts w:hAnsi="標楷體"/>
          <w:sz w:val="30"/>
          <w:szCs w:val="30"/>
        </w:rPr>
        <w:t>就第二種方式（停發權證）而言：</w:t>
      </w:r>
    </w:p>
    <w:p w:rsidR="00514426" w:rsidRPr="007B5D03" w:rsidRDefault="00514426" w:rsidP="00741EC3">
      <w:pPr>
        <w:snapToGrid w:val="0"/>
        <w:spacing w:line="437" w:lineRule="exact"/>
        <w:ind w:left="2920" w:firstLine="340"/>
        <w:rPr>
          <w:sz w:val="30"/>
          <w:szCs w:val="30"/>
        </w:rPr>
      </w:pPr>
      <w:r w:rsidRPr="00741EC3">
        <w:rPr>
          <w:rFonts w:hAnsi="標楷體"/>
          <w:spacing w:val="-6"/>
          <w:sz w:val="30"/>
          <w:szCs w:val="30"/>
        </w:rPr>
        <w:t>如前所述，最高行政法院確定判決所提出</w:t>
      </w:r>
      <w:r w:rsidRPr="007B5D03">
        <w:rPr>
          <w:rFonts w:hAnsi="標楷體"/>
          <w:sz w:val="30"/>
          <w:szCs w:val="30"/>
        </w:rPr>
        <w:t>之第一種因應財政部</w:t>
      </w:r>
      <w:r w:rsidRPr="007B5D03">
        <w:rPr>
          <w:sz w:val="30"/>
          <w:szCs w:val="30"/>
        </w:rPr>
        <w:t>86</w:t>
      </w:r>
      <w:r w:rsidRPr="007B5D03">
        <w:rPr>
          <w:rFonts w:hAnsi="標楷體"/>
          <w:sz w:val="30"/>
          <w:szCs w:val="30"/>
        </w:rPr>
        <w:t>年函釋課稅方式，</w:t>
      </w:r>
      <w:r w:rsidRPr="00741EC3">
        <w:rPr>
          <w:rFonts w:hAnsi="標楷體"/>
          <w:spacing w:val="-6"/>
          <w:sz w:val="30"/>
          <w:szCs w:val="30"/>
        </w:rPr>
        <w:t>並無實行可行性，因提高權利金方式仍是使得權證商品在客觀上退出市場，所以券商因</w:t>
      </w:r>
      <w:r w:rsidRPr="007B5D03">
        <w:rPr>
          <w:rFonts w:hAnsi="標楷體"/>
          <w:sz w:val="30"/>
          <w:szCs w:val="30"/>
        </w:rPr>
        <w:t>應財政部</w:t>
      </w:r>
      <w:r w:rsidRPr="007B5D03">
        <w:rPr>
          <w:sz w:val="30"/>
          <w:szCs w:val="30"/>
        </w:rPr>
        <w:t>86</w:t>
      </w:r>
      <w:r w:rsidRPr="007B5D03">
        <w:rPr>
          <w:rFonts w:hAnsi="標楷體"/>
          <w:sz w:val="30"/>
          <w:szCs w:val="30"/>
        </w:rPr>
        <w:t>年函釋之方式（如排除前述對修法溯及既往之期待或行政救濟會獲有利結果之因素）僅有選擇不發行權證一途。然券商因抗議權證課稅不公所爆發之權證市</w:t>
      </w:r>
      <w:r w:rsidRPr="00741EC3">
        <w:rPr>
          <w:rFonts w:hAnsi="標楷體"/>
          <w:spacing w:val="-6"/>
          <w:sz w:val="30"/>
          <w:szCs w:val="30"/>
        </w:rPr>
        <w:t>場停發事件，其影響可能不能僅單純從券商從事權證交易獲利之觀點來看，而是權證停發後所衍生之投資人、廠商無法使用權證市場避險或藉由權證以小博大之特性獲利，並</w:t>
      </w:r>
      <w:r w:rsidRPr="00BD0E80">
        <w:rPr>
          <w:rFonts w:hAnsi="標楷體"/>
          <w:spacing w:val="-6"/>
          <w:sz w:val="30"/>
          <w:szCs w:val="30"/>
        </w:rPr>
        <w:t>進而引發證券市場的萎縮；又據報載衍生性金融商品之人才培養不易，因權證停發而導致不少菁英轉至他國尋覓舞台，產生國內人</w:t>
      </w:r>
      <w:r w:rsidRPr="007B5D03">
        <w:rPr>
          <w:rFonts w:hAnsi="標楷體"/>
          <w:sz w:val="30"/>
          <w:szCs w:val="30"/>
        </w:rPr>
        <w:t>才流失之情形。這些非財政部</w:t>
      </w:r>
      <w:r w:rsidRPr="007B5D03">
        <w:rPr>
          <w:sz w:val="30"/>
          <w:szCs w:val="30"/>
        </w:rPr>
        <w:t>86</w:t>
      </w:r>
      <w:r w:rsidRPr="007B5D03">
        <w:rPr>
          <w:rFonts w:hAnsi="標楷體"/>
          <w:sz w:val="30"/>
          <w:szCs w:val="30"/>
        </w:rPr>
        <w:t>年函釋之</w:t>
      </w:r>
      <w:r w:rsidRPr="00BD0E80">
        <w:rPr>
          <w:rFonts w:hAnsi="標楷體"/>
          <w:spacing w:val="-6"/>
          <w:sz w:val="30"/>
          <w:szCs w:val="30"/>
        </w:rPr>
        <w:t>預定影響，牽涉到第三人之工作權或一般經濟上權利遭受侵害。況券商二度停發權證後又恢復權證之發行，並非意味券商從事權證</w:t>
      </w:r>
      <w:r w:rsidRPr="007B5D03">
        <w:rPr>
          <w:rFonts w:hAnsi="標楷體"/>
          <w:sz w:val="30"/>
          <w:szCs w:val="30"/>
        </w:rPr>
        <w:t>交易仍有獲利之可能性，毋寧是在當時財</w:t>
      </w:r>
      <w:r w:rsidRPr="00BD0E80">
        <w:rPr>
          <w:rFonts w:hAnsi="標楷體"/>
          <w:spacing w:val="-6"/>
          <w:sz w:val="30"/>
          <w:szCs w:val="30"/>
        </w:rPr>
        <w:t>政部及立法院已積極著手所得稅法修正案的氛圍中，券商對於增訂權證避險損失可列於</w:t>
      </w:r>
      <w:r w:rsidRPr="007B5D03">
        <w:rPr>
          <w:rFonts w:hAnsi="標楷體"/>
          <w:sz w:val="30"/>
          <w:szCs w:val="30"/>
        </w:rPr>
        <w:t>權利金收入項下扣除之規定及其溯及適用已</w:t>
      </w:r>
      <w:r w:rsidRPr="007B5D03">
        <w:rPr>
          <w:rFonts w:hAnsi="標楷體"/>
          <w:sz w:val="30"/>
          <w:szCs w:val="30"/>
        </w:rPr>
        <w:lastRenderedPageBreak/>
        <w:t>具有合理正當之期待，蓋所得稅法第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修正草案早於</w:t>
      </w:r>
      <w:r w:rsidRPr="007B5D03">
        <w:rPr>
          <w:sz w:val="30"/>
          <w:szCs w:val="30"/>
        </w:rPr>
        <w:t>92</w:t>
      </w:r>
      <w:r w:rsidRPr="007B5D03">
        <w:rPr>
          <w:rFonts w:hAnsi="標楷體"/>
          <w:sz w:val="30"/>
          <w:szCs w:val="30"/>
        </w:rPr>
        <w:t>年即已提案送立法院審查，即使後來因緣際會沒有通過，</w:t>
      </w:r>
      <w:r w:rsidRPr="007B5D03">
        <w:rPr>
          <w:sz w:val="30"/>
          <w:szCs w:val="30"/>
        </w:rPr>
        <w:t>96</w:t>
      </w:r>
      <w:r w:rsidRPr="007B5D03">
        <w:rPr>
          <w:rFonts w:hAnsi="標楷體"/>
          <w:sz w:val="30"/>
          <w:szCs w:val="30"/>
        </w:rPr>
        <w:t>年時立法院增訂所得稅法第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規定</w:t>
      </w:r>
      <w:r w:rsidRPr="00BD0E80">
        <w:rPr>
          <w:rFonts w:hAnsi="標楷體"/>
          <w:spacing w:val="-6"/>
          <w:sz w:val="30"/>
          <w:szCs w:val="30"/>
        </w:rPr>
        <w:t>時，在審查會中亦曾討論溯及適用所得稅法</w:t>
      </w:r>
      <w:r w:rsidRPr="007B5D03">
        <w:rPr>
          <w:rFonts w:hAnsi="標楷體"/>
          <w:sz w:val="30"/>
          <w:szCs w:val="30"/>
        </w:rPr>
        <w:t>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之可能性。而券商一方面為了</w:t>
      </w:r>
      <w:r w:rsidRPr="00BD0E80">
        <w:rPr>
          <w:rFonts w:hAnsi="標楷體"/>
          <w:spacing w:val="-6"/>
          <w:sz w:val="30"/>
          <w:szCs w:val="30"/>
        </w:rPr>
        <w:t>留住人才、維持正常營運，一方面對於即將</w:t>
      </w:r>
      <w:r w:rsidRPr="007B5D03">
        <w:rPr>
          <w:rFonts w:hAnsi="標楷體"/>
          <w:sz w:val="30"/>
          <w:szCs w:val="30"/>
        </w:rPr>
        <w:t>修正通過之所得稅法及其溯及適用有所期</w:t>
      </w:r>
      <w:r w:rsidRPr="00BD0E80">
        <w:rPr>
          <w:rFonts w:hAnsi="標楷體"/>
          <w:spacing w:val="-6"/>
          <w:sz w:val="30"/>
          <w:szCs w:val="30"/>
        </w:rPr>
        <w:t>待，是以恢復權證之發行對券商而言乃是不</w:t>
      </w:r>
      <w:r w:rsidRPr="007B5D03">
        <w:rPr>
          <w:rFonts w:hAnsi="標楷體"/>
          <w:sz w:val="30"/>
          <w:szCs w:val="30"/>
        </w:rPr>
        <w:t>得不為之選擇。再者，所得稅法第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嗣後於</w:t>
      </w:r>
      <w:smartTag w:uri="urn:schemas-microsoft-com:office:smarttags" w:element="chsdate">
        <w:smartTagPr>
          <w:attr w:name="IsROCDate" w:val="False"/>
          <w:attr w:name="IsLunarDate" w:val="False"/>
          <w:attr w:name="Day" w:val="22"/>
          <w:attr w:name="Month" w:val="6"/>
          <w:attr w:name="Year" w:val="1996"/>
        </w:smartTagPr>
        <w:r w:rsidRPr="007B5D03">
          <w:rPr>
            <w:sz w:val="30"/>
            <w:szCs w:val="30"/>
          </w:rPr>
          <w:t>96</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22</w:t>
        </w:r>
        <w:r w:rsidRPr="007B5D03">
          <w:rPr>
            <w:rFonts w:hAnsi="標楷體"/>
            <w:sz w:val="30"/>
            <w:szCs w:val="30"/>
          </w:rPr>
          <w:t>日</w:t>
        </w:r>
      </w:smartTag>
      <w:r w:rsidRPr="007B5D03">
        <w:rPr>
          <w:rFonts w:hAnsi="標楷體"/>
          <w:sz w:val="30"/>
          <w:szCs w:val="30"/>
        </w:rPr>
        <w:t>增訂，</w:t>
      </w:r>
      <w:smartTag w:uri="urn:schemas-microsoft-com:office:smarttags" w:element="chsdate">
        <w:smartTagPr>
          <w:attr w:name="IsROCDate" w:val="False"/>
          <w:attr w:name="IsLunarDate" w:val="False"/>
          <w:attr w:name="Day" w:val="11"/>
          <w:attr w:name="Month" w:val="7"/>
          <w:attr w:name="Year" w:val="1996"/>
        </w:smartTagPr>
        <w:r w:rsidRPr="007B5D03">
          <w:rPr>
            <w:sz w:val="30"/>
            <w:szCs w:val="30"/>
          </w:rPr>
          <w:t>96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施行，最後並未有溯及適用之條款，因此在所得稅法第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規定修正前，財政部</w:t>
      </w:r>
      <w:r w:rsidRPr="007B5D03">
        <w:rPr>
          <w:sz w:val="30"/>
          <w:szCs w:val="30"/>
        </w:rPr>
        <w:t>86</w:t>
      </w:r>
      <w:r w:rsidRPr="007B5D03">
        <w:rPr>
          <w:rFonts w:hAnsi="標楷體"/>
          <w:sz w:val="30"/>
          <w:szCs w:val="30"/>
        </w:rPr>
        <w:t>年函釋對券商產生之衝擊及影響仍然存在，吾人即不得藉口所得稅第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已然修正，而忽視財政部</w:t>
      </w:r>
      <w:r w:rsidRPr="007B5D03">
        <w:rPr>
          <w:sz w:val="30"/>
          <w:szCs w:val="30"/>
        </w:rPr>
        <w:t>86</w:t>
      </w:r>
      <w:r w:rsidRPr="007B5D03">
        <w:rPr>
          <w:rFonts w:hAnsi="標楷體"/>
          <w:sz w:val="30"/>
          <w:szCs w:val="30"/>
        </w:rPr>
        <w:t>年函釋在客觀上會形成強迫券商退出權證市場之副</w:t>
      </w:r>
      <w:r w:rsidRPr="00BD0E80">
        <w:rPr>
          <w:rFonts w:hAnsi="標楷體"/>
          <w:spacing w:val="12"/>
          <w:sz w:val="30"/>
          <w:szCs w:val="30"/>
        </w:rPr>
        <w:t>作用（亦即應排除修法等其他因素之考</w:t>
      </w:r>
      <w:r w:rsidRPr="007B5D03">
        <w:rPr>
          <w:rFonts w:hAnsi="標楷體"/>
          <w:sz w:val="30"/>
          <w:szCs w:val="30"/>
        </w:rPr>
        <w:t>量），亦請　鈞院斟酌。況且權證繼續發售</w:t>
      </w:r>
      <w:r w:rsidRPr="00541168">
        <w:rPr>
          <w:rFonts w:hAnsi="標楷體"/>
          <w:spacing w:val="-6"/>
          <w:sz w:val="30"/>
          <w:szCs w:val="30"/>
        </w:rPr>
        <w:t>才是對國家稅收有正面之助益，而非以財政</w:t>
      </w:r>
      <w:r w:rsidRPr="007B5D03">
        <w:rPr>
          <w:rFonts w:hAnsi="標楷體"/>
          <w:sz w:val="30"/>
          <w:szCs w:val="30"/>
        </w:rPr>
        <w:t>部</w:t>
      </w:r>
      <w:r w:rsidRPr="007B5D03">
        <w:rPr>
          <w:sz w:val="30"/>
          <w:szCs w:val="30"/>
        </w:rPr>
        <w:t>86</w:t>
      </w:r>
      <w:r w:rsidRPr="007B5D03">
        <w:rPr>
          <w:rFonts w:hAnsi="標楷體"/>
          <w:sz w:val="30"/>
          <w:szCs w:val="30"/>
        </w:rPr>
        <w:t>年函釋方式課徵稅負真的會有利國庫</w:t>
      </w:r>
      <w:r w:rsidRPr="00541168">
        <w:rPr>
          <w:rFonts w:hAnsi="標楷體"/>
          <w:spacing w:val="-6"/>
          <w:sz w:val="30"/>
          <w:szCs w:val="30"/>
        </w:rPr>
        <w:t>收入，據前開新聞資料顯示，權證停發將影</w:t>
      </w:r>
      <w:r w:rsidRPr="007B5D03">
        <w:rPr>
          <w:rFonts w:hAnsi="標楷體"/>
          <w:sz w:val="30"/>
          <w:szCs w:val="30"/>
        </w:rPr>
        <w:t>響國家每年</w:t>
      </w:r>
      <w:r w:rsidRPr="007B5D03">
        <w:rPr>
          <w:sz w:val="30"/>
          <w:szCs w:val="30"/>
        </w:rPr>
        <w:t>50</w:t>
      </w:r>
      <w:r w:rsidRPr="007B5D03">
        <w:rPr>
          <w:rFonts w:hAnsi="標楷體"/>
          <w:sz w:val="30"/>
          <w:szCs w:val="30"/>
        </w:rPr>
        <w:t>億元之稅收，而財政部統計</w:t>
      </w:r>
      <w:r w:rsidRPr="007B5D03">
        <w:rPr>
          <w:sz w:val="30"/>
          <w:szCs w:val="30"/>
        </w:rPr>
        <w:t>96</w:t>
      </w:r>
      <w:r w:rsidRPr="007B5D03">
        <w:rPr>
          <w:rFonts w:hAnsi="標楷體"/>
          <w:sz w:val="30"/>
          <w:szCs w:val="30"/>
        </w:rPr>
        <w:t>年修法前之權證案件，以財政部</w:t>
      </w:r>
      <w:r w:rsidRPr="007B5D03">
        <w:rPr>
          <w:sz w:val="30"/>
          <w:szCs w:val="30"/>
        </w:rPr>
        <w:t>86</w:t>
      </w:r>
      <w:r w:rsidRPr="007B5D03">
        <w:rPr>
          <w:rFonts w:hAnsi="標楷體"/>
          <w:sz w:val="30"/>
          <w:szCs w:val="30"/>
        </w:rPr>
        <w:t>年函</w:t>
      </w:r>
      <w:r w:rsidRPr="00541168">
        <w:rPr>
          <w:rFonts w:hAnsi="標楷體"/>
          <w:spacing w:val="-6"/>
          <w:sz w:val="30"/>
          <w:szCs w:val="30"/>
        </w:rPr>
        <w:t>釋所能多課徵之稅捐為</w:t>
      </w:r>
      <w:r w:rsidRPr="00541168">
        <w:rPr>
          <w:spacing w:val="-6"/>
          <w:sz w:val="30"/>
          <w:szCs w:val="30"/>
        </w:rPr>
        <w:t>100</w:t>
      </w:r>
      <w:r w:rsidRPr="00541168">
        <w:rPr>
          <w:rFonts w:hAnsi="標楷體"/>
          <w:spacing w:val="-6"/>
          <w:sz w:val="30"/>
          <w:szCs w:val="30"/>
        </w:rPr>
        <w:t>多億元，當初財</w:t>
      </w:r>
      <w:r w:rsidRPr="007B5D03">
        <w:rPr>
          <w:rFonts w:hAnsi="標楷體"/>
          <w:sz w:val="30"/>
          <w:szCs w:val="30"/>
        </w:rPr>
        <w:t>政部底限為同意</w:t>
      </w:r>
      <w:r w:rsidRPr="007B5D03">
        <w:rPr>
          <w:sz w:val="30"/>
          <w:szCs w:val="30"/>
        </w:rPr>
        <w:t>92</w:t>
      </w:r>
      <w:r w:rsidRPr="007B5D03">
        <w:rPr>
          <w:rFonts w:hAnsi="標楷體"/>
          <w:sz w:val="30"/>
          <w:szCs w:val="30"/>
        </w:rPr>
        <w:t>年以後之權證案件追溯適用，亦即願意放棄</w:t>
      </w:r>
      <w:r w:rsidRPr="007B5D03">
        <w:rPr>
          <w:sz w:val="30"/>
          <w:szCs w:val="30"/>
        </w:rPr>
        <w:t>6</w:t>
      </w:r>
      <w:r w:rsidRPr="007B5D03">
        <w:rPr>
          <w:rFonts w:hAnsi="標楷體"/>
          <w:sz w:val="30"/>
          <w:szCs w:val="30"/>
        </w:rPr>
        <w:t>、</w:t>
      </w:r>
      <w:r w:rsidRPr="007B5D03">
        <w:rPr>
          <w:sz w:val="30"/>
          <w:szCs w:val="30"/>
        </w:rPr>
        <w:lastRenderedPageBreak/>
        <w:t>70</w:t>
      </w:r>
      <w:r w:rsidRPr="007B5D03">
        <w:rPr>
          <w:rFonts w:hAnsi="標楷體"/>
          <w:sz w:val="30"/>
          <w:szCs w:val="30"/>
        </w:rPr>
        <w:t>億元之稅收（附</w:t>
      </w:r>
      <w:r w:rsidRPr="00541168">
        <w:rPr>
          <w:rFonts w:hAnsi="標楷體"/>
          <w:spacing w:val="6"/>
          <w:sz w:val="30"/>
          <w:szCs w:val="30"/>
        </w:rPr>
        <w:t>件</w:t>
      </w:r>
      <w:r w:rsidRPr="00541168">
        <w:rPr>
          <w:spacing w:val="6"/>
          <w:sz w:val="30"/>
          <w:szCs w:val="30"/>
        </w:rPr>
        <w:t>30</w:t>
      </w:r>
      <w:r w:rsidRPr="00541168">
        <w:rPr>
          <w:rFonts w:hAnsi="標楷體"/>
          <w:spacing w:val="6"/>
          <w:sz w:val="30"/>
          <w:szCs w:val="30"/>
        </w:rPr>
        <w:t>，立法院公報第</w:t>
      </w:r>
      <w:r w:rsidRPr="00541168">
        <w:rPr>
          <w:spacing w:val="6"/>
          <w:sz w:val="30"/>
          <w:szCs w:val="30"/>
        </w:rPr>
        <w:t>94</w:t>
      </w:r>
      <w:r w:rsidRPr="00541168">
        <w:rPr>
          <w:rFonts w:hAnsi="標楷體"/>
          <w:spacing w:val="6"/>
          <w:sz w:val="30"/>
          <w:szCs w:val="30"/>
        </w:rPr>
        <w:t>卷第</w:t>
      </w:r>
      <w:r w:rsidRPr="00541168">
        <w:rPr>
          <w:spacing w:val="6"/>
          <w:sz w:val="30"/>
          <w:szCs w:val="30"/>
        </w:rPr>
        <w:t>62</w:t>
      </w:r>
      <w:r w:rsidRPr="00541168">
        <w:rPr>
          <w:rFonts w:hAnsi="標楷體"/>
          <w:spacing w:val="6"/>
          <w:sz w:val="30"/>
          <w:szCs w:val="30"/>
        </w:rPr>
        <w:t>期，頁</w:t>
      </w:r>
      <w:r w:rsidRPr="007B5D03">
        <w:rPr>
          <w:sz w:val="30"/>
          <w:szCs w:val="30"/>
        </w:rPr>
        <w:t>313</w:t>
      </w:r>
      <w:r w:rsidRPr="007B5D03">
        <w:rPr>
          <w:rFonts w:hAnsi="標楷體"/>
          <w:sz w:val="30"/>
          <w:szCs w:val="30"/>
        </w:rPr>
        <w:t>），可見財政部</w:t>
      </w:r>
      <w:r w:rsidRPr="007B5D03">
        <w:rPr>
          <w:sz w:val="30"/>
          <w:szCs w:val="30"/>
        </w:rPr>
        <w:t>86</w:t>
      </w:r>
      <w:r w:rsidRPr="007B5D03">
        <w:rPr>
          <w:rFonts w:hAnsi="標楷體"/>
          <w:sz w:val="30"/>
          <w:szCs w:val="30"/>
        </w:rPr>
        <w:t>年函釋不必然能帶來</w:t>
      </w:r>
      <w:r w:rsidRPr="00541168">
        <w:rPr>
          <w:rFonts w:hAnsi="標楷體"/>
          <w:spacing w:val="-6"/>
          <w:sz w:val="30"/>
          <w:szCs w:val="30"/>
        </w:rPr>
        <w:t>如其所預定之稅收效果，如因此引發券商停發權證之稅額影響數，恐怕此種副作用不得</w:t>
      </w:r>
      <w:r w:rsidRPr="007B5D03">
        <w:rPr>
          <w:rFonts w:hAnsi="標楷體"/>
          <w:sz w:val="30"/>
          <w:szCs w:val="30"/>
        </w:rPr>
        <w:t>不加以納入考量。</w:t>
      </w:r>
    </w:p>
    <w:p w:rsidR="00514426" w:rsidRPr="007B5D03" w:rsidRDefault="00514426" w:rsidP="009B13DC">
      <w:pPr>
        <w:snapToGrid w:val="0"/>
        <w:spacing w:line="437" w:lineRule="exact"/>
        <w:ind w:left="2637" w:hanging="482"/>
        <w:rPr>
          <w:b/>
          <w:sz w:val="30"/>
          <w:szCs w:val="30"/>
        </w:rPr>
      </w:pPr>
      <w:r w:rsidRPr="007B5D03">
        <w:rPr>
          <w:sz w:val="30"/>
          <w:szCs w:val="30"/>
        </w:rPr>
        <w:t>G</w:t>
      </w:r>
      <w:r w:rsidRPr="007B5D03">
        <w:rPr>
          <w:rFonts w:hAnsi="標楷體" w:hint="eastAsia"/>
          <w:sz w:val="30"/>
          <w:szCs w:val="30"/>
        </w:rPr>
        <w:t>、</w:t>
      </w:r>
      <w:r w:rsidRPr="007B5D03">
        <w:rPr>
          <w:rFonts w:hAnsi="標楷體"/>
          <w:sz w:val="30"/>
          <w:szCs w:val="30"/>
        </w:rPr>
        <w:t>承上，財政部</w:t>
      </w:r>
      <w:r w:rsidRPr="007B5D03">
        <w:rPr>
          <w:sz w:val="30"/>
          <w:szCs w:val="30"/>
        </w:rPr>
        <w:t>86</w:t>
      </w:r>
      <w:r w:rsidRPr="007B5D03">
        <w:rPr>
          <w:rFonts w:hAnsi="標楷體"/>
          <w:sz w:val="30"/>
          <w:szCs w:val="30"/>
        </w:rPr>
        <w:t>年函釋既尋無一個正當化之公益理由，如僅以財政考量為依據，似又非其制定時之本意，縱有達成多課徵稅捐之結果，但考量前述反而產生權證停發之稅收減少的副作用，恐怕財政收入之公益正當性沒有如表面看來的那麼大，而且財政部當初底限係願意放棄財政部</w:t>
      </w:r>
      <w:r w:rsidRPr="007B5D03">
        <w:rPr>
          <w:sz w:val="30"/>
          <w:szCs w:val="30"/>
        </w:rPr>
        <w:t>86</w:t>
      </w:r>
      <w:r w:rsidRPr="007B5D03">
        <w:rPr>
          <w:rFonts w:hAnsi="標楷體"/>
          <w:sz w:val="30"/>
          <w:szCs w:val="30"/>
        </w:rPr>
        <w:t>年函釋多課徵稅收之半數以上，所以財政部</w:t>
      </w:r>
      <w:r w:rsidRPr="007B5D03">
        <w:rPr>
          <w:sz w:val="30"/>
          <w:szCs w:val="30"/>
        </w:rPr>
        <w:t>86</w:t>
      </w:r>
      <w:r w:rsidRPr="007B5D03">
        <w:rPr>
          <w:rFonts w:hAnsi="標楷體"/>
          <w:sz w:val="30"/>
          <w:szCs w:val="30"/>
        </w:rPr>
        <w:t>年函釋如真有增加</w:t>
      </w:r>
      <w:r w:rsidRPr="00A207F1">
        <w:rPr>
          <w:rFonts w:hAnsi="標楷體"/>
          <w:spacing w:val="6"/>
          <w:sz w:val="30"/>
          <w:szCs w:val="30"/>
        </w:rPr>
        <w:t>財政收入之公益理由，其正當性亦不甚堅</w:t>
      </w:r>
      <w:r w:rsidRPr="007B5D03">
        <w:rPr>
          <w:rFonts w:hAnsi="標楷體"/>
          <w:sz w:val="30"/>
          <w:szCs w:val="30"/>
        </w:rPr>
        <w:t>強，也是因此之故，財政部與立法院才會將此課稅爭議，亦即財政部與立法院放棄對修法前之權證課稅之法秩序予以決策，而係交由　鈞院定奪。退萬步言，縱認為財政部</w:t>
      </w:r>
      <w:r w:rsidRPr="007B5D03">
        <w:rPr>
          <w:sz w:val="30"/>
          <w:szCs w:val="30"/>
        </w:rPr>
        <w:t>86</w:t>
      </w:r>
      <w:r w:rsidRPr="007B5D03">
        <w:rPr>
          <w:rFonts w:hAnsi="標楷體"/>
          <w:sz w:val="30"/>
          <w:szCs w:val="30"/>
        </w:rPr>
        <w:t>年函釋帶有增加財政收入之公益目的，但其對財產基本權、營業自由之侵害效果，誠難</w:t>
      </w:r>
      <w:r w:rsidRPr="00A207F1">
        <w:rPr>
          <w:rFonts w:hAnsi="標楷體"/>
          <w:spacing w:val="6"/>
          <w:sz w:val="30"/>
          <w:szCs w:val="30"/>
        </w:rPr>
        <w:t>謂不重大，更變相發生阻礙新投資商品發</w:t>
      </w:r>
      <w:r w:rsidRPr="007B5D03">
        <w:rPr>
          <w:rFonts w:hAnsi="標楷體"/>
          <w:sz w:val="30"/>
          <w:szCs w:val="30"/>
        </w:rPr>
        <w:t>行、活絡金融市場、衍生性金融商品人才在國內之工作權受限及產生停發權證之相關副作用等，顯然可以認定財政部</w:t>
      </w:r>
      <w:r w:rsidRPr="007B5D03">
        <w:rPr>
          <w:sz w:val="30"/>
          <w:szCs w:val="30"/>
        </w:rPr>
        <w:t>86</w:t>
      </w:r>
      <w:r w:rsidRPr="007B5D03">
        <w:rPr>
          <w:rFonts w:hAnsi="標楷體"/>
          <w:sz w:val="30"/>
          <w:szCs w:val="30"/>
        </w:rPr>
        <w:t>年函釋之公益理由絕對不足以支持其手段所生之損害，其與狹義比例原則嚴重背離，至為明顯。</w:t>
      </w:r>
    </w:p>
    <w:p w:rsidR="00514426" w:rsidRPr="00A207F1" w:rsidRDefault="00514426" w:rsidP="00FB2D5A">
      <w:pPr>
        <w:snapToGrid w:val="0"/>
        <w:spacing w:line="437" w:lineRule="exact"/>
        <w:ind w:left="1616" w:hanging="936"/>
        <w:rPr>
          <w:spacing w:val="6"/>
          <w:sz w:val="30"/>
          <w:szCs w:val="30"/>
        </w:rPr>
      </w:pPr>
      <w:r w:rsidRPr="00A207F1">
        <w:rPr>
          <w:rFonts w:hAnsi="標楷體"/>
          <w:spacing w:val="6"/>
          <w:sz w:val="30"/>
          <w:szCs w:val="30"/>
        </w:rPr>
        <w:lastRenderedPageBreak/>
        <w:t>（二）</w:t>
      </w:r>
      <w:r w:rsidRPr="00A207F1">
        <w:rPr>
          <w:spacing w:val="6"/>
          <w:sz w:val="30"/>
          <w:szCs w:val="30"/>
        </w:rPr>
        <w:t>62</w:t>
      </w:r>
      <w:r w:rsidRPr="00A207F1">
        <w:rPr>
          <w:rFonts w:hAnsi="標楷體"/>
          <w:spacing w:val="6"/>
          <w:sz w:val="30"/>
          <w:szCs w:val="30"/>
        </w:rPr>
        <w:t>年判例（爭點主義）違憲部分</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1.</w:t>
      </w:r>
      <w:r w:rsidRPr="007B5D03">
        <w:rPr>
          <w:rFonts w:hAnsi="標楷體"/>
          <w:sz w:val="30"/>
          <w:szCs w:val="30"/>
        </w:rPr>
        <w:t>最高行政法院確定判決所採之爭點主義係實質援用</w:t>
      </w:r>
      <w:r w:rsidRPr="007B5D03">
        <w:rPr>
          <w:sz w:val="30"/>
          <w:szCs w:val="30"/>
        </w:rPr>
        <w:t>62</w:t>
      </w:r>
      <w:r w:rsidRPr="007B5D03">
        <w:rPr>
          <w:rFonts w:hAnsi="標楷體"/>
          <w:sz w:val="30"/>
          <w:szCs w:val="30"/>
        </w:rPr>
        <w:t>年判例</w:t>
      </w:r>
    </w:p>
    <w:p w:rsidR="00514426" w:rsidRPr="007B5D03" w:rsidRDefault="00514426" w:rsidP="005F1F32">
      <w:pPr>
        <w:snapToGrid w:val="0"/>
        <w:spacing w:line="437" w:lineRule="exact"/>
        <w:ind w:left="2354" w:hanging="369"/>
        <w:rPr>
          <w:sz w:val="30"/>
          <w:szCs w:val="30"/>
        </w:rPr>
      </w:pPr>
      <w:r w:rsidRPr="007B5D03">
        <w:rPr>
          <w:rFonts w:hAnsi="標楷體" w:hint="eastAsia"/>
          <w:sz w:val="30"/>
          <w:szCs w:val="30"/>
        </w:rPr>
        <w:t>(1)</w:t>
      </w:r>
      <w:r w:rsidRPr="007B5D03">
        <w:rPr>
          <w:rFonts w:hAnsi="標楷體"/>
          <w:sz w:val="30"/>
          <w:szCs w:val="30"/>
        </w:rPr>
        <w:t>依前述釋憲客體重要關聯性理論及　鈞院釋字</w:t>
      </w:r>
      <w:r w:rsidRPr="005F1F32">
        <w:rPr>
          <w:rFonts w:hAnsi="標楷體"/>
          <w:spacing w:val="-6"/>
          <w:sz w:val="30"/>
          <w:szCs w:val="30"/>
        </w:rPr>
        <w:t>第</w:t>
      </w:r>
      <w:r w:rsidRPr="005F1F32">
        <w:rPr>
          <w:spacing w:val="-6"/>
          <w:sz w:val="30"/>
          <w:szCs w:val="30"/>
        </w:rPr>
        <w:t>569</w:t>
      </w:r>
      <w:r w:rsidRPr="005F1F32">
        <w:rPr>
          <w:rFonts w:hAnsi="標楷體"/>
          <w:spacing w:val="-6"/>
          <w:sz w:val="30"/>
          <w:szCs w:val="30"/>
        </w:rPr>
        <w:t>號解釋理由書，最高行政法院確定判決既</w:t>
      </w:r>
      <w:r w:rsidRPr="007B5D03">
        <w:rPr>
          <w:rFonts w:hAnsi="標楷體"/>
          <w:sz w:val="30"/>
          <w:szCs w:val="30"/>
        </w:rPr>
        <w:t>然將「爭點主義」作為法令加以援用，有關與爭點主義重要關聯性之</w:t>
      </w:r>
      <w:r w:rsidRPr="007B5D03">
        <w:rPr>
          <w:sz w:val="30"/>
          <w:szCs w:val="30"/>
        </w:rPr>
        <w:t>62</w:t>
      </w:r>
      <w:r w:rsidRPr="007B5D03">
        <w:rPr>
          <w:rFonts w:hAnsi="標楷體"/>
          <w:sz w:val="30"/>
          <w:szCs w:val="30"/>
        </w:rPr>
        <w:t>年判例，自得為本件之</w:t>
      </w:r>
      <w:r w:rsidRPr="005F1F32">
        <w:rPr>
          <w:rFonts w:hAnsi="標楷體"/>
          <w:spacing w:val="-6"/>
          <w:sz w:val="30"/>
          <w:szCs w:val="30"/>
        </w:rPr>
        <w:t>釋憲標的，蓋在我國法院審判實務上對爭點主義</w:t>
      </w:r>
      <w:r w:rsidRPr="007B5D03">
        <w:rPr>
          <w:rFonts w:hAnsi="標楷體"/>
          <w:sz w:val="30"/>
          <w:szCs w:val="30"/>
        </w:rPr>
        <w:t>之適用係由來於該判例，例如：</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5F1F32">
        <w:rPr>
          <w:rFonts w:hAnsi="標楷體"/>
          <w:spacing w:val="-12"/>
          <w:sz w:val="30"/>
          <w:szCs w:val="30"/>
        </w:rPr>
        <w:t>最高行政法院</w:t>
      </w:r>
      <w:r w:rsidRPr="005F1F32">
        <w:rPr>
          <w:spacing w:val="-12"/>
          <w:sz w:val="30"/>
          <w:szCs w:val="30"/>
        </w:rPr>
        <w:t>97</w:t>
      </w:r>
      <w:r w:rsidRPr="005F1F32">
        <w:rPr>
          <w:rFonts w:hAnsi="標楷體"/>
          <w:spacing w:val="-12"/>
          <w:sz w:val="30"/>
          <w:szCs w:val="30"/>
        </w:rPr>
        <w:t>年</w:t>
      </w:r>
      <w:r w:rsidRPr="005F1F32">
        <w:rPr>
          <w:rFonts w:hAnsi="標楷體" w:hint="eastAsia"/>
          <w:spacing w:val="-12"/>
          <w:sz w:val="30"/>
          <w:szCs w:val="30"/>
        </w:rPr>
        <w:t>度</w:t>
      </w:r>
      <w:r w:rsidRPr="005F1F32">
        <w:rPr>
          <w:rFonts w:hAnsi="標楷體"/>
          <w:spacing w:val="-12"/>
          <w:sz w:val="30"/>
          <w:szCs w:val="30"/>
        </w:rPr>
        <w:t>判字第</w:t>
      </w:r>
      <w:r w:rsidRPr="005F1F32">
        <w:rPr>
          <w:spacing w:val="-12"/>
          <w:sz w:val="30"/>
          <w:szCs w:val="30"/>
        </w:rPr>
        <w:t>1075</w:t>
      </w:r>
      <w:r w:rsidRPr="005F1F32">
        <w:rPr>
          <w:rFonts w:hAnsi="標楷體"/>
          <w:spacing w:val="-12"/>
          <w:sz w:val="30"/>
          <w:szCs w:val="30"/>
        </w:rPr>
        <w:t>號判決：「我</w:t>
      </w:r>
      <w:r w:rsidRPr="007B5D03">
        <w:rPr>
          <w:rFonts w:hAnsi="標楷體"/>
          <w:sz w:val="30"/>
          <w:szCs w:val="30"/>
        </w:rPr>
        <w:t>國訴訟實務，就租稅行政救濟之訴訟標的係採爭點主義，不採總額主義（本院</w:t>
      </w:r>
      <w:r w:rsidRPr="007B5D03">
        <w:rPr>
          <w:sz w:val="30"/>
          <w:szCs w:val="30"/>
        </w:rPr>
        <w:t>62</w:t>
      </w:r>
      <w:r w:rsidRPr="007B5D03">
        <w:rPr>
          <w:rFonts w:hAnsi="標楷體"/>
          <w:sz w:val="30"/>
          <w:szCs w:val="30"/>
        </w:rPr>
        <w:t>年判字第</w:t>
      </w:r>
      <w:r w:rsidRPr="007B5D03">
        <w:rPr>
          <w:sz w:val="30"/>
          <w:szCs w:val="30"/>
        </w:rPr>
        <w:t>96</w:t>
      </w:r>
      <w:r w:rsidRPr="007B5D03">
        <w:rPr>
          <w:rFonts w:hAnsi="標楷體"/>
          <w:sz w:val="30"/>
          <w:szCs w:val="30"/>
        </w:rPr>
        <w:t>號判例參照）」</w:t>
      </w:r>
      <w:r w:rsidRPr="007B5D03">
        <w:rPr>
          <w:rFonts w:hAnsi="標楷體" w:hint="eastAsia"/>
          <w:sz w:val="30"/>
          <w:szCs w:val="30"/>
        </w:rPr>
        <w:t>。</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5F1F32">
        <w:rPr>
          <w:rFonts w:hAnsi="標楷體"/>
          <w:spacing w:val="-6"/>
          <w:sz w:val="30"/>
          <w:szCs w:val="30"/>
        </w:rPr>
        <w:t>最高行政法院</w:t>
      </w:r>
      <w:r w:rsidRPr="005F1F32">
        <w:rPr>
          <w:spacing w:val="-6"/>
          <w:sz w:val="30"/>
          <w:szCs w:val="30"/>
        </w:rPr>
        <w:t>97</w:t>
      </w:r>
      <w:r w:rsidRPr="005F1F32">
        <w:rPr>
          <w:rFonts w:hAnsi="標楷體"/>
          <w:spacing w:val="-6"/>
          <w:sz w:val="30"/>
          <w:szCs w:val="30"/>
        </w:rPr>
        <w:t>年度判</w:t>
      </w:r>
      <w:r w:rsidRPr="005F1F32">
        <w:rPr>
          <w:rFonts w:hAnsi="標楷體" w:hint="eastAsia"/>
          <w:spacing w:val="-6"/>
          <w:sz w:val="30"/>
          <w:szCs w:val="30"/>
        </w:rPr>
        <w:t>字</w:t>
      </w:r>
      <w:r w:rsidRPr="005F1F32">
        <w:rPr>
          <w:rFonts w:hAnsi="標楷體"/>
          <w:spacing w:val="-6"/>
          <w:sz w:val="30"/>
          <w:szCs w:val="30"/>
        </w:rPr>
        <w:t>第</w:t>
      </w:r>
      <w:r w:rsidRPr="005F1F32">
        <w:rPr>
          <w:spacing w:val="-6"/>
          <w:sz w:val="30"/>
          <w:szCs w:val="30"/>
        </w:rPr>
        <w:t>618</w:t>
      </w:r>
      <w:r w:rsidRPr="005F1F32">
        <w:rPr>
          <w:rFonts w:hAnsi="標楷體"/>
          <w:spacing w:val="-6"/>
          <w:sz w:val="30"/>
          <w:szCs w:val="30"/>
        </w:rPr>
        <w:t>號判決：「至</w:t>
      </w:r>
      <w:r w:rsidRPr="007B5D03">
        <w:rPr>
          <w:rFonts w:hAnsi="標楷體"/>
          <w:sz w:val="30"/>
          <w:szCs w:val="30"/>
        </w:rPr>
        <w:t>於其餘部分，查對於租稅爭訟事件係採爭點</w:t>
      </w:r>
      <w:r w:rsidRPr="005F1F32">
        <w:rPr>
          <w:rFonts w:hAnsi="標楷體"/>
          <w:spacing w:val="6"/>
          <w:sz w:val="30"/>
          <w:szCs w:val="30"/>
        </w:rPr>
        <w:t>主義，業經本院著有</w:t>
      </w:r>
      <w:r w:rsidRPr="005F1F32">
        <w:rPr>
          <w:spacing w:val="6"/>
          <w:sz w:val="30"/>
          <w:szCs w:val="30"/>
        </w:rPr>
        <w:t>62</w:t>
      </w:r>
      <w:r w:rsidRPr="005F1F32">
        <w:rPr>
          <w:rFonts w:hAnsi="標楷體"/>
          <w:spacing w:val="6"/>
          <w:sz w:val="30"/>
          <w:szCs w:val="30"/>
        </w:rPr>
        <w:t>年判字第</w:t>
      </w:r>
      <w:r w:rsidRPr="005F1F32">
        <w:rPr>
          <w:spacing w:val="6"/>
          <w:sz w:val="30"/>
          <w:szCs w:val="30"/>
        </w:rPr>
        <w:t>96</w:t>
      </w:r>
      <w:r w:rsidRPr="005F1F32">
        <w:rPr>
          <w:rFonts w:hAnsi="標楷體"/>
          <w:spacing w:val="6"/>
          <w:sz w:val="30"/>
          <w:szCs w:val="30"/>
        </w:rPr>
        <w:t>號判例</w:t>
      </w:r>
      <w:r w:rsidRPr="007B5D03">
        <w:rPr>
          <w:rFonts w:hAnsi="標楷體"/>
          <w:sz w:val="30"/>
          <w:szCs w:val="30"/>
        </w:rPr>
        <w:t>可參，而上訴理由狀所載，無非重述為原審所不採之主張，執其主觀歧異之見解，指摘原判決採用爭點主義為不適用法規或適用不當云云，請求廢棄原判決，其該部分上訴即為無理由，應予駁回。」</w:t>
      </w:r>
    </w:p>
    <w:p w:rsidR="00514426" w:rsidRPr="007B5D03" w:rsidRDefault="00514426" w:rsidP="009B13DC">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5F1F32">
        <w:rPr>
          <w:rFonts w:hAnsi="標楷體"/>
          <w:spacing w:val="-6"/>
          <w:sz w:val="30"/>
          <w:szCs w:val="30"/>
        </w:rPr>
        <w:t>最高行政法院</w:t>
      </w:r>
      <w:r w:rsidRPr="005F1F32">
        <w:rPr>
          <w:spacing w:val="-6"/>
          <w:sz w:val="30"/>
          <w:szCs w:val="30"/>
        </w:rPr>
        <w:t>97</w:t>
      </w:r>
      <w:r w:rsidRPr="005F1F32">
        <w:rPr>
          <w:rFonts w:hAnsi="標楷體"/>
          <w:spacing w:val="-6"/>
          <w:sz w:val="30"/>
          <w:szCs w:val="30"/>
        </w:rPr>
        <w:t>年度判字第</w:t>
      </w:r>
      <w:r w:rsidRPr="005F1F32">
        <w:rPr>
          <w:spacing w:val="-6"/>
          <w:sz w:val="30"/>
          <w:szCs w:val="30"/>
        </w:rPr>
        <w:t>391</w:t>
      </w:r>
      <w:r w:rsidRPr="005F1F32">
        <w:rPr>
          <w:rFonts w:hAnsi="標楷體"/>
          <w:spacing w:val="-6"/>
          <w:sz w:val="30"/>
          <w:szCs w:val="30"/>
        </w:rPr>
        <w:t>號判決：「又</w:t>
      </w:r>
      <w:r w:rsidRPr="007B5D03">
        <w:rPr>
          <w:rFonts w:hAnsi="標楷體"/>
          <w:sz w:val="30"/>
          <w:szCs w:val="30"/>
        </w:rPr>
        <w:t>「行為時適用之所得稅法第</w:t>
      </w:r>
      <w:r w:rsidRPr="007B5D03">
        <w:rPr>
          <w:sz w:val="30"/>
          <w:szCs w:val="30"/>
        </w:rPr>
        <w:t>82</w:t>
      </w:r>
      <w:r w:rsidRPr="007B5D03">
        <w:rPr>
          <w:rFonts w:hAnsi="標楷體"/>
          <w:sz w:val="30"/>
          <w:szCs w:val="30"/>
        </w:rPr>
        <w:t>條第</w:t>
      </w:r>
      <w:r w:rsidRPr="007B5D03">
        <w:rPr>
          <w:sz w:val="30"/>
          <w:szCs w:val="30"/>
        </w:rPr>
        <w:t>1</w:t>
      </w:r>
      <w:r w:rsidRPr="007B5D03">
        <w:rPr>
          <w:rFonts w:hAnsi="標楷體"/>
          <w:sz w:val="30"/>
          <w:szCs w:val="30"/>
        </w:rPr>
        <w:t>項規定之申請復查，為提起訴願以前必先踐行之程序。若不經過復查而逕為行政爭訟，即非法</w:t>
      </w:r>
      <w:r w:rsidRPr="005F1F32">
        <w:rPr>
          <w:rFonts w:hAnsi="標楷體"/>
          <w:spacing w:val="6"/>
          <w:sz w:val="30"/>
          <w:szCs w:val="30"/>
        </w:rPr>
        <w:t>之所許。」（本院</w:t>
      </w:r>
      <w:r w:rsidRPr="005F1F32">
        <w:rPr>
          <w:spacing w:val="6"/>
          <w:sz w:val="30"/>
          <w:szCs w:val="30"/>
        </w:rPr>
        <w:t>62</w:t>
      </w:r>
      <w:r w:rsidRPr="005F1F32">
        <w:rPr>
          <w:rFonts w:hAnsi="標楷體"/>
          <w:spacing w:val="6"/>
          <w:sz w:val="30"/>
          <w:szCs w:val="30"/>
        </w:rPr>
        <w:t>年判字第</w:t>
      </w:r>
      <w:r w:rsidRPr="005F1F32">
        <w:rPr>
          <w:spacing w:val="6"/>
          <w:sz w:val="30"/>
          <w:szCs w:val="30"/>
        </w:rPr>
        <w:t>96</w:t>
      </w:r>
      <w:r w:rsidRPr="005F1F32">
        <w:rPr>
          <w:rFonts w:hAnsi="標楷體"/>
          <w:spacing w:val="6"/>
          <w:sz w:val="30"/>
          <w:szCs w:val="30"/>
        </w:rPr>
        <w:t>號判例參</w:t>
      </w:r>
      <w:r w:rsidRPr="007B5D03">
        <w:rPr>
          <w:rFonts w:hAnsi="標楷體"/>
          <w:sz w:val="30"/>
          <w:szCs w:val="30"/>
        </w:rPr>
        <w:t>照）</w:t>
      </w:r>
      <w:r w:rsidRPr="007B5D03">
        <w:rPr>
          <w:rFonts w:hAnsi="標楷體"/>
          <w:sz w:val="30"/>
          <w:szCs w:val="30"/>
        </w:rPr>
        <w:lastRenderedPageBreak/>
        <w:t>。是我國訴訟實務就租稅行政救濟之訴訟標的係採爭點主義，不採總額主義，即認各個課稅基礎具有可分性，故撤銷訴訟之爭點須經前置程序中主張，始可於行政訴訟程序中加以爭執。」</w:t>
      </w:r>
    </w:p>
    <w:p w:rsidR="00514426" w:rsidRPr="007B5D03" w:rsidRDefault="00514426" w:rsidP="005F1F32">
      <w:pPr>
        <w:snapToGrid w:val="0"/>
        <w:spacing w:line="437" w:lineRule="exact"/>
        <w:ind w:left="2354" w:hanging="369"/>
        <w:rPr>
          <w:sz w:val="30"/>
          <w:szCs w:val="30"/>
        </w:rPr>
      </w:pPr>
      <w:r w:rsidRPr="007B5D03">
        <w:rPr>
          <w:rFonts w:hAnsi="標楷體" w:hint="eastAsia"/>
          <w:sz w:val="30"/>
          <w:szCs w:val="30"/>
        </w:rPr>
        <w:t>(2)</w:t>
      </w:r>
      <w:r w:rsidRPr="005F1F32">
        <w:rPr>
          <w:rFonts w:hAnsi="標楷體"/>
          <w:spacing w:val="6"/>
          <w:sz w:val="30"/>
          <w:szCs w:val="30"/>
        </w:rPr>
        <w:t>依照　鈞院釋字第</w:t>
      </w:r>
      <w:r w:rsidRPr="005F1F32">
        <w:rPr>
          <w:spacing w:val="6"/>
          <w:sz w:val="30"/>
          <w:szCs w:val="30"/>
        </w:rPr>
        <w:t>582</w:t>
      </w:r>
      <w:r w:rsidRPr="005F1F32">
        <w:rPr>
          <w:rFonts w:hAnsi="標楷體"/>
          <w:spacing w:val="6"/>
          <w:sz w:val="30"/>
          <w:szCs w:val="30"/>
        </w:rPr>
        <w:t>號解釋所揭諸「實質援</w:t>
      </w:r>
      <w:r w:rsidRPr="005F1F32">
        <w:rPr>
          <w:rFonts w:hAnsi="標楷體"/>
          <w:spacing w:val="-6"/>
          <w:sz w:val="30"/>
          <w:szCs w:val="30"/>
        </w:rPr>
        <w:t>用」之釋憲客體判準，本件最高行政法院確定判</w:t>
      </w:r>
      <w:r w:rsidRPr="007B5D03">
        <w:rPr>
          <w:rFonts w:hAnsi="標楷體"/>
          <w:sz w:val="30"/>
          <w:szCs w:val="30"/>
        </w:rPr>
        <w:t>決確有實質援用</w:t>
      </w:r>
      <w:r w:rsidRPr="007B5D03">
        <w:rPr>
          <w:sz w:val="30"/>
          <w:szCs w:val="30"/>
        </w:rPr>
        <w:t>62</w:t>
      </w:r>
      <w:r w:rsidRPr="007B5D03">
        <w:rPr>
          <w:rFonts w:hAnsi="標楷體"/>
          <w:sz w:val="30"/>
          <w:szCs w:val="30"/>
        </w:rPr>
        <w:t>年判例</w:t>
      </w:r>
    </w:p>
    <w:p w:rsidR="00514426" w:rsidRPr="007B5D03" w:rsidRDefault="00514426" w:rsidP="00FB2D5A">
      <w:pPr>
        <w:snapToGrid w:val="0"/>
        <w:spacing w:line="437" w:lineRule="exact"/>
        <w:ind w:left="2381" w:firstLine="312"/>
        <w:rPr>
          <w:sz w:val="30"/>
          <w:szCs w:val="30"/>
        </w:rPr>
      </w:pPr>
      <w:r w:rsidRPr="007B5D03">
        <w:rPr>
          <w:rFonts w:hAnsi="標楷體"/>
          <w:sz w:val="30"/>
          <w:szCs w:val="30"/>
        </w:rPr>
        <w:t>按「按確定終局裁判援用判例以為裁判之依</w:t>
      </w:r>
      <w:r w:rsidRPr="005F1F32">
        <w:rPr>
          <w:rFonts w:hAnsi="標楷體"/>
          <w:spacing w:val="-6"/>
          <w:sz w:val="30"/>
          <w:szCs w:val="30"/>
        </w:rPr>
        <w:t>據，而該判例經人民指摘為違憲者，應視同命令</w:t>
      </w:r>
      <w:r w:rsidRPr="007B5D03">
        <w:rPr>
          <w:rFonts w:hAnsi="標楷體"/>
          <w:sz w:val="30"/>
          <w:szCs w:val="30"/>
        </w:rPr>
        <w:t>予以審查，迭經本院解釋在案（釋字第一五四</w:t>
      </w:r>
      <w:r w:rsidRPr="005F1F32">
        <w:rPr>
          <w:rFonts w:hAnsi="標楷體"/>
          <w:spacing w:val="-6"/>
          <w:sz w:val="30"/>
          <w:szCs w:val="30"/>
        </w:rPr>
        <w:t>號、第二七一號、第三七四號、第五六九號等解釋參照）。本聲請案之確定終局判決最高法院八十九年度台上字第二一九六號刑事判決，於形式</w:t>
      </w:r>
      <w:r w:rsidRPr="007B5D03">
        <w:rPr>
          <w:rFonts w:hAnsi="標楷體"/>
          <w:sz w:val="30"/>
          <w:szCs w:val="30"/>
        </w:rPr>
        <w:t>上雖未明載聲請人聲請解釋之前揭該法院五判</w:t>
      </w:r>
      <w:r w:rsidRPr="005F1F32">
        <w:rPr>
          <w:rFonts w:hAnsi="標楷體"/>
          <w:spacing w:val="-6"/>
          <w:sz w:val="30"/>
          <w:szCs w:val="30"/>
        </w:rPr>
        <w:t>例之字號，但已於其理由內敘明其所維持之第二審判決（臺灣高等法院八十八年度上更五字第一四五號）認定聲請人之犯罪事實，係依據聲請人</w:t>
      </w:r>
      <w:r w:rsidRPr="007B5D03">
        <w:rPr>
          <w:rFonts w:hAnsi="標楷體"/>
          <w:sz w:val="30"/>
          <w:szCs w:val="30"/>
        </w:rPr>
        <w:t>之共同被告分別於警檢偵查中之自白及於警訊</w:t>
      </w:r>
      <w:r w:rsidRPr="005F1F32">
        <w:rPr>
          <w:rFonts w:hAnsi="標楷體"/>
          <w:spacing w:val="-6"/>
          <w:sz w:val="30"/>
          <w:szCs w:val="30"/>
        </w:rPr>
        <w:t>之自白、於第二審之部分自白，核與擄人罪被害</w:t>
      </w:r>
      <w:r w:rsidRPr="007B5D03">
        <w:rPr>
          <w:rFonts w:hAnsi="標楷體"/>
          <w:sz w:val="30"/>
          <w:szCs w:val="30"/>
        </w:rPr>
        <w:t>人之父母及竊盜罪被害人指證受勒贖及失竊汽</w:t>
      </w:r>
      <w:r w:rsidRPr="005F1F32">
        <w:rPr>
          <w:rFonts w:hAnsi="標楷體"/>
          <w:spacing w:val="-6"/>
          <w:sz w:val="30"/>
          <w:szCs w:val="30"/>
        </w:rPr>
        <w:t>車等情節相符，並經其他證人證述聲請人及共同</w:t>
      </w:r>
      <w:r w:rsidRPr="0039440A">
        <w:rPr>
          <w:rFonts w:hAnsi="標楷體"/>
          <w:spacing w:val="-6"/>
          <w:sz w:val="30"/>
          <w:szCs w:val="30"/>
        </w:rPr>
        <w:t>被告共涉本件犯罪經過情形甚明，且有物證及書證扣案及附卷足資佐證，為其所憑之證據及認定之理由，該第二審法院，除上開共同被告之自白外，對於其他與聲請人被訴犯罪事實有關而應調查之證據，已盡其調</w:t>
      </w:r>
      <w:r w:rsidRPr="0039440A">
        <w:rPr>
          <w:rFonts w:hAnsi="標楷體"/>
          <w:spacing w:val="-6"/>
          <w:sz w:val="30"/>
          <w:szCs w:val="30"/>
        </w:rPr>
        <w:lastRenderedPageBreak/>
        <w:t>查之能事等語；核與本件聲請書所引系爭五判例要旨之形式及內容，俱相符合，顯見上開判決實質上已經援用系爭判例，以為判決之依據。該等判例既經聲請人認有違憲疑義，自得為解釋之客體。依司法院大法官審理案件法第五條第一項第二款規定，應予受理（本院</w:t>
      </w:r>
      <w:r w:rsidRPr="0039440A">
        <w:rPr>
          <w:rFonts w:hAnsi="標楷體"/>
          <w:spacing w:val="-12"/>
          <w:sz w:val="30"/>
          <w:szCs w:val="30"/>
        </w:rPr>
        <w:t>釋字第三九九號解釋參照）。」、「最高行政法院</w:t>
      </w:r>
      <w:r w:rsidRPr="0039440A">
        <w:rPr>
          <w:rFonts w:hAnsi="標楷體"/>
          <w:sz w:val="30"/>
          <w:szCs w:val="30"/>
        </w:rPr>
        <w:t>決議如經法官於裁判上援用，應認其與命令相當，得為憲法解釋之對象（本院釋字第三七四</w:t>
      </w:r>
      <w:r w:rsidRPr="0039440A">
        <w:rPr>
          <w:rFonts w:hAnsi="標楷體"/>
          <w:spacing w:val="-6"/>
          <w:sz w:val="30"/>
          <w:szCs w:val="30"/>
        </w:rPr>
        <w:t>號、第五一六號、第六二</w:t>
      </w:r>
      <w:r w:rsidRPr="0039440A">
        <w:rPr>
          <w:rFonts w:ascii="標楷體" w:hAnsi="標楷體" w:hint="eastAsia"/>
          <w:spacing w:val="-6"/>
          <w:sz w:val="30"/>
          <w:szCs w:val="30"/>
        </w:rPr>
        <w:t>０</w:t>
      </w:r>
      <w:r w:rsidRPr="0039440A">
        <w:rPr>
          <w:rFonts w:hAnsi="標楷體"/>
          <w:spacing w:val="-6"/>
          <w:sz w:val="30"/>
          <w:szCs w:val="30"/>
        </w:rPr>
        <w:t>號解釋參照）。本件據以聲請解釋之確定終局裁判中，最高行政法院</w:t>
      </w:r>
      <w:r w:rsidRPr="0039440A">
        <w:rPr>
          <w:rFonts w:hAnsi="標楷體"/>
          <w:sz w:val="30"/>
          <w:szCs w:val="30"/>
        </w:rPr>
        <w:t>九十二年度裁字第一五八九號裁定援用聲請人所指摘之同院九十二年九月十八日庭長法官聯</w:t>
      </w:r>
      <w:r w:rsidRPr="0039440A">
        <w:rPr>
          <w:rFonts w:hAnsi="標楷體"/>
          <w:spacing w:val="-6"/>
          <w:sz w:val="30"/>
          <w:szCs w:val="30"/>
        </w:rPr>
        <w:t>席會議決議，為其裁定駁回之理由。又最高行政法院九十二年度判字第一五四四號判決，形式上雖未載明援用上開決議，然其判決理由關於應以繼承人為納稅義務人，發單課徵贈與稅之論述及其所使用之文字，俱與該決議之內容相同，是該判決實質上係以該決議為判斷之基礎。而上開決議既經聲請人具體指摘其違憲之疑義及理由，自得為解釋之客體。依司法院大法官審理案件法第</w:t>
      </w:r>
      <w:r w:rsidRPr="00FE16B9">
        <w:rPr>
          <w:rFonts w:hAnsi="標楷體"/>
          <w:sz w:val="30"/>
          <w:szCs w:val="30"/>
        </w:rPr>
        <w:t>五條第一項第二款規定，本件聲請應予以受理</w:t>
      </w:r>
      <w:r w:rsidRPr="00FE16B9">
        <w:rPr>
          <w:rFonts w:hAnsi="標楷體"/>
          <w:spacing w:val="4"/>
          <w:sz w:val="30"/>
          <w:szCs w:val="30"/>
        </w:rPr>
        <w:t>（本院釋字第三九九號、第五八二號解釋參</w:t>
      </w:r>
      <w:r w:rsidRPr="0039440A">
        <w:rPr>
          <w:rFonts w:hAnsi="標楷體"/>
          <w:spacing w:val="-6"/>
          <w:sz w:val="30"/>
          <w:szCs w:val="30"/>
        </w:rPr>
        <w:t>照），合先敘明。」鈞院釋字第</w:t>
      </w:r>
      <w:r w:rsidRPr="0039440A">
        <w:rPr>
          <w:spacing w:val="-6"/>
          <w:sz w:val="30"/>
          <w:szCs w:val="30"/>
        </w:rPr>
        <w:t>582</w:t>
      </w:r>
      <w:r w:rsidRPr="0039440A">
        <w:rPr>
          <w:rFonts w:hAnsi="標楷體"/>
          <w:spacing w:val="-6"/>
          <w:sz w:val="30"/>
          <w:szCs w:val="30"/>
        </w:rPr>
        <w:t>號及第</w:t>
      </w:r>
      <w:r w:rsidRPr="0039440A">
        <w:rPr>
          <w:spacing w:val="-6"/>
          <w:sz w:val="30"/>
          <w:szCs w:val="30"/>
        </w:rPr>
        <w:t>622</w:t>
      </w:r>
      <w:r w:rsidRPr="0039440A">
        <w:rPr>
          <w:rFonts w:hAnsi="標楷體"/>
          <w:spacing w:val="-6"/>
          <w:sz w:val="30"/>
          <w:szCs w:val="30"/>
        </w:rPr>
        <w:t>號解釋</w:t>
      </w:r>
      <w:r w:rsidRPr="0039440A">
        <w:rPr>
          <w:rFonts w:hAnsi="標楷體" w:hint="eastAsia"/>
          <w:spacing w:val="-6"/>
          <w:sz w:val="30"/>
          <w:szCs w:val="30"/>
        </w:rPr>
        <w:t>之</w:t>
      </w:r>
      <w:r w:rsidRPr="0039440A">
        <w:rPr>
          <w:rFonts w:hAnsi="標楷體"/>
          <w:spacing w:val="-6"/>
          <w:sz w:val="30"/>
          <w:szCs w:val="30"/>
        </w:rPr>
        <w:t>解釋理由書著有明文，故雖未援引判例字號，但實質上以其為裁判依據者，即屬實質援用。是以本件最高行政法院確定判決援用之爭點</w:t>
      </w:r>
      <w:r w:rsidRPr="00FE16B9">
        <w:rPr>
          <w:rFonts w:hAnsi="標楷體"/>
          <w:sz w:val="30"/>
          <w:szCs w:val="30"/>
        </w:rPr>
        <w:t>主義</w:t>
      </w:r>
      <w:r w:rsidRPr="00FE16B9">
        <w:rPr>
          <w:rFonts w:hAnsi="標楷體"/>
          <w:sz w:val="30"/>
          <w:szCs w:val="30"/>
        </w:rPr>
        <w:lastRenderedPageBreak/>
        <w:t>，在司法實務上即係指改制前行政法院</w:t>
      </w:r>
      <w:r w:rsidRPr="00FE16B9">
        <w:rPr>
          <w:sz w:val="30"/>
          <w:szCs w:val="30"/>
        </w:rPr>
        <w:t>62</w:t>
      </w:r>
      <w:r w:rsidRPr="0039440A">
        <w:rPr>
          <w:rFonts w:hAnsi="標楷體"/>
          <w:spacing w:val="-6"/>
          <w:sz w:val="30"/>
          <w:szCs w:val="30"/>
        </w:rPr>
        <w:t>年</w:t>
      </w:r>
      <w:r w:rsidRPr="0039440A">
        <w:rPr>
          <w:rFonts w:hAnsi="標楷體" w:hint="eastAsia"/>
          <w:spacing w:val="-6"/>
          <w:sz w:val="30"/>
          <w:szCs w:val="30"/>
        </w:rPr>
        <w:t>判字</w:t>
      </w:r>
      <w:r w:rsidRPr="0039440A">
        <w:rPr>
          <w:rFonts w:hAnsi="標楷體"/>
          <w:spacing w:val="-6"/>
          <w:sz w:val="30"/>
          <w:szCs w:val="30"/>
        </w:rPr>
        <w:t>第</w:t>
      </w:r>
      <w:r w:rsidRPr="0039440A">
        <w:rPr>
          <w:spacing w:val="-6"/>
          <w:sz w:val="30"/>
          <w:szCs w:val="30"/>
        </w:rPr>
        <w:t>96</w:t>
      </w:r>
      <w:r w:rsidRPr="0039440A">
        <w:rPr>
          <w:rFonts w:hAnsi="標楷體"/>
          <w:spacing w:val="-6"/>
          <w:sz w:val="30"/>
          <w:szCs w:val="30"/>
        </w:rPr>
        <w:t>號判例，自得作為本件釋憲標的。</w:t>
      </w:r>
    </w:p>
    <w:p w:rsidR="00514426" w:rsidRPr="00FE16B9" w:rsidRDefault="00514426" w:rsidP="00FB2D5A">
      <w:pPr>
        <w:snapToGrid w:val="0"/>
        <w:spacing w:line="437" w:lineRule="exact"/>
        <w:ind w:left="2030" w:hanging="340"/>
        <w:rPr>
          <w:spacing w:val="6"/>
          <w:sz w:val="30"/>
          <w:szCs w:val="30"/>
        </w:rPr>
      </w:pPr>
      <w:r w:rsidRPr="00FE16B9">
        <w:rPr>
          <w:rFonts w:ascii="標楷體" w:hAnsi="標楷體"/>
          <w:spacing w:val="6"/>
          <w:sz w:val="30"/>
          <w:szCs w:val="30"/>
        </w:rPr>
        <w:t>2.</w:t>
      </w:r>
      <w:r w:rsidRPr="00FE16B9">
        <w:rPr>
          <w:rFonts w:hAnsi="標楷體"/>
          <w:spacing w:val="6"/>
          <w:sz w:val="30"/>
          <w:szCs w:val="30"/>
        </w:rPr>
        <w:t>爭點主義與總額主義之簡介與其法理基礎</w:t>
      </w:r>
    </w:p>
    <w:p w:rsidR="00514426" w:rsidRPr="007B5D03" w:rsidRDefault="00514426" w:rsidP="00FB2D5A">
      <w:pPr>
        <w:snapToGrid w:val="0"/>
        <w:spacing w:line="437" w:lineRule="exact"/>
        <w:ind w:left="2382" w:hanging="397"/>
        <w:rPr>
          <w:sz w:val="30"/>
          <w:szCs w:val="30"/>
        </w:rPr>
      </w:pPr>
      <w:r w:rsidRPr="007B5D03">
        <w:rPr>
          <w:rFonts w:hAnsi="標楷體" w:hint="eastAsia"/>
          <w:sz w:val="30"/>
          <w:szCs w:val="30"/>
        </w:rPr>
        <w:t>(1)</w:t>
      </w:r>
      <w:r w:rsidRPr="007B5D03">
        <w:rPr>
          <w:rFonts w:hAnsi="標楷體"/>
          <w:sz w:val="30"/>
          <w:szCs w:val="30"/>
        </w:rPr>
        <w:t>有關課稅處分之可分性</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在行政處分各個部分可獨立存在的情形，或者行政處分其中一部分消滅，而就其他部分之有效性不受影響者，該行政處分極具有可</w:t>
      </w:r>
      <w:r w:rsidRPr="00FE16B9">
        <w:rPr>
          <w:rFonts w:hAnsi="標楷體"/>
          <w:spacing w:val="-6"/>
          <w:sz w:val="30"/>
          <w:szCs w:val="30"/>
        </w:rPr>
        <w:t>分性，反之，如行政處分是由單一部分組成，</w:t>
      </w:r>
      <w:r w:rsidRPr="007B5D03">
        <w:rPr>
          <w:rFonts w:hAnsi="標楷體"/>
          <w:sz w:val="30"/>
          <w:szCs w:val="30"/>
        </w:rPr>
        <w:t>亦即規制內容上乃屬不可分割，或者其構成部分在法律上不具有可分性，即屬不可分之處分。所謂行政處分內容可分係指部分違法之行政處分，須內容可分，始得將違法之效果限制於該有瑕疵部分，包括多數實質上獨立之要求及行政處分除去該有瑕疵之部分後其餘存之規制，能作為獨立之行政處分而繼</w:t>
      </w:r>
      <w:r w:rsidRPr="00FE16B9">
        <w:rPr>
          <w:rFonts w:hAnsi="標楷體"/>
          <w:spacing w:val="-6"/>
          <w:sz w:val="30"/>
          <w:szCs w:val="30"/>
        </w:rPr>
        <w:t>續存在者，亦為可分之行政處分。（附件</w:t>
      </w:r>
      <w:r w:rsidRPr="00FE16B9">
        <w:rPr>
          <w:spacing w:val="-6"/>
          <w:sz w:val="30"/>
          <w:szCs w:val="30"/>
        </w:rPr>
        <w:t>43</w:t>
      </w:r>
      <w:r w:rsidRPr="00FE16B9">
        <w:rPr>
          <w:rFonts w:hAnsi="標楷體"/>
          <w:spacing w:val="-6"/>
          <w:sz w:val="30"/>
          <w:szCs w:val="30"/>
        </w:rPr>
        <w:t>，</w:t>
      </w:r>
      <w:r w:rsidRPr="007B5D03">
        <w:rPr>
          <w:rFonts w:hAnsi="標楷體"/>
          <w:sz w:val="30"/>
          <w:szCs w:val="30"/>
        </w:rPr>
        <w:t>陳敏，行政法總論，</w:t>
      </w:r>
      <w:r w:rsidRPr="007B5D03">
        <w:rPr>
          <w:sz w:val="30"/>
          <w:szCs w:val="30"/>
        </w:rPr>
        <w:t>2</w:t>
      </w:r>
      <w:r w:rsidRPr="007B5D03">
        <w:rPr>
          <w:rFonts w:hAnsi="標楷體"/>
          <w:sz w:val="30"/>
          <w:szCs w:val="30"/>
        </w:rPr>
        <w:t>版，</w:t>
      </w:r>
      <w:r w:rsidRPr="007B5D03">
        <w:rPr>
          <w:rFonts w:hAnsi="標楷體" w:hint="eastAsia"/>
          <w:sz w:val="30"/>
          <w:szCs w:val="30"/>
        </w:rPr>
        <w:t>第</w:t>
      </w:r>
      <w:r w:rsidRPr="007B5D03">
        <w:rPr>
          <w:sz w:val="30"/>
          <w:szCs w:val="30"/>
        </w:rPr>
        <w:t>394</w:t>
      </w:r>
      <w:r w:rsidRPr="007B5D03">
        <w:rPr>
          <w:rFonts w:hAnsi="標楷體"/>
          <w:sz w:val="30"/>
          <w:szCs w:val="30"/>
        </w:rPr>
        <w:t>、</w:t>
      </w:r>
      <w:r w:rsidRPr="007B5D03">
        <w:rPr>
          <w:sz w:val="30"/>
          <w:szCs w:val="30"/>
        </w:rPr>
        <w:t>395</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爭點主義認為所謂課稅基礎非單純的構成具體的生活事實之各種事實，而是與課稅相連結之法律上總括概念，如特定得所得種類、盈餘、收益、財產單位及其價值等，由於課稅處分對應於其具體的、按其價值可特定的課稅基礎並非不能分割，因此各個課稅基礎似得被核定作為具體案件之獨立規制，在此範圍內課稅處分具有可分性。至於總額主義認為，在稅法上原則上不許對於個別的課稅基礎以一個特別的</w:t>
      </w:r>
      <w:r w:rsidRPr="007B5D03">
        <w:rPr>
          <w:rFonts w:hAnsi="標楷體"/>
          <w:sz w:val="30"/>
          <w:szCs w:val="30"/>
        </w:rPr>
        <w:lastRenderedPageBreak/>
        <w:t>行政處分加以獨立的確認</w:t>
      </w:r>
      <w:r w:rsidRPr="00FE16B9">
        <w:rPr>
          <w:rFonts w:hAnsi="標楷體"/>
          <w:spacing w:val="6"/>
          <w:sz w:val="30"/>
          <w:szCs w:val="30"/>
        </w:rPr>
        <w:t>，且在所得稅上，各個課稅基礎立於緊密</w:t>
      </w:r>
      <w:r w:rsidRPr="007B5D03">
        <w:rPr>
          <w:rFonts w:hAnsi="標楷體"/>
          <w:sz w:val="30"/>
          <w:szCs w:val="30"/>
        </w:rPr>
        <w:t>的交替關係，故性質上對於所得不能以各別租賃所得或營利所得導出所得總額。（附件</w:t>
      </w:r>
      <w:r w:rsidRPr="007B5D03">
        <w:rPr>
          <w:sz w:val="30"/>
          <w:szCs w:val="30"/>
        </w:rPr>
        <w:t>44</w:t>
      </w:r>
      <w:r w:rsidRPr="007B5D03">
        <w:rPr>
          <w:rFonts w:hAnsi="標楷體"/>
          <w:sz w:val="30"/>
          <w:szCs w:val="30"/>
        </w:rPr>
        <w:t>，陳清秀，稅務訴訟之訴訟標的，第</w:t>
      </w:r>
      <w:r w:rsidRPr="007B5D03">
        <w:rPr>
          <w:sz w:val="30"/>
          <w:szCs w:val="30"/>
        </w:rPr>
        <w:t>85</w:t>
      </w:r>
      <w:r w:rsidRPr="007B5D03">
        <w:rPr>
          <w:rFonts w:hAnsi="標楷體"/>
          <w:sz w:val="30"/>
          <w:szCs w:val="30"/>
        </w:rPr>
        <w:t>至</w:t>
      </w:r>
      <w:r w:rsidRPr="007B5D03">
        <w:rPr>
          <w:sz w:val="30"/>
          <w:szCs w:val="30"/>
        </w:rPr>
        <w:t>90</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課稅基礎在概念上或邏輯上固然亦可能具有可分性，惟依稅捐稽徵法第</w:t>
      </w:r>
      <w:r w:rsidRPr="007B5D03">
        <w:rPr>
          <w:sz w:val="30"/>
          <w:szCs w:val="30"/>
        </w:rPr>
        <w:t>35</w:t>
      </w:r>
      <w:r w:rsidRPr="007B5D03">
        <w:rPr>
          <w:rFonts w:hAnsi="標楷體"/>
          <w:sz w:val="30"/>
          <w:szCs w:val="30"/>
        </w:rPr>
        <w:t>條之規定，納稅義務人得申請復查之對象為核定稅捐之處分，並未享有單獨就課稅基礎之認定各別提起行政救濟之權利，且不問課稅處分之基礎</w:t>
      </w:r>
      <w:r w:rsidRPr="00FE16B9">
        <w:rPr>
          <w:rFonts w:hAnsi="標楷體"/>
          <w:spacing w:val="6"/>
          <w:sz w:val="30"/>
          <w:szCs w:val="30"/>
        </w:rPr>
        <w:t>為何，人民僅因課稅處分之結果始蒙受損害，亦即復查申請人指摘原處分有違法事</w:t>
      </w:r>
      <w:r w:rsidRPr="007B5D03">
        <w:rPr>
          <w:rFonts w:hAnsi="標楷體"/>
          <w:sz w:val="30"/>
          <w:szCs w:val="30"/>
        </w:rPr>
        <w:t>由，但原處分另含有有利於復查申請人之違法瑕疵，兩相抵銷，課稅處分之結果（主文）並未對人民產生損害。學者進一步指出，基</w:t>
      </w:r>
      <w:r w:rsidRPr="00FE16B9">
        <w:rPr>
          <w:rFonts w:hAnsi="標楷體"/>
          <w:spacing w:val="6"/>
          <w:sz w:val="30"/>
          <w:szCs w:val="30"/>
        </w:rPr>
        <w:t>於稽徵程序之職權進行主義與職權探知主</w:t>
      </w:r>
      <w:r w:rsidRPr="007B5D03">
        <w:rPr>
          <w:rFonts w:hAnsi="標楷體"/>
          <w:sz w:val="30"/>
          <w:szCs w:val="30"/>
        </w:rPr>
        <w:t>義，復查程序乃應就原處分全部範圍重新審查，爭訟標的亦不應以復查申請人所指摘之原處分具體違法事由相關連的稅額適否，而</w:t>
      </w:r>
      <w:r w:rsidRPr="00FE16B9">
        <w:rPr>
          <w:rFonts w:hAnsi="標楷體"/>
          <w:spacing w:val="-6"/>
          <w:sz w:val="30"/>
          <w:szCs w:val="30"/>
        </w:rPr>
        <w:t>採取總額主義。（附件</w:t>
      </w:r>
      <w:r w:rsidRPr="00FE16B9">
        <w:rPr>
          <w:spacing w:val="-6"/>
          <w:sz w:val="30"/>
          <w:szCs w:val="30"/>
        </w:rPr>
        <w:t>44</w:t>
      </w:r>
      <w:r w:rsidRPr="00FE16B9">
        <w:rPr>
          <w:rFonts w:hAnsi="標楷體"/>
          <w:spacing w:val="-6"/>
          <w:sz w:val="30"/>
          <w:szCs w:val="30"/>
        </w:rPr>
        <w:t>，陳清秀，稅務訴訟</w:t>
      </w:r>
      <w:r w:rsidRPr="007B5D03">
        <w:rPr>
          <w:rFonts w:hAnsi="標楷體"/>
          <w:sz w:val="30"/>
          <w:szCs w:val="30"/>
        </w:rPr>
        <w:t>之訴訟標的，第</w:t>
      </w:r>
      <w:r w:rsidRPr="007B5D03">
        <w:rPr>
          <w:sz w:val="30"/>
          <w:szCs w:val="30"/>
        </w:rPr>
        <w:t>276</w:t>
      </w:r>
      <w:r w:rsidRPr="007B5D03">
        <w:rPr>
          <w:rFonts w:hAnsi="標楷體"/>
          <w:sz w:val="30"/>
          <w:szCs w:val="30"/>
        </w:rPr>
        <w:t>、</w:t>
      </w:r>
      <w:r w:rsidRPr="007B5D03">
        <w:rPr>
          <w:sz w:val="30"/>
          <w:szCs w:val="30"/>
        </w:rPr>
        <w:t>277</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在我國審判實務上，確實因爭點主義而認為課稅處分可分，以</w:t>
      </w:r>
      <w:r w:rsidRPr="007B5D03">
        <w:rPr>
          <w:sz w:val="30"/>
          <w:szCs w:val="30"/>
        </w:rPr>
        <w:t>62</w:t>
      </w:r>
      <w:r w:rsidRPr="007B5D03">
        <w:rPr>
          <w:rFonts w:hAnsi="標楷體"/>
          <w:sz w:val="30"/>
          <w:szCs w:val="30"/>
        </w:rPr>
        <w:t>年判例為例，認為僅就原料耗用部分申請復查，對於折舊部分並無異議之事實者，即不可在訴訟程序上再行爭執，其將此二個在營利事業所得稅結算申報</w:t>
      </w:r>
      <w:r w:rsidRPr="00FE16B9">
        <w:rPr>
          <w:rFonts w:hAnsi="標楷體"/>
          <w:spacing w:val="6"/>
          <w:sz w:val="30"/>
          <w:szCs w:val="30"/>
        </w:rPr>
        <w:t>書及核</w:t>
      </w:r>
      <w:r w:rsidRPr="00FE16B9">
        <w:rPr>
          <w:rFonts w:hAnsi="標楷體"/>
          <w:spacing w:val="6"/>
          <w:sz w:val="30"/>
          <w:szCs w:val="30"/>
        </w:rPr>
        <w:lastRenderedPageBreak/>
        <w:t>定通知書上分屬不同科目（一為營業成本，一為費用類科目）而認定屬二個可分</w:t>
      </w:r>
      <w:r w:rsidRPr="007B5D03">
        <w:rPr>
          <w:rFonts w:hAnsi="標楷體"/>
          <w:sz w:val="30"/>
          <w:szCs w:val="30"/>
        </w:rPr>
        <w:t>之課稅基礎，如最高行政法院</w:t>
      </w:r>
      <w:r w:rsidRPr="007B5D03">
        <w:rPr>
          <w:sz w:val="30"/>
          <w:szCs w:val="30"/>
        </w:rPr>
        <w:t>97</w:t>
      </w:r>
      <w:r w:rsidRPr="007B5D03">
        <w:rPr>
          <w:rFonts w:hAnsi="標楷體"/>
          <w:sz w:val="30"/>
          <w:szCs w:val="30"/>
        </w:rPr>
        <w:t>年度判字第</w:t>
      </w:r>
      <w:r w:rsidRPr="007B5D03">
        <w:rPr>
          <w:sz w:val="30"/>
          <w:szCs w:val="30"/>
        </w:rPr>
        <w:t>391</w:t>
      </w:r>
      <w:r w:rsidRPr="007B5D03">
        <w:rPr>
          <w:rFonts w:hAnsi="標楷體"/>
          <w:sz w:val="30"/>
          <w:szCs w:val="30"/>
        </w:rPr>
        <w:t>號判決即認定</w:t>
      </w:r>
      <w:r w:rsidRPr="007B5D03">
        <w:rPr>
          <w:sz w:val="30"/>
          <w:szCs w:val="30"/>
        </w:rPr>
        <w:t>62</w:t>
      </w:r>
      <w:r w:rsidRPr="007B5D03">
        <w:rPr>
          <w:rFonts w:hAnsi="標楷體"/>
          <w:sz w:val="30"/>
          <w:szCs w:val="30"/>
        </w:rPr>
        <w:t>年判例之爭點主義認為各個課稅基礎具有可分性。然而此一可分性之區分標準究竟有無任何實體法上之依據？抑或僅係其解讀稅捐稽徵法第</w:t>
      </w:r>
      <w:r w:rsidRPr="007B5D03">
        <w:rPr>
          <w:sz w:val="30"/>
          <w:szCs w:val="30"/>
        </w:rPr>
        <w:t>35</w:t>
      </w:r>
      <w:r w:rsidRPr="007B5D03">
        <w:rPr>
          <w:rFonts w:hAnsi="標楷體"/>
          <w:sz w:val="30"/>
          <w:szCs w:val="30"/>
        </w:rPr>
        <w:t>條或舊所得</w:t>
      </w:r>
      <w:r w:rsidRPr="00FE16B9">
        <w:rPr>
          <w:rFonts w:hAnsi="標楷體"/>
          <w:spacing w:val="6"/>
          <w:sz w:val="30"/>
          <w:szCs w:val="30"/>
        </w:rPr>
        <w:t>稅法第</w:t>
      </w:r>
      <w:r w:rsidRPr="00FE16B9">
        <w:rPr>
          <w:spacing w:val="6"/>
          <w:sz w:val="30"/>
          <w:szCs w:val="30"/>
        </w:rPr>
        <w:t>82</w:t>
      </w:r>
      <w:r w:rsidRPr="00FE16B9">
        <w:rPr>
          <w:rFonts w:hAnsi="標楷體"/>
          <w:spacing w:val="6"/>
          <w:sz w:val="30"/>
          <w:szCs w:val="30"/>
        </w:rPr>
        <w:t>條之程序法規定所得出之結論？（按在</w:t>
      </w:r>
      <w:r w:rsidRPr="00FE16B9">
        <w:rPr>
          <w:spacing w:val="6"/>
          <w:sz w:val="30"/>
          <w:szCs w:val="30"/>
        </w:rPr>
        <w:t>62</w:t>
      </w:r>
      <w:r w:rsidRPr="00FE16B9">
        <w:rPr>
          <w:rFonts w:hAnsi="標楷體"/>
          <w:spacing w:val="6"/>
          <w:sz w:val="30"/>
          <w:szCs w:val="30"/>
        </w:rPr>
        <w:t>年判例作成時僅有舊所得稅法第</w:t>
      </w:r>
      <w:r w:rsidRPr="00FE16B9">
        <w:rPr>
          <w:spacing w:val="-6"/>
          <w:sz w:val="30"/>
          <w:szCs w:val="30"/>
        </w:rPr>
        <w:t>82</w:t>
      </w:r>
      <w:r w:rsidRPr="00FE16B9">
        <w:rPr>
          <w:rFonts w:hAnsi="標楷體"/>
          <w:spacing w:val="-6"/>
          <w:sz w:val="30"/>
          <w:szCs w:val="30"/>
        </w:rPr>
        <w:t>條第</w:t>
      </w:r>
      <w:r w:rsidRPr="00FE16B9">
        <w:rPr>
          <w:spacing w:val="-6"/>
          <w:sz w:val="30"/>
          <w:szCs w:val="30"/>
        </w:rPr>
        <w:t>1</w:t>
      </w:r>
      <w:r w:rsidRPr="00FE16B9">
        <w:rPr>
          <w:rFonts w:hAnsi="標楷體"/>
          <w:spacing w:val="-6"/>
          <w:sz w:val="30"/>
          <w:szCs w:val="30"/>
        </w:rPr>
        <w:t>項規定：「凡經稽徵機關調查核定之</w:t>
      </w:r>
      <w:r w:rsidRPr="007B5D03">
        <w:rPr>
          <w:rFonts w:hAnsi="標楷體"/>
          <w:sz w:val="30"/>
          <w:szCs w:val="30"/>
        </w:rPr>
        <w:t>案件，除依本法</w:t>
      </w:r>
      <w:r w:rsidRPr="007B5D03">
        <w:rPr>
          <w:rFonts w:hAnsi="標楷體" w:hint="eastAsia"/>
          <w:sz w:val="30"/>
          <w:szCs w:val="30"/>
        </w:rPr>
        <w:t>第</w:t>
      </w:r>
      <w:r w:rsidRPr="007B5D03">
        <w:rPr>
          <w:rFonts w:hAnsi="標楷體"/>
          <w:sz w:val="30"/>
          <w:szCs w:val="30"/>
        </w:rPr>
        <w:t>七十九條之規定不得提出異議者外，納稅義務人如有不服，應依規定格式敘明理由，連同證明文件，依左列規定申請復查」，後在</w:t>
      </w:r>
      <w:r w:rsidRPr="007B5D03">
        <w:rPr>
          <w:sz w:val="30"/>
          <w:szCs w:val="30"/>
        </w:rPr>
        <w:t>65</w:t>
      </w:r>
      <w:r w:rsidRPr="007B5D03">
        <w:rPr>
          <w:rFonts w:hAnsi="標楷體"/>
          <w:sz w:val="30"/>
          <w:szCs w:val="30"/>
        </w:rPr>
        <w:t>年制</w:t>
      </w:r>
      <w:r w:rsidRPr="007B5D03">
        <w:rPr>
          <w:rFonts w:hAnsi="標楷體" w:hint="eastAsia"/>
          <w:sz w:val="30"/>
          <w:szCs w:val="30"/>
        </w:rPr>
        <w:t>定</w:t>
      </w:r>
      <w:r w:rsidRPr="007B5D03">
        <w:rPr>
          <w:rFonts w:hAnsi="標楷體"/>
          <w:sz w:val="30"/>
          <w:szCs w:val="30"/>
        </w:rPr>
        <w:t>稅捐稽徵法第</w:t>
      </w:r>
      <w:r w:rsidRPr="007B5D03">
        <w:rPr>
          <w:sz w:val="30"/>
          <w:szCs w:val="30"/>
        </w:rPr>
        <w:t>35</w:t>
      </w:r>
      <w:r w:rsidRPr="007B5D03">
        <w:rPr>
          <w:rFonts w:hAnsi="標楷體"/>
          <w:sz w:val="30"/>
          <w:szCs w:val="30"/>
        </w:rPr>
        <w:t>條第</w:t>
      </w:r>
      <w:r w:rsidRPr="007B5D03">
        <w:rPr>
          <w:sz w:val="30"/>
          <w:szCs w:val="30"/>
        </w:rPr>
        <w:t>1</w:t>
      </w:r>
      <w:r w:rsidRPr="007B5D03">
        <w:rPr>
          <w:rFonts w:hAnsi="標楷體"/>
          <w:sz w:val="30"/>
          <w:szCs w:val="30"/>
        </w:rPr>
        <w:t>項：「納稅義務人對於核定稅捐之處分如有不服，應依規定格式敘明理由，連同證明文件，依左列規定，申請復查」，並刪除舊所得稅法第</w:t>
      </w:r>
      <w:r w:rsidRPr="007B5D03">
        <w:rPr>
          <w:sz w:val="30"/>
          <w:szCs w:val="30"/>
        </w:rPr>
        <w:t>82</w:t>
      </w:r>
      <w:r w:rsidRPr="007B5D03">
        <w:rPr>
          <w:rFonts w:hAnsi="標楷體"/>
          <w:sz w:val="30"/>
          <w:szCs w:val="30"/>
        </w:rPr>
        <w:t>條之規定）</w:t>
      </w:r>
      <w:r w:rsidRPr="007B5D03">
        <w:rPr>
          <w:sz w:val="30"/>
          <w:szCs w:val="30"/>
        </w:rPr>
        <w:t>62</w:t>
      </w:r>
      <w:r w:rsidRPr="007B5D03">
        <w:rPr>
          <w:rFonts w:hAnsi="標楷體"/>
          <w:sz w:val="30"/>
          <w:szCs w:val="30"/>
        </w:rPr>
        <w:t>年判例在論理基礎上已令人有所質疑（詳後）。況且依照行為時所得稅法第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項之文義係規定收入應減除成本費用、損失及稅捐之純益額為所得額，以該淨所得額作為營利事業所得稅之稅捐客體，此即量能課稅原則之客觀淨所得原則；而所得稅法施行細則第</w:t>
      </w:r>
      <w:r w:rsidRPr="007B5D03">
        <w:rPr>
          <w:sz w:val="30"/>
          <w:szCs w:val="30"/>
        </w:rPr>
        <w:t>31</w:t>
      </w:r>
      <w:r w:rsidRPr="007B5D03">
        <w:rPr>
          <w:rFonts w:hAnsi="標楷體"/>
          <w:sz w:val="30"/>
          <w:szCs w:val="30"/>
        </w:rPr>
        <w:t>條第</w:t>
      </w:r>
      <w:r w:rsidRPr="007B5D03">
        <w:rPr>
          <w:sz w:val="30"/>
          <w:szCs w:val="30"/>
        </w:rPr>
        <w:t>3</w:t>
      </w:r>
      <w:r w:rsidRPr="007B5D03">
        <w:rPr>
          <w:rFonts w:hAnsi="標楷體"/>
          <w:sz w:val="30"/>
          <w:szCs w:val="30"/>
        </w:rPr>
        <w:t>款規定其他供給勞務或信用各業之營利事業所得額計算，亦應扣除必要之成本費用，亦屬客觀淨所得原則之具體規範。是故在</w:t>
      </w:r>
      <w:r w:rsidRPr="007B5D03">
        <w:rPr>
          <w:rFonts w:hAnsi="標楷體"/>
          <w:sz w:val="30"/>
          <w:szCs w:val="30"/>
        </w:rPr>
        <w:lastRenderedPageBreak/>
        <w:t>實體法上係要求納稅義務人計算出一個正確的所得，以確認可以課稅之稅基，收入本來就離不開成本費用，如將營業成本與營業費用之科目</w:t>
      </w:r>
      <w:r w:rsidRPr="009642FB">
        <w:rPr>
          <w:rFonts w:hAnsi="標楷體"/>
          <w:spacing w:val="6"/>
          <w:sz w:val="30"/>
          <w:szCs w:val="30"/>
        </w:rPr>
        <w:t>認為彼此可分時，此僅為邏輯上之可行而</w:t>
      </w:r>
      <w:r w:rsidRPr="007B5D03">
        <w:rPr>
          <w:rFonts w:hAnsi="標楷體"/>
          <w:sz w:val="30"/>
          <w:szCs w:val="30"/>
        </w:rPr>
        <w:t>已，在實體法上應是不被允許的。</w:t>
      </w:r>
    </w:p>
    <w:p w:rsidR="00514426" w:rsidRPr="007B5D03" w:rsidRDefault="00514426" w:rsidP="009B13DC">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至於稅捐稽徵法第</w:t>
      </w:r>
      <w:r w:rsidRPr="007B5D03">
        <w:rPr>
          <w:sz w:val="30"/>
          <w:szCs w:val="30"/>
        </w:rPr>
        <w:t>35</w:t>
      </w:r>
      <w:r w:rsidRPr="007B5D03">
        <w:rPr>
          <w:rFonts w:hAnsi="標楷體"/>
          <w:sz w:val="30"/>
          <w:szCs w:val="30"/>
        </w:rPr>
        <w:t>條能否得出各個課稅基礎可分之結論？稅捐稽徵法第</w:t>
      </w:r>
      <w:r w:rsidRPr="007B5D03">
        <w:rPr>
          <w:sz w:val="30"/>
          <w:szCs w:val="30"/>
        </w:rPr>
        <w:t>35</w:t>
      </w:r>
      <w:r w:rsidRPr="007B5D03">
        <w:rPr>
          <w:rFonts w:hAnsi="標楷體"/>
          <w:sz w:val="30"/>
          <w:szCs w:val="30"/>
        </w:rPr>
        <w:t>條第</w:t>
      </w:r>
      <w:r w:rsidRPr="007B5D03">
        <w:rPr>
          <w:sz w:val="30"/>
          <w:szCs w:val="30"/>
        </w:rPr>
        <w:t>1</w:t>
      </w:r>
      <w:r w:rsidRPr="007B5D03">
        <w:rPr>
          <w:rFonts w:hAnsi="標楷體"/>
          <w:sz w:val="30"/>
          <w:szCs w:val="30"/>
        </w:rPr>
        <w:t>項規定：「納稅義務人對於核定稅捐之處分如有不</w:t>
      </w:r>
      <w:r w:rsidRPr="009642FB">
        <w:rPr>
          <w:rFonts w:hAnsi="標楷體"/>
          <w:spacing w:val="-6"/>
          <w:sz w:val="30"/>
          <w:szCs w:val="30"/>
        </w:rPr>
        <w:t>服，應依規定格式敘明理由，連同證明文件，</w:t>
      </w:r>
      <w:r w:rsidRPr="007B5D03">
        <w:rPr>
          <w:rFonts w:hAnsi="標楷體"/>
          <w:sz w:val="30"/>
          <w:szCs w:val="30"/>
        </w:rPr>
        <w:t>依左列規定，申請復查</w:t>
      </w:r>
      <w:r w:rsidRPr="007B5D03">
        <w:rPr>
          <w:rFonts w:hint="eastAsia"/>
          <w:sz w:val="30"/>
          <w:szCs w:val="30"/>
        </w:rPr>
        <w:t>……</w:t>
      </w:r>
      <w:r w:rsidRPr="007B5D03">
        <w:rPr>
          <w:rFonts w:hAnsi="標楷體"/>
          <w:sz w:val="30"/>
          <w:szCs w:val="30"/>
        </w:rPr>
        <w:t>」，該條規定意旨即為復查前置程序，在復查申請書應載明理由，能否無限上綱至復查申請之理由作為支</w:t>
      </w:r>
      <w:r w:rsidRPr="00CC0E7D">
        <w:rPr>
          <w:rFonts w:hAnsi="標楷體"/>
          <w:spacing w:val="6"/>
          <w:sz w:val="30"/>
          <w:szCs w:val="30"/>
        </w:rPr>
        <w:t>持課稅處分可分之理由？細繹</w:t>
      </w:r>
      <w:r w:rsidRPr="00CC0E7D">
        <w:rPr>
          <w:spacing w:val="6"/>
          <w:sz w:val="30"/>
          <w:szCs w:val="30"/>
        </w:rPr>
        <w:t>62</w:t>
      </w:r>
      <w:r w:rsidRPr="00CC0E7D">
        <w:rPr>
          <w:rFonts w:hAnsi="標楷體"/>
          <w:spacing w:val="6"/>
          <w:sz w:val="30"/>
          <w:szCs w:val="30"/>
        </w:rPr>
        <w:t>年判例意</w:t>
      </w:r>
      <w:r w:rsidRPr="007B5D03">
        <w:rPr>
          <w:rFonts w:hAnsi="標楷體"/>
          <w:sz w:val="30"/>
          <w:szCs w:val="30"/>
        </w:rPr>
        <w:t>旨，其係以未經復查部分不得提起後續行政救濟程序之推論，其論證成立的前提係在於課稅處分各個課稅基礎或理由屬於可分的行政處分，而不是反過來因為稅捐稽徵法第</w:t>
      </w:r>
      <w:r w:rsidRPr="007B5D03">
        <w:rPr>
          <w:sz w:val="30"/>
          <w:szCs w:val="30"/>
        </w:rPr>
        <w:t>35</w:t>
      </w:r>
      <w:r w:rsidRPr="00CC0E7D">
        <w:rPr>
          <w:rFonts w:hAnsi="標楷體"/>
          <w:spacing w:val="-6"/>
          <w:sz w:val="30"/>
          <w:szCs w:val="30"/>
        </w:rPr>
        <w:t>條第</w:t>
      </w:r>
      <w:r w:rsidRPr="00CC0E7D">
        <w:rPr>
          <w:spacing w:val="-6"/>
          <w:sz w:val="30"/>
          <w:szCs w:val="30"/>
        </w:rPr>
        <w:t>1</w:t>
      </w:r>
      <w:r w:rsidRPr="00CC0E7D">
        <w:rPr>
          <w:rFonts w:hAnsi="標楷體"/>
          <w:spacing w:val="-6"/>
          <w:sz w:val="30"/>
          <w:szCs w:val="30"/>
        </w:rPr>
        <w:t>項的規定，導致課稅處分具有可分性，</w:t>
      </w:r>
      <w:r w:rsidRPr="007B5D03">
        <w:rPr>
          <w:rFonts w:hAnsi="標楷體"/>
          <w:sz w:val="30"/>
          <w:szCs w:val="30"/>
        </w:rPr>
        <w:t>故而稅捐稽徵法第</w:t>
      </w:r>
      <w:r w:rsidRPr="007B5D03">
        <w:rPr>
          <w:sz w:val="30"/>
          <w:szCs w:val="30"/>
        </w:rPr>
        <w:t>35</w:t>
      </w:r>
      <w:r w:rsidRPr="007B5D03">
        <w:rPr>
          <w:rFonts w:hAnsi="標楷體"/>
          <w:sz w:val="30"/>
          <w:szCs w:val="30"/>
        </w:rPr>
        <w:t>條第</w:t>
      </w:r>
      <w:r w:rsidRPr="007B5D03">
        <w:rPr>
          <w:sz w:val="30"/>
          <w:szCs w:val="30"/>
        </w:rPr>
        <w:t>1</w:t>
      </w:r>
      <w:r w:rsidRPr="007B5D03">
        <w:rPr>
          <w:rFonts w:hAnsi="標楷體"/>
          <w:sz w:val="30"/>
          <w:szCs w:val="30"/>
        </w:rPr>
        <w:t>項不足以支持課稅處分具有可分性，自不待言。是以</w:t>
      </w:r>
      <w:r w:rsidRPr="007B5D03">
        <w:rPr>
          <w:sz w:val="30"/>
          <w:szCs w:val="30"/>
        </w:rPr>
        <w:t>62</w:t>
      </w:r>
      <w:r w:rsidRPr="007B5D03">
        <w:rPr>
          <w:rFonts w:hAnsi="標楷體"/>
          <w:sz w:val="30"/>
          <w:szCs w:val="30"/>
        </w:rPr>
        <w:t>年判例是否係出於對舊所得稅法第</w:t>
      </w:r>
      <w:r w:rsidRPr="007B5D03">
        <w:rPr>
          <w:sz w:val="30"/>
          <w:szCs w:val="30"/>
        </w:rPr>
        <w:t>82</w:t>
      </w:r>
      <w:r w:rsidRPr="007B5D03">
        <w:rPr>
          <w:rFonts w:hAnsi="標楷體"/>
          <w:sz w:val="30"/>
          <w:szCs w:val="30"/>
        </w:rPr>
        <w:t>條規範效力之誤解，不無所疑，且此種作法顯係將風險全部歸於納稅義務人承擔，亦即如復查時未予敘明之理由，因課稅處分係針對營利事業所得稅結算申報之所有科目加以核定，依</w:t>
      </w:r>
      <w:r w:rsidRPr="007B5D03">
        <w:rPr>
          <w:sz w:val="30"/>
          <w:szCs w:val="30"/>
        </w:rPr>
        <w:t>62</w:t>
      </w:r>
      <w:r w:rsidRPr="007B5D03">
        <w:rPr>
          <w:rFonts w:hAnsi="標楷體"/>
          <w:sz w:val="30"/>
          <w:szCs w:val="30"/>
        </w:rPr>
        <w:t>年判例對於未提起復查部分即告確定，至多僅能尋求得否依</w:t>
      </w:r>
      <w:r w:rsidRPr="007B5D03">
        <w:rPr>
          <w:rFonts w:hAnsi="標楷體"/>
          <w:sz w:val="30"/>
          <w:szCs w:val="30"/>
        </w:rPr>
        <w:lastRenderedPageBreak/>
        <w:t>稅捐稽徵法第</w:t>
      </w:r>
      <w:r w:rsidRPr="007B5D03">
        <w:rPr>
          <w:sz w:val="30"/>
          <w:szCs w:val="30"/>
        </w:rPr>
        <w:t>28</w:t>
      </w:r>
      <w:r w:rsidRPr="007B5D03">
        <w:rPr>
          <w:rFonts w:hAnsi="標楷體"/>
          <w:sz w:val="30"/>
          <w:szCs w:val="30"/>
        </w:rPr>
        <w:t>條尋求對有形式存續力之處分之案件申請退稅，在實務上亦不均被接受。惟稽徵機關如發現另應核課之稅捐，仍得依稅捐稽徵法第</w:t>
      </w:r>
      <w:r w:rsidRPr="007B5D03">
        <w:rPr>
          <w:sz w:val="30"/>
          <w:szCs w:val="30"/>
        </w:rPr>
        <w:t>21</w:t>
      </w:r>
      <w:r w:rsidRPr="007B5D03">
        <w:rPr>
          <w:rFonts w:hAnsi="標楷體"/>
          <w:sz w:val="30"/>
          <w:szCs w:val="30"/>
        </w:rPr>
        <w:t>條補徵，如此解釋屬嚴重失衡的制度設計，實在尋無稅捐稽徵法第</w:t>
      </w:r>
      <w:r w:rsidRPr="007B5D03">
        <w:rPr>
          <w:sz w:val="30"/>
          <w:szCs w:val="30"/>
        </w:rPr>
        <w:t>35</w:t>
      </w:r>
      <w:r w:rsidRPr="007B5D03">
        <w:rPr>
          <w:rFonts w:hAnsi="標楷體"/>
          <w:sz w:val="30"/>
          <w:szCs w:val="30"/>
        </w:rPr>
        <w:t>條可作為處分可分之依據。</w:t>
      </w:r>
    </w:p>
    <w:p w:rsidR="00514426" w:rsidRPr="007B5D03" w:rsidRDefault="00514426" w:rsidP="009B13DC">
      <w:pPr>
        <w:snapToGrid w:val="0"/>
        <w:spacing w:line="437" w:lineRule="exact"/>
        <w:ind w:left="2637" w:hanging="482"/>
        <w:rPr>
          <w:sz w:val="30"/>
          <w:szCs w:val="30"/>
        </w:rPr>
      </w:pPr>
      <w:r w:rsidRPr="007B5D03">
        <w:rPr>
          <w:sz w:val="30"/>
          <w:szCs w:val="30"/>
        </w:rPr>
        <w:t>F</w:t>
      </w:r>
      <w:r w:rsidRPr="007B5D03">
        <w:rPr>
          <w:rFonts w:hAnsi="標楷體" w:hint="eastAsia"/>
          <w:sz w:val="30"/>
          <w:szCs w:val="30"/>
        </w:rPr>
        <w:t>、</w:t>
      </w:r>
      <w:r w:rsidRPr="007B5D03">
        <w:rPr>
          <w:rFonts w:hAnsi="標楷體"/>
          <w:sz w:val="30"/>
          <w:szCs w:val="30"/>
        </w:rPr>
        <w:t>更進一步言，</w:t>
      </w:r>
      <w:r w:rsidRPr="007B5D03">
        <w:rPr>
          <w:sz w:val="30"/>
          <w:szCs w:val="30"/>
        </w:rPr>
        <w:t>62</w:t>
      </w:r>
      <w:r w:rsidRPr="007B5D03">
        <w:rPr>
          <w:rFonts w:hAnsi="標楷體"/>
          <w:sz w:val="30"/>
          <w:szCs w:val="30"/>
        </w:rPr>
        <w:t>年判例既係基於課稅處分可分性之前提，其可分性範圍是否受課稅處分調整理由限制，抑或以納稅義務人在復查程序所提之理由作為認定課稅處分之範疇？</w:t>
      </w:r>
      <w:r w:rsidRPr="007B5D03">
        <w:rPr>
          <w:sz w:val="30"/>
          <w:szCs w:val="30"/>
        </w:rPr>
        <w:t>62</w:t>
      </w:r>
      <w:r w:rsidRPr="007B5D03">
        <w:rPr>
          <w:rFonts w:hAnsi="標楷體"/>
          <w:sz w:val="30"/>
          <w:szCs w:val="30"/>
        </w:rPr>
        <w:t>年判例並未釐清此一課稅處分可分性之拆分標準，苟稽徵機關就納稅義務人結算申報書上某一科目如申報數加以核定，但納稅義務人如欲於復查程序中加以主張時，是否得作為行政救濟程序所審理之範圍？如以課稅處分調整理由為判準，納稅義務人即不得在行政救濟程序中主張，如以納稅義務人復查程序中所主張之理由為準，似又可以對處分未調整之科目列為行政訴訟之審理範圍，惟此對於人民訴訟權範圍及得否爭訟乙事，竟無明確之適用標準，是</w:t>
      </w:r>
      <w:r w:rsidRPr="007B5D03">
        <w:rPr>
          <w:sz w:val="30"/>
          <w:szCs w:val="30"/>
        </w:rPr>
        <w:t>62</w:t>
      </w:r>
      <w:r w:rsidRPr="007B5D03">
        <w:rPr>
          <w:rFonts w:hAnsi="標楷體"/>
          <w:sz w:val="30"/>
          <w:szCs w:val="30"/>
        </w:rPr>
        <w:t>年判例本身有無理論基礎得支持己身結論之正當性，誠已令人懷疑。況且，如本件聲請人之情形，原將權證之權利金收入與避險損失均暫先申報為免稅證券交易損益，因聲請人在營利事業所得稅結算申報時主張權證之權利金收入與避險交易損失為收入成本必須相互配</w:t>
      </w:r>
      <w:r w:rsidRPr="007B5D03">
        <w:rPr>
          <w:rFonts w:hAnsi="標楷體"/>
          <w:sz w:val="30"/>
          <w:szCs w:val="30"/>
        </w:rPr>
        <w:lastRenderedPageBreak/>
        <w:t>合，如權利金收入列為免稅收入，避險交易損失亦在免稅項下，如權利金收入為應稅收入，避險交易損失則在應稅項下。惟臺北市國稅局將</w:t>
      </w:r>
      <w:r w:rsidRPr="007B5D03">
        <w:rPr>
          <w:sz w:val="30"/>
          <w:szCs w:val="30"/>
        </w:rPr>
        <w:t>91</w:t>
      </w:r>
      <w:r w:rsidRPr="007B5D03">
        <w:rPr>
          <w:rFonts w:hAnsi="標楷體"/>
          <w:sz w:val="30"/>
          <w:szCs w:val="30"/>
        </w:rPr>
        <w:t>年</w:t>
      </w:r>
      <w:r w:rsidRPr="00C57731">
        <w:rPr>
          <w:rFonts w:hAnsi="標楷體"/>
          <w:spacing w:val="6"/>
          <w:sz w:val="30"/>
          <w:szCs w:val="30"/>
        </w:rPr>
        <w:t>到期權證之權利金調增至營業收入之科目</w:t>
      </w:r>
      <w:r w:rsidRPr="007B5D03">
        <w:rPr>
          <w:rFonts w:hAnsi="標楷體"/>
          <w:sz w:val="30"/>
          <w:szCs w:val="30"/>
        </w:rPr>
        <w:t>中，且原查處分依據財政部</w:t>
      </w:r>
      <w:r w:rsidRPr="007B5D03">
        <w:rPr>
          <w:sz w:val="30"/>
          <w:szCs w:val="30"/>
        </w:rPr>
        <w:t>86</w:t>
      </w:r>
      <w:r w:rsidRPr="007B5D03">
        <w:rPr>
          <w:rFonts w:hAnsi="標楷體"/>
          <w:sz w:val="30"/>
          <w:szCs w:val="30"/>
        </w:rPr>
        <w:t>年函釋認定權證避險交易損失屬證券交易損失，故不調整聲請人有關避險交易損失之申報數，案經聲請人於復查等行政救濟程序中均主張避險交易損失應自應稅權利金收入扣除之爭點，亦經復查決定、訴願決定及臺北高等行政法院確定判決所實體審理，詎料本件最高行政法院確定判決認為爭點主義所形成之審理範圍係指原處分之調整部分，而不包括原處分如申報數核定之部分，認定原處分未調整權證避險交易損失之申報，故聲請人不得就該部分提起復查申請云云，顯係採取以原處分調整理由作為爭點主義適用範圍之判準，然此種爭點主義之適用確實已產生對於人民最為不利之效果，蓋：本件聲請人本在結算申報即主張權利金收入與避險交易損失為相互配合之收入與成本，如均申報免稅項下時，即無課徵稅捐之可言，惟國稅局將權利金收入調整至營業收入項下，聲請人自然主張應將</w:t>
      </w:r>
      <w:r w:rsidRPr="00265710">
        <w:rPr>
          <w:rFonts w:hAnsi="標楷體"/>
          <w:spacing w:val="6"/>
          <w:sz w:val="30"/>
          <w:szCs w:val="30"/>
        </w:rPr>
        <w:t>權利金收入之成本（即避險損失）自應稅收</w:t>
      </w:r>
      <w:r w:rsidRPr="007B5D03">
        <w:rPr>
          <w:rFonts w:hAnsi="標楷體"/>
          <w:sz w:val="30"/>
          <w:szCs w:val="30"/>
        </w:rPr>
        <w:t>入中扣減，如採最高行政法院確定判決所持之爭點主義，即造成避險交易成本在權利金收入被調整為應稅收入時，竟可</w:t>
      </w:r>
      <w:r w:rsidRPr="007B5D03">
        <w:rPr>
          <w:rFonts w:hAnsi="標楷體"/>
          <w:sz w:val="30"/>
          <w:szCs w:val="30"/>
        </w:rPr>
        <w:lastRenderedPageBreak/>
        <w:t>能無從受實體審理，如堅持課稅處分可分而且是以科目</w:t>
      </w:r>
      <w:r w:rsidRPr="00265710">
        <w:rPr>
          <w:rFonts w:hAnsi="標楷體"/>
          <w:spacing w:val="6"/>
          <w:sz w:val="30"/>
          <w:szCs w:val="30"/>
        </w:rPr>
        <w:t>是否被調整作為行政訴訟審理範圍之標準</w:t>
      </w:r>
      <w:r w:rsidRPr="007B5D03">
        <w:rPr>
          <w:rFonts w:hAnsi="標楷體"/>
          <w:sz w:val="30"/>
          <w:szCs w:val="30"/>
        </w:rPr>
        <w:t>時，此種見解顯然與爭點主義本立基於課稅基礎邏輯上可分之基調相矛盾，足見</w:t>
      </w:r>
      <w:r w:rsidRPr="007B5D03">
        <w:rPr>
          <w:sz w:val="30"/>
          <w:szCs w:val="30"/>
        </w:rPr>
        <w:t>62</w:t>
      </w:r>
      <w:r w:rsidRPr="007B5D03">
        <w:rPr>
          <w:rFonts w:hAnsi="標楷體"/>
          <w:sz w:val="30"/>
          <w:szCs w:val="30"/>
        </w:rPr>
        <w:t>年判例雖採取爭點主義，卻又未能釐清課稅基礎可分之前提，形成一個概念、內涵過於模糊之訴訟法上原則，卻賦予一個使人民喪失訴</w:t>
      </w:r>
      <w:r w:rsidRPr="00265710">
        <w:rPr>
          <w:rFonts w:hAnsi="標楷體"/>
          <w:spacing w:val="6"/>
          <w:sz w:val="30"/>
          <w:szCs w:val="30"/>
        </w:rPr>
        <w:t>訟權的法律效果，其法令</w:t>
      </w:r>
      <w:r w:rsidRPr="00265710">
        <w:rPr>
          <w:rFonts w:hint="eastAsia"/>
          <w:spacing w:val="6"/>
          <w:sz w:val="30"/>
          <w:szCs w:val="30"/>
        </w:rPr>
        <w:t>（</w:t>
      </w:r>
      <w:r w:rsidRPr="00265710">
        <w:rPr>
          <w:rFonts w:hAnsi="標楷體"/>
          <w:spacing w:val="6"/>
          <w:sz w:val="30"/>
          <w:szCs w:val="30"/>
        </w:rPr>
        <w:t>判例</w:t>
      </w:r>
      <w:r w:rsidRPr="00265710">
        <w:rPr>
          <w:rFonts w:hint="eastAsia"/>
          <w:spacing w:val="6"/>
          <w:sz w:val="30"/>
          <w:szCs w:val="30"/>
        </w:rPr>
        <w:t>）</w:t>
      </w:r>
      <w:r w:rsidRPr="00265710">
        <w:rPr>
          <w:rFonts w:hAnsi="標楷體"/>
          <w:spacing w:val="6"/>
          <w:sz w:val="30"/>
          <w:szCs w:val="30"/>
        </w:rPr>
        <w:t>本身即非</w:t>
      </w:r>
      <w:r w:rsidRPr="007B5D03">
        <w:rPr>
          <w:rFonts w:hAnsi="標楷體"/>
          <w:sz w:val="30"/>
          <w:szCs w:val="30"/>
        </w:rPr>
        <w:t>允當。</w:t>
      </w:r>
    </w:p>
    <w:p w:rsidR="00514426" w:rsidRPr="007B5D03" w:rsidRDefault="00514426" w:rsidP="009B13DC">
      <w:pPr>
        <w:snapToGrid w:val="0"/>
        <w:spacing w:line="437" w:lineRule="exact"/>
        <w:ind w:left="2637" w:hanging="482"/>
        <w:rPr>
          <w:sz w:val="30"/>
          <w:szCs w:val="30"/>
        </w:rPr>
      </w:pPr>
      <w:r w:rsidRPr="007B5D03">
        <w:rPr>
          <w:sz w:val="30"/>
          <w:szCs w:val="30"/>
        </w:rPr>
        <w:t>G</w:t>
      </w:r>
      <w:r w:rsidRPr="007B5D03">
        <w:rPr>
          <w:rFonts w:hAnsi="標楷體" w:hint="eastAsia"/>
          <w:sz w:val="30"/>
          <w:szCs w:val="30"/>
        </w:rPr>
        <w:t>、</w:t>
      </w:r>
      <w:r w:rsidRPr="007B5D03">
        <w:rPr>
          <w:rFonts w:hAnsi="標楷體"/>
          <w:sz w:val="30"/>
          <w:szCs w:val="30"/>
        </w:rPr>
        <w:t>回歸到行政處分可分性之本質而言，其係來自行政程序法第</w:t>
      </w:r>
      <w:r w:rsidRPr="007B5D03">
        <w:rPr>
          <w:sz w:val="30"/>
          <w:szCs w:val="30"/>
        </w:rPr>
        <w:t>112</w:t>
      </w:r>
      <w:r w:rsidRPr="007B5D03">
        <w:rPr>
          <w:rFonts w:hAnsi="標楷體"/>
          <w:sz w:val="30"/>
          <w:szCs w:val="30"/>
        </w:rPr>
        <w:t>條規定：「行政處分一部分無效者，其他部分仍為有效。但除去該無效部分，行政處分不能成立者，全部無效。」之相同意旨，行政處分可分係指除去該部分處</w:t>
      </w:r>
      <w:r w:rsidRPr="007B5D03">
        <w:rPr>
          <w:rFonts w:hAnsi="標楷體" w:hint="eastAsia"/>
          <w:sz w:val="30"/>
          <w:szCs w:val="30"/>
        </w:rPr>
        <w:t>分</w:t>
      </w:r>
      <w:r w:rsidRPr="007B5D03">
        <w:rPr>
          <w:rFonts w:hAnsi="標楷體"/>
          <w:sz w:val="30"/>
          <w:szCs w:val="30"/>
        </w:rPr>
        <w:t>而能獨立存在者，始足當之。惟查，課稅處分僅係在處分書上分列不同細項，其處分規制內容並非可各別分為各加減項目。以營利事業所得稅之核定通知書為例，營業收入總額（</w:t>
      </w:r>
      <w:r w:rsidRPr="007B5D03">
        <w:rPr>
          <w:sz w:val="30"/>
          <w:szCs w:val="30"/>
        </w:rPr>
        <w:t>01</w:t>
      </w:r>
      <w:r w:rsidRPr="007B5D03">
        <w:rPr>
          <w:rFonts w:hAnsi="標楷體"/>
          <w:sz w:val="30"/>
          <w:szCs w:val="30"/>
        </w:rPr>
        <w:t>項）、營業成本（</w:t>
      </w:r>
      <w:r w:rsidRPr="007B5D03">
        <w:rPr>
          <w:sz w:val="30"/>
          <w:szCs w:val="30"/>
        </w:rPr>
        <w:t>05</w:t>
      </w:r>
      <w:r w:rsidRPr="007B5D03">
        <w:rPr>
          <w:rFonts w:hAnsi="標楷體"/>
          <w:sz w:val="30"/>
          <w:szCs w:val="30"/>
        </w:rPr>
        <w:t>項）各為一項科目，營業費用及損失總額（</w:t>
      </w:r>
      <w:r w:rsidRPr="007B5D03">
        <w:rPr>
          <w:sz w:val="30"/>
          <w:szCs w:val="30"/>
        </w:rPr>
        <w:t>08</w:t>
      </w:r>
      <w:r w:rsidRPr="007B5D03">
        <w:rPr>
          <w:rFonts w:hAnsi="標楷體"/>
          <w:sz w:val="30"/>
          <w:szCs w:val="30"/>
        </w:rPr>
        <w:t>項）亦為一項科目，惟營業費用及損失係</w:t>
      </w:r>
      <w:r w:rsidRPr="007B5D03">
        <w:rPr>
          <w:sz w:val="30"/>
          <w:szCs w:val="30"/>
        </w:rPr>
        <w:t>10</w:t>
      </w:r>
      <w:r w:rsidRPr="007B5D03">
        <w:rPr>
          <w:rFonts w:hAnsi="標楷體"/>
          <w:sz w:val="30"/>
          <w:szCs w:val="30"/>
        </w:rPr>
        <w:t>項至</w:t>
      </w:r>
      <w:r w:rsidRPr="007B5D03">
        <w:rPr>
          <w:sz w:val="30"/>
          <w:szCs w:val="30"/>
        </w:rPr>
        <w:t>32</w:t>
      </w:r>
      <w:r w:rsidRPr="007B5D03">
        <w:rPr>
          <w:rFonts w:hAnsi="標楷體"/>
          <w:sz w:val="30"/>
          <w:szCs w:val="30"/>
        </w:rPr>
        <w:t>項及</w:t>
      </w:r>
      <w:r w:rsidRPr="007B5D03">
        <w:rPr>
          <w:sz w:val="30"/>
          <w:szCs w:val="30"/>
        </w:rPr>
        <w:t>72</w:t>
      </w:r>
      <w:r w:rsidRPr="007B5D03">
        <w:rPr>
          <w:rFonts w:hAnsi="標楷體"/>
          <w:sz w:val="30"/>
          <w:szCs w:val="30"/>
        </w:rPr>
        <w:t>項之加總，是否因此將之理解為每一費用科目均為個別之訴訟標的？抑或將營業收入、營業成本與營業費用分為三個不同之訴訟標的？然而營業收入、營業成本與營業費用僅為計算課稅所得及應納稅額之過程，亦即其為形成課稅所得額之</w:t>
      </w:r>
      <w:r w:rsidRPr="007B5D03">
        <w:rPr>
          <w:rFonts w:hAnsi="標楷體"/>
          <w:sz w:val="30"/>
          <w:szCs w:val="30"/>
        </w:rPr>
        <w:lastRenderedPageBreak/>
        <w:t>加減項目而已，不可能除去其中某一科目的規制，使得課稅處分仍能維持。申言之，回到行政處分可分性的觀點係在討論行政處分一部分違法而無效或得撤銷時，除去該無效或得撤銷部分，其餘部分仍能獨立存在時，方有處分可分性之適用。然而在課稅處分的情形，如除去折舊費用之核定時，就會成為一個無法正確計算所得稅額的規制內容，不會因為撤銷國稅局對於折舊費用的剔除數，就會使課稅處分回復到以申報數作為折舊費用的規制內容，所以在稅務實務上由法院判決撤銷復查決定及訴願決定時，是由稽徵機關就撤銷部分再作成復查決定，只是由新的復查決定去代替核定通知書相關部分的規制內容，根本無由將折舊費用部分規制內容單獨除去而使課稅</w:t>
      </w:r>
      <w:r w:rsidRPr="00385943">
        <w:rPr>
          <w:rFonts w:hAnsi="標楷體"/>
          <w:spacing w:val="6"/>
          <w:sz w:val="30"/>
          <w:szCs w:val="30"/>
        </w:rPr>
        <w:t>處分的「其他」規制內容可獨自成立，所以</w:t>
      </w:r>
      <w:r w:rsidRPr="007B5D03">
        <w:rPr>
          <w:rFonts w:hAnsi="標楷體"/>
          <w:sz w:val="30"/>
          <w:szCs w:val="30"/>
        </w:rPr>
        <w:t>課稅處分並不符合行政程序法上所討論之可分的行政處分，至為顯然。</w:t>
      </w:r>
    </w:p>
    <w:p w:rsidR="00514426" w:rsidRPr="007B5D03" w:rsidRDefault="00514426" w:rsidP="009B13DC">
      <w:pPr>
        <w:snapToGrid w:val="0"/>
        <w:spacing w:line="437" w:lineRule="exact"/>
        <w:ind w:left="2637" w:hanging="482"/>
        <w:rPr>
          <w:sz w:val="30"/>
          <w:szCs w:val="30"/>
        </w:rPr>
      </w:pPr>
      <w:r w:rsidRPr="007B5D03">
        <w:rPr>
          <w:sz w:val="30"/>
          <w:szCs w:val="30"/>
        </w:rPr>
        <w:t>H</w:t>
      </w:r>
      <w:r w:rsidRPr="007B5D03">
        <w:rPr>
          <w:rFonts w:hAnsi="標楷體" w:hint="eastAsia"/>
          <w:sz w:val="30"/>
          <w:szCs w:val="30"/>
        </w:rPr>
        <w:t>、</w:t>
      </w:r>
      <w:r w:rsidRPr="007B5D03">
        <w:rPr>
          <w:rFonts w:hAnsi="標楷體"/>
          <w:sz w:val="30"/>
          <w:szCs w:val="30"/>
        </w:rPr>
        <w:t>或許改制前行政法院</w:t>
      </w:r>
      <w:r w:rsidRPr="007B5D03">
        <w:rPr>
          <w:sz w:val="30"/>
          <w:szCs w:val="30"/>
        </w:rPr>
        <w:t>62</w:t>
      </w:r>
      <w:r w:rsidRPr="007B5D03">
        <w:rPr>
          <w:rFonts w:hAnsi="標楷體"/>
          <w:sz w:val="30"/>
          <w:szCs w:val="30"/>
        </w:rPr>
        <w:t>年</w:t>
      </w:r>
      <w:r w:rsidRPr="007B5D03">
        <w:rPr>
          <w:rFonts w:hAnsi="標楷體" w:hint="eastAsia"/>
          <w:sz w:val="30"/>
          <w:szCs w:val="30"/>
        </w:rPr>
        <w:t>判字</w:t>
      </w:r>
      <w:r w:rsidRPr="007B5D03">
        <w:rPr>
          <w:rFonts w:hAnsi="標楷體"/>
          <w:sz w:val="30"/>
          <w:szCs w:val="30"/>
        </w:rPr>
        <w:t>第</w:t>
      </w:r>
      <w:r w:rsidRPr="007B5D03">
        <w:rPr>
          <w:sz w:val="30"/>
          <w:szCs w:val="30"/>
        </w:rPr>
        <w:t>96</w:t>
      </w:r>
      <w:r w:rsidRPr="007B5D03">
        <w:rPr>
          <w:rFonts w:hAnsi="標楷體"/>
          <w:sz w:val="30"/>
          <w:szCs w:val="30"/>
        </w:rPr>
        <w:t>號判例採取折舊費用與原料耗用具有可分性之依據是來自所得稅法分別規範之狀態，亦即所得稅法第</w:t>
      </w:r>
      <w:r w:rsidRPr="007B5D03">
        <w:rPr>
          <w:sz w:val="30"/>
          <w:szCs w:val="30"/>
        </w:rPr>
        <w:t>28</w:t>
      </w:r>
      <w:r w:rsidRPr="007B5D03">
        <w:rPr>
          <w:rFonts w:hAnsi="標楷體"/>
          <w:sz w:val="30"/>
          <w:szCs w:val="30"/>
        </w:rPr>
        <w:t>條規定「製造業耗用之原料，超過各該業通常水準者，其超過部</w:t>
      </w:r>
      <w:r w:rsidRPr="007B5D03">
        <w:rPr>
          <w:rFonts w:hAnsi="標楷體" w:hint="eastAsia"/>
          <w:sz w:val="30"/>
          <w:szCs w:val="30"/>
        </w:rPr>
        <w:t>分</w:t>
      </w:r>
      <w:r w:rsidRPr="007B5D03">
        <w:rPr>
          <w:rFonts w:hAnsi="標楷體"/>
          <w:sz w:val="30"/>
          <w:szCs w:val="30"/>
        </w:rPr>
        <w:t>非經提出正當理由，經稽徵機關查明屬實者不予減除。」而第</w:t>
      </w:r>
      <w:r w:rsidRPr="007B5D03">
        <w:rPr>
          <w:sz w:val="30"/>
          <w:szCs w:val="30"/>
        </w:rPr>
        <w:t>51</w:t>
      </w:r>
      <w:r w:rsidRPr="007B5D03">
        <w:rPr>
          <w:rFonts w:hAnsi="標楷體"/>
          <w:sz w:val="30"/>
          <w:szCs w:val="30"/>
        </w:rPr>
        <w:t>條則規定：「固定資產之折舊方法，以採用平均法、定率遞減法或工作時間法為準則，上</w:t>
      </w:r>
      <w:r w:rsidRPr="007B5D03">
        <w:rPr>
          <w:rFonts w:hAnsi="標楷體"/>
          <w:sz w:val="30"/>
          <w:szCs w:val="30"/>
        </w:rPr>
        <w:lastRenderedPageBreak/>
        <w:t>項方法之採用及變換準用第四十四條第三項之規定，其未經申請者視為採用平均法。各種固定資產耐用年數，依固定資產耐用年數表之規定。各種固定資產計算折舊</w:t>
      </w:r>
      <w:r w:rsidRPr="00385943">
        <w:rPr>
          <w:rFonts w:hAnsi="標楷體"/>
          <w:spacing w:val="6"/>
          <w:sz w:val="30"/>
          <w:szCs w:val="30"/>
        </w:rPr>
        <w:t>時，其耐用年數除經政府獎勵特予縮短者外，不得短於該表規定之最短年限。」所以</w:t>
      </w:r>
      <w:r w:rsidRPr="007B5D03">
        <w:rPr>
          <w:rFonts w:hAnsi="標楷體"/>
          <w:sz w:val="30"/>
          <w:szCs w:val="30"/>
        </w:rPr>
        <w:t>依據實體法此為二個獨立的事由。惟此一論點之盲點在於，如果在公務員懲戒的處分案件，不同法條規定的懲戒事由，可能相去甚遠，彼此之間並無密切關聯，如此似還有爭論除去該無效部分後，其他部分能獨立存在的理由，然而基於行政處分主文規制內容如無變更的情形，處分理由之追補在德國與我國之通說與實務均採取肯定說之見解（附件</w:t>
      </w:r>
      <w:r w:rsidRPr="00F34375">
        <w:rPr>
          <w:spacing w:val="-8"/>
          <w:sz w:val="30"/>
          <w:szCs w:val="30"/>
        </w:rPr>
        <w:t>43</w:t>
      </w:r>
      <w:r w:rsidRPr="00F34375">
        <w:rPr>
          <w:rFonts w:hAnsi="標楷體"/>
          <w:spacing w:val="-8"/>
          <w:sz w:val="30"/>
          <w:szCs w:val="30"/>
        </w:rPr>
        <w:t>，陳敏，行政法總論，</w:t>
      </w:r>
      <w:r w:rsidRPr="00F34375">
        <w:rPr>
          <w:spacing w:val="-8"/>
          <w:sz w:val="30"/>
          <w:szCs w:val="30"/>
        </w:rPr>
        <w:t>2</w:t>
      </w:r>
      <w:r w:rsidRPr="00F34375">
        <w:rPr>
          <w:rFonts w:hAnsi="標楷體"/>
          <w:spacing w:val="-8"/>
          <w:sz w:val="30"/>
          <w:szCs w:val="30"/>
        </w:rPr>
        <w:t>版，</w:t>
      </w:r>
      <w:r w:rsidRPr="00F34375">
        <w:rPr>
          <w:rFonts w:hAnsi="標楷體" w:hint="eastAsia"/>
          <w:spacing w:val="-8"/>
          <w:sz w:val="30"/>
          <w:szCs w:val="30"/>
        </w:rPr>
        <w:t>第</w:t>
      </w:r>
      <w:r w:rsidRPr="00F34375">
        <w:rPr>
          <w:spacing w:val="-8"/>
          <w:sz w:val="30"/>
          <w:szCs w:val="30"/>
        </w:rPr>
        <w:t>1260</w:t>
      </w:r>
      <w:r w:rsidRPr="00F34375">
        <w:rPr>
          <w:rFonts w:hAnsi="標楷體"/>
          <w:spacing w:val="-8"/>
          <w:sz w:val="30"/>
          <w:szCs w:val="30"/>
        </w:rPr>
        <w:t>、</w:t>
      </w:r>
      <w:r w:rsidRPr="00F34375">
        <w:rPr>
          <w:spacing w:val="-8"/>
          <w:sz w:val="30"/>
          <w:szCs w:val="30"/>
        </w:rPr>
        <w:t>1261</w:t>
      </w:r>
      <w:r w:rsidRPr="007B5D03">
        <w:rPr>
          <w:rFonts w:hAnsi="標楷體"/>
          <w:sz w:val="30"/>
          <w:szCs w:val="30"/>
        </w:rPr>
        <w:t>頁；最高行政法院</w:t>
      </w:r>
      <w:r w:rsidRPr="007B5D03">
        <w:rPr>
          <w:sz w:val="30"/>
          <w:szCs w:val="30"/>
        </w:rPr>
        <w:t>91</w:t>
      </w:r>
      <w:r w:rsidRPr="007B5D03">
        <w:rPr>
          <w:rFonts w:hAnsi="標楷體"/>
          <w:sz w:val="30"/>
          <w:szCs w:val="30"/>
        </w:rPr>
        <w:t>年度判字第</w:t>
      </w:r>
      <w:r w:rsidRPr="007B5D03">
        <w:rPr>
          <w:sz w:val="30"/>
          <w:szCs w:val="30"/>
        </w:rPr>
        <w:t>694</w:t>
      </w:r>
      <w:r w:rsidRPr="007B5D03">
        <w:rPr>
          <w:rFonts w:hAnsi="標楷體"/>
          <w:sz w:val="30"/>
          <w:szCs w:val="30"/>
        </w:rPr>
        <w:t>號判決參照；臺北高等行政法院</w:t>
      </w:r>
      <w:r w:rsidRPr="007B5D03">
        <w:rPr>
          <w:sz w:val="30"/>
          <w:szCs w:val="30"/>
        </w:rPr>
        <w:t>90</w:t>
      </w:r>
      <w:r w:rsidRPr="007B5D03">
        <w:rPr>
          <w:rFonts w:hAnsi="標楷體"/>
          <w:sz w:val="30"/>
          <w:szCs w:val="30"/>
        </w:rPr>
        <w:t>年度訴字第</w:t>
      </w:r>
      <w:r w:rsidRPr="007B5D03">
        <w:rPr>
          <w:sz w:val="30"/>
          <w:szCs w:val="30"/>
        </w:rPr>
        <w:t>5857</w:t>
      </w:r>
      <w:r w:rsidRPr="007B5D03">
        <w:rPr>
          <w:rFonts w:hAnsi="標楷體"/>
          <w:sz w:val="30"/>
          <w:szCs w:val="30"/>
        </w:rPr>
        <w:t>號判決參照），準此以不同處分理由構成不同訴訟標的或不准行政機關為理由追補，亦非屬通說實務所採之見解。更何況如同課稅處分之各個科目彼此間緊密牽連之情形，在理論上本就非可分，不會因為不同法條對原料耗用與折舊費用之認定加以規範，就會構成行政處分可分的理由。</w:t>
      </w:r>
    </w:p>
    <w:p w:rsidR="00514426" w:rsidRPr="00F34375" w:rsidRDefault="00514426" w:rsidP="00FB2D5A">
      <w:pPr>
        <w:snapToGrid w:val="0"/>
        <w:spacing w:line="437" w:lineRule="exact"/>
        <w:ind w:left="2382" w:hanging="397"/>
        <w:rPr>
          <w:spacing w:val="6"/>
          <w:sz w:val="30"/>
          <w:szCs w:val="30"/>
        </w:rPr>
      </w:pPr>
      <w:r w:rsidRPr="00F34375">
        <w:rPr>
          <w:rFonts w:hAnsi="標楷體" w:hint="eastAsia"/>
          <w:spacing w:val="6"/>
          <w:sz w:val="30"/>
          <w:szCs w:val="30"/>
        </w:rPr>
        <w:t>(2)</w:t>
      </w:r>
      <w:r w:rsidRPr="00F34375">
        <w:rPr>
          <w:rFonts w:hAnsi="標楷體"/>
          <w:spacing w:val="6"/>
          <w:sz w:val="30"/>
          <w:szCs w:val="30"/>
        </w:rPr>
        <w:t>爭點主義之理論依據</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F34375">
        <w:rPr>
          <w:rFonts w:hAnsi="標楷體"/>
          <w:spacing w:val="-6"/>
          <w:sz w:val="30"/>
          <w:szCs w:val="30"/>
        </w:rPr>
        <w:t>概說：爭點主義可分為「事實關係說」與「二</w:t>
      </w:r>
      <w:r w:rsidRPr="007B5D03">
        <w:rPr>
          <w:rFonts w:hAnsi="標楷體"/>
          <w:sz w:val="30"/>
          <w:szCs w:val="30"/>
        </w:rPr>
        <w:t>分肢說」來探討，茲簡介如下：</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lastRenderedPageBreak/>
        <w:t>(</w:t>
      </w:r>
      <w:r w:rsidRPr="007B5D03">
        <w:rPr>
          <w:sz w:val="30"/>
          <w:szCs w:val="30"/>
        </w:rPr>
        <w:t>A</w:t>
      </w:r>
      <w:r w:rsidRPr="007B5D03">
        <w:rPr>
          <w:rFonts w:hAnsi="標楷體" w:hint="eastAsia"/>
          <w:sz w:val="30"/>
          <w:szCs w:val="30"/>
        </w:rPr>
        <w:t>)</w:t>
      </w:r>
      <w:r w:rsidRPr="007B5D03">
        <w:rPr>
          <w:rFonts w:hAnsi="標楷體"/>
          <w:sz w:val="30"/>
          <w:szCs w:val="30"/>
        </w:rPr>
        <w:t>事實關係說：事實關係說係指稅務訴訟上撤銷之訴的訴訟標的，乃是原告所爭執之各別課稅基礎或原告所爭執之部分事實關係。惟論者認為此種觀點與行政訴訟法第</w:t>
      </w:r>
      <w:r w:rsidRPr="007B5D03">
        <w:rPr>
          <w:sz w:val="30"/>
          <w:szCs w:val="30"/>
        </w:rPr>
        <w:t>4</w:t>
      </w:r>
      <w:r w:rsidRPr="007B5D03">
        <w:rPr>
          <w:rFonts w:hAnsi="標楷體"/>
          <w:sz w:val="30"/>
          <w:szCs w:val="30"/>
        </w:rPr>
        <w:t>條第</w:t>
      </w:r>
      <w:r w:rsidRPr="007B5D03">
        <w:rPr>
          <w:sz w:val="30"/>
          <w:szCs w:val="30"/>
        </w:rPr>
        <w:t>1</w:t>
      </w:r>
      <w:r w:rsidRPr="007B5D03">
        <w:rPr>
          <w:rFonts w:hAnsi="標楷體"/>
          <w:sz w:val="30"/>
          <w:szCs w:val="30"/>
        </w:rPr>
        <w:t>項：「人民因中央或地方機關之違法行政處分，認為損害其權利或法律上之</w:t>
      </w:r>
      <w:r w:rsidRPr="00F34375">
        <w:rPr>
          <w:rFonts w:hAnsi="標楷體"/>
          <w:spacing w:val="6"/>
          <w:sz w:val="30"/>
          <w:szCs w:val="30"/>
        </w:rPr>
        <w:t>利益，經依訴願法提起訴願而不服其決</w:t>
      </w:r>
      <w:r w:rsidRPr="007B5D03">
        <w:rPr>
          <w:rFonts w:hAnsi="標楷體"/>
          <w:sz w:val="30"/>
          <w:szCs w:val="30"/>
        </w:rPr>
        <w:t>定，或提起訴願逾三個月不為決定，或延長訴願決定期間逾二個月不為決定者，得向高等行政法院提起撤銷訴訟。」之規定有所不符，蓋一般行政訴訟法上之訴訟標的依該條規定，以系爭處分違法且侵害人民權利為訴訟標的，又行政處分之規制效果在於主文而非理由，對於人民權益的損害是基於主文而發生，並非基於處分理由而發生（附件</w:t>
      </w:r>
      <w:r w:rsidRPr="007B5D03">
        <w:rPr>
          <w:sz w:val="30"/>
          <w:szCs w:val="30"/>
        </w:rPr>
        <w:t>44</w:t>
      </w:r>
      <w:r w:rsidRPr="007B5D03">
        <w:rPr>
          <w:rFonts w:hAnsi="標楷體"/>
          <w:sz w:val="30"/>
          <w:szCs w:val="30"/>
        </w:rPr>
        <w:t>，陳清秀，稅務訴訟之訴訟標的，第</w:t>
      </w:r>
      <w:r w:rsidRPr="007B5D03">
        <w:rPr>
          <w:sz w:val="30"/>
          <w:szCs w:val="30"/>
        </w:rPr>
        <w:t>390</w:t>
      </w:r>
      <w:r w:rsidRPr="007B5D03">
        <w:rPr>
          <w:rFonts w:hAnsi="標楷體"/>
          <w:sz w:val="30"/>
          <w:szCs w:val="30"/>
        </w:rPr>
        <w:t>至</w:t>
      </w:r>
      <w:r w:rsidRPr="007B5D03">
        <w:rPr>
          <w:sz w:val="30"/>
          <w:szCs w:val="30"/>
        </w:rPr>
        <w:t>394</w:t>
      </w:r>
      <w:r w:rsidRPr="007B5D03">
        <w:rPr>
          <w:rFonts w:hAnsi="標楷體"/>
          <w:sz w:val="30"/>
          <w:szCs w:val="30"/>
        </w:rPr>
        <w:t>頁）。</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B</w:t>
      </w:r>
      <w:r w:rsidRPr="007B5D03">
        <w:rPr>
          <w:rFonts w:hAnsi="標楷體" w:hint="eastAsia"/>
          <w:sz w:val="30"/>
          <w:szCs w:val="30"/>
        </w:rPr>
        <w:t>)</w:t>
      </w:r>
      <w:r w:rsidRPr="007B5D03">
        <w:rPr>
          <w:rFonts w:hAnsi="標楷體"/>
          <w:sz w:val="30"/>
          <w:szCs w:val="30"/>
        </w:rPr>
        <w:t>如採二分肢說來支持爭點主義之論點為：訴訟標的乃由稅額之爭執（撤銷變更稅捐核定之聲明）以及原告所爭執之事實關係或個別課稅基礎二者所構成；另有認為訴訟標的乃是課稅處分之理由有關之稅額的適否，亦即以處分理由的基礎生活事實關係，特定訴訟標的之範圍。學者認為因為撤銷訴訟之審理範圍為課稅處分的主文而非理由，所以即便法院不逾越人民訴之聲明為</w:t>
      </w:r>
      <w:r w:rsidRPr="007B5D03">
        <w:rPr>
          <w:rFonts w:hAnsi="標楷體"/>
          <w:sz w:val="30"/>
          <w:szCs w:val="30"/>
        </w:rPr>
        <w:lastRenderedPageBreak/>
        <w:t>裁判，或者作成比原處分更不利之判決主文而違反不利益變更禁止原則，但此等限制僅限於訴之聲明的金額或是處分核定之稅額，並非個別的爭點與課稅基礎，</w:t>
      </w:r>
      <w:r w:rsidRPr="00F34375">
        <w:rPr>
          <w:rFonts w:hAnsi="標楷體"/>
          <w:spacing w:val="6"/>
          <w:sz w:val="30"/>
          <w:szCs w:val="30"/>
        </w:rPr>
        <w:t>所以不能因此成為支持爭點主義之理由（附件</w:t>
      </w:r>
      <w:r w:rsidRPr="00F34375">
        <w:rPr>
          <w:spacing w:val="6"/>
          <w:sz w:val="30"/>
          <w:szCs w:val="30"/>
        </w:rPr>
        <w:t>44</w:t>
      </w:r>
      <w:r w:rsidRPr="00F34375">
        <w:rPr>
          <w:rFonts w:hAnsi="標楷體"/>
          <w:spacing w:val="6"/>
          <w:sz w:val="30"/>
          <w:szCs w:val="30"/>
        </w:rPr>
        <w:t>，陳清秀，稅務訴訟之訴訟標</w:t>
      </w:r>
      <w:r w:rsidRPr="007B5D03">
        <w:rPr>
          <w:rFonts w:hAnsi="標楷體"/>
          <w:sz w:val="30"/>
          <w:szCs w:val="30"/>
        </w:rPr>
        <w:t>的，第</w:t>
      </w:r>
      <w:r w:rsidRPr="007B5D03">
        <w:rPr>
          <w:sz w:val="30"/>
          <w:szCs w:val="30"/>
        </w:rPr>
        <w:t>433</w:t>
      </w:r>
      <w:r w:rsidRPr="007B5D03">
        <w:rPr>
          <w:rFonts w:hAnsi="標楷體"/>
          <w:sz w:val="30"/>
          <w:szCs w:val="30"/>
        </w:rPr>
        <w:t>至</w:t>
      </w:r>
      <w:r w:rsidRPr="007B5D03">
        <w:rPr>
          <w:sz w:val="30"/>
          <w:szCs w:val="30"/>
        </w:rPr>
        <w:t>440</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rFonts w:hint="eastAsia"/>
          <w:sz w:val="30"/>
          <w:szCs w:val="30"/>
        </w:rPr>
        <w:t>C</w:t>
      </w:r>
      <w:r w:rsidRPr="007B5D03">
        <w:rPr>
          <w:rFonts w:hAnsi="標楷體" w:hint="eastAsia"/>
          <w:sz w:val="30"/>
          <w:szCs w:val="30"/>
        </w:rPr>
        <w:t>、</w:t>
      </w:r>
      <w:r w:rsidRPr="007B5D03">
        <w:rPr>
          <w:rFonts w:hAnsi="標楷體"/>
          <w:sz w:val="30"/>
          <w:szCs w:val="30"/>
        </w:rPr>
        <w:t>日本法制下的爭點主義論述</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A</w:t>
      </w:r>
      <w:r w:rsidRPr="007B5D03">
        <w:rPr>
          <w:rFonts w:hAnsi="標楷體" w:hint="eastAsia"/>
          <w:sz w:val="30"/>
          <w:szCs w:val="30"/>
        </w:rPr>
        <w:t>)</w:t>
      </w:r>
      <w:r w:rsidRPr="007B5D03">
        <w:rPr>
          <w:rFonts w:hAnsi="標楷體"/>
          <w:sz w:val="30"/>
          <w:szCs w:val="30"/>
        </w:rPr>
        <w:t>因德國稅務訴訟上有關爭點主義的論述，僅為曇花一現的學說，故本聲請書乃以日本法制對於爭點主義之論述作為觀察爭點主義論據的參考依據。日本通說實務其實</w:t>
      </w:r>
      <w:r w:rsidRPr="00F34375">
        <w:rPr>
          <w:rFonts w:hAnsi="標楷體"/>
          <w:spacing w:val="6"/>
          <w:sz w:val="30"/>
          <w:szCs w:val="30"/>
        </w:rPr>
        <w:t>並非採行爭點主義，在課稅處分的審理上，仍以總額主義為決定審理範圍的判</w:t>
      </w:r>
      <w:r w:rsidRPr="007B5D03">
        <w:rPr>
          <w:rFonts w:hAnsi="標楷體"/>
          <w:sz w:val="30"/>
          <w:szCs w:val="30"/>
        </w:rPr>
        <w:t>準。不過確實有些著名學者（如金子宏）傾向採取爭點主義，乃是有其法制發展背景由來。在日本稅務救濟程序之前置程序</w:t>
      </w:r>
      <w:r w:rsidRPr="007B5D03">
        <w:rPr>
          <w:sz w:val="30"/>
          <w:szCs w:val="30"/>
        </w:rPr>
        <w:t>-</w:t>
      </w:r>
      <w:r w:rsidRPr="007B5D03">
        <w:rPr>
          <w:rFonts w:hAnsi="標楷體"/>
          <w:sz w:val="30"/>
          <w:szCs w:val="30"/>
        </w:rPr>
        <w:t>國稅不服審判所的法源，國會曾經作成附帶決議「政府在營運國稅不服審判所時，其使命是給予納稅人權利之救濟，不應偏向於總額主義，而產生爭點主義的精神，</w:t>
      </w:r>
      <w:r w:rsidRPr="00F34375">
        <w:rPr>
          <w:rFonts w:hAnsi="標楷體"/>
          <w:spacing w:val="-6"/>
          <w:sz w:val="30"/>
          <w:szCs w:val="30"/>
        </w:rPr>
        <w:t>應期待</w:t>
      </w:r>
      <w:r w:rsidRPr="00F34375">
        <w:rPr>
          <w:rFonts w:hAnsi="標楷體" w:hint="eastAsia"/>
          <w:spacing w:val="-6"/>
          <w:sz w:val="30"/>
          <w:szCs w:val="30"/>
        </w:rPr>
        <w:t>澈</w:t>
      </w:r>
      <w:r w:rsidRPr="00F34375">
        <w:rPr>
          <w:rFonts w:hAnsi="標楷體"/>
          <w:spacing w:val="-6"/>
          <w:sz w:val="30"/>
          <w:szCs w:val="30"/>
        </w:rPr>
        <w:t>底貫徹該旨趣」，所以法制背景上</w:t>
      </w:r>
      <w:r w:rsidRPr="00F34375">
        <w:rPr>
          <w:rFonts w:hAnsi="標楷體"/>
          <w:spacing w:val="6"/>
          <w:sz w:val="30"/>
          <w:szCs w:val="30"/>
        </w:rPr>
        <w:t>會有學者質疑總額主義不能貫徹程序保</w:t>
      </w:r>
      <w:r w:rsidRPr="007B5D03">
        <w:rPr>
          <w:rFonts w:hAnsi="標楷體"/>
          <w:sz w:val="30"/>
          <w:szCs w:val="30"/>
        </w:rPr>
        <w:t>障，如果容許無條件的追補課稅處分理由</w:t>
      </w:r>
      <w:r w:rsidRPr="00F34375">
        <w:rPr>
          <w:rFonts w:hAnsi="標楷體"/>
          <w:spacing w:val="8"/>
          <w:sz w:val="30"/>
          <w:szCs w:val="30"/>
        </w:rPr>
        <w:t>時，與行政處分未附記理由相同（附件</w:t>
      </w:r>
      <w:r w:rsidRPr="00F34375">
        <w:rPr>
          <w:spacing w:val="-6"/>
          <w:sz w:val="30"/>
          <w:szCs w:val="30"/>
        </w:rPr>
        <w:t>45</w:t>
      </w:r>
      <w:r w:rsidRPr="00F34375">
        <w:rPr>
          <w:rFonts w:hAnsi="標楷體"/>
          <w:spacing w:val="-6"/>
          <w:sz w:val="30"/>
          <w:szCs w:val="30"/>
        </w:rPr>
        <w:t>，榎本恒男，〈爭点主義的運営〉，載於</w:t>
      </w:r>
      <w:r w:rsidRPr="007B5D03">
        <w:rPr>
          <w:rFonts w:hAnsi="標楷體"/>
          <w:sz w:val="30"/>
          <w:szCs w:val="30"/>
        </w:rPr>
        <w:t>小松英明、松沢智編，</w:t>
      </w:r>
      <w:r w:rsidRPr="007B5D03">
        <w:rPr>
          <w:rFonts w:hAnsi="標楷體"/>
          <w:sz w:val="30"/>
          <w:szCs w:val="30"/>
        </w:rPr>
        <w:lastRenderedPageBreak/>
        <w:t>裁判実務大系第</w:t>
      </w:r>
      <w:r w:rsidRPr="007B5D03">
        <w:rPr>
          <w:sz w:val="30"/>
          <w:szCs w:val="30"/>
        </w:rPr>
        <w:t>20</w:t>
      </w:r>
      <w:r w:rsidRPr="007B5D03">
        <w:rPr>
          <w:rFonts w:hAnsi="標楷體"/>
          <w:sz w:val="30"/>
          <w:szCs w:val="30"/>
        </w:rPr>
        <w:t>卷，租稅爭訟法，</w:t>
      </w:r>
      <w:r w:rsidRPr="007B5D03">
        <w:rPr>
          <w:sz w:val="30"/>
          <w:szCs w:val="30"/>
        </w:rPr>
        <w:t>1992</w:t>
      </w:r>
      <w:r w:rsidRPr="007B5D03">
        <w:rPr>
          <w:rFonts w:hAnsi="標楷體"/>
          <w:sz w:val="30"/>
          <w:szCs w:val="30"/>
        </w:rPr>
        <w:t>年初版第</w:t>
      </w:r>
      <w:r w:rsidRPr="007B5D03">
        <w:rPr>
          <w:sz w:val="30"/>
          <w:szCs w:val="30"/>
        </w:rPr>
        <w:t>4</w:t>
      </w:r>
      <w:r w:rsidRPr="007B5D03">
        <w:rPr>
          <w:rFonts w:hAnsi="標楷體"/>
          <w:sz w:val="30"/>
          <w:szCs w:val="30"/>
        </w:rPr>
        <w:t>刷，頁</w:t>
      </w:r>
      <w:r w:rsidRPr="007B5D03">
        <w:rPr>
          <w:sz w:val="30"/>
          <w:szCs w:val="30"/>
        </w:rPr>
        <w:t>20</w:t>
      </w:r>
      <w:r w:rsidRPr="007B5D03">
        <w:rPr>
          <w:rFonts w:hAnsi="標楷體"/>
          <w:sz w:val="30"/>
          <w:szCs w:val="30"/>
        </w:rPr>
        <w:t>、</w:t>
      </w:r>
      <w:r w:rsidRPr="007B5D03">
        <w:rPr>
          <w:sz w:val="30"/>
          <w:szCs w:val="30"/>
        </w:rPr>
        <w:t>21</w:t>
      </w:r>
      <w:r w:rsidRPr="007B5D03">
        <w:rPr>
          <w:rFonts w:hAnsi="標楷體"/>
          <w:sz w:val="30"/>
          <w:szCs w:val="30"/>
        </w:rPr>
        <w:t>）。</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B</w:t>
      </w:r>
      <w:r w:rsidRPr="007B5D03">
        <w:rPr>
          <w:rFonts w:hAnsi="標楷體" w:hint="eastAsia"/>
          <w:sz w:val="30"/>
          <w:szCs w:val="30"/>
        </w:rPr>
        <w:t>)</w:t>
      </w:r>
      <w:r w:rsidRPr="007B5D03">
        <w:rPr>
          <w:rFonts w:hAnsi="標楷體"/>
          <w:sz w:val="30"/>
          <w:szCs w:val="30"/>
        </w:rPr>
        <w:t>稅務訴訟標的之觀點：日本法上的訴訟標的係指判決主文應判斷的事項的最小基本單位，或是可依該單位加以區別的具體事項，具有在訴訟上得劃定審理對</w:t>
      </w:r>
      <w:r w:rsidRPr="007B5D03">
        <w:rPr>
          <w:rFonts w:hAnsi="標楷體" w:hint="eastAsia"/>
          <w:sz w:val="30"/>
          <w:szCs w:val="30"/>
        </w:rPr>
        <w:t>象</w:t>
      </w:r>
      <w:r w:rsidRPr="007B5D03">
        <w:rPr>
          <w:rFonts w:hAnsi="標楷體"/>
          <w:sz w:val="30"/>
          <w:szCs w:val="30"/>
        </w:rPr>
        <w:t>之範圍的機能。通說認為撤銷核課處分的訴訟標的與其他行政處分的撤銷訴訟相同，亦即該處分的整體違法性，可以支持課稅處分核定稅額的一切處分理由，均可為課稅機關所主張。而爭點主義則主張課稅機關不能以處分時所依據的所得原因以外的所得原因在訴訟上主張。</w:t>
      </w:r>
    </w:p>
    <w:p w:rsidR="00514426" w:rsidRPr="007B5D03" w:rsidRDefault="00514426" w:rsidP="00F34375">
      <w:pPr>
        <w:snapToGrid w:val="0"/>
        <w:spacing w:line="437" w:lineRule="exact"/>
        <w:ind w:left="2977" w:hanging="482"/>
        <w:rPr>
          <w:rFonts w:hint="eastAsia"/>
          <w:sz w:val="30"/>
          <w:szCs w:val="30"/>
          <w:lang w:eastAsia="ja-JP"/>
        </w:rPr>
      </w:pPr>
      <w:r w:rsidRPr="007B5D03">
        <w:rPr>
          <w:rFonts w:hAnsi="標楷體" w:hint="eastAsia"/>
          <w:sz w:val="30"/>
          <w:szCs w:val="30"/>
          <w:lang w:eastAsia="ja-JP"/>
        </w:rPr>
        <w:t>(</w:t>
      </w:r>
      <w:r w:rsidRPr="007B5D03">
        <w:rPr>
          <w:sz w:val="30"/>
          <w:szCs w:val="30"/>
          <w:lang w:eastAsia="ja-JP"/>
        </w:rPr>
        <w:t>C</w:t>
      </w:r>
      <w:r w:rsidRPr="007B5D03">
        <w:rPr>
          <w:rFonts w:hAnsi="標楷體" w:hint="eastAsia"/>
          <w:sz w:val="30"/>
          <w:szCs w:val="30"/>
          <w:lang w:eastAsia="ja-JP"/>
        </w:rPr>
        <w:t>)</w:t>
      </w:r>
      <w:r w:rsidRPr="007B5D03">
        <w:rPr>
          <w:rFonts w:hAnsi="標楷體"/>
          <w:sz w:val="30"/>
          <w:szCs w:val="30"/>
          <w:lang w:eastAsia="ja-JP"/>
        </w:rPr>
        <w:t>因處分理由附記的規定：因為課稅處分在某些情況下必須附記處分理由（</w:t>
      </w:r>
      <w:r w:rsidRPr="007B5D03">
        <w:rPr>
          <w:rFonts w:hAnsi="標楷體"/>
          <w:sz w:val="30"/>
          <w:szCs w:val="30"/>
        </w:rPr>
        <w:t>例如藍色申報的核課處分</w:t>
      </w:r>
      <w:r w:rsidRPr="007B5D03">
        <w:rPr>
          <w:rFonts w:hAnsi="標楷體"/>
          <w:sz w:val="30"/>
          <w:szCs w:val="30"/>
          <w:lang w:eastAsia="ja-JP"/>
        </w:rPr>
        <w:t>，日本所得稅法第</w:t>
      </w:r>
      <w:r w:rsidRPr="007B5D03">
        <w:rPr>
          <w:sz w:val="30"/>
          <w:szCs w:val="30"/>
          <w:lang w:eastAsia="ja-JP"/>
        </w:rPr>
        <w:t>155</w:t>
      </w:r>
      <w:r w:rsidRPr="007B5D03">
        <w:rPr>
          <w:rFonts w:hAnsi="標楷體"/>
          <w:sz w:val="30"/>
          <w:szCs w:val="30"/>
          <w:lang w:eastAsia="ja-JP"/>
        </w:rPr>
        <w:t>條</w:t>
      </w:r>
      <w:r w:rsidRPr="00531976">
        <w:rPr>
          <w:rFonts w:hAnsi="標楷體"/>
          <w:spacing w:val="-6"/>
          <w:sz w:val="30"/>
          <w:szCs w:val="30"/>
          <w:lang w:eastAsia="ja-JP"/>
        </w:rPr>
        <w:t>第</w:t>
      </w:r>
      <w:r w:rsidRPr="00531976">
        <w:rPr>
          <w:spacing w:val="-6"/>
          <w:sz w:val="30"/>
          <w:szCs w:val="30"/>
          <w:lang w:eastAsia="ja-JP"/>
        </w:rPr>
        <w:t>2</w:t>
      </w:r>
      <w:r w:rsidRPr="00531976">
        <w:rPr>
          <w:rFonts w:hAnsi="標楷體"/>
          <w:spacing w:val="-6"/>
          <w:sz w:val="30"/>
          <w:szCs w:val="30"/>
          <w:lang w:eastAsia="ja-JP"/>
        </w:rPr>
        <w:t>項參照），處分機關之處分理由應對納</w:t>
      </w:r>
      <w:r w:rsidRPr="007B5D03">
        <w:rPr>
          <w:rFonts w:hAnsi="標楷體"/>
          <w:sz w:val="30"/>
          <w:szCs w:val="30"/>
          <w:lang w:eastAsia="ja-JP"/>
        </w:rPr>
        <w:t>稅義務人開示的程序保障原則，所以爭點主義所採行的訴訟標的並非課稅處分的整體違法性，而是依課稅處分理由所特定的稅額本身適否，徵納雙方皆不能主張與處分理由無關係的課稅要件事實，審理的對象僅限於處分理由之適當與否，如追補將與處分理由基本課稅要件事實喪失同一性之理由，會構成另一課稅處分，所以撤銷訴訟的判決僅是使該課稅處分理由失其效力，如</w:t>
      </w:r>
      <w:r w:rsidRPr="007B5D03">
        <w:rPr>
          <w:rFonts w:hAnsi="標楷體"/>
          <w:sz w:val="30"/>
          <w:szCs w:val="30"/>
          <w:lang w:eastAsia="ja-JP"/>
        </w:rPr>
        <w:lastRenderedPageBreak/>
        <w:t>非因除斥期間經過，課稅機關仍可基於新的理由作成核課處分（附件</w:t>
      </w:r>
      <w:r w:rsidRPr="007B5D03">
        <w:rPr>
          <w:sz w:val="30"/>
          <w:szCs w:val="30"/>
          <w:lang w:eastAsia="ja-JP"/>
        </w:rPr>
        <w:t>46</w:t>
      </w:r>
      <w:r w:rsidRPr="007B5D03">
        <w:rPr>
          <w:rFonts w:hAnsi="標楷體"/>
          <w:sz w:val="30"/>
          <w:szCs w:val="30"/>
          <w:lang w:eastAsia="ja-JP"/>
        </w:rPr>
        <w:t>，小川正雄，租稅訴訟における訴訟物，</w:t>
      </w:r>
      <w:r w:rsidRPr="007B5D03">
        <w:rPr>
          <w:rFonts w:hAnsi="標楷體" w:hint="eastAsia"/>
          <w:sz w:val="30"/>
          <w:szCs w:val="30"/>
          <w:lang w:eastAsia="ja-JP"/>
        </w:rPr>
        <w:t>第</w:t>
      </w:r>
      <w:r w:rsidRPr="007B5D03">
        <w:rPr>
          <w:sz w:val="30"/>
          <w:szCs w:val="30"/>
          <w:lang w:eastAsia="ja-JP"/>
        </w:rPr>
        <w:t>277</w:t>
      </w:r>
      <w:r w:rsidRPr="007B5D03">
        <w:rPr>
          <w:rFonts w:hAnsi="標楷體"/>
          <w:sz w:val="30"/>
          <w:szCs w:val="30"/>
          <w:lang w:eastAsia="ja-JP"/>
        </w:rPr>
        <w:t>頁）</w:t>
      </w:r>
      <w:r w:rsidRPr="007B5D03">
        <w:rPr>
          <w:rFonts w:hAnsi="標楷體" w:hint="eastAsia"/>
          <w:sz w:val="30"/>
          <w:szCs w:val="30"/>
          <w:lang w:eastAsia="ja-JP"/>
        </w:rPr>
        <w:t>。</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D</w:t>
      </w:r>
      <w:r w:rsidRPr="007B5D03">
        <w:rPr>
          <w:rFonts w:hAnsi="標楷體" w:hint="eastAsia"/>
          <w:sz w:val="30"/>
          <w:szCs w:val="30"/>
        </w:rPr>
        <w:t>)</w:t>
      </w:r>
      <w:r w:rsidRPr="007B5D03">
        <w:rPr>
          <w:rFonts w:hAnsi="標楷體"/>
          <w:sz w:val="30"/>
          <w:szCs w:val="30"/>
        </w:rPr>
        <w:t>一般被認為支持爭點主義的日本稅法碩儒</w:t>
      </w:r>
      <w:smartTag w:uri="urn:schemas-microsoft-com:office:smarttags" w:element="PersonName">
        <w:smartTagPr>
          <w:attr w:name="ProductID" w:val="金子宏"/>
        </w:smartTagPr>
        <w:r w:rsidRPr="007B5D03">
          <w:rPr>
            <w:rFonts w:hAnsi="標楷體"/>
            <w:sz w:val="30"/>
            <w:szCs w:val="30"/>
          </w:rPr>
          <w:t>金子宏</w:t>
        </w:r>
      </w:smartTag>
      <w:r w:rsidRPr="007B5D03">
        <w:rPr>
          <w:rFonts w:hAnsi="標楷體"/>
          <w:sz w:val="30"/>
          <w:szCs w:val="30"/>
        </w:rPr>
        <w:t>教授認為，採取爭點主義的判決既判力僅及於處分理由，租稅機關可以在除斥期間經過前以新的理由作成核課處分，確實難以期待一次解決紛爭，但新的課稅要件事實發現而更改原確定處分時，結果</w:t>
      </w:r>
      <w:r w:rsidRPr="00653239">
        <w:rPr>
          <w:rFonts w:hAnsi="標楷體"/>
          <w:spacing w:val="8"/>
          <w:sz w:val="30"/>
          <w:szCs w:val="30"/>
        </w:rPr>
        <w:t>上仍有督促租稅行政改善的功能（附件</w:t>
      </w:r>
      <w:r w:rsidRPr="00653239">
        <w:rPr>
          <w:spacing w:val="6"/>
          <w:sz w:val="30"/>
          <w:szCs w:val="30"/>
        </w:rPr>
        <w:t>21</w:t>
      </w:r>
      <w:r w:rsidRPr="00653239">
        <w:rPr>
          <w:rFonts w:hAnsi="標楷體"/>
          <w:spacing w:val="6"/>
          <w:sz w:val="30"/>
          <w:szCs w:val="30"/>
        </w:rPr>
        <w:t>，金子宏，租稅法，第</w:t>
      </w:r>
      <w:r w:rsidRPr="00653239">
        <w:rPr>
          <w:spacing w:val="6"/>
          <w:sz w:val="30"/>
          <w:szCs w:val="30"/>
        </w:rPr>
        <w:t>13</w:t>
      </w:r>
      <w:r w:rsidRPr="00653239">
        <w:rPr>
          <w:rFonts w:hAnsi="標楷體"/>
          <w:spacing w:val="6"/>
          <w:sz w:val="30"/>
          <w:szCs w:val="30"/>
        </w:rPr>
        <w:t>版，第</w:t>
      </w:r>
      <w:r w:rsidRPr="00653239">
        <w:rPr>
          <w:spacing w:val="6"/>
          <w:sz w:val="30"/>
          <w:szCs w:val="30"/>
        </w:rPr>
        <w:t>752</w:t>
      </w:r>
      <w:r w:rsidRPr="007B5D03">
        <w:rPr>
          <w:rFonts w:hAnsi="標楷體"/>
          <w:sz w:val="30"/>
          <w:szCs w:val="30"/>
        </w:rPr>
        <w:t>頁）。</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E</w:t>
      </w:r>
      <w:r w:rsidRPr="007B5D03">
        <w:rPr>
          <w:rFonts w:hAnsi="標楷體" w:hint="eastAsia"/>
          <w:sz w:val="30"/>
          <w:szCs w:val="30"/>
        </w:rPr>
        <w:t>)</w:t>
      </w:r>
      <w:r w:rsidRPr="007B5D03">
        <w:rPr>
          <w:rFonts w:hAnsi="標楷體"/>
          <w:sz w:val="30"/>
          <w:szCs w:val="30"/>
        </w:rPr>
        <w:t>總括來講，日本法制下有部分學者主張之爭點主義有其前置審查程序之立法背景，</w:t>
      </w:r>
      <w:r w:rsidRPr="00653239">
        <w:rPr>
          <w:rFonts w:hAnsi="標楷體"/>
          <w:spacing w:val="6"/>
          <w:sz w:val="30"/>
          <w:szCs w:val="30"/>
        </w:rPr>
        <w:t>再搭配課稅處分在某些情況下應附記理</w:t>
      </w:r>
      <w:r w:rsidRPr="007B5D03">
        <w:rPr>
          <w:rFonts w:hAnsi="標楷體"/>
          <w:sz w:val="30"/>
          <w:szCs w:val="30"/>
        </w:rPr>
        <w:t>由，在行政手續法施行前，相較於其他行政處分有其特殊之處，惟行政手續法在西元</w:t>
      </w:r>
      <w:r w:rsidRPr="007B5D03">
        <w:rPr>
          <w:sz w:val="30"/>
          <w:szCs w:val="30"/>
        </w:rPr>
        <w:t>1994</w:t>
      </w:r>
      <w:r w:rsidRPr="007B5D03">
        <w:rPr>
          <w:rFonts w:hAnsi="標楷體"/>
          <w:sz w:val="30"/>
          <w:szCs w:val="30"/>
        </w:rPr>
        <w:t>年施行後，行政手續法第</w:t>
      </w:r>
      <w:r w:rsidRPr="007B5D03">
        <w:rPr>
          <w:sz w:val="30"/>
          <w:szCs w:val="30"/>
        </w:rPr>
        <w:t>8</w:t>
      </w:r>
      <w:r w:rsidRPr="007B5D03">
        <w:rPr>
          <w:rFonts w:hAnsi="標楷體"/>
          <w:sz w:val="30"/>
          <w:szCs w:val="30"/>
        </w:rPr>
        <w:t>條與第</w:t>
      </w:r>
      <w:r w:rsidRPr="00653239">
        <w:rPr>
          <w:spacing w:val="6"/>
          <w:sz w:val="30"/>
          <w:szCs w:val="30"/>
        </w:rPr>
        <w:t>14</w:t>
      </w:r>
      <w:r w:rsidRPr="00653239">
        <w:rPr>
          <w:rFonts w:hAnsi="標楷體"/>
          <w:spacing w:val="6"/>
          <w:sz w:val="30"/>
          <w:szCs w:val="30"/>
        </w:rPr>
        <w:t>條已經一般性地課予行政機關作成不</w:t>
      </w:r>
      <w:r w:rsidRPr="007B5D03">
        <w:rPr>
          <w:rFonts w:hAnsi="標楷體"/>
          <w:sz w:val="30"/>
          <w:szCs w:val="30"/>
        </w:rPr>
        <w:t>利益處分之說理義務，過往爭點主義之重要論點似已失其依據，況且其對於訴訟經濟造成之違反，是否一定要以訴訟標的或</w:t>
      </w:r>
      <w:r w:rsidRPr="00653239">
        <w:rPr>
          <w:rFonts w:hAnsi="標楷體"/>
          <w:spacing w:val="6"/>
          <w:sz w:val="30"/>
          <w:szCs w:val="30"/>
        </w:rPr>
        <w:t>審理範圍限縮之方式，限制訴訟審理範</w:t>
      </w:r>
      <w:r w:rsidRPr="007B5D03">
        <w:rPr>
          <w:rFonts w:hAnsi="標楷體"/>
          <w:sz w:val="30"/>
          <w:szCs w:val="30"/>
        </w:rPr>
        <w:t>圍，是否因爭點主義之採行而真能保護人民權益？抑或滋生更多破壞訴訟法或侵害人民權益之疑慮？總之，從日本通說實務</w:t>
      </w:r>
      <w:r w:rsidRPr="00653239">
        <w:rPr>
          <w:rFonts w:hAnsi="標楷體"/>
          <w:spacing w:val="-6"/>
          <w:sz w:val="30"/>
          <w:szCs w:val="30"/>
        </w:rPr>
        <w:t>不採納</w:t>
      </w:r>
      <w:r w:rsidRPr="00653239">
        <w:rPr>
          <w:rFonts w:hAnsi="標楷體"/>
          <w:spacing w:val="-6"/>
          <w:sz w:val="30"/>
          <w:szCs w:val="30"/>
        </w:rPr>
        <w:lastRenderedPageBreak/>
        <w:t>爭點主義之立場，似可窺見其端倪。</w:t>
      </w:r>
    </w:p>
    <w:p w:rsidR="00514426" w:rsidRPr="00653239" w:rsidRDefault="00514426" w:rsidP="009B13DC">
      <w:pPr>
        <w:snapToGrid w:val="0"/>
        <w:spacing w:line="437" w:lineRule="exact"/>
        <w:ind w:left="2637" w:hanging="482"/>
        <w:rPr>
          <w:spacing w:val="6"/>
          <w:sz w:val="30"/>
          <w:szCs w:val="30"/>
        </w:rPr>
      </w:pPr>
      <w:r w:rsidRPr="00653239">
        <w:rPr>
          <w:spacing w:val="6"/>
          <w:sz w:val="30"/>
          <w:szCs w:val="30"/>
        </w:rPr>
        <w:t>D</w:t>
      </w:r>
      <w:r w:rsidRPr="00653239">
        <w:rPr>
          <w:rFonts w:hAnsi="標楷體" w:hint="eastAsia"/>
          <w:spacing w:val="6"/>
          <w:sz w:val="30"/>
          <w:szCs w:val="30"/>
        </w:rPr>
        <w:t>、</w:t>
      </w:r>
      <w:r w:rsidRPr="00653239">
        <w:rPr>
          <w:rFonts w:hAnsi="標楷體"/>
          <w:spacing w:val="6"/>
          <w:sz w:val="30"/>
          <w:szCs w:val="30"/>
        </w:rPr>
        <w:t>我國實務所採行之爭點主義</w:t>
      </w:r>
    </w:p>
    <w:p w:rsidR="00514426" w:rsidRPr="007B5D03" w:rsidRDefault="00514426" w:rsidP="00653239">
      <w:pPr>
        <w:snapToGrid w:val="0"/>
        <w:spacing w:line="437" w:lineRule="exact"/>
        <w:ind w:left="2665" w:firstLine="340"/>
        <w:rPr>
          <w:sz w:val="30"/>
          <w:szCs w:val="30"/>
        </w:rPr>
      </w:pPr>
      <w:r w:rsidRPr="007B5D03">
        <w:rPr>
          <w:rFonts w:hAnsi="標楷體"/>
          <w:sz w:val="30"/>
          <w:szCs w:val="30"/>
        </w:rPr>
        <w:t>就</w:t>
      </w:r>
      <w:r w:rsidRPr="007B5D03">
        <w:rPr>
          <w:sz w:val="30"/>
          <w:szCs w:val="30"/>
        </w:rPr>
        <w:t>62</w:t>
      </w:r>
      <w:r w:rsidRPr="007B5D03">
        <w:rPr>
          <w:rFonts w:hAnsi="標楷體"/>
          <w:sz w:val="30"/>
          <w:szCs w:val="30"/>
        </w:rPr>
        <w:t>年判例以納稅義務人對稽徵機關之調查核定必須提起復查，始能作為行政救濟之審理範圍，此一判例意旨可再區分為二種情形：</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A</w:t>
      </w:r>
      <w:r w:rsidRPr="007B5D03">
        <w:rPr>
          <w:rFonts w:hAnsi="標楷體" w:hint="eastAsia"/>
          <w:sz w:val="30"/>
          <w:szCs w:val="30"/>
        </w:rPr>
        <w:t>)</w:t>
      </w:r>
      <w:r w:rsidRPr="007B5D03">
        <w:rPr>
          <w:rFonts w:hAnsi="標楷體"/>
          <w:sz w:val="30"/>
          <w:szCs w:val="30"/>
        </w:rPr>
        <w:t>其一係必須經稽徵機關調查核定，理論上</w:t>
      </w:r>
      <w:r w:rsidRPr="00653239">
        <w:rPr>
          <w:rFonts w:hAnsi="標楷體"/>
          <w:spacing w:val="6"/>
          <w:sz w:val="30"/>
          <w:szCs w:val="30"/>
        </w:rPr>
        <w:t>稽徵機關之調查核定應屬全部的課稅處</w:t>
      </w:r>
      <w:r w:rsidRPr="007B5D03">
        <w:rPr>
          <w:rFonts w:hAnsi="標楷體"/>
          <w:sz w:val="30"/>
          <w:szCs w:val="30"/>
        </w:rPr>
        <w:t>分，以營利事業所得稅為例，即為營利事業所得稅核定通知書所核定之內容，但此判例之文義尚未明確，即可能產生核定通知書就某些科目未調整申報數，但其實維</w:t>
      </w:r>
      <w:r w:rsidRPr="00653239">
        <w:rPr>
          <w:rFonts w:hAnsi="標楷體"/>
          <w:spacing w:val="6"/>
          <w:sz w:val="30"/>
          <w:szCs w:val="30"/>
        </w:rPr>
        <w:t>持該科目之原申報書係對納稅義務人不</w:t>
      </w:r>
      <w:r w:rsidRPr="007B5D03">
        <w:rPr>
          <w:rFonts w:hAnsi="標楷體"/>
          <w:sz w:val="30"/>
          <w:szCs w:val="30"/>
        </w:rPr>
        <w:t>利，納稅義務人有可能不得就稽徵機關未調整之科目提起行政救濟；</w:t>
      </w:r>
    </w:p>
    <w:p w:rsidR="00514426" w:rsidRPr="007B5D03" w:rsidRDefault="00514426" w:rsidP="00F34375">
      <w:pPr>
        <w:snapToGrid w:val="0"/>
        <w:spacing w:line="437" w:lineRule="exact"/>
        <w:ind w:left="2977" w:hanging="482"/>
        <w:rPr>
          <w:sz w:val="30"/>
          <w:szCs w:val="30"/>
        </w:rPr>
      </w:pPr>
      <w:r w:rsidRPr="007B5D03">
        <w:rPr>
          <w:rFonts w:hAnsi="標楷體" w:hint="eastAsia"/>
          <w:sz w:val="30"/>
          <w:szCs w:val="30"/>
        </w:rPr>
        <w:t>(</w:t>
      </w:r>
      <w:r w:rsidRPr="007B5D03">
        <w:rPr>
          <w:sz w:val="30"/>
          <w:szCs w:val="30"/>
        </w:rPr>
        <w:t>B</w:t>
      </w:r>
      <w:r w:rsidRPr="007B5D03">
        <w:rPr>
          <w:rFonts w:hAnsi="標楷體" w:hint="eastAsia"/>
          <w:sz w:val="30"/>
          <w:szCs w:val="30"/>
        </w:rPr>
        <w:t>)</w:t>
      </w:r>
      <w:r w:rsidRPr="00653239">
        <w:rPr>
          <w:rFonts w:hAnsi="標楷體"/>
          <w:spacing w:val="8"/>
          <w:sz w:val="30"/>
          <w:szCs w:val="30"/>
        </w:rPr>
        <w:t>其二係必須在復查程序中所主張之理由</w:t>
      </w:r>
      <w:r w:rsidRPr="007B5D03">
        <w:rPr>
          <w:rFonts w:hAnsi="標楷體"/>
          <w:sz w:val="30"/>
          <w:szCs w:val="30"/>
        </w:rPr>
        <w:t>（科目）始能繼續於後續行政救濟程序中審理。</w:t>
      </w:r>
    </w:p>
    <w:p w:rsidR="00514426" w:rsidRPr="007B5D03" w:rsidRDefault="00514426" w:rsidP="00653239">
      <w:pPr>
        <w:snapToGrid w:val="0"/>
        <w:spacing w:line="437" w:lineRule="exact"/>
        <w:ind w:left="3062" w:firstLine="340"/>
        <w:rPr>
          <w:sz w:val="30"/>
          <w:szCs w:val="30"/>
        </w:rPr>
      </w:pPr>
      <w:r w:rsidRPr="007B5D03">
        <w:rPr>
          <w:sz w:val="30"/>
          <w:szCs w:val="30"/>
        </w:rPr>
        <w:t>62</w:t>
      </w:r>
      <w:r w:rsidRPr="007B5D03">
        <w:rPr>
          <w:rFonts w:hAnsi="標楷體"/>
          <w:sz w:val="30"/>
          <w:szCs w:val="30"/>
        </w:rPr>
        <w:t>年判例對於爭點主義之界定究竟以處分調整理由為據，抑或復查主張為準，其內涵不明之處已如前述；而其採行之爭點主義亦未如日本爭點主義理論基因於對納稅人程序權利保障之依據，其正當化理由是否係尚待補充，或是真的難以尋覓一個正當化理由加以支持？我國實務界雖普遍採用爭點主義，卻未能交代在其他行政</w:t>
      </w:r>
      <w:r w:rsidRPr="007B5D03">
        <w:rPr>
          <w:rFonts w:hAnsi="標楷體"/>
          <w:sz w:val="30"/>
          <w:szCs w:val="30"/>
        </w:rPr>
        <w:lastRenderedPageBreak/>
        <w:t>處分領域法院均允許處分理由追補，何以在課稅處分必須限縮審判範圍之理由？是以至少從其主觀上重要理由之揭露而言，其實法院就已經違反說理義務在先，且第三人亦難以從</w:t>
      </w:r>
      <w:r w:rsidRPr="007B5D03">
        <w:rPr>
          <w:sz w:val="30"/>
          <w:szCs w:val="30"/>
        </w:rPr>
        <w:t>62</w:t>
      </w:r>
      <w:r w:rsidRPr="007B5D03">
        <w:rPr>
          <w:rFonts w:hAnsi="標楷體"/>
          <w:sz w:val="30"/>
          <w:szCs w:val="30"/>
        </w:rPr>
        <w:t>年判例或其他行政法院判決之客觀文義得知其論理依據為何，頂多只能瞭解因課稅處分可分而產生未經提起復查者，不能成為行政訴訟審理對象之結論，但未能明瞭課稅處分可分性之操作標準為何，在明確性原則而言，人民既然難以預測爭點主義之適用範圍，如本件聲請人業已在復查程序中主張權證避險交易損失應自應稅權利金收入中扣除，卻仍遭最高行政法院確定判決仍屬爭點主義適用</w:t>
      </w:r>
      <w:r w:rsidRPr="00653239">
        <w:rPr>
          <w:rFonts w:hAnsi="標楷體"/>
          <w:spacing w:val="-6"/>
          <w:sz w:val="30"/>
          <w:szCs w:val="30"/>
        </w:rPr>
        <w:t>之範圍，而無從依稅捐稽徵法第</w:t>
      </w:r>
      <w:r w:rsidRPr="00653239">
        <w:rPr>
          <w:spacing w:val="-6"/>
          <w:sz w:val="30"/>
          <w:szCs w:val="30"/>
        </w:rPr>
        <w:t>35</w:t>
      </w:r>
      <w:r w:rsidRPr="00653239">
        <w:rPr>
          <w:rFonts w:hAnsi="標楷體"/>
          <w:spacing w:val="-6"/>
          <w:sz w:val="30"/>
          <w:szCs w:val="30"/>
        </w:rPr>
        <w:t>條提起</w:t>
      </w:r>
      <w:r w:rsidRPr="007B5D03">
        <w:rPr>
          <w:rFonts w:hAnsi="標楷體"/>
          <w:sz w:val="30"/>
          <w:szCs w:val="30"/>
        </w:rPr>
        <w:t>復查，此種內涵及法律效果無法明確預見之爭點主義，乃成為我國法制上之特殊現象，其違憲狀態詳如後述。</w:t>
      </w:r>
    </w:p>
    <w:p w:rsidR="00514426" w:rsidRPr="007B5D03" w:rsidRDefault="00514426" w:rsidP="00FB2D5A">
      <w:pPr>
        <w:snapToGrid w:val="0"/>
        <w:spacing w:line="437" w:lineRule="exact"/>
        <w:ind w:left="2382" w:hanging="397"/>
        <w:rPr>
          <w:sz w:val="30"/>
          <w:szCs w:val="30"/>
        </w:rPr>
      </w:pPr>
      <w:r w:rsidRPr="007B5D03">
        <w:rPr>
          <w:rFonts w:hAnsi="標楷體" w:hint="eastAsia"/>
          <w:sz w:val="30"/>
          <w:szCs w:val="30"/>
        </w:rPr>
        <w:t>(3)</w:t>
      </w:r>
      <w:r w:rsidRPr="007B5D03">
        <w:rPr>
          <w:rFonts w:hAnsi="標楷體"/>
          <w:sz w:val="30"/>
          <w:szCs w:val="30"/>
        </w:rPr>
        <w:t>總額主義之理論依據</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概說</w:t>
      </w:r>
    </w:p>
    <w:p w:rsidR="00514426" w:rsidRPr="007B5D03" w:rsidRDefault="00514426" w:rsidP="00653239">
      <w:pPr>
        <w:snapToGrid w:val="0"/>
        <w:spacing w:line="437" w:lineRule="exact"/>
        <w:ind w:left="2665" w:firstLine="340"/>
        <w:rPr>
          <w:sz w:val="30"/>
          <w:szCs w:val="30"/>
        </w:rPr>
      </w:pPr>
      <w:r w:rsidRPr="007B5D03">
        <w:rPr>
          <w:rFonts w:hAnsi="標楷體"/>
          <w:sz w:val="30"/>
          <w:szCs w:val="30"/>
        </w:rPr>
        <w:t>行政法院即使業經查明原告所爭執之違法事由確屬正當，仍應進一步審查行政處分可否以其他事實上或法律上理由加以維持，反過來講，原告也可以擴張訴之聲明至原未主張之理由。況且既判力僅於被裁判標的被裁判的範圍內發生，訴訟標的被裁判者並未逾</w:t>
      </w:r>
      <w:r w:rsidRPr="007B5D03">
        <w:rPr>
          <w:rFonts w:hAnsi="標楷體"/>
          <w:sz w:val="30"/>
          <w:szCs w:val="30"/>
        </w:rPr>
        <w:lastRenderedPageBreak/>
        <w:t>越系爭處分及其內容，但既判力之拘束力原則上並非及於該項行政處分之全部範圍，而毋寧僅止於該項訴訟標的已經「裁判」之範圍。從而雖採總額主義之訴訟標的概念，並不會因此認為訴訟標的之全部範圍均發生既判力，毋寧是裁判標的發生既判力。（附件</w:t>
      </w:r>
      <w:r w:rsidRPr="00653239">
        <w:rPr>
          <w:spacing w:val="-6"/>
          <w:sz w:val="30"/>
          <w:szCs w:val="30"/>
        </w:rPr>
        <w:t>44</w:t>
      </w:r>
      <w:r w:rsidRPr="00653239">
        <w:rPr>
          <w:rFonts w:hAnsi="標楷體"/>
          <w:spacing w:val="-6"/>
          <w:sz w:val="30"/>
          <w:szCs w:val="30"/>
        </w:rPr>
        <w:t>，陳清秀，稅務訴訟之訴訟標的，第</w:t>
      </w:r>
      <w:r w:rsidRPr="00653239">
        <w:rPr>
          <w:spacing w:val="-6"/>
          <w:sz w:val="30"/>
          <w:szCs w:val="30"/>
        </w:rPr>
        <w:t>548</w:t>
      </w:r>
      <w:r w:rsidRPr="00653239">
        <w:rPr>
          <w:rFonts w:hAnsi="標楷體"/>
          <w:spacing w:val="-6"/>
          <w:sz w:val="30"/>
          <w:szCs w:val="30"/>
        </w:rPr>
        <w:t>、</w:t>
      </w:r>
      <w:r w:rsidRPr="00653239">
        <w:rPr>
          <w:spacing w:val="-6"/>
          <w:sz w:val="30"/>
          <w:szCs w:val="30"/>
        </w:rPr>
        <w:t>549</w:t>
      </w:r>
      <w:r w:rsidRPr="00653239">
        <w:rPr>
          <w:rFonts w:hAnsi="標楷體"/>
          <w:spacing w:val="-6"/>
          <w:sz w:val="30"/>
          <w:szCs w:val="30"/>
        </w:rPr>
        <w:t>、</w:t>
      </w:r>
      <w:r w:rsidRPr="00653239">
        <w:rPr>
          <w:spacing w:val="-6"/>
          <w:sz w:val="30"/>
          <w:szCs w:val="30"/>
        </w:rPr>
        <w:t>582</w:t>
      </w:r>
      <w:r w:rsidRPr="00653239">
        <w:rPr>
          <w:rFonts w:hAnsi="標楷體"/>
          <w:spacing w:val="-6"/>
          <w:sz w:val="30"/>
          <w:szCs w:val="30"/>
        </w:rPr>
        <w:t>頁）另外行政訴訟法第</w:t>
      </w:r>
      <w:r w:rsidRPr="00653239">
        <w:rPr>
          <w:spacing w:val="-6"/>
          <w:sz w:val="30"/>
          <w:szCs w:val="30"/>
        </w:rPr>
        <w:t>213</w:t>
      </w:r>
      <w:r w:rsidRPr="00653239">
        <w:rPr>
          <w:rFonts w:hAnsi="標楷體"/>
          <w:spacing w:val="-6"/>
          <w:sz w:val="30"/>
          <w:szCs w:val="30"/>
        </w:rPr>
        <w:t>條規定：</w:t>
      </w:r>
      <w:r w:rsidRPr="007B5D03">
        <w:rPr>
          <w:rFonts w:hAnsi="標楷體"/>
          <w:sz w:val="30"/>
          <w:szCs w:val="30"/>
        </w:rPr>
        <w:t>「</w:t>
      </w:r>
      <w:r w:rsidRPr="007B5D03">
        <w:rPr>
          <w:rStyle w:val="law1"/>
          <w:rFonts w:hAnsi="標楷體"/>
          <w:color w:val="auto"/>
          <w:sz w:val="30"/>
          <w:szCs w:val="30"/>
        </w:rPr>
        <w:t>訴訟標的於確定之終局判決中經裁判者，有確定力。</w:t>
      </w:r>
      <w:r w:rsidRPr="007B5D03">
        <w:rPr>
          <w:rFonts w:hAnsi="標楷體"/>
          <w:sz w:val="30"/>
          <w:szCs w:val="30"/>
        </w:rPr>
        <w:t>」亦可作為既判力係經裁判者發生確定力，是參照故採取總額主義之訴訟標的觀念並不會因既判力而阻止稽徵機關就其他應核課稅捐加以核課，反而可更節省訴訟經濟同時於法院中追加理由進行審判。</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職權探知主義作為支持總額主義之論據</w:t>
      </w:r>
    </w:p>
    <w:p w:rsidR="00514426" w:rsidRPr="007B5D03" w:rsidRDefault="00514426" w:rsidP="00653239">
      <w:pPr>
        <w:snapToGrid w:val="0"/>
        <w:spacing w:line="437" w:lineRule="exact"/>
        <w:ind w:left="2665" w:firstLine="340"/>
        <w:rPr>
          <w:rFonts w:hint="eastAsia"/>
          <w:sz w:val="30"/>
          <w:szCs w:val="30"/>
        </w:rPr>
      </w:pPr>
      <w:r w:rsidRPr="007B5D03">
        <w:rPr>
          <w:rFonts w:hAnsi="標楷體"/>
          <w:sz w:val="30"/>
          <w:szCs w:val="30"/>
        </w:rPr>
        <w:t>總額主義見解認為行政法院即使查明原告所爭執之違法事由確屬正當，仍應進一步審查系爭行政處分可否以其他事實上或法律上的理由加以維持，亦即應審查課稅處分所核定之稅額總額，客觀上是否合法，因此行政法院應審查系爭課稅處分有關之稅捐事件整體一切事實上及法律上理由，在職權探知主義下，行政法院所應探知調查之範圍乃</w:t>
      </w:r>
      <w:r w:rsidRPr="007B5D03">
        <w:rPr>
          <w:rFonts w:hAnsi="標楷體" w:hint="eastAsia"/>
          <w:sz w:val="30"/>
          <w:szCs w:val="30"/>
        </w:rPr>
        <w:t>及</w:t>
      </w:r>
      <w:r w:rsidRPr="007B5D03">
        <w:rPr>
          <w:rFonts w:hAnsi="標楷體"/>
          <w:sz w:val="30"/>
          <w:szCs w:val="30"/>
        </w:rPr>
        <w:t>於該稅捐事件整體。或有認為總額主義比爭點主義更加重法院之審理負擔，而無法獲得迅速裁判，惟按正確課稅不僅為課稅之合法性負</w:t>
      </w:r>
      <w:r w:rsidRPr="007B5D03">
        <w:rPr>
          <w:rFonts w:hAnsi="標楷體"/>
          <w:sz w:val="30"/>
          <w:szCs w:val="30"/>
        </w:rPr>
        <w:lastRenderedPageBreak/>
        <w:t>擔與課稅平等所必需，且攸關公共利益，故自不能徒為減輕法院負擔，即捨棄總額主義不採，況為減輕行政法院負擔，採取總額主義者亦致力於緩和法院之職權查明義務，認為職權查明義務有其界限（附件</w:t>
      </w:r>
      <w:r w:rsidRPr="007B5D03">
        <w:rPr>
          <w:sz w:val="30"/>
          <w:szCs w:val="30"/>
        </w:rPr>
        <w:t>44</w:t>
      </w:r>
      <w:r w:rsidRPr="007B5D03">
        <w:rPr>
          <w:rFonts w:hAnsi="標楷體"/>
          <w:sz w:val="30"/>
          <w:szCs w:val="30"/>
        </w:rPr>
        <w:t>，陳清</w:t>
      </w:r>
      <w:r w:rsidRPr="00653239">
        <w:rPr>
          <w:rFonts w:hAnsi="標楷體"/>
          <w:spacing w:val="-6"/>
          <w:sz w:val="30"/>
          <w:szCs w:val="30"/>
        </w:rPr>
        <w:t>秀，稅務訴訟之訴訟標的，</w:t>
      </w:r>
      <w:r w:rsidRPr="00653239">
        <w:rPr>
          <w:rFonts w:hAnsi="標楷體" w:hint="eastAsia"/>
          <w:spacing w:val="-6"/>
          <w:sz w:val="30"/>
          <w:szCs w:val="30"/>
        </w:rPr>
        <w:t>第</w:t>
      </w:r>
      <w:r w:rsidRPr="00653239">
        <w:rPr>
          <w:spacing w:val="-6"/>
          <w:sz w:val="30"/>
          <w:szCs w:val="30"/>
        </w:rPr>
        <w:t>458</w:t>
      </w:r>
      <w:r w:rsidRPr="00653239">
        <w:rPr>
          <w:rFonts w:hAnsi="標楷體"/>
          <w:spacing w:val="-6"/>
          <w:sz w:val="30"/>
          <w:szCs w:val="30"/>
        </w:rPr>
        <w:t>、</w:t>
      </w:r>
      <w:r w:rsidRPr="00653239">
        <w:rPr>
          <w:spacing w:val="-6"/>
          <w:sz w:val="30"/>
          <w:szCs w:val="30"/>
        </w:rPr>
        <w:t>459</w:t>
      </w:r>
      <w:r w:rsidRPr="00653239">
        <w:rPr>
          <w:rFonts w:hAnsi="標楷體"/>
          <w:spacing w:val="-6"/>
          <w:sz w:val="30"/>
          <w:szCs w:val="30"/>
        </w:rPr>
        <w:t>頁）</w:t>
      </w:r>
      <w:r w:rsidRPr="00653239">
        <w:rPr>
          <w:rFonts w:hAnsi="標楷體" w:hint="eastAsia"/>
          <w:spacing w:val="-6"/>
          <w:sz w:val="30"/>
          <w:szCs w:val="30"/>
        </w:rPr>
        <w:t>。</w:t>
      </w:r>
    </w:p>
    <w:p w:rsidR="00514426" w:rsidRPr="007B5D03" w:rsidRDefault="00514426" w:rsidP="009B13DC">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總額主義是否影響當事人之程序保障</w:t>
      </w:r>
    </w:p>
    <w:p w:rsidR="00514426" w:rsidRPr="007B5D03" w:rsidRDefault="00514426" w:rsidP="00653239">
      <w:pPr>
        <w:snapToGrid w:val="0"/>
        <w:spacing w:line="437" w:lineRule="exact"/>
        <w:ind w:left="2665" w:firstLine="340"/>
        <w:rPr>
          <w:sz w:val="30"/>
          <w:szCs w:val="30"/>
        </w:rPr>
      </w:pPr>
      <w:r w:rsidRPr="007B5D03">
        <w:rPr>
          <w:rFonts w:hAnsi="標楷體"/>
          <w:sz w:val="30"/>
          <w:szCs w:val="30"/>
        </w:rPr>
        <w:t>因總額主義得就當事人所謂爭執之事項加以審理，並據以為判斷原處分合法性或違法性之基礎，但法院欲就當事人所謂爭執之事</w:t>
      </w:r>
      <w:r w:rsidRPr="009B5BAF">
        <w:rPr>
          <w:rFonts w:hAnsi="標楷體"/>
          <w:spacing w:val="-6"/>
          <w:sz w:val="30"/>
          <w:szCs w:val="30"/>
        </w:rPr>
        <w:t>實關係部分（個別的課稅基礎），行政法院應</w:t>
      </w:r>
      <w:r w:rsidRPr="007B5D03">
        <w:rPr>
          <w:rFonts w:hAnsi="標楷體"/>
          <w:sz w:val="30"/>
          <w:szCs w:val="30"/>
        </w:rPr>
        <w:t>於裁判時給予當事人從事實上與法律上觀點表示意見之機會，亦即應給予法律上聽審，以避免當事人遭受不可預測之突襲性裁判，稅務訴訟標的即使不採爭點主義而採取總額主義之見解，亦不致使當事人蒙受不可預見之突襲性裁判（附件</w:t>
      </w:r>
      <w:r w:rsidRPr="007B5D03">
        <w:rPr>
          <w:sz w:val="30"/>
          <w:szCs w:val="30"/>
        </w:rPr>
        <w:t>44</w:t>
      </w:r>
      <w:r w:rsidRPr="007B5D03">
        <w:rPr>
          <w:rFonts w:hAnsi="標楷體"/>
          <w:sz w:val="30"/>
          <w:szCs w:val="30"/>
        </w:rPr>
        <w:t>，陳清秀，稅務訴訟之訴訟標的，第</w:t>
      </w:r>
      <w:r w:rsidRPr="007B5D03">
        <w:rPr>
          <w:sz w:val="30"/>
          <w:szCs w:val="30"/>
        </w:rPr>
        <w:t>475</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復查前置主義是否可限制訴訟審理範圍</w:t>
      </w:r>
    </w:p>
    <w:p w:rsidR="00514426" w:rsidRPr="007B5D03" w:rsidRDefault="00514426" w:rsidP="009B5BAF">
      <w:pPr>
        <w:snapToGrid w:val="0"/>
        <w:spacing w:line="437" w:lineRule="exact"/>
        <w:ind w:left="2665" w:firstLine="340"/>
        <w:rPr>
          <w:sz w:val="30"/>
          <w:szCs w:val="30"/>
        </w:rPr>
      </w:pPr>
      <w:r w:rsidRPr="007B5D03">
        <w:rPr>
          <w:rFonts w:hAnsi="標楷體"/>
          <w:sz w:val="30"/>
          <w:szCs w:val="30"/>
        </w:rPr>
        <w:t>德國財務法院法第</w:t>
      </w:r>
      <w:r w:rsidRPr="007B5D03">
        <w:rPr>
          <w:sz w:val="30"/>
          <w:szCs w:val="30"/>
        </w:rPr>
        <w:t>44</w:t>
      </w:r>
      <w:r w:rsidRPr="007B5D03">
        <w:rPr>
          <w:rFonts w:hAnsi="標楷體"/>
          <w:sz w:val="30"/>
          <w:szCs w:val="30"/>
        </w:rPr>
        <w:t>條第</w:t>
      </w:r>
      <w:r w:rsidRPr="007B5D03">
        <w:rPr>
          <w:sz w:val="30"/>
          <w:szCs w:val="30"/>
        </w:rPr>
        <w:t>1</w:t>
      </w:r>
      <w:r w:rsidRPr="007B5D03">
        <w:rPr>
          <w:rFonts w:hAnsi="標楷體"/>
          <w:sz w:val="30"/>
          <w:szCs w:val="30"/>
        </w:rPr>
        <w:t>項規定，在有法院權利救濟的情形，原則上僅於法院外權利救濟之前置程序全部或部分無效果時，其訴訟始屬合法，亦即在前置程序之主文就全部或部分「無理由」及「不合法」駁回之情形，而復查程序乃採取職權探知主義，故復查決定係就原處分之全部範圍進行審查，不受當</w:t>
      </w:r>
      <w:r w:rsidRPr="007B5D03">
        <w:rPr>
          <w:rFonts w:hAnsi="標楷體"/>
          <w:sz w:val="30"/>
          <w:szCs w:val="30"/>
        </w:rPr>
        <w:lastRenderedPageBreak/>
        <w:t>事人爭執事項之拘束，因此縱認為復查決定為稅務撤銷訴訟的原處分，此種裁決主義的見解亦不能成為原告於訴訟程序上主張復查程序未曾主張且復查決定未予判斷之理</w:t>
      </w:r>
      <w:r w:rsidRPr="009B5BAF">
        <w:rPr>
          <w:rFonts w:hAnsi="標楷體"/>
          <w:spacing w:val="-6"/>
          <w:sz w:val="30"/>
          <w:szCs w:val="30"/>
        </w:rPr>
        <w:t>由（附件</w:t>
      </w:r>
      <w:r w:rsidRPr="009B5BAF">
        <w:rPr>
          <w:spacing w:val="-6"/>
          <w:sz w:val="30"/>
          <w:szCs w:val="30"/>
        </w:rPr>
        <w:t>44</w:t>
      </w:r>
      <w:r w:rsidRPr="009B5BAF">
        <w:rPr>
          <w:rFonts w:hAnsi="標楷體"/>
          <w:spacing w:val="-6"/>
          <w:sz w:val="30"/>
          <w:szCs w:val="30"/>
        </w:rPr>
        <w:t>，陳清秀，稅務訴訟之訴訟標的，</w:t>
      </w:r>
      <w:r w:rsidRPr="007B5D03">
        <w:rPr>
          <w:rFonts w:hAnsi="標楷體"/>
          <w:sz w:val="30"/>
          <w:szCs w:val="30"/>
        </w:rPr>
        <w:t>第</w:t>
      </w:r>
      <w:r w:rsidRPr="007B5D03">
        <w:rPr>
          <w:sz w:val="30"/>
          <w:szCs w:val="30"/>
        </w:rPr>
        <w:t>448</w:t>
      </w:r>
      <w:r w:rsidRPr="007B5D03">
        <w:rPr>
          <w:rFonts w:hAnsi="標楷體"/>
          <w:sz w:val="30"/>
          <w:szCs w:val="30"/>
        </w:rPr>
        <w:t>至</w:t>
      </w:r>
      <w:r w:rsidRPr="007B5D03">
        <w:rPr>
          <w:sz w:val="30"/>
          <w:szCs w:val="30"/>
        </w:rPr>
        <w:t>457</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E</w:t>
      </w:r>
      <w:r w:rsidRPr="007B5D03">
        <w:rPr>
          <w:rFonts w:hAnsi="標楷體" w:hint="eastAsia"/>
          <w:sz w:val="30"/>
          <w:szCs w:val="30"/>
        </w:rPr>
        <w:t>、</w:t>
      </w:r>
      <w:r w:rsidRPr="007B5D03">
        <w:rPr>
          <w:rFonts w:hAnsi="標楷體"/>
          <w:sz w:val="30"/>
          <w:szCs w:val="30"/>
        </w:rPr>
        <w:t>日本通說實務係採取總額主義</w:t>
      </w:r>
    </w:p>
    <w:p w:rsidR="00514426" w:rsidRPr="007B5D03" w:rsidRDefault="00514426" w:rsidP="00F34375">
      <w:pPr>
        <w:snapToGrid w:val="0"/>
        <w:spacing w:line="437" w:lineRule="exact"/>
        <w:ind w:left="2977" w:hanging="482"/>
        <w:rPr>
          <w:rFonts w:hint="eastAsia"/>
          <w:sz w:val="30"/>
          <w:szCs w:val="30"/>
        </w:rPr>
      </w:pPr>
      <w:r w:rsidRPr="007B5D03">
        <w:rPr>
          <w:rFonts w:hAnsi="標楷體" w:hint="eastAsia"/>
          <w:sz w:val="30"/>
          <w:szCs w:val="30"/>
        </w:rPr>
        <w:t>(</w:t>
      </w:r>
      <w:r w:rsidRPr="007B5D03">
        <w:rPr>
          <w:sz w:val="30"/>
          <w:szCs w:val="30"/>
        </w:rPr>
        <w:t>A</w:t>
      </w:r>
      <w:r w:rsidRPr="007B5D03">
        <w:rPr>
          <w:rFonts w:hAnsi="標楷體" w:hint="eastAsia"/>
          <w:sz w:val="30"/>
          <w:szCs w:val="30"/>
        </w:rPr>
        <w:t>)</w:t>
      </w:r>
      <w:r w:rsidRPr="007B5D03">
        <w:rPr>
          <w:rFonts w:hAnsi="標楷體"/>
          <w:sz w:val="30"/>
          <w:szCs w:val="30"/>
        </w:rPr>
        <w:t>日本最高法院西元</w:t>
      </w:r>
      <w:r w:rsidRPr="007B5D03">
        <w:rPr>
          <w:sz w:val="30"/>
          <w:szCs w:val="30"/>
        </w:rPr>
        <w:t>1974</w:t>
      </w:r>
      <w:r w:rsidRPr="007B5D03">
        <w:rPr>
          <w:rFonts w:hAnsi="標楷體"/>
          <w:sz w:val="30"/>
          <w:szCs w:val="30"/>
        </w:rPr>
        <w:t>年判例見解</w:t>
      </w:r>
      <w:r w:rsidRPr="007B5D03">
        <w:rPr>
          <w:rFonts w:hint="eastAsia"/>
          <w:sz w:val="30"/>
          <w:szCs w:val="30"/>
        </w:rPr>
        <w:t>（</w:t>
      </w:r>
      <w:r w:rsidRPr="007B5D03">
        <w:rPr>
          <w:rFonts w:hAnsi="標楷體"/>
          <w:sz w:val="30"/>
          <w:szCs w:val="30"/>
        </w:rPr>
        <w:t>附件</w:t>
      </w:r>
      <w:r w:rsidRPr="007B5D03">
        <w:rPr>
          <w:sz w:val="30"/>
          <w:szCs w:val="30"/>
        </w:rPr>
        <w:t>47</w:t>
      </w:r>
      <w:r w:rsidRPr="007B5D03">
        <w:rPr>
          <w:rFonts w:hint="eastAsia"/>
          <w:sz w:val="30"/>
          <w:szCs w:val="30"/>
        </w:rPr>
        <w:t>）</w:t>
      </w:r>
    </w:p>
    <w:p w:rsidR="00514426" w:rsidRPr="007B5D03" w:rsidRDefault="00514426" w:rsidP="009B5BAF">
      <w:pPr>
        <w:snapToGrid w:val="0"/>
        <w:spacing w:line="437" w:lineRule="exact"/>
        <w:ind w:left="3005" w:firstLine="340"/>
        <w:rPr>
          <w:sz w:val="30"/>
          <w:szCs w:val="30"/>
        </w:rPr>
      </w:pPr>
      <w:r w:rsidRPr="007B5D03">
        <w:rPr>
          <w:rFonts w:hAnsi="標楷體"/>
          <w:sz w:val="30"/>
          <w:szCs w:val="30"/>
        </w:rPr>
        <w:t>日本最高法院在西元</w:t>
      </w:r>
      <w:smartTag w:uri="urn:schemas-microsoft-com:office:smarttags" w:element="chsdate">
        <w:smartTagPr>
          <w:attr w:name="IsROCDate" w:val="False"/>
          <w:attr w:name="IsLunarDate" w:val="False"/>
          <w:attr w:name="Day" w:val="18"/>
          <w:attr w:name="Month" w:val="4"/>
          <w:attr w:name="Year" w:val="1974"/>
        </w:smartTagPr>
        <w:r w:rsidRPr="007B5D03">
          <w:rPr>
            <w:sz w:val="30"/>
            <w:szCs w:val="30"/>
          </w:rPr>
          <w:t>1974</w:t>
        </w:r>
        <w:r w:rsidRPr="007B5D03">
          <w:rPr>
            <w:rFonts w:hAnsi="標楷體"/>
            <w:sz w:val="30"/>
            <w:szCs w:val="30"/>
          </w:rPr>
          <w:t>年</w:t>
        </w:r>
        <w:r w:rsidRPr="007B5D03">
          <w:rPr>
            <w:sz w:val="30"/>
            <w:szCs w:val="30"/>
          </w:rPr>
          <w:t>4</w:t>
        </w:r>
        <w:r w:rsidRPr="007B5D03">
          <w:rPr>
            <w:rFonts w:hAnsi="標楷體"/>
            <w:sz w:val="30"/>
            <w:szCs w:val="30"/>
          </w:rPr>
          <w:t>月</w:t>
        </w:r>
        <w:r w:rsidRPr="007B5D03">
          <w:rPr>
            <w:sz w:val="30"/>
            <w:szCs w:val="30"/>
          </w:rPr>
          <w:t>18</w:t>
        </w:r>
        <w:r w:rsidRPr="007B5D03">
          <w:rPr>
            <w:rFonts w:hAnsi="標楷體"/>
            <w:sz w:val="30"/>
            <w:szCs w:val="30"/>
          </w:rPr>
          <w:t>日</w:t>
        </w:r>
      </w:smartTag>
      <w:r w:rsidRPr="007B5D03">
        <w:rPr>
          <w:rFonts w:hAnsi="標楷體"/>
          <w:sz w:val="30"/>
          <w:szCs w:val="30"/>
        </w:rPr>
        <w:t>判示「審查請求的範圍是及於對總所得金額之課稅妥當與否之整體必要事項，是故本件審查裁決所新認定之薪資所得金額來構成總所得金額，並駁回審查請求，其理由並無違法」。</w:t>
      </w:r>
    </w:p>
    <w:p w:rsidR="00514426" w:rsidRPr="007B5D03" w:rsidRDefault="00514426" w:rsidP="00F34375">
      <w:pPr>
        <w:snapToGrid w:val="0"/>
        <w:spacing w:line="437" w:lineRule="exact"/>
        <w:ind w:left="2977" w:hanging="482"/>
        <w:rPr>
          <w:rFonts w:hint="eastAsia"/>
          <w:sz w:val="30"/>
          <w:szCs w:val="30"/>
        </w:rPr>
      </w:pPr>
      <w:r w:rsidRPr="007B5D03">
        <w:rPr>
          <w:rFonts w:hAnsi="標楷體" w:hint="eastAsia"/>
          <w:sz w:val="30"/>
          <w:szCs w:val="30"/>
        </w:rPr>
        <w:t>(</w:t>
      </w:r>
      <w:r w:rsidRPr="007B5D03">
        <w:rPr>
          <w:sz w:val="30"/>
          <w:szCs w:val="30"/>
        </w:rPr>
        <w:t>B</w:t>
      </w:r>
      <w:r w:rsidRPr="007B5D03">
        <w:rPr>
          <w:rFonts w:hAnsi="標楷體" w:hint="eastAsia"/>
          <w:sz w:val="30"/>
          <w:szCs w:val="30"/>
        </w:rPr>
        <w:t>)</w:t>
      </w:r>
      <w:r w:rsidRPr="007B5D03">
        <w:rPr>
          <w:rFonts w:hAnsi="標楷體"/>
          <w:sz w:val="30"/>
          <w:szCs w:val="30"/>
        </w:rPr>
        <w:t>爭點主義論者所誤解之日本最高法院</w:t>
      </w:r>
      <w:r w:rsidRPr="007B5D03">
        <w:rPr>
          <w:sz w:val="30"/>
          <w:szCs w:val="30"/>
        </w:rPr>
        <w:t>1981</w:t>
      </w:r>
      <w:r w:rsidRPr="007B5D03">
        <w:rPr>
          <w:rFonts w:hAnsi="標楷體"/>
          <w:sz w:val="30"/>
          <w:szCs w:val="30"/>
        </w:rPr>
        <w:t>年判例</w:t>
      </w:r>
      <w:r w:rsidRPr="007B5D03">
        <w:rPr>
          <w:rFonts w:hint="eastAsia"/>
          <w:sz w:val="30"/>
          <w:szCs w:val="30"/>
        </w:rPr>
        <w:t>（</w:t>
      </w:r>
      <w:r w:rsidRPr="007B5D03">
        <w:rPr>
          <w:rFonts w:hAnsi="標楷體"/>
          <w:sz w:val="30"/>
          <w:szCs w:val="30"/>
        </w:rPr>
        <w:t>附件</w:t>
      </w:r>
      <w:r w:rsidRPr="007B5D03">
        <w:rPr>
          <w:sz w:val="30"/>
          <w:szCs w:val="30"/>
        </w:rPr>
        <w:t>48</w:t>
      </w:r>
      <w:r w:rsidRPr="007B5D03">
        <w:rPr>
          <w:rFonts w:hint="eastAsia"/>
          <w:sz w:val="30"/>
          <w:szCs w:val="30"/>
        </w:rPr>
        <w:t>）</w:t>
      </w:r>
    </w:p>
    <w:p w:rsidR="00514426" w:rsidRPr="007B5D03" w:rsidRDefault="00514426" w:rsidP="009B5BAF">
      <w:pPr>
        <w:snapToGrid w:val="0"/>
        <w:spacing w:line="437" w:lineRule="exact"/>
        <w:ind w:left="3005" w:firstLine="340"/>
        <w:rPr>
          <w:sz w:val="30"/>
          <w:szCs w:val="30"/>
        </w:rPr>
      </w:pPr>
      <w:r w:rsidRPr="007B5D03">
        <w:rPr>
          <w:rFonts w:hAnsi="標楷體"/>
          <w:sz w:val="30"/>
          <w:szCs w:val="30"/>
        </w:rPr>
        <w:t>案例事實：緣上訴人</w:t>
      </w:r>
      <w:r w:rsidRPr="007B5D03">
        <w:rPr>
          <w:sz w:val="30"/>
          <w:szCs w:val="30"/>
        </w:rPr>
        <w:t>A</w:t>
      </w:r>
      <w:r w:rsidRPr="007B5D03">
        <w:rPr>
          <w:rFonts w:hAnsi="標楷體"/>
          <w:sz w:val="30"/>
          <w:szCs w:val="30"/>
        </w:rPr>
        <w:t>為住宅買賣業者</w:t>
      </w:r>
      <w:r w:rsidRPr="00CA7361">
        <w:rPr>
          <w:rFonts w:hAnsi="標楷體"/>
          <w:spacing w:val="6"/>
          <w:sz w:val="30"/>
          <w:szCs w:val="30"/>
        </w:rPr>
        <w:t>，</w:t>
      </w:r>
      <w:r w:rsidRPr="00CA7361">
        <w:rPr>
          <w:spacing w:val="6"/>
          <w:sz w:val="30"/>
          <w:szCs w:val="30"/>
        </w:rPr>
        <w:t>A</w:t>
      </w:r>
      <w:r w:rsidRPr="00CA7361">
        <w:rPr>
          <w:rFonts w:hAnsi="標楷體"/>
          <w:spacing w:val="6"/>
          <w:sz w:val="30"/>
          <w:szCs w:val="30"/>
        </w:rPr>
        <w:t>就系爭</w:t>
      </w:r>
      <w:smartTag w:uri="urn:schemas-microsoft-com:office:smarttags" w:element="chmetcnv">
        <w:smartTagPr>
          <w:attr w:name="TCSC" w:val="0"/>
          <w:attr w:name="NumberType" w:val="1"/>
          <w:attr w:name="Negative" w:val="False"/>
          <w:attr w:name="HasSpace" w:val="False"/>
          <w:attr w:name="SourceValue" w:val="64"/>
          <w:attr w:name="UnitName" w:val="坪"/>
        </w:smartTagPr>
        <w:r w:rsidRPr="00CA7361">
          <w:rPr>
            <w:spacing w:val="6"/>
            <w:sz w:val="30"/>
            <w:szCs w:val="30"/>
          </w:rPr>
          <w:t>64</w:t>
        </w:r>
        <w:r w:rsidRPr="00CA7361">
          <w:rPr>
            <w:rFonts w:hAnsi="標楷體"/>
            <w:spacing w:val="6"/>
            <w:sz w:val="30"/>
            <w:szCs w:val="30"/>
          </w:rPr>
          <w:t>坪</w:t>
        </w:r>
      </w:smartTag>
      <w:r w:rsidRPr="00CA7361">
        <w:rPr>
          <w:rFonts w:hAnsi="標楷體"/>
          <w:spacing w:val="6"/>
          <w:sz w:val="30"/>
          <w:szCs w:val="30"/>
        </w:rPr>
        <w:t>木造三層樓店面申報：</w:t>
      </w:r>
      <w:r w:rsidRPr="007B5D03">
        <w:rPr>
          <w:rFonts w:hAnsi="標楷體"/>
          <w:sz w:val="30"/>
          <w:szCs w:val="30"/>
        </w:rPr>
        <w:t>取得本件不動產之成本為七千六百萬九千六百日圓，而銷售價格是七千萬日圓。稅務署長</w:t>
      </w:r>
      <w:r w:rsidRPr="007B5D03">
        <w:rPr>
          <w:sz w:val="30"/>
          <w:szCs w:val="30"/>
        </w:rPr>
        <w:t>Y</w:t>
      </w:r>
      <w:r w:rsidRPr="007B5D03">
        <w:rPr>
          <w:rFonts w:hAnsi="標楷體"/>
          <w:sz w:val="30"/>
          <w:szCs w:val="30"/>
        </w:rPr>
        <w:t>認為本件不動產取得成本為六千萬日圓，並以此作成更正處分。之後原告提起撤銷之訴，至訴訟中稅務署長始察覺本件銷售價格應為九千四百五十萬日圓，便於訴訟中為此項理由之追加替換，雖取得價</w:t>
      </w:r>
      <w:r w:rsidRPr="007B5D03">
        <w:rPr>
          <w:rFonts w:hAnsi="標楷體"/>
          <w:sz w:val="30"/>
          <w:szCs w:val="30"/>
        </w:rPr>
        <w:lastRenderedPageBreak/>
        <w:t>格如原告之申報，若法院能容許追加銷售價格之事實，仍可維持處分之適法。</w:t>
      </w:r>
    </w:p>
    <w:p w:rsidR="00514426" w:rsidRPr="007B5D03" w:rsidRDefault="00514426" w:rsidP="009B5BAF">
      <w:pPr>
        <w:snapToGrid w:val="0"/>
        <w:spacing w:line="437" w:lineRule="exact"/>
        <w:ind w:left="3005" w:firstLine="340"/>
        <w:rPr>
          <w:sz w:val="30"/>
          <w:szCs w:val="30"/>
        </w:rPr>
      </w:pPr>
      <w:r w:rsidRPr="007B5D03">
        <w:rPr>
          <w:rFonts w:hAnsi="標楷體"/>
          <w:bCs/>
          <w:sz w:val="30"/>
          <w:szCs w:val="30"/>
        </w:rPr>
        <w:t>日本</w:t>
      </w:r>
      <w:r w:rsidRPr="009B5BAF">
        <w:rPr>
          <w:rFonts w:hAnsi="標楷體"/>
          <w:sz w:val="30"/>
          <w:szCs w:val="30"/>
        </w:rPr>
        <w:t>最高法院</w:t>
      </w:r>
      <w:r w:rsidRPr="007B5D03">
        <w:rPr>
          <w:rFonts w:hAnsi="標楷體"/>
          <w:bCs/>
          <w:sz w:val="30"/>
          <w:szCs w:val="30"/>
        </w:rPr>
        <w:t>判決理由</w:t>
      </w:r>
      <w:r w:rsidRPr="007B5D03">
        <w:rPr>
          <w:rFonts w:hAnsi="標楷體"/>
          <w:sz w:val="30"/>
          <w:szCs w:val="30"/>
        </w:rPr>
        <w:t>：關於上訴人所指遲滯訴訟之情，對照原判決所示之證據關係與記錄所展現的訴訟過程，二審判決所論無違法之處。本件的問題在於，原本申報認為取得價格比賣出價格更高，而後更正處分認為取得價格其實只有六千萬日圓，是以仍須課稅；惟之後發現賣出價格高達九千四百餘萬日圓，而依此在訴訟上主張原告有所得收入，究竟此種新的理由追加替換是否適法，便成為關鍵。就該項追加主張處分之理由根據，對於被告並未給予特別之不利益，故暫且不論一般性的在藍色申報之核課處分之撤銷訴訟中，得否主張與處分理由不同之其他事實，即本件稅務機關仍得於訴訟中追加新事實之主張，二審判決認為被上訴人可以提出本件追加主張，在結論上應可贊同。</w:t>
      </w:r>
    </w:p>
    <w:p w:rsidR="00514426" w:rsidRPr="007B5D03" w:rsidRDefault="00514426" w:rsidP="009B5BAF">
      <w:pPr>
        <w:snapToGrid w:val="0"/>
        <w:spacing w:line="437" w:lineRule="exact"/>
        <w:ind w:left="3005" w:firstLine="340"/>
        <w:rPr>
          <w:sz w:val="30"/>
          <w:szCs w:val="30"/>
          <w:lang w:eastAsia="ja-JP"/>
        </w:rPr>
      </w:pPr>
      <w:r w:rsidRPr="007B5D03">
        <w:rPr>
          <w:rFonts w:hAnsi="標楷體"/>
          <w:sz w:val="30"/>
          <w:szCs w:val="30"/>
        </w:rPr>
        <w:t>學者金子宏就以此號日本最高法院判決認為在藍色申報案件中</w:t>
      </w:r>
      <w:r w:rsidRPr="007B5D03">
        <w:rPr>
          <w:rFonts w:hAnsi="標楷體"/>
          <w:sz w:val="30"/>
          <w:szCs w:val="30"/>
          <w:lang w:eastAsia="ja-JP"/>
        </w:rPr>
        <w:t>，日本最高法院並非明白採取總額主義，以「暫且不論」（ともかく）之用語解讀日本最高法院仍保留是否採取總額主義及允許處分理由的追補</w:t>
      </w:r>
      <w:r w:rsidRPr="00F61F48">
        <w:rPr>
          <w:rFonts w:hAnsi="標楷體"/>
          <w:spacing w:val="4"/>
          <w:sz w:val="30"/>
          <w:szCs w:val="30"/>
          <w:lang w:eastAsia="ja-JP"/>
        </w:rPr>
        <w:t>（附件</w:t>
      </w:r>
      <w:r w:rsidRPr="00F61F48">
        <w:rPr>
          <w:spacing w:val="4"/>
          <w:sz w:val="30"/>
          <w:szCs w:val="30"/>
          <w:lang w:eastAsia="ja-JP"/>
        </w:rPr>
        <w:t>21</w:t>
      </w:r>
      <w:r w:rsidRPr="00F61F48">
        <w:rPr>
          <w:rFonts w:hAnsi="標楷體"/>
          <w:spacing w:val="4"/>
          <w:sz w:val="30"/>
          <w:szCs w:val="30"/>
          <w:lang w:eastAsia="ja-JP"/>
        </w:rPr>
        <w:t>，金子宏，租稅法，第</w:t>
      </w:r>
      <w:r w:rsidRPr="00F61F48">
        <w:rPr>
          <w:spacing w:val="4"/>
          <w:sz w:val="30"/>
          <w:szCs w:val="30"/>
          <w:lang w:eastAsia="ja-JP"/>
        </w:rPr>
        <w:t>13</w:t>
      </w:r>
      <w:r w:rsidRPr="00F61F48">
        <w:rPr>
          <w:rFonts w:hAnsi="標楷體"/>
          <w:spacing w:val="4"/>
          <w:sz w:val="30"/>
          <w:szCs w:val="30"/>
          <w:lang w:eastAsia="ja-JP"/>
        </w:rPr>
        <w:t>版，</w:t>
      </w:r>
      <w:r w:rsidRPr="00F61F48">
        <w:rPr>
          <w:rFonts w:hAnsi="標楷體"/>
          <w:spacing w:val="-6"/>
          <w:sz w:val="30"/>
          <w:szCs w:val="30"/>
          <w:lang w:eastAsia="ja-JP"/>
        </w:rPr>
        <w:t>第</w:t>
      </w:r>
      <w:r w:rsidRPr="00F61F48">
        <w:rPr>
          <w:spacing w:val="-6"/>
          <w:sz w:val="30"/>
          <w:szCs w:val="30"/>
          <w:lang w:eastAsia="ja-JP"/>
        </w:rPr>
        <w:t>750</w:t>
      </w:r>
      <w:r w:rsidRPr="00F61F48">
        <w:rPr>
          <w:rFonts w:hAnsi="標楷體"/>
          <w:spacing w:val="-6"/>
          <w:sz w:val="30"/>
          <w:szCs w:val="30"/>
          <w:lang w:eastAsia="ja-JP"/>
        </w:rPr>
        <w:t>頁），然而在結論上日本最高法院既</w:t>
      </w:r>
      <w:r w:rsidRPr="007B5D03">
        <w:rPr>
          <w:rFonts w:hAnsi="標楷體"/>
          <w:sz w:val="30"/>
          <w:szCs w:val="30"/>
          <w:lang w:eastAsia="ja-JP"/>
        </w:rPr>
        <w:lastRenderedPageBreak/>
        <w:t>然允許課稅機關為處分理由之追補，至多僅能解讀「暫且不論」的論述屬於避開藍色申報核課處分應記載理由所生追補理由是否產生處分違法與否之爭議，並不能因此導出在訴訟法上採取較限縮的訴訟標的理論，爭點主義論者援引藍色申報核課處分必須記載理由之規定，主張若無限制容許行政處分理由追加替換，將使「理由附記」之立法旨趣喪失，對此，通說並不贊同，由法院判決也可看出處分應附理由規定之射程範圍有限。</w:t>
      </w:r>
    </w:p>
    <w:p w:rsidR="00514426" w:rsidRPr="007B5D03" w:rsidRDefault="00514426" w:rsidP="00F34375">
      <w:pPr>
        <w:snapToGrid w:val="0"/>
        <w:spacing w:line="437" w:lineRule="exact"/>
        <w:ind w:left="2977" w:hanging="482"/>
        <w:rPr>
          <w:rFonts w:hint="eastAsia"/>
          <w:sz w:val="30"/>
          <w:szCs w:val="30"/>
        </w:rPr>
      </w:pPr>
      <w:r w:rsidRPr="007B5D03">
        <w:rPr>
          <w:rFonts w:hAnsi="標楷體" w:hint="eastAsia"/>
          <w:sz w:val="30"/>
          <w:szCs w:val="30"/>
        </w:rPr>
        <w:t>(</w:t>
      </w:r>
      <w:r w:rsidRPr="007B5D03">
        <w:rPr>
          <w:sz w:val="30"/>
          <w:szCs w:val="30"/>
        </w:rPr>
        <w:t>C</w:t>
      </w:r>
      <w:r w:rsidRPr="007B5D03">
        <w:rPr>
          <w:rFonts w:hAnsi="標楷體" w:hint="eastAsia"/>
          <w:sz w:val="30"/>
          <w:szCs w:val="30"/>
        </w:rPr>
        <w:t>)</w:t>
      </w:r>
      <w:r w:rsidRPr="007B5D03">
        <w:rPr>
          <w:rFonts w:hAnsi="標楷體"/>
          <w:bCs/>
          <w:sz w:val="30"/>
          <w:szCs w:val="30"/>
        </w:rPr>
        <w:t>東京</w:t>
      </w:r>
      <w:r w:rsidRPr="00F34375">
        <w:rPr>
          <w:rFonts w:hAnsi="標楷體"/>
          <w:sz w:val="30"/>
          <w:szCs w:val="30"/>
        </w:rPr>
        <w:t>高等法院</w:t>
      </w:r>
      <w:r w:rsidRPr="007B5D03">
        <w:rPr>
          <w:rFonts w:hAnsi="標楷體"/>
          <w:bCs/>
          <w:sz w:val="30"/>
          <w:szCs w:val="30"/>
        </w:rPr>
        <w:t>昭和</w:t>
      </w:r>
      <w:smartTag w:uri="urn:schemas-microsoft-com:office:smarttags" w:element="chsdate">
        <w:smartTagPr>
          <w:attr w:name="IsROCDate" w:val="False"/>
          <w:attr w:name="IsLunarDate" w:val="False"/>
          <w:attr w:name="Day" w:val="10"/>
          <w:attr w:name="Month" w:val="8"/>
          <w:attr w:name="Year" w:val="1957"/>
        </w:smartTagPr>
        <w:r w:rsidRPr="007B5D03">
          <w:rPr>
            <w:bCs/>
            <w:sz w:val="30"/>
            <w:szCs w:val="30"/>
          </w:rPr>
          <w:t>57</w:t>
        </w:r>
        <w:r w:rsidRPr="007B5D03">
          <w:rPr>
            <w:rFonts w:hAnsi="標楷體"/>
            <w:bCs/>
            <w:sz w:val="30"/>
            <w:szCs w:val="30"/>
          </w:rPr>
          <w:t>年</w:t>
        </w:r>
        <w:r w:rsidRPr="007B5D03">
          <w:rPr>
            <w:bCs/>
            <w:sz w:val="30"/>
            <w:szCs w:val="30"/>
          </w:rPr>
          <w:t>8</w:t>
        </w:r>
        <w:r w:rsidRPr="007B5D03">
          <w:rPr>
            <w:rFonts w:hAnsi="標楷體"/>
            <w:bCs/>
            <w:sz w:val="30"/>
            <w:szCs w:val="30"/>
          </w:rPr>
          <w:t>月</w:t>
        </w:r>
        <w:r w:rsidRPr="007B5D03">
          <w:rPr>
            <w:bCs/>
            <w:sz w:val="30"/>
            <w:szCs w:val="30"/>
          </w:rPr>
          <w:t>10</w:t>
        </w:r>
        <w:r w:rsidRPr="007B5D03">
          <w:rPr>
            <w:rFonts w:hAnsi="標楷體"/>
            <w:bCs/>
            <w:sz w:val="30"/>
            <w:szCs w:val="30"/>
          </w:rPr>
          <w:t>日</w:t>
        </w:r>
      </w:smartTag>
      <w:r w:rsidRPr="007B5D03">
        <w:rPr>
          <w:rFonts w:hAnsi="標楷體"/>
          <w:bCs/>
          <w:sz w:val="30"/>
          <w:szCs w:val="30"/>
        </w:rPr>
        <w:t>判決</w:t>
      </w:r>
      <w:r w:rsidRPr="007B5D03">
        <w:rPr>
          <w:rFonts w:hint="eastAsia"/>
          <w:sz w:val="30"/>
          <w:szCs w:val="30"/>
        </w:rPr>
        <w:t>（</w:t>
      </w:r>
      <w:r w:rsidRPr="007B5D03">
        <w:rPr>
          <w:rFonts w:hAnsi="標楷體"/>
          <w:sz w:val="30"/>
          <w:szCs w:val="30"/>
        </w:rPr>
        <w:t>附件</w:t>
      </w:r>
      <w:r w:rsidRPr="007B5D03">
        <w:rPr>
          <w:sz w:val="30"/>
          <w:szCs w:val="30"/>
        </w:rPr>
        <w:t>50</w:t>
      </w:r>
      <w:r w:rsidRPr="007B5D03">
        <w:rPr>
          <w:rFonts w:hint="eastAsia"/>
          <w:sz w:val="30"/>
          <w:szCs w:val="30"/>
        </w:rPr>
        <w:t>）</w:t>
      </w:r>
    </w:p>
    <w:p w:rsidR="00514426" w:rsidRPr="007B5D03" w:rsidRDefault="00514426" w:rsidP="009B5BAF">
      <w:pPr>
        <w:snapToGrid w:val="0"/>
        <w:spacing w:line="437" w:lineRule="exact"/>
        <w:ind w:left="3005" w:firstLine="340"/>
        <w:rPr>
          <w:sz w:val="30"/>
          <w:szCs w:val="30"/>
        </w:rPr>
      </w:pPr>
      <w:r w:rsidRPr="007B5D03">
        <w:rPr>
          <w:rFonts w:hAnsi="標楷體"/>
          <w:sz w:val="30"/>
          <w:szCs w:val="30"/>
        </w:rPr>
        <w:t>判決意旨：日本所得稅法第</w:t>
      </w:r>
      <w:r w:rsidRPr="007B5D03">
        <w:rPr>
          <w:sz w:val="30"/>
          <w:szCs w:val="30"/>
        </w:rPr>
        <w:t>155</w:t>
      </w:r>
      <w:r w:rsidRPr="007B5D03">
        <w:rPr>
          <w:rFonts w:hAnsi="標楷體"/>
          <w:sz w:val="30"/>
          <w:szCs w:val="30"/>
        </w:rPr>
        <w:t>條第</w:t>
      </w:r>
      <w:r w:rsidRPr="007B5D03">
        <w:rPr>
          <w:sz w:val="30"/>
          <w:szCs w:val="30"/>
        </w:rPr>
        <w:t>2</w:t>
      </w:r>
      <w:r w:rsidRPr="007B5D03">
        <w:rPr>
          <w:rFonts w:hAnsi="標楷體"/>
          <w:sz w:val="30"/>
          <w:szCs w:val="30"/>
        </w:rPr>
        <w:t>項規定，對藍色申報作成更正處分，必須記載更正理由。該規定乃是為促使行政機關作成處分必須慎重、合理地判斷，作為抑制行政機關恣意之擔保，並使相對人知更正理由，以利其提起行政救濟。從而理由記載若未達到前述旨趣、目的，此種更正處分有瑕疵，得藉由訴訟撤銷之，惟超出上述情形者，要求處分機關不得在訴訟上程序上主張未載於處分書上之理由，著屬困難。就前述藍色申報之情形，基於申報人提供之帳簿文件及其說明，而由稅務署依此作成更正處分之建制原則思考，若不認為須限制</w:t>
      </w:r>
      <w:r w:rsidRPr="007B5D03">
        <w:rPr>
          <w:rFonts w:hAnsi="標楷體"/>
          <w:sz w:val="30"/>
          <w:szCs w:val="30"/>
        </w:rPr>
        <w:lastRenderedPageBreak/>
        <w:t>處分理由追加替換，可以其</w:t>
      </w:r>
      <w:r w:rsidRPr="00F61F48">
        <w:rPr>
          <w:rFonts w:hAnsi="標楷體"/>
          <w:spacing w:val="6"/>
          <w:sz w:val="30"/>
          <w:szCs w:val="30"/>
        </w:rPr>
        <w:t>他理由得到同一結果，在實體上或程序</w:t>
      </w:r>
      <w:r w:rsidRPr="007B5D03">
        <w:rPr>
          <w:rFonts w:hAnsi="標楷體"/>
          <w:sz w:val="30"/>
          <w:szCs w:val="30"/>
        </w:rPr>
        <w:t>上，對藍色申報人的權利、利益並無不當之侵害。本件係對昭和</w:t>
      </w:r>
      <w:r w:rsidRPr="007B5D03">
        <w:rPr>
          <w:sz w:val="30"/>
          <w:szCs w:val="30"/>
        </w:rPr>
        <w:t>43</w:t>
      </w:r>
      <w:r w:rsidRPr="007B5D03">
        <w:rPr>
          <w:rFonts w:hAnsi="標楷體"/>
          <w:sz w:val="30"/>
          <w:szCs w:val="30"/>
        </w:rPr>
        <w:t>年所得申報更正當否有所爭執，而前述</w:t>
      </w:r>
      <w:r w:rsidRPr="007B5D03">
        <w:rPr>
          <w:sz w:val="30"/>
          <w:szCs w:val="30"/>
        </w:rPr>
        <w:t>X</w:t>
      </w:r>
      <w:r w:rsidRPr="007B5D03">
        <w:rPr>
          <w:rFonts w:hAnsi="標楷體"/>
          <w:sz w:val="30"/>
          <w:szCs w:val="30"/>
        </w:rPr>
        <w:t>不能回收之債權是否應算入必要經費，係關於更正處分之主要爭點，至於上訴人為維持處分正當而</w:t>
      </w:r>
      <w:r w:rsidRPr="00F61F48">
        <w:rPr>
          <w:rFonts w:hAnsi="標楷體"/>
          <w:spacing w:val="6"/>
          <w:sz w:val="30"/>
          <w:szCs w:val="30"/>
        </w:rPr>
        <w:t>提出有關利息</w:t>
      </w:r>
      <w:r w:rsidRPr="00F61F48">
        <w:rPr>
          <w:spacing w:val="6"/>
          <w:sz w:val="30"/>
          <w:szCs w:val="30"/>
        </w:rPr>
        <w:t>117</w:t>
      </w:r>
      <w:r w:rsidRPr="00F61F48">
        <w:rPr>
          <w:rFonts w:hAnsi="標楷體"/>
          <w:spacing w:val="6"/>
          <w:sz w:val="30"/>
          <w:szCs w:val="30"/>
        </w:rPr>
        <w:t>萬日圓不算入必要經</w:t>
      </w:r>
      <w:r w:rsidRPr="007B5D03">
        <w:rPr>
          <w:rFonts w:hAnsi="標楷體"/>
          <w:sz w:val="30"/>
          <w:szCs w:val="30"/>
        </w:rPr>
        <w:t>費，並未給予被上訴人特別之不利益，是以難謂上訴人不得主張處分書所未載明之理由，應將利息</w:t>
      </w:r>
      <w:r w:rsidRPr="007B5D03">
        <w:rPr>
          <w:sz w:val="30"/>
          <w:szCs w:val="30"/>
        </w:rPr>
        <w:t>117</w:t>
      </w:r>
      <w:r w:rsidRPr="007B5D03">
        <w:rPr>
          <w:rFonts w:hAnsi="標楷體"/>
          <w:sz w:val="30"/>
          <w:szCs w:val="30"/>
        </w:rPr>
        <w:t>萬日圓部分排除在必要經費外。</w:t>
      </w:r>
    </w:p>
    <w:p w:rsidR="00514426" w:rsidRPr="00F61F48" w:rsidRDefault="00514426" w:rsidP="00F34375">
      <w:pPr>
        <w:snapToGrid w:val="0"/>
        <w:spacing w:line="437" w:lineRule="exact"/>
        <w:ind w:left="2977" w:hanging="482"/>
        <w:rPr>
          <w:spacing w:val="10"/>
          <w:sz w:val="30"/>
          <w:szCs w:val="30"/>
        </w:rPr>
      </w:pPr>
      <w:r w:rsidRPr="00F61F48">
        <w:rPr>
          <w:rFonts w:hAnsi="標楷體" w:hint="eastAsia"/>
          <w:spacing w:val="10"/>
          <w:sz w:val="30"/>
          <w:szCs w:val="30"/>
        </w:rPr>
        <w:t>(</w:t>
      </w:r>
      <w:r w:rsidRPr="00F61F48">
        <w:rPr>
          <w:spacing w:val="10"/>
          <w:sz w:val="30"/>
          <w:szCs w:val="30"/>
        </w:rPr>
        <w:t>D</w:t>
      </w:r>
      <w:r w:rsidRPr="00F61F48">
        <w:rPr>
          <w:rFonts w:hAnsi="標楷體" w:hint="eastAsia"/>
          <w:spacing w:val="10"/>
          <w:sz w:val="30"/>
          <w:szCs w:val="30"/>
        </w:rPr>
        <w:t>)</w:t>
      </w:r>
      <w:r w:rsidRPr="00F61F48">
        <w:rPr>
          <w:rFonts w:hAnsi="標楷體"/>
          <w:spacing w:val="10"/>
          <w:sz w:val="30"/>
          <w:szCs w:val="30"/>
        </w:rPr>
        <w:t>學說上總額主義之依據</w:t>
      </w:r>
    </w:p>
    <w:p w:rsidR="00514426" w:rsidRPr="007B5D03" w:rsidRDefault="00514426" w:rsidP="009B5BAF">
      <w:pPr>
        <w:snapToGrid w:val="0"/>
        <w:spacing w:line="437" w:lineRule="exact"/>
        <w:ind w:left="3005" w:firstLine="340"/>
        <w:rPr>
          <w:sz w:val="30"/>
          <w:szCs w:val="30"/>
          <w:lang w:eastAsia="ja-JP"/>
        </w:rPr>
      </w:pPr>
      <w:r w:rsidRPr="007B5D03">
        <w:rPr>
          <w:rFonts w:hAnsi="標楷體"/>
          <w:sz w:val="30"/>
          <w:szCs w:val="30"/>
        </w:rPr>
        <w:t>課稅處分在納稅義務人未辦理申報時，課稅機關是對納稅義務人該年度之所得總金額及稅額之決定，在這種情況下，所得稅法規定各種所得細目（科目）之規範，不過為了規定稅額計算基礎之規定，不應解釋為每一所得種類均屬個別處分，而係</w:t>
      </w:r>
      <w:r w:rsidRPr="00F61F48">
        <w:rPr>
          <w:rFonts w:hAnsi="標楷體"/>
          <w:spacing w:val="6"/>
          <w:sz w:val="30"/>
          <w:szCs w:val="30"/>
        </w:rPr>
        <w:t>一個行政處分。如對已申報案件核課處</w:t>
      </w:r>
      <w:r w:rsidRPr="007B5D03">
        <w:rPr>
          <w:rFonts w:hAnsi="標楷體"/>
          <w:sz w:val="30"/>
          <w:szCs w:val="30"/>
        </w:rPr>
        <w:t>分，亦為對納稅義務人特定年度之總所得認定的一個處分，個別所得之認定並非不同之處分。</w:t>
      </w:r>
      <w:r w:rsidRPr="007B5D03">
        <w:rPr>
          <w:rFonts w:hAnsi="標楷體"/>
          <w:sz w:val="30"/>
          <w:szCs w:val="30"/>
          <w:lang w:eastAsia="ja-JP"/>
        </w:rPr>
        <w:t>作為課稅處分基礎的所得金額是依據法律而為客觀認定，課稅機關全無裁量空間，此與公務員懲戒處分有所不同（附件</w:t>
      </w:r>
      <w:r w:rsidRPr="007B5D03">
        <w:rPr>
          <w:sz w:val="30"/>
          <w:szCs w:val="30"/>
          <w:lang w:eastAsia="ja-JP"/>
        </w:rPr>
        <w:t>5</w:t>
      </w:r>
      <w:r w:rsidRPr="007B5D03">
        <w:rPr>
          <w:rFonts w:hint="eastAsia"/>
          <w:sz w:val="30"/>
          <w:szCs w:val="30"/>
          <w:lang w:eastAsia="ja-JP"/>
        </w:rPr>
        <w:t>0</w:t>
      </w:r>
      <w:r w:rsidRPr="007B5D03">
        <w:rPr>
          <w:rFonts w:hAnsi="標楷體"/>
          <w:sz w:val="30"/>
          <w:szCs w:val="30"/>
          <w:lang w:eastAsia="ja-JP"/>
        </w:rPr>
        <w:t>，宮崎直見，課税処分取消訴訟の訴訟物（審判の対象），載於小松英明、松沢智編，裁</w:t>
      </w:r>
      <w:r w:rsidRPr="007B5D03">
        <w:rPr>
          <w:rFonts w:hAnsi="標楷體"/>
          <w:sz w:val="30"/>
          <w:szCs w:val="30"/>
          <w:lang w:eastAsia="ja-JP"/>
        </w:rPr>
        <w:lastRenderedPageBreak/>
        <w:t>判実務大系第</w:t>
      </w:r>
      <w:r w:rsidRPr="007B5D03">
        <w:rPr>
          <w:sz w:val="30"/>
          <w:szCs w:val="30"/>
          <w:lang w:eastAsia="ja-JP"/>
        </w:rPr>
        <w:t>20</w:t>
      </w:r>
      <w:r w:rsidRPr="007B5D03">
        <w:rPr>
          <w:rFonts w:hAnsi="標楷體"/>
          <w:sz w:val="30"/>
          <w:szCs w:val="30"/>
          <w:lang w:eastAsia="ja-JP"/>
        </w:rPr>
        <w:t>卷，租稅爭</w:t>
      </w:r>
      <w:r w:rsidRPr="00F61F48">
        <w:rPr>
          <w:rFonts w:hAnsi="標楷體"/>
          <w:spacing w:val="-6"/>
          <w:sz w:val="30"/>
          <w:szCs w:val="30"/>
          <w:lang w:eastAsia="ja-JP"/>
        </w:rPr>
        <w:t>訟法，</w:t>
      </w:r>
      <w:r w:rsidRPr="00F61F48">
        <w:rPr>
          <w:spacing w:val="-6"/>
          <w:sz w:val="30"/>
          <w:szCs w:val="30"/>
          <w:lang w:eastAsia="ja-JP"/>
        </w:rPr>
        <w:t>1992</w:t>
      </w:r>
      <w:r w:rsidRPr="00F61F48">
        <w:rPr>
          <w:rFonts w:hAnsi="標楷體"/>
          <w:spacing w:val="-6"/>
          <w:sz w:val="30"/>
          <w:szCs w:val="30"/>
          <w:lang w:eastAsia="ja-JP"/>
        </w:rPr>
        <w:t>年初版第</w:t>
      </w:r>
      <w:r w:rsidRPr="00F61F48">
        <w:rPr>
          <w:spacing w:val="-6"/>
          <w:sz w:val="30"/>
          <w:szCs w:val="30"/>
          <w:lang w:eastAsia="ja-JP"/>
        </w:rPr>
        <w:t>4</w:t>
      </w:r>
      <w:r w:rsidRPr="00F61F48">
        <w:rPr>
          <w:rFonts w:hAnsi="標楷體"/>
          <w:spacing w:val="-6"/>
          <w:sz w:val="30"/>
          <w:szCs w:val="30"/>
          <w:lang w:eastAsia="ja-JP"/>
        </w:rPr>
        <w:t>刷，頁</w:t>
      </w:r>
      <w:r w:rsidRPr="00F61F48">
        <w:rPr>
          <w:spacing w:val="-6"/>
          <w:sz w:val="30"/>
          <w:szCs w:val="30"/>
          <w:lang w:eastAsia="ja-JP"/>
        </w:rPr>
        <w:t>39</w:t>
      </w:r>
      <w:r w:rsidRPr="00F61F48">
        <w:rPr>
          <w:rFonts w:hAnsi="標楷體"/>
          <w:spacing w:val="-6"/>
          <w:sz w:val="30"/>
          <w:szCs w:val="30"/>
          <w:lang w:eastAsia="ja-JP"/>
        </w:rPr>
        <w:t>、</w:t>
      </w:r>
      <w:r w:rsidRPr="00F61F48">
        <w:rPr>
          <w:spacing w:val="-6"/>
          <w:sz w:val="30"/>
          <w:szCs w:val="30"/>
          <w:lang w:eastAsia="ja-JP"/>
        </w:rPr>
        <w:t>40</w:t>
      </w:r>
      <w:r w:rsidRPr="00F61F48">
        <w:rPr>
          <w:rFonts w:hAnsi="標楷體"/>
          <w:spacing w:val="-6"/>
          <w:sz w:val="30"/>
          <w:szCs w:val="30"/>
          <w:lang w:eastAsia="ja-JP"/>
        </w:rPr>
        <w:t>）。</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3.爭</w:t>
      </w:r>
      <w:r w:rsidRPr="007B5D03">
        <w:rPr>
          <w:rFonts w:hAnsi="標楷體"/>
          <w:sz w:val="30"/>
          <w:szCs w:val="30"/>
        </w:rPr>
        <w:t>點主義係屬法院在法律未明文規定且未明確授</w:t>
      </w:r>
      <w:r w:rsidRPr="00F61F48">
        <w:rPr>
          <w:rFonts w:hAnsi="標楷體"/>
          <w:spacing w:val="-6"/>
          <w:sz w:val="30"/>
          <w:szCs w:val="30"/>
        </w:rPr>
        <w:t>權下所形成之判例，其規範者並非技術性、細節性事項，其對人民訴訟權之限制自屬違反法律保留原</w:t>
      </w:r>
      <w:r w:rsidRPr="007B5D03">
        <w:rPr>
          <w:rFonts w:hAnsi="標楷體"/>
          <w:sz w:val="30"/>
          <w:szCs w:val="30"/>
        </w:rPr>
        <w:t>則</w:t>
      </w:r>
    </w:p>
    <w:p w:rsidR="00514426" w:rsidRPr="007B5D03" w:rsidRDefault="00514426" w:rsidP="006D2A30">
      <w:pPr>
        <w:snapToGrid w:val="0"/>
        <w:spacing w:line="437" w:lineRule="exact"/>
        <w:ind w:left="2354" w:hanging="369"/>
        <w:rPr>
          <w:sz w:val="30"/>
          <w:szCs w:val="30"/>
        </w:rPr>
      </w:pPr>
      <w:r w:rsidRPr="007B5D03">
        <w:rPr>
          <w:rFonts w:hAnsi="標楷體" w:hint="eastAsia"/>
          <w:sz w:val="30"/>
          <w:szCs w:val="30"/>
        </w:rPr>
        <w:t>(1)</w:t>
      </w:r>
      <w:r w:rsidRPr="007B5D03">
        <w:rPr>
          <w:rFonts w:hAnsi="標楷體"/>
          <w:sz w:val="30"/>
          <w:szCs w:val="30"/>
        </w:rPr>
        <w:t>按「刑事訴訟法第三百二十一條規定，對於配偶</w:t>
      </w:r>
      <w:r w:rsidRPr="006D2A30">
        <w:rPr>
          <w:rFonts w:hAnsi="標楷體"/>
          <w:spacing w:val="-6"/>
          <w:sz w:val="30"/>
          <w:szCs w:val="30"/>
        </w:rPr>
        <w:t>不得提起自訴，係為防止配偶間因自訴而對簿公堂，致影響夫妻和睦及家庭和諧，為維護人倫關係所為之合理限制，尚未逾越立法機關自由形成之範圍；且人民依刑事訴訟法第二百三十二條、第二百三十三條第一項、第二百三十四條第二項等規定，並非不得對其配偶提出告訴，其憲法所保障之訴訟權並未受到侵害，與憲法第十六條及第二十三條之意旨尚無牴觸。</w:t>
      </w:r>
      <w:r w:rsidRPr="006D2A30">
        <w:rPr>
          <w:rFonts w:hint="eastAsia"/>
          <w:spacing w:val="-6"/>
          <w:sz w:val="30"/>
          <w:szCs w:val="30"/>
        </w:rPr>
        <w:t>……</w:t>
      </w:r>
      <w:r w:rsidRPr="006D2A30">
        <w:rPr>
          <w:rFonts w:hAnsi="標楷體"/>
          <w:spacing w:val="-6"/>
          <w:sz w:val="30"/>
          <w:szCs w:val="30"/>
        </w:rPr>
        <w:t>然本院院字第三六四號解釋：「有夫之婦與人通姦，本夫對於姦婦既屬配偶，應受刑事訴訟法第三百三十九條之限制，不許自訴，僅得向檢察官告訴，依公訴</w:t>
      </w:r>
      <w:r w:rsidRPr="006D2A30">
        <w:rPr>
          <w:rFonts w:hAnsi="標楷體"/>
          <w:spacing w:val="-12"/>
          <w:sz w:val="30"/>
          <w:szCs w:val="30"/>
        </w:rPr>
        <w:t>程序辦理。（參照院字第四</w:t>
      </w:r>
      <w:r w:rsidRPr="006D2A30">
        <w:rPr>
          <w:rFonts w:hAnsi="標楷體" w:hint="eastAsia"/>
          <w:spacing w:val="-12"/>
          <w:sz w:val="30"/>
          <w:szCs w:val="30"/>
        </w:rPr>
        <w:t>０</w:t>
      </w:r>
      <w:r w:rsidRPr="006D2A30">
        <w:rPr>
          <w:rFonts w:hAnsi="標楷體"/>
          <w:spacing w:val="-12"/>
          <w:sz w:val="30"/>
          <w:szCs w:val="30"/>
        </w:rPr>
        <w:t>號解釋）其對姦夫，</w:t>
      </w:r>
      <w:r w:rsidRPr="006D2A30">
        <w:rPr>
          <w:rFonts w:hAnsi="標楷體"/>
          <w:sz w:val="30"/>
          <w:szCs w:val="30"/>
        </w:rPr>
        <w:t>依告訴乃論之罪告訴不可分之原則，亦僅得告</w:t>
      </w:r>
      <w:r w:rsidRPr="006D2A30">
        <w:rPr>
          <w:rFonts w:hAnsi="標楷體"/>
          <w:spacing w:val="-6"/>
          <w:sz w:val="30"/>
          <w:szCs w:val="30"/>
        </w:rPr>
        <w:t>訴，不適用自訴程序」，及院字第一八四四號解釋（三）後段：「戊自訴其妻己與庚通姦，或共同輕微傷害。戊與己係屬配偶，既受刑</w:t>
      </w:r>
      <w:r w:rsidRPr="006D2A30">
        <w:rPr>
          <w:rFonts w:hAnsi="標楷體" w:hint="eastAsia"/>
          <w:spacing w:val="-6"/>
          <w:sz w:val="30"/>
          <w:szCs w:val="30"/>
        </w:rPr>
        <w:t>事</w:t>
      </w:r>
      <w:r w:rsidRPr="006D2A30">
        <w:rPr>
          <w:rFonts w:hAnsi="標楷體"/>
          <w:spacing w:val="-6"/>
          <w:sz w:val="30"/>
          <w:szCs w:val="30"/>
        </w:rPr>
        <w:t>訴</w:t>
      </w:r>
      <w:r w:rsidRPr="006D2A30">
        <w:rPr>
          <w:rFonts w:hAnsi="標楷體" w:hint="eastAsia"/>
          <w:spacing w:val="-6"/>
          <w:sz w:val="30"/>
          <w:szCs w:val="30"/>
        </w:rPr>
        <w:t>訟</w:t>
      </w:r>
      <w:r w:rsidRPr="006D2A30">
        <w:rPr>
          <w:rFonts w:hAnsi="標楷體"/>
          <w:spacing w:val="-6"/>
          <w:sz w:val="30"/>
          <w:szCs w:val="30"/>
        </w:rPr>
        <w:t>法第三</w:t>
      </w:r>
      <w:r w:rsidRPr="006D2A30">
        <w:rPr>
          <w:rFonts w:hAnsi="標楷體" w:hint="eastAsia"/>
          <w:spacing w:val="-6"/>
          <w:sz w:val="30"/>
          <w:szCs w:val="30"/>
        </w:rPr>
        <w:t>百十</w:t>
      </w:r>
      <w:r w:rsidRPr="006D2A30">
        <w:rPr>
          <w:rFonts w:hAnsi="標楷體"/>
          <w:spacing w:val="-6"/>
          <w:sz w:val="30"/>
          <w:szCs w:val="30"/>
        </w:rPr>
        <w:t>三條限制，不得提起自訴，依告訴不可分原則，戊對於庚之自訴，自應併予不受理」，亦均以告訴不可分原則，擴大對人民自訴權之限制。刑事訴訟法第二百三十九條前段規定：「告訴乃論之罪，對於共犯之一人</w:t>
      </w:r>
      <w:r w:rsidRPr="006D2A30">
        <w:rPr>
          <w:rFonts w:hAnsi="標楷體"/>
          <w:spacing w:val="-6"/>
          <w:sz w:val="30"/>
          <w:szCs w:val="30"/>
        </w:rPr>
        <w:lastRenderedPageBreak/>
        <w:t>告訴或撤回告訴，其效力及於其他共犯」，此為就告訴乃論罪之告訴，對人之效力，又稱為主觀之效力，亦即上開解釋及判例所稱之告訴不可分原則。惟所謂告訴係由犯罪被害人或其他有告訴權之人，向刑事司法偵查機關人員陳述犯罪嫌疑事實，請求追訴嫌疑人，其乃偵查起因之一（同法第二百二十八條</w:t>
      </w:r>
      <w:r w:rsidRPr="003A1A9D">
        <w:rPr>
          <w:rFonts w:hAnsi="標楷體"/>
          <w:spacing w:val="-12"/>
          <w:sz w:val="30"/>
          <w:szCs w:val="30"/>
        </w:rPr>
        <w:t>第一項），於告訴乃論罪案件，並為訴訟之條件，</w:t>
      </w:r>
      <w:r w:rsidRPr="006D2A30">
        <w:rPr>
          <w:rFonts w:hAnsi="標楷體"/>
          <w:spacing w:val="-6"/>
          <w:sz w:val="30"/>
          <w:szCs w:val="30"/>
        </w:rPr>
        <w:t>非經合法告訴，不得提起公訴及為實體判決（同法第二百五十二條第五款、第三百零三條第三款參照）；而自訴則係由犯罪被害人或其他有自訴權之人自任當事人之原告，對被告犯罪案件向法院起訴，請求審判，其性質與告訴有別，而與公訴相似；故同法第三百四十三條規定：「自訴程</w:t>
      </w:r>
      <w:r w:rsidRPr="003A1A9D">
        <w:rPr>
          <w:rFonts w:hAnsi="標楷體"/>
          <w:sz w:val="30"/>
          <w:szCs w:val="30"/>
        </w:rPr>
        <w:t>序，除本章有特別規定外，準用第二百四十六</w:t>
      </w:r>
      <w:r w:rsidRPr="006D2A30">
        <w:rPr>
          <w:rFonts w:hAnsi="標楷體"/>
          <w:spacing w:val="-6"/>
          <w:sz w:val="30"/>
          <w:szCs w:val="30"/>
        </w:rPr>
        <w:t>條、第二百四十九條及前章第二節、第三節關於公訴之規定」，不惟不準用同法第二百三十九條告訴不可分原則，且自訴對人之效力（即主觀之效力）自應準用同法第二百六十六條「起訴之效力，不及於檢察官所指被告以外之人」之規定，亦即主觀上可分，從而同法第三百二十一條禁止人民對於配偶提起自訴之規定，自不應擴張解釋</w:t>
      </w:r>
      <w:r w:rsidRPr="003A1A9D">
        <w:rPr>
          <w:rFonts w:hAnsi="標楷體"/>
          <w:sz w:val="30"/>
          <w:szCs w:val="30"/>
        </w:rPr>
        <w:t>，使及於與其配偶共犯告訴乃論罪之人。況如夫妻之間為維持家庭和諧，不願對配偶進行追</w:t>
      </w:r>
      <w:r w:rsidRPr="006D2A30">
        <w:rPr>
          <w:rFonts w:hAnsi="標楷體"/>
          <w:spacing w:val="-6"/>
          <w:sz w:val="30"/>
          <w:szCs w:val="30"/>
        </w:rPr>
        <w:t>訴，在無法單獨對相姦人自訴之情形下，若提出告訴，依同法第二百三十九條前段之規定，其效力必及於其配偶，於人倫關係之維護，反有不利之影響。如必於告訴之後</w:t>
      </w:r>
      <w:r w:rsidRPr="006D2A30">
        <w:rPr>
          <w:rFonts w:hAnsi="標楷體"/>
          <w:spacing w:val="-6"/>
          <w:sz w:val="30"/>
          <w:szCs w:val="30"/>
        </w:rPr>
        <w:lastRenderedPageBreak/>
        <w:t>，再對配偶部分撤回告訴（同法第二百三十九條後段），以勉力維持婚姻關係，則亦有虛耗司法資源之虞。是上開解釋相關部分對人民自訴權之限制，並非為維持家庭和諧及人倫關係所必要，與憲法第二十三條規定之意旨不符，應予變更；最高法院二十九年上字</w:t>
      </w:r>
      <w:r w:rsidRPr="002E5009">
        <w:rPr>
          <w:rFonts w:hAnsi="標楷體"/>
          <w:sz w:val="30"/>
          <w:szCs w:val="30"/>
        </w:rPr>
        <w:t>第二三三三號判例前段及二十九年非字第一五</w:t>
      </w:r>
      <w:r w:rsidRPr="006D2A30">
        <w:rPr>
          <w:rFonts w:hAnsi="標楷體"/>
          <w:spacing w:val="-6"/>
          <w:sz w:val="30"/>
          <w:szCs w:val="30"/>
        </w:rPr>
        <w:t>號判例，對人民之自訴權增加法律所無之限制，應不再援用。」有　鈞院釋字第</w:t>
      </w:r>
      <w:r w:rsidRPr="006D2A30">
        <w:rPr>
          <w:spacing w:val="-6"/>
          <w:sz w:val="30"/>
          <w:szCs w:val="30"/>
        </w:rPr>
        <w:t>569</w:t>
      </w:r>
      <w:r w:rsidRPr="006D2A30">
        <w:rPr>
          <w:rFonts w:hAnsi="標楷體"/>
          <w:spacing w:val="-6"/>
          <w:sz w:val="30"/>
          <w:szCs w:val="30"/>
        </w:rPr>
        <w:t>號解釋理由書可考，故對訴訟權行使增加法律所無之限制，因法律並無限制對與配偶通姦之人提起自訴，僅</w:t>
      </w:r>
      <w:r w:rsidRPr="002E5009">
        <w:rPr>
          <w:rFonts w:hAnsi="標楷體"/>
          <w:sz w:val="30"/>
          <w:szCs w:val="30"/>
        </w:rPr>
        <w:t>係法院判解透過刑事訴訟法學說上之告訴不可</w:t>
      </w:r>
      <w:r w:rsidRPr="006D2A30">
        <w:rPr>
          <w:rFonts w:hAnsi="標楷體"/>
          <w:spacing w:val="-6"/>
          <w:sz w:val="30"/>
          <w:szCs w:val="30"/>
        </w:rPr>
        <w:t>分的理論加諸於自訴權利之行使，此種限制即是增加法律所無之限制。</w:t>
      </w:r>
    </w:p>
    <w:p w:rsidR="00514426" w:rsidRPr="007B5D03" w:rsidRDefault="00514426" w:rsidP="002E5009">
      <w:pPr>
        <w:snapToGrid w:val="0"/>
        <w:spacing w:line="437" w:lineRule="exact"/>
        <w:ind w:left="2354" w:hanging="369"/>
        <w:rPr>
          <w:sz w:val="30"/>
          <w:szCs w:val="30"/>
        </w:rPr>
      </w:pPr>
      <w:r w:rsidRPr="007B5D03">
        <w:rPr>
          <w:rFonts w:hAnsi="標楷體" w:hint="eastAsia"/>
          <w:sz w:val="30"/>
          <w:szCs w:val="30"/>
        </w:rPr>
        <w:t>(2)</w:t>
      </w:r>
      <w:r w:rsidRPr="007B5D03">
        <w:rPr>
          <w:rFonts w:hAnsi="標楷體"/>
          <w:sz w:val="30"/>
          <w:szCs w:val="30"/>
        </w:rPr>
        <w:t>次按「憲法第十九條規定，人民有依法律納稅之</w:t>
      </w:r>
      <w:r w:rsidRPr="002E5009">
        <w:rPr>
          <w:rFonts w:hAnsi="標楷體"/>
          <w:spacing w:val="-6"/>
          <w:sz w:val="30"/>
          <w:szCs w:val="30"/>
        </w:rPr>
        <w:t>義務，係指國家課人民以繳納稅捐之義務或給予人民減免稅捐之優惠時，應就租稅主體、租稅客體、稅基、稅率等租稅構成要件，以法律或法律明確授權之命令定之，迭經本院闡釋在案。最高行政法院以上開決議方式表示法律見解者，須遵守一般法律解釋方法，秉持立法意旨暨相關憲法原則為之；逾越法律解釋之範圍，而增減法律所定租稅義務者，自非憲法第十九條規定之租稅法</w:t>
      </w:r>
      <w:r w:rsidRPr="002E5009">
        <w:rPr>
          <w:rFonts w:hAnsi="標楷體"/>
          <w:spacing w:val="-12"/>
          <w:sz w:val="30"/>
          <w:szCs w:val="30"/>
        </w:rPr>
        <w:t>律主義所許。」、「憲法第十九條規定，人民有依</w:t>
      </w:r>
      <w:r w:rsidRPr="002E5009">
        <w:rPr>
          <w:rFonts w:hAnsi="標楷體"/>
          <w:spacing w:val="-6"/>
          <w:sz w:val="30"/>
          <w:szCs w:val="30"/>
        </w:rPr>
        <w:t>法律納稅之義務，係指國家課人民以繳納稅捐之義務或給予人民減免稅捐之優惠時，應就租稅主體、租稅客體、稅基、稅率、納稅方法及納稅期間等租稅構成要</w:t>
      </w:r>
      <w:r w:rsidRPr="002E5009">
        <w:rPr>
          <w:rFonts w:hAnsi="標楷體"/>
          <w:spacing w:val="-6"/>
          <w:sz w:val="30"/>
          <w:szCs w:val="30"/>
        </w:rPr>
        <w:lastRenderedPageBreak/>
        <w:t>件，以法律明文規定。是應以法律明定之租稅構成要件，自不得以命令為不同規定，或逾越法律，增加法律所無之要件或限制，而課人民以法律所未規定之租稅義務，否則即有違租稅法律主義。最高行政法院以決議之方式表示法律見解者，亦須遵守一般法律解釋方法，秉持立法意旨暨相關憲法原則為之；逾越法律解釋之範圍，而增減法律所定租稅義務者，自非憲法第十九條規定之租稅法律主義所許（本院釋字第六二</w:t>
      </w:r>
      <w:r w:rsidRPr="002E5009">
        <w:rPr>
          <w:rFonts w:ascii="標楷體" w:hAnsi="標楷體"/>
          <w:spacing w:val="-6"/>
          <w:sz w:val="30"/>
          <w:szCs w:val="30"/>
        </w:rPr>
        <w:t>０</w:t>
      </w:r>
      <w:r w:rsidRPr="002E5009">
        <w:rPr>
          <w:rFonts w:hAnsi="標楷體"/>
          <w:spacing w:val="-6"/>
          <w:sz w:val="30"/>
          <w:szCs w:val="30"/>
        </w:rPr>
        <w:t>號解釋參照）。」分別為　鈞院釋字第</w:t>
      </w:r>
      <w:r w:rsidRPr="002E5009">
        <w:rPr>
          <w:spacing w:val="-6"/>
          <w:sz w:val="30"/>
          <w:szCs w:val="30"/>
        </w:rPr>
        <w:t>620</w:t>
      </w:r>
      <w:r w:rsidRPr="002E5009">
        <w:rPr>
          <w:rFonts w:hAnsi="標楷體"/>
          <w:spacing w:val="-6"/>
          <w:sz w:val="30"/>
          <w:szCs w:val="30"/>
        </w:rPr>
        <w:t>號及第</w:t>
      </w:r>
      <w:r w:rsidRPr="002E5009">
        <w:rPr>
          <w:spacing w:val="-6"/>
          <w:sz w:val="30"/>
          <w:szCs w:val="30"/>
        </w:rPr>
        <w:t>622</w:t>
      </w:r>
      <w:r w:rsidRPr="002E5009">
        <w:rPr>
          <w:rFonts w:hAnsi="標楷體"/>
          <w:spacing w:val="-6"/>
          <w:sz w:val="30"/>
          <w:szCs w:val="30"/>
        </w:rPr>
        <w:t>號解釋理由書所揭明，故最高行政法院判例或決議在解釋法律時，應遵守一般法律解釋方法，逾越法律之解釋屬增加法律所未規定之要件，自屬違反法律保留原則。</w:t>
      </w:r>
    </w:p>
    <w:p w:rsidR="00514426" w:rsidRPr="007B5D03" w:rsidRDefault="00514426" w:rsidP="00E8266D">
      <w:pPr>
        <w:snapToGrid w:val="0"/>
        <w:spacing w:line="437" w:lineRule="exact"/>
        <w:ind w:left="2354" w:hanging="369"/>
        <w:rPr>
          <w:sz w:val="30"/>
          <w:szCs w:val="30"/>
        </w:rPr>
      </w:pPr>
      <w:r w:rsidRPr="007B5D03">
        <w:rPr>
          <w:rFonts w:hAnsi="標楷體" w:hint="eastAsia"/>
          <w:sz w:val="30"/>
          <w:szCs w:val="30"/>
        </w:rPr>
        <w:t>(3)</w:t>
      </w:r>
      <w:r w:rsidRPr="007B5D03">
        <w:rPr>
          <w:rFonts w:hAnsi="標楷體"/>
          <w:sz w:val="30"/>
          <w:szCs w:val="30"/>
        </w:rPr>
        <w:t>經查</w:t>
      </w:r>
      <w:r w:rsidRPr="007B5D03">
        <w:rPr>
          <w:sz w:val="30"/>
          <w:szCs w:val="30"/>
        </w:rPr>
        <w:t>62</w:t>
      </w:r>
      <w:r w:rsidRPr="007B5D03">
        <w:rPr>
          <w:rFonts w:hAnsi="標楷體"/>
          <w:sz w:val="30"/>
          <w:szCs w:val="30"/>
        </w:rPr>
        <w:t>年判例係解釋舊所得稅法第</w:t>
      </w:r>
      <w:r w:rsidRPr="007B5D03">
        <w:rPr>
          <w:sz w:val="30"/>
          <w:szCs w:val="30"/>
        </w:rPr>
        <w:t>82</w:t>
      </w:r>
      <w:r w:rsidRPr="007B5D03">
        <w:rPr>
          <w:rFonts w:hAnsi="標楷體"/>
          <w:sz w:val="30"/>
          <w:szCs w:val="30"/>
        </w:rPr>
        <w:t>條，目前已由稅捐稽徵法第</w:t>
      </w:r>
      <w:r w:rsidRPr="007B5D03">
        <w:rPr>
          <w:sz w:val="30"/>
          <w:szCs w:val="30"/>
        </w:rPr>
        <w:t>35</w:t>
      </w:r>
      <w:r w:rsidRPr="007B5D03">
        <w:rPr>
          <w:rFonts w:hAnsi="標楷體"/>
          <w:sz w:val="30"/>
          <w:szCs w:val="30"/>
        </w:rPr>
        <w:t>條所取代，經查稅捐稽徵法第</w:t>
      </w:r>
      <w:r w:rsidRPr="007B5D03">
        <w:rPr>
          <w:sz w:val="30"/>
          <w:szCs w:val="30"/>
        </w:rPr>
        <w:t>35</w:t>
      </w:r>
      <w:r w:rsidRPr="007B5D03">
        <w:rPr>
          <w:rFonts w:hAnsi="標楷體"/>
          <w:sz w:val="30"/>
          <w:szCs w:val="30"/>
        </w:rPr>
        <w:t>條不過係復查前置程序之規定，復又規</w:t>
      </w:r>
      <w:r w:rsidRPr="00E8266D">
        <w:rPr>
          <w:rFonts w:hAnsi="標楷體"/>
          <w:spacing w:val="-6"/>
          <w:sz w:val="30"/>
          <w:szCs w:val="30"/>
        </w:rPr>
        <w:t>定復查提起並應載明復查理由，惟自前述課稅處分可分性部分之分析，爭點主義此種將課稅處分拆解的見解在實體法上是有所違誤的，在程序法</w:t>
      </w:r>
      <w:r w:rsidRPr="00E8266D">
        <w:rPr>
          <w:rFonts w:hAnsi="標楷體"/>
          <w:sz w:val="30"/>
          <w:szCs w:val="30"/>
        </w:rPr>
        <w:t>上也難以就文義解釋得到這種限制人民訴訟權</w:t>
      </w:r>
      <w:r w:rsidRPr="00E8266D">
        <w:rPr>
          <w:rFonts w:hAnsi="標楷體"/>
          <w:spacing w:val="-6"/>
          <w:sz w:val="30"/>
          <w:szCs w:val="30"/>
        </w:rPr>
        <w:t>之結論，而且從行政處分可分性而論，是完全不成立的，亦即爭點主義原本立基於各個課稅基礎在事理上、邏輯上可以分割之觀點，仍必</w:t>
      </w:r>
      <w:r w:rsidRPr="00E8266D">
        <w:rPr>
          <w:rFonts w:hAnsi="標楷體" w:hint="eastAsia"/>
          <w:spacing w:val="-6"/>
          <w:sz w:val="30"/>
          <w:szCs w:val="30"/>
        </w:rPr>
        <w:t>須</w:t>
      </w:r>
      <w:r w:rsidRPr="00E8266D">
        <w:rPr>
          <w:rFonts w:hAnsi="標楷體"/>
          <w:spacing w:val="-6"/>
          <w:sz w:val="30"/>
          <w:szCs w:val="30"/>
        </w:rPr>
        <w:t>視該</w:t>
      </w:r>
      <w:r w:rsidRPr="00E8266D">
        <w:rPr>
          <w:rFonts w:hAnsi="標楷體"/>
          <w:sz w:val="30"/>
          <w:szCs w:val="30"/>
        </w:rPr>
        <w:t>國稅法及課稅處分之實務運作方式來決定是否</w:t>
      </w:r>
      <w:r w:rsidRPr="00E8266D">
        <w:rPr>
          <w:rFonts w:hAnsi="標楷體"/>
          <w:spacing w:val="-6"/>
          <w:sz w:val="30"/>
          <w:szCs w:val="30"/>
        </w:rPr>
        <w:t>有成立的可能性。以德國、日本及我國之稅法及課稅實</w:t>
      </w:r>
      <w:r w:rsidRPr="00E8266D">
        <w:rPr>
          <w:rFonts w:hAnsi="標楷體"/>
          <w:spacing w:val="-6"/>
          <w:sz w:val="30"/>
          <w:szCs w:val="30"/>
        </w:rPr>
        <w:lastRenderedPageBreak/>
        <w:t>務，均是以一個課稅處分決定全年的所得與稅額，並不能透過除去該部分處分來繼續維持處分的存在，均已詳如前述。是以稅捐稽徵法第</w:t>
      </w:r>
      <w:r w:rsidRPr="001C161C">
        <w:rPr>
          <w:spacing w:val="6"/>
          <w:sz w:val="30"/>
          <w:szCs w:val="30"/>
        </w:rPr>
        <w:t>35</w:t>
      </w:r>
      <w:r w:rsidRPr="001C161C">
        <w:rPr>
          <w:rFonts w:hAnsi="標楷體"/>
          <w:spacing w:val="6"/>
          <w:sz w:val="30"/>
          <w:szCs w:val="30"/>
        </w:rPr>
        <w:t>條本來就非課稅處分可分性之法律規定依</w:t>
      </w:r>
      <w:r w:rsidRPr="001C161C">
        <w:rPr>
          <w:rFonts w:hAnsi="標楷體"/>
          <w:sz w:val="30"/>
          <w:szCs w:val="30"/>
        </w:rPr>
        <w:t>據，</w:t>
      </w:r>
      <w:r w:rsidRPr="001C161C">
        <w:rPr>
          <w:sz w:val="30"/>
          <w:szCs w:val="30"/>
        </w:rPr>
        <w:t>62</w:t>
      </w:r>
      <w:r w:rsidRPr="001C161C">
        <w:rPr>
          <w:rFonts w:hAnsi="標楷體"/>
          <w:sz w:val="30"/>
          <w:szCs w:val="30"/>
        </w:rPr>
        <w:t>年判例的邏輯毋寧係先認為課稅處分可</w:t>
      </w:r>
      <w:r w:rsidRPr="00E8266D">
        <w:rPr>
          <w:rFonts w:hAnsi="標楷體"/>
          <w:spacing w:val="-6"/>
          <w:sz w:val="30"/>
          <w:szCs w:val="30"/>
        </w:rPr>
        <w:t>分，故未於復查程序中主張部分即不可在訴訟程</w:t>
      </w:r>
      <w:r w:rsidRPr="001C161C">
        <w:rPr>
          <w:rFonts w:hAnsi="標楷體"/>
          <w:sz w:val="30"/>
          <w:szCs w:val="30"/>
        </w:rPr>
        <w:t>序上主張，是以稅捐稽徵法第</w:t>
      </w:r>
      <w:r w:rsidRPr="001C161C">
        <w:rPr>
          <w:sz w:val="30"/>
          <w:szCs w:val="30"/>
        </w:rPr>
        <w:t>35</w:t>
      </w:r>
      <w:r w:rsidRPr="001C161C">
        <w:rPr>
          <w:rFonts w:hAnsi="標楷體"/>
          <w:sz w:val="30"/>
          <w:szCs w:val="30"/>
        </w:rPr>
        <w:t>條第</w:t>
      </w:r>
      <w:r w:rsidRPr="001C161C">
        <w:rPr>
          <w:sz w:val="30"/>
          <w:szCs w:val="30"/>
        </w:rPr>
        <w:t>1</w:t>
      </w:r>
      <w:r w:rsidRPr="001C161C">
        <w:rPr>
          <w:rFonts w:hAnsi="標楷體"/>
          <w:sz w:val="30"/>
          <w:szCs w:val="30"/>
        </w:rPr>
        <w:t>項之規</w:t>
      </w:r>
      <w:r w:rsidRPr="00E8266D">
        <w:rPr>
          <w:rFonts w:hAnsi="標楷體"/>
          <w:spacing w:val="-6"/>
          <w:sz w:val="30"/>
          <w:szCs w:val="30"/>
        </w:rPr>
        <w:t>定與爭點主義之內涵無關，其規定不服課稅處分應提起復查與復查應載明理由之規定，在可能文</w:t>
      </w:r>
      <w:r w:rsidRPr="001C161C">
        <w:rPr>
          <w:rFonts w:hAnsi="標楷體"/>
          <w:sz w:val="30"/>
          <w:szCs w:val="30"/>
        </w:rPr>
        <w:t>義內無法形成復查上所主張之理由與未主張之</w:t>
      </w:r>
      <w:r w:rsidRPr="00E8266D">
        <w:rPr>
          <w:rFonts w:hAnsi="標楷體"/>
          <w:spacing w:val="-6"/>
          <w:sz w:val="30"/>
          <w:szCs w:val="30"/>
        </w:rPr>
        <w:t>理由構成可以拆分的課稅處分，在法律未對未於</w:t>
      </w:r>
      <w:r w:rsidRPr="001C161C">
        <w:rPr>
          <w:rFonts w:hAnsi="標楷體"/>
          <w:sz w:val="30"/>
          <w:szCs w:val="30"/>
        </w:rPr>
        <w:t>復查程序所提理由不准於後續救濟程序中主張予以明文規定時，</w:t>
      </w:r>
      <w:r w:rsidRPr="001C161C">
        <w:rPr>
          <w:sz w:val="30"/>
          <w:szCs w:val="30"/>
        </w:rPr>
        <w:t>62</w:t>
      </w:r>
      <w:r w:rsidRPr="001C161C">
        <w:rPr>
          <w:rFonts w:hAnsi="標楷體"/>
          <w:sz w:val="30"/>
          <w:szCs w:val="30"/>
        </w:rPr>
        <w:t>年判例增加法律所無之訴訟權限制，並有違反所得稅法第</w:t>
      </w:r>
      <w:r w:rsidRPr="001C161C">
        <w:rPr>
          <w:sz w:val="30"/>
          <w:szCs w:val="30"/>
        </w:rPr>
        <w:t>24</w:t>
      </w:r>
      <w:r w:rsidRPr="001C161C">
        <w:rPr>
          <w:rFonts w:hAnsi="標楷體"/>
          <w:sz w:val="30"/>
          <w:szCs w:val="30"/>
        </w:rPr>
        <w:t>條之規定亦無</w:t>
      </w:r>
      <w:r w:rsidRPr="001C161C">
        <w:rPr>
          <w:sz w:val="30"/>
          <w:szCs w:val="30"/>
        </w:rPr>
        <w:t>62</w:t>
      </w:r>
      <w:r w:rsidRPr="001C161C">
        <w:rPr>
          <w:rFonts w:hAnsi="標楷體"/>
          <w:sz w:val="30"/>
          <w:szCs w:val="30"/>
        </w:rPr>
        <w:t>年判例為解釋稅捐稽徵法第</w:t>
      </w:r>
      <w:r w:rsidRPr="001C161C">
        <w:rPr>
          <w:sz w:val="30"/>
          <w:szCs w:val="30"/>
        </w:rPr>
        <w:t>35</w:t>
      </w:r>
      <w:r w:rsidRPr="001C161C">
        <w:rPr>
          <w:rFonts w:hAnsi="標楷體"/>
          <w:sz w:val="30"/>
          <w:szCs w:val="30"/>
        </w:rPr>
        <w:t>條而可限制</w:t>
      </w:r>
      <w:r w:rsidRPr="00E8266D">
        <w:rPr>
          <w:rFonts w:hAnsi="標楷體"/>
          <w:spacing w:val="-6"/>
          <w:sz w:val="30"/>
          <w:szCs w:val="30"/>
        </w:rPr>
        <w:t>人民訴訟權之情。</w:t>
      </w:r>
    </w:p>
    <w:p w:rsidR="00514426" w:rsidRPr="007B5D03" w:rsidRDefault="00514426" w:rsidP="001C161C">
      <w:pPr>
        <w:snapToGrid w:val="0"/>
        <w:spacing w:line="437" w:lineRule="exact"/>
        <w:ind w:left="2354" w:hanging="369"/>
        <w:rPr>
          <w:sz w:val="30"/>
          <w:szCs w:val="30"/>
        </w:rPr>
      </w:pPr>
      <w:r w:rsidRPr="007B5D03">
        <w:rPr>
          <w:rFonts w:hAnsi="標楷體" w:hint="eastAsia"/>
          <w:sz w:val="30"/>
          <w:szCs w:val="30"/>
        </w:rPr>
        <w:t>(4)</w:t>
      </w:r>
      <w:r w:rsidRPr="007B5D03">
        <w:rPr>
          <w:rFonts w:hAnsi="標楷體"/>
          <w:sz w:val="30"/>
          <w:szCs w:val="30"/>
        </w:rPr>
        <w:t>查本件聲請人確實因為最高行政法院適用爭點</w:t>
      </w:r>
      <w:r w:rsidRPr="001C161C">
        <w:rPr>
          <w:rFonts w:hAnsi="標楷體"/>
          <w:spacing w:val="-6"/>
          <w:sz w:val="30"/>
          <w:szCs w:val="30"/>
        </w:rPr>
        <w:t>主義之結果，導致最高行政法院確定判決就權證</w:t>
      </w:r>
      <w:r w:rsidRPr="007B5D03">
        <w:rPr>
          <w:rFonts w:hAnsi="標楷體"/>
          <w:sz w:val="30"/>
          <w:szCs w:val="30"/>
        </w:rPr>
        <w:t>避險損失部分，未明文適用財政部</w:t>
      </w:r>
      <w:r w:rsidRPr="007B5D03">
        <w:rPr>
          <w:sz w:val="30"/>
          <w:szCs w:val="30"/>
        </w:rPr>
        <w:t>86</w:t>
      </w:r>
      <w:r w:rsidRPr="007B5D03">
        <w:rPr>
          <w:rFonts w:hAnsi="標楷體"/>
          <w:sz w:val="30"/>
          <w:szCs w:val="30"/>
        </w:rPr>
        <w:t>年函釋，亦致使　鈞院會台字第</w:t>
      </w:r>
      <w:r w:rsidRPr="007B5D03">
        <w:rPr>
          <w:sz w:val="30"/>
          <w:szCs w:val="30"/>
        </w:rPr>
        <w:t>9236</w:t>
      </w:r>
      <w:r w:rsidRPr="007B5D03">
        <w:rPr>
          <w:rFonts w:hAnsi="標楷體"/>
          <w:sz w:val="30"/>
          <w:szCs w:val="30"/>
        </w:rPr>
        <w:t>號不受理案執確定終局判決並未適用財政部</w:t>
      </w:r>
      <w:r w:rsidRPr="007B5D03">
        <w:rPr>
          <w:rFonts w:hAnsi="標楷體" w:hint="eastAsia"/>
          <w:sz w:val="30"/>
          <w:szCs w:val="30"/>
        </w:rPr>
        <w:t>86</w:t>
      </w:r>
      <w:r w:rsidRPr="007B5D03">
        <w:rPr>
          <w:rFonts w:hAnsi="標楷體"/>
          <w:sz w:val="30"/>
          <w:szCs w:val="30"/>
        </w:rPr>
        <w:t>年函釋及所得稅法第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，上開法規自非得以之為聲請解釋之</w:t>
      </w:r>
      <w:r w:rsidRPr="001C161C">
        <w:rPr>
          <w:rFonts w:hAnsi="標楷體"/>
          <w:spacing w:val="-6"/>
          <w:sz w:val="30"/>
          <w:szCs w:val="30"/>
        </w:rPr>
        <w:t>客體，據以不受理聲請人前次就最高行政法院確定判決提起之釋憲聲請案。該等誤會雖已在前述</w:t>
      </w:r>
      <w:r w:rsidRPr="007B5D03">
        <w:rPr>
          <w:rFonts w:hAnsi="標楷體"/>
          <w:sz w:val="30"/>
          <w:szCs w:val="30"/>
        </w:rPr>
        <w:t>財政部</w:t>
      </w:r>
      <w:r w:rsidRPr="007B5D03">
        <w:rPr>
          <w:sz w:val="30"/>
          <w:szCs w:val="30"/>
        </w:rPr>
        <w:t>86</w:t>
      </w:r>
      <w:r w:rsidRPr="007B5D03">
        <w:rPr>
          <w:rFonts w:hAnsi="標楷體"/>
          <w:sz w:val="30"/>
          <w:szCs w:val="30"/>
        </w:rPr>
        <w:t>年函釋之釋憲程序部分予以澄清，但此一適用爭點主義造成聲請人之訴訟權遭受損</w:t>
      </w:r>
      <w:r w:rsidRPr="008F6D3A">
        <w:rPr>
          <w:rFonts w:hAnsi="標楷體"/>
          <w:spacing w:val="-6"/>
          <w:sz w:val="30"/>
          <w:szCs w:val="30"/>
        </w:rPr>
        <w:lastRenderedPageBreak/>
        <w:t>害，特別是聲請釋憲權利遭受損害乙事，影響至鉅。蓋聲請人前已有二年度營利事業所得稅之權證避險損失部分，遭最高行政法院判決確定，並</w:t>
      </w:r>
      <w:r w:rsidRPr="008F6D3A">
        <w:rPr>
          <w:rFonts w:hAnsi="標楷體"/>
          <w:sz w:val="30"/>
          <w:szCs w:val="30"/>
        </w:rPr>
        <w:t>依法向　鈞院聲請釋憲在案，如本件</w:t>
      </w:r>
      <w:r w:rsidRPr="008F6D3A">
        <w:rPr>
          <w:sz w:val="30"/>
          <w:szCs w:val="30"/>
        </w:rPr>
        <w:t>91</w:t>
      </w:r>
      <w:r w:rsidRPr="008F6D3A">
        <w:rPr>
          <w:rFonts w:hAnsi="標楷體"/>
          <w:sz w:val="30"/>
          <w:szCs w:val="30"/>
        </w:rPr>
        <w:t>年度營利事業所得稅案件，就同屬財政部</w:t>
      </w:r>
      <w:r w:rsidRPr="008F6D3A">
        <w:rPr>
          <w:sz w:val="30"/>
          <w:szCs w:val="30"/>
        </w:rPr>
        <w:t>86</w:t>
      </w:r>
      <w:r w:rsidRPr="008F6D3A">
        <w:rPr>
          <w:rFonts w:hAnsi="標楷體"/>
          <w:sz w:val="30"/>
          <w:szCs w:val="30"/>
        </w:rPr>
        <w:t>年函釋不准避險損失自應稅權利金收入中減除之違憲法</w:t>
      </w:r>
      <w:r w:rsidRPr="008F6D3A">
        <w:rPr>
          <w:rFonts w:hAnsi="標楷體"/>
          <w:spacing w:val="-6"/>
          <w:sz w:val="30"/>
          <w:szCs w:val="30"/>
        </w:rPr>
        <w:t>令適用狀態，因最高行政法院確定判決適用爭點主義之結果，導致聲請人前次遭受　鈞院不受理</w:t>
      </w:r>
      <w:r w:rsidRPr="008F6D3A">
        <w:rPr>
          <w:rFonts w:hAnsi="標楷體"/>
          <w:sz w:val="30"/>
          <w:szCs w:val="30"/>
        </w:rPr>
        <w:t>乙節，可能使聲請人</w:t>
      </w:r>
      <w:r w:rsidRPr="008F6D3A">
        <w:rPr>
          <w:sz w:val="30"/>
          <w:szCs w:val="30"/>
        </w:rPr>
        <w:t>91</w:t>
      </w:r>
      <w:r w:rsidRPr="008F6D3A">
        <w:rPr>
          <w:rFonts w:hAnsi="標楷體"/>
          <w:sz w:val="30"/>
          <w:szCs w:val="30"/>
        </w:rPr>
        <w:t>年度營利事業所得稅案件未及成為財政部</w:t>
      </w:r>
      <w:r w:rsidRPr="008F6D3A">
        <w:rPr>
          <w:sz w:val="30"/>
          <w:szCs w:val="30"/>
        </w:rPr>
        <w:t>86</w:t>
      </w:r>
      <w:r w:rsidRPr="008F6D3A">
        <w:rPr>
          <w:rFonts w:hAnsi="標楷體"/>
          <w:sz w:val="30"/>
          <w:szCs w:val="30"/>
        </w:rPr>
        <w:t>年函釋之原因案件，可能</w:t>
      </w:r>
      <w:r w:rsidRPr="008F6D3A">
        <w:rPr>
          <w:rFonts w:hAnsi="標楷體"/>
          <w:spacing w:val="-6"/>
          <w:sz w:val="30"/>
          <w:szCs w:val="30"/>
        </w:rPr>
        <w:t>無法受到有利釋憲效力所及，聲請人受權利侵害之情自不待言。</w:t>
      </w:r>
    </w:p>
    <w:p w:rsidR="00514426" w:rsidRPr="007B5D03" w:rsidRDefault="00514426" w:rsidP="008F6D3A">
      <w:pPr>
        <w:snapToGrid w:val="0"/>
        <w:spacing w:line="437" w:lineRule="exact"/>
        <w:ind w:left="2354" w:hanging="369"/>
        <w:rPr>
          <w:sz w:val="30"/>
          <w:szCs w:val="30"/>
        </w:rPr>
      </w:pPr>
      <w:r w:rsidRPr="007B5D03">
        <w:rPr>
          <w:rFonts w:hAnsi="標楷體" w:hint="eastAsia"/>
          <w:sz w:val="30"/>
          <w:szCs w:val="30"/>
        </w:rPr>
        <w:t>(5)</w:t>
      </w:r>
      <w:r w:rsidRPr="008F6D3A">
        <w:rPr>
          <w:rFonts w:hAnsi="標楷體"/>
          <w:spacing w:val="-6"/>
          <w:sz w:val="30"/>
          <w:szCs w:val="30"/>
        </w:rPr>
        <w:t>又查，爭點主義固然在日本法上有學說支持，惟其畢竟非日本通說實務所採，相較於釋字第</w:t>
      </w:r>
      <w:r w:rsidRPr="008F6D3A">
        <w:rPr>
          <w:spacing w:val="-6"/>
          <w:sz w:val="30"/>
          <w:szCs w:val="30"/>
        </w:rPr>
        <w:t>569</w:t>
      </w:r>
      <w:r w:rsidRPr="008F6D3A">
        <w:rPr>
          <w:rFonts w:hAnsi="標楷體"/>
          <w:sz w:val="30"/>
          <w:szCs w:val="30"/>
        </w:rPr>
        <w:t>號解釋針對告訴不可分之刑事訴訟法重要理論</w:t>
      </w:r>
      <w:r w:rsidRPr="008F6D3A">
        <w:rPr>
          <w:rFonts w:hAnsi="標楷體"/>
          <w:spacing w:val="-6"/>
          <w:sz w:val="30"/>
          <w:szCs w:val="30"/>
        </w:rPr>
        <w:t>而言已相形見絀，既然告訴不可分理論亦無法支持法律未明文規定之自訴權限制時，爭點主義如何用來支持法律所無之訴訟權限制，特別是該理</w:t>
      </w:r>
      <w:r w:rsidRPr="008F6D3A">
        <w:rPr>
          <w:rFonts w:hAnsi="標楷體"/>
          <w:sz w:val="30"/>
          <w:szCs w:val="30"/>
        </w:rPr>
        <w:t>論尚有違反所得稅法第</w:t>
      </w:r>
      <w:r w:rsidRPr="008F6D3A">
        <w:rPr>
          <w:sz w:val="30"/>
          <w:szCs w:val="30"/>
        </w:rPr>
        <w:t>24</w:t>
      </w:r>
      <w:r w:rsidRPr="008F6D3A">
        <w:rPr>
          <w:rFonts w:hAnsi="標楷體"/>
          <w:sz w:val="30"/>
          <w:szCs w:val="30"/>
        </w:rPr>
        <w:t>條及行政程序法第</w:t>
      </w:r>
      <w:r w:rsidRPr="008F6D3A">
        <w:rPr>
          <w:sz w:val="30"/>
          <w:szCs w:val="30"/>
        </w:rPr>
        <w:t>112</w:t>
      </w:r>
      <w:r w:rsidRPr="008F6D3A">
        <w:rPr>
          <w:rFonts w:hAnsi="標楷體"/>
          <w:sz w:val="30"/>
          <w:szCs w:val="30"/>
        </w:rPr>
        <w:t>條意旨之疑慮，是</w:t>
      </w:r>
      <w:r w:rsidRPr="008F6D3A">
        <w:rPr>
          <w:sz w:val="30"/>
          <w:szCs w:val="30"/>
        </w:rPr>
        <w:t>62</w:t>
      </w:r>
      <w:r w:rsidRPr="008F6D3A">
        <w:rPr>
          <w:rFonts w:hAnsi="標楷體"/>
          <w:sz w:val="30"/>
          <w:szCs w:val="30"/>
        </w:rPr>
        <w:t>年判例違反法律保留</w:t>
      </w:r>
      <w:r w:rsidRPr="008F6D3A">
        <w:rPr>
          <w:rFonts w:hAnsi="標楷體"/>
          <w:spacing w:val="-6"/>
          <w:sz w:val="30"/>
          <w:szCs w:val="30"/>
        </w:rPr>
        <w:t>原則乙節至灼。</w:t>
      </w:r>
    </w:p>
    <w:p w:rsidR="00514426" w:rsidRPr="007B5D03" w:rsidRDefault="00514426" w:rsidP="00FB2D5A">
      <w:pPr>
        <w:snapToGrid w:val="0"/>
        <w:spacing w:line="437" w:lineRule="exact"/>
        <w:ind w:left="2030" w:hanging="340"/>
        <w:rPr>
          <w:sz w:val="30"/>
          <w:szCs w:val="30"/>
        </w:rPr>
      </w:pPr>
      <w:r w:rsidRPr="007B5D03">
        <w:rPr>
          <w:rFonts w:ascii="標楷體" w:hAnsi="標楷體"/>
          <w:sz w:val="30"/>
          <w:szCs w:val="30"/>
        </w:rPr>
        <w:t>3.爭</w:t>
      </w:r>
      <w:r w:rsidRPr="007B5D03">
        <w:rPr>
          <w:rFonts w:hAnsi="標楷體"/>
          <w:sz w:val="30"/>
          <w:szCs w:val="30"/>
        </w:rPr>
        <w:t>點主義並不符合行政訴訟法理論，自無訴訟權限制之正當性，並有違比例原則</w:t>
      </w:r>
    </w:p>
    <w:p w:rsidR="00514426" w:rsidRPr="007B5D03" w:rsidRDefault="00514426" w:rsidP="00FB2D5A">
      <w:pPr>
        <w:snapToGrid w:val="0"/>
        <w:spacing w:line="437" w:lineRule="exact"/>
        <w:ind w:left="2382" w:hanging="397"/>
        <w:rPr>
          <w:sz w:val="30"/>
          <w:szCs w:val="30"/>
        </w:rPr>
      </w:pPr>
      <w:r w:rsidRPr="007B5D03">
        <w:rPr>
          <w:rFonts w:hAnsi="標楷體" w:hint="eastAsia"/>
          <w:sz w:val="30"/>
          <w:szCs w:val="30"/>
        </w:rPr>
        <w:t>(1)</w:t>
      </w:r>
      <w:r w:rsidRPr="007B5D03">
        <w:rPr>
          <w:rFonts w:hAnsi="標楷體"/>
          <w:sz w:val="30"/>
          <w:szCs w:val="30"/>
        </w:rPr>
        <w:t>必要性原則之檢驗</w:t>
      </w:r>
    </w:p>
    <w:p w:rsidR="00514426" w:rsidRDefault="00514426" w:rsidP="009B13DC">
      <w:pPr>
        <w:snapToGrid w:val="0"/>
        <w:spacing w:line="437" w:lineRule="exact"/>
        <w:ind w:left="2637" w:hanging="482"/>
        <w:rPr>
          <w:rFonts w:hAnsi="標楷體" w:hint="eastAsia"/>
          <w:sz w:val="30"/>
          <w:szCs w:val="30"/>
        </w:rPr>
      </w:pPr>
      <w:r w:rsidRPr="007B5D03">
        <w:rPr>
          <w:sz w:val="30"/>
          <w:szCs w:val="30"/>
        </w:rPr>
        <w:t>A</w:t>
      </w:r>
      <w:r w:rsidRPr="007B5D03">
        <w:rPr>
          <w:rFonts w:hAnsi="標楷體" w:hint="eastAsia"/>
          <w:sz w:val="30"/>
          <w:szCs w:val="30"/>
        </w:rPr>
        <w:t>、</w:t>
      </w:r>
      <w:r w:rsidRPr="007B5D03">
        <w:rPr>
          <w:rFonts w:hAnsi="標楷體"/>
          <w:sz w:val="30"/>
          <w:szCs w:val="30"/>
        </w:rPr>
        <w:t>相同有效性檢驗</w:t>
      </w:r>
    </w:p>
    <w:p w:rsidR="00514426" w:rsidRPr="007B5D03" w:rsidRDefault="00514426" w:rsidP="008F6D3A">
      <w:pPr>
        <w:snapToGrid w:val="0"/>
        <w:spacing w:line="437" w:lineRule="exact"/>
        <w:ind w:left="3034" w:hanging="482"/>
        <w:rPr>
          <w:sz w:val="30"/>
          <w:szCs w:val="30"/>
        </w:rPr>
      </w:pPr>
      <w:r w:rsidRPr="007B5D03">
        <w:rPr>
          <w:rFonts w:hAnsi="標楷體" w:hint="eastAsia"/>
          <w:sz w:val="30"/>
          <w:szCs w:val="30"/>
        </w:rPr>
        <w:t>(</w:t>
      </w:r>
      <w:r w:rsidRPr="007B5D03">
        <w:rPr>
          <w:sz w:val="30"/>
          <w:szCs w:val="30"/>
        </w:rPr>
        <w:t>A)</w:t>
      </w:r>
      <w:r w:rsidRPr="007B5D03">
        <w:rPr>
          <w:rFonts w:hAnsi="標楷體"/>
          <w:sz w:val="30"/>
          <w:szCs w:val="30"/>
        </w:rPr>
        <w:t>爭點主義與總額主義所處理者係訴訟審理</w:t>
      </w:r>
      <w:r w:rsidRPr="007B5D03">
        <w:rPr>
          <w:rFonts w:hAnsi="標楷體"/>
          <w:sz w:val="30"/>
          <w:szCs w:val="30"/>
        </w:rPr>
        <w:lastRenderedPageBreak/>
        <w:t>範圍及所連帶影響處分理由追補、訴訟上擴張與追加及既判力客觀範圍之判斷，既然在德國法及日本法通說實務均採取總額主義，對於以上相關問題與爭點主義之處理差異可知，其實總額主義亦有一套足以保障人民權益與法院審判之公益維護，如前所述，日本採取爭點主義學者主要亦是基於課稅處分附記理由的程序保障，然而此種程序保障本來就可以透過兩造充分辯論的方式或是認為行政機關違反正確說理義務可能構成賠償或補償責任（此即為德國法制上採取理由追補否定說論者，係以行政處分實體上的違法性作為論據，其討論的層次在於行政處分是否違法而構成賠償或補償人民提起訴訟之損害，而非限縮審理範圍，徒使爭訟程序再次進行）來處理，況且在我國爭點主義操作之模式並非著眼於納稅義務人的權利保障，而適用來限制人民訴訟上之主張，限縮訴訟標的範圍，是難認爭點主義真有總額主義所無從顧及之公共利益或當事人的權利保障。</w:t>
      </w:r>
    </w:p>
    <w:p w:rsidR="00514426" w:rsidRPr="007B5D03" w:rsidRDefault="00514426" w:rsidP="008F6D3A">
      <w:pPr>
        <w:snapToGrid w:val="0"/>
        <w:spacing w:line="437" w:lineRule="exact"/>
        <w:ind w:left="3034" w:hanging="482"/>
        <w:rPr>
          <w:sz w:val="30"/>
          <w:szCs w:val="30"/>
        </w:rPr>
      </w:pPr>
      <w:r w:rsidRPr="007B5D03">
        <w:rPr>
          <w:rFonts w:hAnsi="標楷體" w:hint="eastAsia"/>
          <w:sz w:val="30"/>
          <w:szCs w:val="30"/>
        </w:rPr>
        <w:t>(</w:t>
      </w:r>
      <w:r w:rsidRPr="007B5D03">
        <w:rPr>
          <w:sz w:val="30"/>
          <w:szCs w:val="30"/>
        </w:rPr>
        <w:t>B</w:t>
      </w:r>
      <w:r w:rsidRPr="007B5D03">
        <w:rPr>
          <w:rFonts w:hAnsi="標楷體" w:hint="eastAsia"/>
          <w:sz w:val="30"/>
          <w:szCs w:val="30"/>
        </w:rPr>
        <w:t>)</w:t>
      </w:r>
      <w:r w:rsidRPr="007B5D03">
        <w:rPr>
          <w:rFonts w:hAnsi="標楷體"/>
          <w:sz w:val="30"/>
          <w:szCs w:val="30"/>
        </w:rPr>
        <w:t>或有論者會以稽徵機關或行政法院之審查方便性或迅速審理作為支持爭點主義之理由，亦有學者指出爭點主義比較能顧及促進訴訟之要求，採取總額主義比較能顧及發現真實的要求，在採取二級二審之行政</w:t>
      </w:r>
      <w:r w:rsidRPr="007B5D03">
        <w:rPr>
          <w:rFonts w:hAnsi="標楷體"/>
          <w:sz w:val="30"/>
          <w:szCs w:val="30"/>
        </w:rPr>
        <w:lastRenderedPageBreak/>
        <w:t>法院制度建立後，更無違背促進訴訟與迅</w:t>
      </w:r>
      <w:r w:rsidRPr="008F6D3A">
        <w:rPr>
          <w:rFonts w:hAnsi="標楷體"/>
          <w:spacing w:val="6"/>
          <w:sz w:val="30"/>
          <w:szCs w:val="30"/>
        </w:rPr>
        <w:t>速裁判之要求，故應以追求實體正義為</w:t>
      </w:r>
      <w:r w:rsidRPr="007B5D03">
        <w:rPr>
          <w:rFonts w:hAnsi="標楷體"/>
          <w:sz w:val="30"/>
          <w:szCs w:val="30"/>
        </w:rPr>
        <w:t>妥。（附件</w:t>
      </w:r>
      <w:r w:rsidRPr="007B5D03">
        <w:rPr>
          <w:sz w:val="30"/>
          <w:szCs w:val="30"/>
        </w:rPr>
        <w:t>44</w:t>
      </w:r>
      <w:r w:rsidRPr="007B5D03">
        <w:rPr>
          <w:rFonts w:hAnsi="標楷體"/>
          <w:sz w:val="30"/>
          <w:szCs w:val="30"/>
        </w:rPr>
        <w:t>，陳清秀，稅務訴訟之訴訟標的，第</w:t>
      </w:r>
      <w:r w:rsidRPr="007B5D03">
        <w:rPr>
          <w:sz w:val="30"/>
          <w:szCs w:val="30"/>
        </w:rPr>
        <w:t>480</w:t>
      </w:r>
      <w:r w:rsidRPr="007B5D03">
        <w:rPr>
          <w:rFonts w:hAnsi="標楷體"/>
          <w:sz w:val="30"/>
          <w:szCs w:val="30"/>
        </w:rPr>
        <w:t>、</w:t>
      </w:r>
      <w:r w:rsidRPr="007B5D03">
        <w:rPr>
          <w:sz w:val="30"/>
          <w:szCs w:val="30"/>
        </w:rPr>
        <w:t>481</w:t>
      </w:r>
      <w:r w:rsidRPr="007B5D03">
        <w:rPr>
          <w:rFonts w:hAnsi="標楷體"/>
          <w:sz w:val="30"/>
          <w:szCs w:val="30"/>
        </w:rPr>
        <w:t>頁）</w:t>
      </w:r>
    </w:p>
    <w:p w:rsidR="00514426" w:rsidRPr="007B5D03" w:rsidRDefault="00514426" w:rsidP="008F6D3A">
      <w:pPr>
        <w:snapToGrid w:val="0"/>
        <w:spacing w:line="437" w:lineRule="exact"/>
        <w:ind w:left="3034" w:hanging="482"/>
        <w:rPr>
          <w:sz w:val="30"/>
          <w:szCs w:val="30"/>
        </w:rPr>
      </w:pPr>
      <w:r w:rsidRPr="007B5D03">
        <w:rPr>
          <w:rFonts w:hAnsi="標楷體" w:hint="eastAsia"/>
          <w:sz w:val="30"/>
          <w:szCs w:val="30"/>
        </w:rPr>
        <w:t>(</w:t>
      </w:r>
      <w:r w:rsidRPr="007B5D03">
        <w:rPr>
          <w:sz w:val="30"/>
          <w:szCs w:val="30"/>
        </w:rPr>
        <w:t>C</w:t>
      </w:r>
      <w:r w:rsidRPr="007B5D03">
        <w:rPr>
          <w:rFonts w:hAnsi="標楷體" w:hint="eastAsia"/>
          <w:sz w:val="30"/>
          <w:szCs w:val="30"/>
        </w:rPr>
        <w:t>)</w:t>
      </w:r>
      <w:r w:rsidRPr="007B5D03">
        <w:rPr>
          <w:rFonts w:hAnsi="標楷體"/>
          <w:sz w:val="30"/>
          <w:szCs w:val="30"/>
        </w:rPr>
        <w:t>依稅捐稽徵法第</w:t>
      </w:r>
      <w:r w:rsidRPr="007B5D03">
        <w:rPr>
          <w:sz w:val="30"/>
          <w:szCs w:val="30"/>
        </w:rPr>
        <w:t>21</w:t>
      </w:r>
      <w:r w:rsidRPr="007B5D03">
        <w:rPr>
          <w:rFonts w:hAnsi="標楷體"/>
          <w:sz w:val="30"/>
          <w:szCs w:val="30"/>
        </w:rPr>
        <w:t>條第</w:t>
      </w:r>
      <w:r w:rsidRPr="007B5D03">
        <w:rPr>
          <w:sz w:val="30"/>
          <w:szCs w:val="30"/>
        </w:rPr>
        <w:t>3</w:t>
      </w:r>
      <w:r w:rsidRPr="007B5D03">
        <w:rPr>
          <w:rFonts w:hAnsi="標楷體"/>
          <w:sz w:val="30"/>
          <w:szCs w:val="30"/>
        </w:rPr>
        <w:t>項之規定：「在</w:t>
      </w:r>
      <w:r w:rsidRPr="00A02AE8">
        <w:rPr>
          <w:rFonts w:hAnsi="標楷體"/>
          <w:spacing w:val="6"/>
          <w:sz w:val="30"/>
          <w:szCs w:val="30"/>
        </w:rPr>
        <w:t>前項核課期間內，經另發現應徵之稅捐</w:t>
      </w:r>
      <w:r w:rsidRPr="007B5D03">
        <w:rPr>
          <w:rFonts w:hAnsi="標楷體"/>
          <w:sz w:val="30"/>
          <w:szCs w:val="30"/>
        </w:rPr>
        <w:t>者，仍應依法補徵或並予處罰；在核課期</w:t>
      </w:r>
      <w:r w:rsidRPr="00A02AE8">
        <w:rPr>
          <w:rFonts w:hAnsi="標楷體"/>
          <w:spacing w:val="-6"/>
          <w:sz w:val="30"/>
          <w:szCs w:val="30"/>
        </w:rPr>
        <w:t>間內未經發現者，以後不得再補稅處罰。」</w:t>
      </w:r>
      <w:r w:rsidRPr="00A02AE8">
        <w:rPr>
          <w:rFonts w:hAnsi="標楷體"/>
          <w:spacing w:val="6"/>
          <w:sz w:val="30"/>
          <w:szCs w:val="30"/>
        </w:rPr>
        <w:t>是稽徵機關得在核課期間內追徵其他稅</w:t>
      </w:r>
      <w:r w:rsidRPr="007B5D03">
        <w:rPr>
          <w:rFonts w:hAnsi="標楷體"/>
          <w:sz w:val="30"/>
          <w:szCs w:val="30"/>
        </w:rPr>
        <w:t>捐，在實務上得無限制核發核定通知書之情況下，現行實務運作之結果使稅捐稽徵</w:t>
      </w:r>
      <w:r w:rsidRPr="00A02AE8">
        <w:rPr>
          <w:rFonts w:hAnsi="標楷體"/>
          <w:spacing w:val="6"/>
          <w:sz w:val="30"/>
          <w:szCs w:val="30"/>
        </w:rPr>
        <w:t>法第</w:t>
      </w:r>
      <w:r w:rsidRPr="00A02AE8">
        <w:rPr>
          <w:spacing w:val="6"/>
          <w:sz w:val="30"/>
          <w:szCs w:val="30"/>
        </w:rPr>
        <w:t>21</w:t>
      </w:r>
      <w:r w:rsidRPr="00A02AE8">
        <w:rPr>
          <w:rFonts w:hAnsi="標楷體"/>
          <w:spacing w:val="6"/>
          <w:sz w:val="30"/>
          <w:szCs w:val="30"/>
        </w:rPr>
        <w:t>條構成行政處分及判決確定後仍</w:t>
      </w:r>
      <w:r w:rsidRPr="007B5D03">
        <w:rPr>
          <w:rFonts w:hAnsi="標楷體"/>
          <w:sz w:val="30"/>
          <w:szCs w:val="30"/>
        </w:rPr>
        <w:t>可變更處分之例外，並無須特別以信賴保護來限制其變更確定課稅處分之要件，縱採總額主義，如法院在審判程序上並未加以審理，亦不屬既判力之客觀範圍，仍無造成稽徵機關之不便。另從人民權益保護之角度，採取爭點主義是否可導出納稅義務人指摘之原處分理由之不當，並可限制稽徵機關不得以其他理由（課稅基礎）來課徵稅額呢？答案應該是否定的。如此而論，現行實務採取的爭點主義是屬於不利納稅義務人一方之見解，如果說真有什麼效果，那就是限制人民不得在原處分未調整或復查程序中未主張部分，再於行政訴訟程序上主張。</w:t>
      </w:r>
    </w:p>
    <w:p w:rsidR="00514426" w:rsidRPr="007B5D03" w:rsidRDefault="00514426" w:rsidP="00A02AE8">
      <w:pPr>
        <w:snapToGrid w:val="0"/>
        <w:spacing w:line="437" w:lineRule="exact"/>
        <w:ind w:left="3034" w:hanging="482"/>
        <w:rPr>
          <w:sz w:val="30"/>
          <w:szCs w:val="30"/>
        </w:rPr>
      </w:pPr>
      <w:r w:rsidRPr="007B5D03">
        <w:rPr>
          <w:rFonts w:hAnsi="標楷體" w:hint="eastAsia"/>
          <w:sz w:val="30"/>
          <w:szCs w:val="30"/>
        </w:rPr>
        <w:t>(</w:t>
      </w:r>
      <w:r w:rsidRPr="007B5D03">
        <w:rPr>
          <w:sz w:val="30"/>
          <w:szCs w:val="30"/>
        </w:rPr>
        <w:t>D</w:t>
      </w:r>
      <w:r w:rsidRPr="007B5D03">
        <w:rPr>
          <w:rFonts w:hAnsi="標楷體" w:hint="eastAsia"/>
          <w:sz w:val="30"/>
          <w:szCs w:val="30"/>
        </w:rPr>
        <w:t>)</w:t>
      </w:r>
      <w:r w:rsidRPr="007B5D03">
        <w:rPr>
          <w:rFonts w:hAnsi="標楷體"/>
          <w:sz w:val="30"/>
          <w:szCs w:val="30"/>
        </w:rPr>
        <w:t>爭點主義最大的錯誤是誤解稅捐行政處分</w:t>
      </w:r>
      <w:r w:rsidRPr="007B5D03">
        <w:rPr>
          <w:rFonts w:hAnsi="標楷體"/>
          <w:sz w:val="30"/>
          <w:szCs w:val="30"/>
        </w:rPr>
        <w:lastRenderedPageBreak/>
        <w:t>的可分性，將每個課稅基礎都當成是可分者，此一誤解可能是基於以金錢為內容之行政處分原則上可分而來，惟以金錢為內</w:t>
      </w:r>
      <w:r w:rsidRPr="00A02AE8">
        <w:rPr>
          <w:rFonts w:hAnsi="標楷體"/>
          <w:spacing w:val="6"/>
          <w:sz w:val="30"/>
          <w:szCs w:val="30"/>
        </w:rPr>
        <w:t>容之行政處分其規制的主文即為金錢本</w:t>
      </w:r>
      <w:r w:rsidRPr="007B5D03">
        <w:rPr>
          <w:rFonts w:hAnsi="標楷體"/>
          <w:sz w:val="30"/>
          <w:szCs w:val="30"/>
        </w:rPr>
        <w:t>身，金錢在性質上既無不可分之理，當然除去其中一部</w:t>
      </w:r>
      <w:r w:rsidRPr="007B5D03">
        <w:rPr>
          <w:rFonts w:hAnsi="標楷體" w:hint="eastAsia"/>
          <w:sz w:val="30"/>
          <w:szCs w:val="30"/>
        </w:rPr>
        <w:t>分</w:t>
      </w:r>
      <w:r w:rsidRPr="007B5D03">
        <w:rPr>
          <w:rFonts w:hAnsi="標楷體"/>
          <w:sz w:val="30"/>
          <w:szCs w:val="30"/>
        </w:rPr>
        <w:t>的規制內容，其餘部分仍能獨立存在；至於課稅處分中每個科目或組成項目，是作為計算所得或稅額的一種計算基礎，欠缺其一即不能正確計算，課</w:t>
      </w:r>
      <w:r w:rsidRPr="00A02AE8">
        <w:rPr>
          <w:rFonts w:hAnsi="標楷體"/>
          <w:spacing w:val="6"/>
          <w:sz w:val="30"/>
          <w:szCs w:val="30"/>
        </w:rPr>
        <w:t>稅處分之可分性不是依照課稅基礎而可</w:t>
      </w:r>
      <w:r w:rsidRPr="007B5D03">
        <w:rPr>
          <w:rFonts w:hAnsi="標楷體"/>
          <w:sz w:val="30"/>
          <w:szCs w:val="30"/>
        </w:rPr>
        <w:t>分，所以爭點主義並非達成行政處分可分性之必要手段，如從達成該公益作為相同有效性之考慮因素，反而應採行總額主義為是。</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最小侵害性檢驗：如前所述，採取總額主義與爭點主義之差別在於人民會因爭點主義之適用造成喪失訴訟權的效果，而總額主義相較於爭點主義，對納稅義務人並無其他不利之影響，故總額主義為較小侵害之手段。</w:t>
      </w:r>
    </w:p>
    <w:p w:rsidR="00514426" w:rsidRPr="007B5D03" w:rsidRDefault="00514426" w:rsidP="00FB2D5A">
      <w:pPr>
        <w:snapToGrid w:val="0"/>
        <w:spacing w:line="437" w:lineRule="exact"/>
        <w:ind w:left="2382" w:hanging="397"/>
        <w:rPr>
          <w:sz w:val="30"/>
          <w:szCs w:val="30"/>
        </w:rPr>
      </w:pPr>
      <w:r w:rsidRPr="007B5D03">
        <w:rPr>
          <w:rFonts w:hAnsi="標楷體" w:hint="eastAsia"/>
          <w:sz w:val="30"/>
          <w:szCs w:val="30"/>
        </w:rPr>
        <w:t>(2)</w:t>
      </w:r>
      <w:r w:rsidRPr="007B5D03">
        <w:rPr>
          <w:rFonts w:hAnsi="標楷體"/>
          <w:sz w:val="30"/>
          <w:szCs w:val="30"/>
        </w:rPr>
        <w:t>狹義比例原則之檢驗</w:t>
      </w:r>
    </w:p>
    <w:p w:rsidR="00514426" w:rsidRPr="007B5D03" w:rsidRDefault="00514426" w:rsidP="009B13DC">
      <w:pPr>
        <w:snapToGrid w:val="0"/>
        <w:spacing w:line="437" w:lineRule="exact"/>
        <w:ind w:left="2637" w:hanging="482"/>
        <w:rPr>
          <w:sz w:val="30"/>
          <w:szCs w:val="30"/>
        </w:rPr>
      </w:pPr>
      <w:r w:rsidRPr="007B5D03">
        <w:rPr>
          <w:sz w:val="30"/>
          <w:szCs w:val="30"/>
        </w:rPr>
        <w:t>A</w:t>
      </w:r>
      <w:r w:rsidRPr="007B5D03">
        <w:rPr>
          <w:rFonts w:hAnsi="標楷體" w:hint="eastAsia"/>
          <w:sz w:val="30"/>
          <w:szCs w:val="30"/>
        </w:rPr>
        <w:t>、</w:t>
      </w:r>
      <w:r w:rsidRPr="007B5D03">
        <w:rPr>
          <w:rFonts w:hAnsi="標楷體"/>
          <w:sz w:val="30"/>
          <w:szCs w:val="30"/>
        </w:rPr>
        <w:t>按「人民有請願、訴願及訴訟之權」憲法第</w:t>
      </w:r>
      <w:r w:rsidRPr="00A02AE8">
        <w:rPr>
          <w:spacing w:val="8"/>
          <w:sz w:val="30"/>
          <w:szCs w:val="30"/>
        </w:rPr>
        <w:t>16</w:t>
      </w:r>
      <w:r w:rsidRPr="00A02AE8">
        <w:rPr>
          <w:rFonts w:hAnsi="標楷體"/>
          <w:spacing w:val="8"/>
          <w:sz w:val="30"/>
          <w:szCs w:val="30"/>
        </w:rPr>
        <w:t>條定有明文，訴訟權係「權利保護請求</w:t>
      </w:r>
      <w:r w:rsidRPr="007B5D03">
        <w:rPr>
          <w:rFonts w:hAnsi="標楷體"/>
          <w:sz w:val="30"/>
          <w:szCs w:val="30"/>
        </w:rPr>
        <w:t>權」，德國憲法稱其為「程序基本權」，日本憲法則稱其為「接受審判的權利」。保障訴訟權目的在使實體權利可以於受侵害時，有回復的可能性，亦即有權利即有救濟，訴訟權利範圍應大於實體權利對訴訟權之限制，否則對於實體</w:t>
      </w:r>
      <w:r w:rsidRPr="007B5D03">
        <w:rPr>
          <w:rFonts w:hAnsi="標楷體"/>
          <w:sz w:val="30"/>
          <w:szCs w:val="30"/>
        </w:rPr>
        <w:lastRenderedPageBreak/>
        <w:t>權利之保障即會發生不夠周全之情，除需符合憲法第</w:t>
      </w:r>
      <w:r w:rsidRPr="007B5D03">
        <w:rPr>
          <w:sz w:val="30"/>
          <w:szCs w:val="30"/>
        </w:rPr>
        <w:t>23</w:t>
      </w:r>
      <w:r w:rsidRPr="007B5D03">
        <w:rPr>
          <w:rFonts w:hAnsi="標楷體"/>
          <w:sz w:val="30"/>
          <w:szCs w:val="30"/>
        </w:rPr>
        <w:t>條之公益原則（比例</w:t>
      </w:r>
      <w:r w:rsidRPr="00A02AE8">
        <w:rPr>
          <w:rFonts w:hAnsi="標楷體"/>
          <w:spacing w:val="6"/>
          <w:sz w:val="30"/>
          <w:szCs w:val="30"/>
        </w:rPr>
        <w:t>原則）外，尚須符合程序法理，而非可任意</w:t>
      </w:r>
      <w:r w:rsidRPr="007B5D03">
        <w:rPr>
          <w:rFonts w:hAnsi="標楷體"/>
          <w:sz w:val="30"/>
          <w:szCs w:val="30"/>
        </w:rPr>
        <w:t>限制。例如　鈞院釋字第</w:t>
      </w:r>
      <w:r w:rsidRPr="007B5D03">
        <w:rPr>
          <w:sz w:val="30"/>
          <w:szCs w:val="30"/>
        </w:rPr>
        <w:t>160</w:t>
      </w:r>
      <w:r w:rsidRPr="007B5D03">
        <w:rPr>
          <w:rFonts w:hAnsi="標楷體"/>
          <w:sz w:val="30"/>
          <w:szCs w:val="30"/>
        </w:rPr>
        <w:t>號、第</w:t>
      </w:r>
      <w:r w:rsidRPr="007B5D03">
        <w:rPr>
          <w:sz w:val="30"/>
          <w:szCs w:val="30"/>
        </w:rPr>
        <w:t>170</w:t>
      </w:r>
      <w:r w:rsidRPr="007B5D03">
        <w:rPr>
          <w:rFonts w:hAnsi="標楷體"/>
          <w:sz w:val="30"/>
          <w:szCs w:val="30"/>
        </w:rPr>
        <w:t>號、</w:t>
      </w:r>
      <w:r w:rsidRPr="00A02AE8">
        <w:rPr>
          <w:rFonts w:hAnsi="標楷體"/>
          <w:spacing w:val="10"/>
          <w:sz w:val="30"/>
          <w:szCs w:val="30"/>
        </w:rPr>
        <w:t>第</w:t>
      </w:r>
      <w:r w:rsidRPr="00A02AE8">
        <w:rPr>
          <w:spacing w:val="10"/>
          <w:sz w:val="30"/>
          <w:szCs w:val="30"/>
        </w:rPr>
        <w:t>179</w:t>
      </w:r>
      <w:r w:rsidRPr="00A02AE8">
        <w:rPr>
          <w:rFonts w:hAnsi="標楷體"/>
          <w:spacing w:val="10"/>
          <w:sz w:val="30"/>
          <w:szCs w:val="30"/>
        </w:rPr>
        <w:t>號及第</w:t>
      </w:r>
      <w:r w:rsidRPr="00A02AE8">
        <w:rPr>
          <w:spacing w:val="10"/>
          <w:sz w:val="30"/>
          <w:szCs w:val="30"/>
        </w:rPr>
        <w:t>416</w:t>
      </w:r>
      <w:r w:rsidRPr="00A02AE8">
        <w:rPr>
          <w:rFonts w:hAnsi="標楷體"/>
          <w:spacing w:val="10"/>
          <w:sz w:val="30"/>
          <w:szCs w:val="30"/>
        </w:rPr>
        <w:t>號</w:t>
      </w:r>
      <w:r w:rsidRPr="00A02AE8">
        <w:rPr>
          <w:rFonts w:hAnsi="標楷體" w:hint="eastAsia"/>
          <w:spacing w:val="10"/>
          <w:sz w:val="30"/>
          <w:szCs w:val="30"/>
        </w:rPr>
        <w:t>解釋</w:t>
      </w:r>
      <w:r w:rsidRPr="00A02AE8">
        <w:rPr>
          <w:rFonts w:hAnsi="標楷體"/>
          <w:spacing w:val="10"/>
          <w:sz w:val="30"/>
          <w:szCs w:val="30"/>
        </w:rPr>
        <w:t>均係以程序上事</w:t>
      </w:r>
      <w:r w:rsidRPr="007B5D03">
        <w:rPr>
          <w:rFonts w:hAnsi="標楷體"/>
          <w:sz w:val="30"/>
          <w:szCs w:val="30"/>
        </w:rPr>
        <w:t>由，亦即訴訟經濟之法理而設之限制，始不至於侵害訴訟權（附件</w:t>
      </w:r>
      <w:r w:rsidRPr="007B5D03">
        <w:rPr>
          <w:sz w:val="30"/>
          <w:szCs w:val="30"/>
        </w:rPr>
        <w:t>42</w:t>
      </w:r>
      <w:r w:rsidRPr="007B5D03">
        <w:rPr>
          <w:rFonts w:hAnsi="標楷體"/>
          <w:sz w:val="30"/>
          <w:szCs w:val="30"/>
        </w:rPr>
        <w:t>，李惠宗，憲法要義，第</w:t>
      </w:r>
      <w:r w:rsidRPr="007B5D03">
        <w:rPr>
          <w:sz w:val="30"/>
          <w:szCs w:val="30"/>
        </w:rPr>
        <w:t>2</w:t>
      </w:r>
      <w:r w:rsidRPr="007B5D03">
        <w:rPr>
          <w:rFonts w:hAnsi="標楷體"/>
          <w:sz w:val="30"/>
          <w:szCs w:val="30"/>
        </w:rPr>
        <w:t>版第</w:t>
      </w:r>
      <w:r w:rsidRPr="007B5D03">
        <w:rPr>
          <w:sz w:val="30"/>
          <w:szCs w:val="30"/>
        </w:rPr>
        <w:t>204</w:t>
      </w:r>
      <w:r w:rsidRPr="007B5D03">
        <w:rPr>
          <w:rFonts w:hAnsi="標楷體"/>
          <w:sz w:val="30"/>
          <w:szCs w:val="30"/>
        </w:rPr>
        <w:t>至</w:t>
      </w:r>
      <w:r w:rsidRPr="007B5D03">
        <w:rPr>
          <w:sz w:val="30"/>
          <w:szCs w:val="30"/>
        </w:rPr>
        <w:t>212</w:t>
      </w:r>
      <w:r w:rsidRPr="007B5D03">
        <w:rPr>
          <w:rFonts w:hAnsi="標楷體"/>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B</w:t>
      </w:r>
      <w:r w:rsidRPr="007B5D03">
        <w:rPr>
          <w:rFonts w:hAnsi="標楷體" w:hint="eastAsia"/>
          <w:sz w:val="30"/>
          <w:szCs w:val="30"/>
        </w:rPr>
        <w:t>、</w:t>
      </w:r>
      <w:r w:rsidRPr="007B5D03">
        <w:rPr>
          <w:rFonts w:hAnsi="標楷體"/>
          <w:sz w:val="30"/>
          <w:szCs w:val="30"/>
        </w:rPr>
        <w:t>次按訴訟權的核心為有權利即有救濟，訴訟權固然需要立法者之形成與建制，惟立法者之形成自由並非毫無限制，至少不能低於憲</w:t>
      </w:r>
      <w:r w:rsidRPr="00745298">
        <w:rPr>
          <w:rFonts w:hAnsi="標楷體"/>
          <w:spacing w:val="6"/>
          <w:sz w:val="30"/>
          <w:szCs w:val="30"/>
        </w:rPr>
        <w:t>法保障訴訟權之核心領域所要求之基本內</w:t>
      </w:r>
      <w:r w:rsidRPr="007B5D03">
        <w:rPr>
          <w:rFonts w:hAnsi="標楷體"/>
          <w:sz w:val="30"/>
          <w:szCs w:val="30"/>
        </w:rPr>
        <w:t>容，參照　鈞院釋字第</w:t>
      </w:r>
      <w:r w:rsidRPr="007B5D03">
        <w:rPr>
          <w:sz w:val="30"/>
          <w:szCs w:val="30"/>
        </w:rPr>
        <w:t>418</w:t>
      </w:r>
      <w:r w:rsidRPr="007B5D03">
        <w:rPr>
          <w:rFonts w:hAnsi="標楷體"/>
          <w:sz w:val="30"/>
          <w:szCs w:val="30"/>
        </w:rPr>
        <w:t>號解釋理由書指</w:t>
      </w:r>
      <w:r w:rsidRPr="00745298">
        <w:rPr>
          <w:rFonts w:hAnsi="標楷體"/>
          <w:spacing w:val="6"/>
          <w:sz w:val="30"/>
          <w:szCs w:val="30"/>
        </w:rPr>
        <w:t>明「此種司法上受益權，不僅形式上應保障</w:t>
      </w:r>
      <w:r w:rsidRPr="007B5D03">
        <w:rPr>
          <w:rFonts w:hAnsi="標楷體"/>
          <w:sz w:val="30"/>
          <w:szCs w:val="30"/>
        </w:rPr>
        <w:t>個人得向法院主張其權利，且實質上亦須使</w:t>
      </w:r>
      <w:r w:rsidRPr="00745298">
        <w:rPr>
          <w:rFonts w:hAnsi="標楷體"/>
          <w:spacing w:val="-8"/>
          <w:sz w:val="30"/>
          <w:szCs w:val="30"/>
        </w:rPr>
        <w:t>個人之權利獲得確實有效之保護。」亦即（一）</w:t>
      </w:r>
      <w:r w:rsidRPr="00745298">
        <w:rPr>
          <w:rFonts w:hAnsi="標楷體"/>
          <w:spacing w:val="6"/>
          <w:sz w:val="30"/>
          <w:szCs w:val="30"/>
        </w:rPr>
        <w:t>若人民接近使用憲法上法院的管道受到阻</w:t>
      </w:r>
      <w:r w:rsidRPr="007B5D03">
        <w:rPr>
          <w:rFonts w:hAnsi="標楷體"/>
          <w:sz w:val="30"/>
          <w:szCs w:val="30"/>
        </w:rPr>
        <w:t>礙，甚至完全封鎖，以致無法獲得具體身分保障並獨立審判之法官依法審判之救濟，或</w:t>
      </w:r>
      <w:r w:rsidRPr="00745298">
        <w:rPr>
          <w:rFonts w:hAnsi="標楷體"/>
          <w:spacing w:val="6"/>
          <w:sz w:val="30"/>
          <w:szCs w:val="30"/>
        </w:rPr>
        <w:t>（二）訴訟制度僅為形式上聊備一格之程序</w:t>
      </w:r>
      <w:r w:rsidRPr="007B5D03">
        <w:rPr>
          <w:rFonts w:hAnsi="標楷體"/>
          <w:sz w:val="30"/>
          <w:szCs w:val="30"/>
        </w:rPr>
        <w:t>設置，實質上並不具備有效權利保護功能，</w:t>
      </w:r>
      <w:r w:rsidRPr="00745298">
        <w:rPr>
          <w:rFonts w:hAnsi="標楷體"/>
          <w:spacing w:val="6"/>
          <w:sz w:val="30"/>
          <w:szCs w:val="30"/>
        </w:rPr>
        <w:t>則可認為不具備訴訟權必備之基本內容（附</w:t>
      </w:r>
      <w:r w:rsidRPr="00745298">
        <w:rPr>
          <w:rFonts w:hAnsi="標楷體"/>
          <w:spacing w:val="-12"/>
          <w:sz w:val="30"/>
          <w:szCs w:val="30"/>
        </w:rPr>
        <w:t>件</w:t>
      </w:r>
      <w:r w:rsidRPr="00745298">
        <w:rPr>
          <w:spacing w:val="-12"/>
          <w:sz w:val="30"/>
          <w:szCs w:val="30"/>
        </w:rPr>
        <w:t>5</w:t>
      </w:r>
      <w:r w:rsidRPr="00745298">
        <w:rPr>
          <w:rFonts w:hint="eastAsia"/>
          <w:spacing w:val="-12"/>
          <w:sz w:val="30"/>
          <w:szCs w:val="30"/>
        </w:rPr>
        <w:t>1</w:t>
      </w:r>
      <w:r w:rsidRPr="00745298">
        <w:rPr>
          <w:rFonts w:hAnsi="標楷體"/>
          <w:spacing w:val="-12"/>
          <w:sz w:val="30"/>
          <w:szCs w:val="30"/>
        </w:rPr>
        <w:t>，陳慈陽，憲法學，</w:t>
      </w:r>
      <w:r w:rsidRPr="00745298">
        <w:rPr>
          <w:rFonts w:hAnsi="標楷體" w:hint="eastAsia"/>
          <w:spacing w:val="-12"/>
          <w:sz w:val="30"/>
          <w:szCs w:val="30"/>
        </w:rPr>
        <w:t>第</w:t>
      </w:r>
      <w:r w:rsidRPr="00745298">
        <w:rPr>
          <w:spacing w:val="-12"/>
          <w:sz w:val="30"/>
          <w:szCs w:val="30"/>
        </w:rPr>
        <w:t>2</w:t>
      </w:r>
      <w:r w:rsidRPr="00745298">
        <w:rPr>
          <w:rFonts w:hAnsi="標楷體"/>
          <w:spacing w:val="-12"/>
          <w:sz w:val="30"/>
          <w:szCs w:val="30"/>
        </w:rPr>
        <w:t>版，</w:t>
      </w:r>
      <w:r w:rsidRPr="00745298">
        <w:rPr>
          <w:rFonts w:hAnsi="標楷體" w:hint="eastAsia"/>
          <w:spacing w:val="-12"/>
          <w:sz w:val="30"/>
          <w:szCs w:val="30"/>
        </w:rPr>
        <w:t>第</w:t>
      </w:r>
      <w:r w:rsidRPr="00745298">
        <w:rPr>
          <w:spacing w:val="-12"/>
          <w:sz w:val="30"/>
          <w:szCs w:val="30"/>
        </w:rPr>
        <w:t>624</w:t>
      </w:r>
      <w:r w:rsidRPr="00745298">
        <w:rPr>
          <w:rFonts w:hAnsi="標楷體"/>
          <w:spacing w:val="-12"/>
          <w:sz w:val="30"/>
          <w:szCs w:val="30"/>
        </w:rPr>
        <w:t>頁）。</w:t>
      </w:r>
    </w:p>
    <w:p w:rsidR="00514426" w:rsidRPr="007B5D03" w:rsidRDefault="00514426" w:rsidP="009B13DC">
      <w:pPr>
        <w:snapToGrid w:val="0"/>
        <w:spacing w:line="437" w:lineRule="exact"/>
        <w:ind w:left="2637" w:hanging="482"/>
        <w:rPr>
          <w:sz w:val="30"/>
          <w:szCs w:val="30"/>
        </w:rPr>
      </w:pPr>
      <w:r w:rsidRPr="007B5D03">
        <w:rPr>
          <w:sz w:val="30"/>
          <w:szCs w:val="30"/>
        </w:rPr>
        <w:t>C</w:t>
      </w:r>
      <w:r w:rsidRPr="007B5D03">
        <w:rPr>
          <w:rFonts w:hAnsi="標楷體" w:hint="eastAsia"/>
          <w:sz w:val="30"/>
          <w:szCs w:val="30"/>
        </w:rPr>
        <w:t>、</w:t>
      </w:r>
      <w:r w:rsidRPr="007B5D03">
        <w:rPr>
          <w:rFonts w:hAnsi="標楷體"/>
          <w:sz w:val="30"/>
          <w:szCs w:val="30"/>
        </w:rPr>
        <w:t>如前揭　鈞院釋字第</w:t>
      </w:r>
      <w:r w:rsidRPr="007B5D03">
        <w:rPr>
          <w:sz w:val="30"/>
          <w:szCs w:val="30"/>
        </w:rPr>
        <w:t>569</w:t>
      </w:r>
      <w:r w:rsidRPr="007B5D03">
        <w:rPr>
          <w:rFonts w:hAnsi="標楷體"/>
          <w:sz w:val="30"/>
          <w:szCs w:val="30"/>
        </w:rPr>
        <w:t>號</w:t>
      </w:r>
      <w:r w:rsidRPr="007B5D03">
        <w:rPr>
          <w:rFonts w:hAnsi="標楷體" w:hint="eastAsia"/>
          <w:sz w:val="30"/>
          <w:szCs w:val="30"/>
        </w:rPr>
        <w:t>解釋</w:t>
      </w:r>
      <w:r w:rsidRPr="007B5D03">
        <w:rPr>
          <w:rFonts w:hAnsi="標楷體"/>
          <w:sz w:val="30"/>
          <w:szCs w:val="30"/>
        </w:rPr>
        <w:t>之情形，由立法者進行訴訟權限制固然有其自由形成空間，然而如由法院判解在無明確法律規定下所為</w:t>
      </w:r>
      <w:r w:rsidRPr="007B5D03">
        <w:rPr>
          <w:rFonts w:hAnsi="標楷體"/>
          <w:sz w:val="30"/>
          <w:szCs w:val="30"/>
        </w:rPr>
        <w:lastRenderedPageBreak/>
        <w:t>之解釋，即無從單以訴訟法理即可加以支持。更何況其所使用之訴訟法理係屬誤用</w:t>
      </w:r>
      <w:r w:rsidRPr="00DE209B">
        <w:rPr>
          <w:rFonts w:hAnsi="標楷體"/>
          <w:spacing w:val="6"/>
          <w:sz w:val="30"/>
          <w:szCs w:val="30"/>
        </w:rPr>
        <w:t>之時，如同該號解釋將告訴（主觀）不可分</w:t>
      </w:r>
      <w:r w:rsidRPr="007B5D03">
        <w:rPr>
          <w:rFonts w:hAnsi="標楷體"/>
          <w:sz w:val="30"/>
          <w:szCs w:val="30"/>
        </w:rPr>
        <w:t>之刑事訴訟法理類推至自訴程序上，而未察應參照檢察官提起公訴之法理處置，顯然屬訴訟理論之錯誤，更無從支持此種訴訟權之限制。同理，爭點主義在訴訟法理上僅屬少數學說所支持，其學理正當性自不可與告訴不可分之理論不可等量齊觀，日本法院實務在有爭點主義論者爭論下仍採總額主義，即可知爭點主義在適用上有其未盡周全之處。如前所述，爭點主義所欲維護的公益或人民權利之保障，總額主義並非不能達成，況且</w:t>
      </w:r>
      <w:r w:rsidRPr="007B5D03">
        <w:rPr>
          <w:sz w:val="30"/>
          <w:szCs w:val="30"/>
        </w:rPr>
        <w:t>62</w:t>
      </w:r>
      <w:r w:rsidRPr="007B5D03">
        <w:rPr>
          <w:rFonts w:hAnsi="標楷體"/>
          <w:sz w:val="30"/>
          <w:szCs w:val="30"/>
        </w:rPr>
        <w:t>年判例之初衷及適用之結果，均係用以限制納稅義務人在行政訴訟程序上之主張，使人民在爭點主義所界定之訴訟標的外，無從於訴訟程序上主張，阻卻爭點以外部分受憲法上法院審判之機會，違反有權利即有救濟之訴訟權核心，是</w:t>
      </w:r>
      <w:r w:rsidRPr="007B5D03">
        <w:rPr>
          <w:sz w:val="30"/>
          <w:szCs w:val="30"/>
        </w:rPr>
        <w:t>62</w:t>
      </w:r>
      <w:r w:rsidRPr="007B5D03">
        <w:rPr>
          <w:rFonts w:hAnsi="標楷體"/>
          <w:sz w:val="30"/>
          <w:szCs w:val="30"/>
        </w:rPr>
        <w:t>年判例屬訴訟權之限制與使法院減少實體審判之部分外，並無任何一個真正維持公益的規範目的，可以概見。</w:t>
      </w:r>
    </w:p>
    <w:p w:rsidR="00514426" w:rsidRPr="007B5D03" w:rsidRDefault="00514426" w:rsidP="009B13DC">
      <w:pPr>
        <w:snapToGrid w:val="0"/>
        <w:spacing w:line="437" w:lineRule="exact"/>
        <w:ind w:left="2637" w:hanging="482"/>
        <w:rPr>
          <w:sz w:val="30"/>
          <w:szCs w:val="30"/>
        </w:rPr>
      </w:pPr>
      <w:r w:rsidRPr="007B5D03">
        <w:rPr>
          <w:sz w:val="30"/>
          <w:szCs w:val="30"/>
        </w:rPr>
        <w:t>D</w:t>
      </w:r>
      <w:r w:rsidRPr="007B5D03">
        <w:rPr>
          <w:rFonts w:hAnsi="標楷體" w:hint="eastAsia"/>
          <w:sz w:val="30"/>
          <w:szCs w:val="30"/>
        </w:rPr>
        <w:t>、</w:t>
      </w:r>
      <w:r w:rsidRPr="007B5D03">
        <w:rPr>
          <w:rFonts w:hAnsi="標楷體"/>
          <w:sz w:val="30"/>
          <w:szCs w:val="30"/>
        </w:rPr>
        <w:t>經查爭點主義乃係基於課稅處分可分之假設而發軔，其在實體法與程序法上均無可支持之基礎，且有違反所得稅法第</w:t>
      </w:r>
      <w:r w:rsidRPr="007B5D03">
        <w:rPr>
          <w:sz w:val="30"/>
          <w:szCs w:val="30"/>
        </w:rPr>
        <w:t>24</w:t>
      </w:r>
      <w:r w:rsidRPr="007B5D03">
        <w:rPr>
          <w:rFonts w:hAnsi="標楷體"/>
          <w:sz w:val="30"/>
          <w:szCs w:val="30"/>
        </w:rPr>
        <w:t>條之嫌疑，固然在符合訴訟理論之前提下，只要不形成對於人民訴訟權核心之限制，其違憲情狀尚不至於</w:t>
      </w:r>
      <w:r w:rsidRPr="007B5D03">
        <w:rPr>
          <w:rFonts w:hAnsi="標楷體"/>
          <w:sz w:val="30"/>
          <w:szCs w:val="30"/>
        </w:rPr>
        <w:lastRenderedPageBreak/>
        <w:t>明白可見。然而爭點主義在訴訟法理論上所根據的假設均屬錯誤，而形成對人民不利的影響又較總額主義為重，甚至限制人民不得在原處分未調整或復查程序中未主張部分，不得於行政訴訟程序上主張，此種幾近於對訴訟權核心之剝奪，全然尋無訴訟理</w:t>
      </w:r>
      <w:r w:rsidRPr="00DE209B">
        <w:rPr>
          <w:rFonts w:hAnsi="標楷體"/>
          <w:spacing w:val="6"/>
          <w:sz w:val="30"/>
          <w:szCs w:val="30"/>
        </w:rPr>
        <w:t>論可資支持，從而在狹義比例原則之檢驗</w:t>
      </w:r>
      <w:r w:rsidRPr="007B5D03">
        <w:rPr>
          <w:rFonts w:hAnsi="標楷體"/>
          <w:sz w:val="30"/>
          <w:szCs w:val="30"/>
        </w:rPr>
        <w:t>上，對於此種訴訟權之侵害尚難找到一個說得過去、合理的理由，且這種權利侵害並非基於法律而係基於判例，更無如同立法者有較廣泛的自由形成空間，法院判例既是解釋</w:t>
      </w:r>
      <w:r w:rsidRPr="00DE209B">
        <w:rPr>
          <w:rFonts w:hAnsi="標楷體"/>
          <w:spacing w:val="6"/>
          <w:sz w:val="30"/>
          <w:szCs w:val="30"/>
        </w:rPr>
        <w:t>法律，理論上只有一個正確解釋法律的餘</w:t>
      </w:r>
      <w:r w:rsidRPr="007B5D03">
        <w:rPr>
          <w:rFonts w:hAnsi="標楷體"/>
          <w:sz w:val="30"/>
          <w:szCs w:val="30"/>
        </w:rPr>
        <w:t>地，不容許以形成空間規避正確解釋法律之義務，是以</w:t>
      </w:r>
      <w:r w:rsidRPr="007B5D03">
        <w:rPr>
          <w:sz w:val="30"/>
          <w:szCs w:val="30"/>
        </w:rPr>
        <w:t>62</w:t>
      </w:r>
      <w:r w:rsidRPr="007B5D03">
        <w:rPr>
          <w:rFonts w:hAnsi="標楷體"/>
          <w:sz w:val="30"/>
          <w:szCs w:val="30"/>
        </w:rPr>
        <w:t>年判例當屬違反狹義比例原則而應遭違憲宣告之命運。</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二、聲請人對本案所持之立場與見解</w:t>
      </w:r>
    </w:p>
    <w:p w:rsidR="00514426" w:rsidRPr="007B5D03" w:rsidRDefault="00514426" w:rsidP="00DE209B">
      <w:pPr>
        <w:snapToGrid w:val="0"/>
        <w:spacing w:line="437" w:lineRule="exact"/>
        <w:ind w:leftChars="320" w:left="896" w:firstLineChars="100" w:firstLine="300"/>
        <w:rPr>
          <w:sz w:val="30"/>
          <w:szCs w:val="30"/>
        </w:rPr>
      </w:pPr>
      <w:r w:rsidRPr="007B5D03">
        <w:rPr>
          <w:rFonts w:hAnsi="標楷體"/>
          <w:sz w:val="30"/>
          <w:szCs w:val="30"/>
        </w:rPr>
        <w:t>租稅法律主義與租稅公平原則為憲法原則在稅法上之二大支柱，本案依財政部</w:t>
      </w:r>
      <w:r w:rsidRPr="007B5D03">
        <w:rPr>
          <w:sz w:val="30"/>
          <w:szCs w:val="30"/>
        </w:rPr>
        <w:t>86</w:t>
      </w:r>
      <w:r w:rsidRPr="007B5D03">
        <w:rPr>
          <w:rFonts w:hAnsi="標楷體"/>
          <w:sz w:val="30"/>
          <w:szCs w:val="30"/>
        </w:rPr>
        <w:t>年函釋核課稅捐之結果，聲請人受憲法第</w:t>
      </w:r>
      <w:r w:rsidRPr="007B5D03">
        <w:rPr>
          <w:sz w:val="30"/>
          <w:szCs w:val="30"/>
        </w:rPr>
        <w:t>7</w:t>
      </w:r>
      <w:r w:rsidRPr="007B5D03">
        <w:rPr>
          <w:rFonts w:hAnsi="標楷體"/>
          <w:sz w:val="30"/>
          <w:szCs w:val="30"/>
        </w:rPr>
        <w:t>條、第</w:t>
      </w:r>
      <w:r w:rsidRPr="007B5D03">
        <w:rPr>
          <w:sz w:val="30"/>
          <w:szCs w:val="30"/>
        </w:rPr>
        <w:t>15</w:t>
      </w:r>
      <w:r w:rsidRPr="007B5D03">
        <w:rPr>
          <w:rFonts w:hAnsi="標楷體"/>
          <w:sz w:val="30"/>
          <w:szCs w:val="30"/>
        </w:rPr>
        <w:t>條、第</w:t>
      </w:r>
      <w:r w:rsidRPr="007B5D03">
        <w:rPr>
          <w:sz w:val="30"/>
          <w:szCs w:val="30"/>
        </w:rPr>
        <w:t>19</w:t>
      </w:r>
      <w:r w:rsidRPr="007B5D03">
        <w:rPr>
          <w:rFonts w:hAnsi="標楷體"/>
          <w:sz w:val="30"/>
          <w:szCs w:val="30"/>
        </w:rPr>
        <w:t>條及第</w:t>
      </w:r>
      <w:r w:rsidRPr="007B5D03">
        <w:rPr>
          <w:sz w:val="30"/>
          <w:szCs w:val="30"/>
        </w:rPr>
        <w:t>23</w:t>
      </w:r>
      <w:r w:rsidRPr="007B5D03">
        <w:rPr>
          <w:rFonts w:hAnsi="標楷體"/>
          <w:sz w:val="30"/>
          <w:szCs w:val="30"/>
        </w:rPr>
        <w:t>條保障之基本權顯然已受到侵害。</w:t>
      </w:r>
    </w:p>
    <w:p w:rsidR="00514426" w:rsidRPr="007B5D03" w:rsidRDefault="00514426" w:rsidP="00DE209B">
      <w:pPr>
        <w:snapToGrid w:val="0"/>
        <w:spacing w:line="437" w:lineRule="exact"/>
        <w:ind w:leftChars="320" w:left="896" w:firstLineChars="100" w:firstLine="300"/>
        <w:rPr>
          <w:sz w:val="30"/>
          <w:szCs w:val="30"/>
        </w:rPr>
      </w:pPr>
      <w:r w:rsidRPr="007B5D03">
        <w:rPr>
          <w:rFonts w:hAnsi="標楷體"/>
          <w:sz w:val="30"/>
          <w:szCs w:val="30"/>
        </w:rPr>
        <w:t>依形式上及實質上合憲性檢驗之觀點，應綜觀法律整體外部體系及稅法內部體系，透過一般法律解釋對於所得稅法第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作成與同法第</w:t>
      </w:r>
      <w:r w:rsidRPr="007B5D03">
        <w:rPr>
          <w:sz w:val="30"/>
          <w:szCs w:val="30"/>
        </w:rPr>
        <w:t>24</w:t>
      </w:r>
      <w:r w:rsidRPr="007B5D03">
        <w:rPr>
          <w:rFonts w:hAnsi="標楷體"/>
          <w:sz w:val="30"/>
          <w:szCs w:val="30"/>
        </w:rPr>
        <w:t>條無矛盾之解釋，即同意應（免）稅收入項下可歸屬之成本費用縱使包括形式上為證券（非證券）形式，亦應予以認定為應稅或免稅項下成本費用，始不破壞法律體系。退步言之，本案因發行權證所從事避險之標的股票交易，縱其外觀具證券交易形式，亦應得依</w:t>
      </w:r>
      <w:r w:rsidRPr="007B5D03">
        <w:rPr>
          <w:rFonts w:hAnsi="標楷體"/>
          <w:sz w:val="30"/>
          <w:szCs w:val="30"/>
        </w:rPr>
        <w:lastRenderedPageBreak/>
        <w:t>前揭之法學方法，透過目的性限縮，使其排除適用</w:t>
      </w:r>
      <w:r w:rsidRPr="00DE209B">
        <w:rPr>
          <w:rFonts w:hAnsi="標楷體"/>
          <w:spacing w:val="6"/>
          <w:sz w:val="30"/>
          <w:szCs w:val="30"/>
        </w:rPr>
        <w:t>所得稅法第</w:t>
      </w:r>
      <w:r w:rsidRPr="00DE209B">
        <w:rPr>
          <w:spacing w:val="6"/>
          <w:sz w:val="30"/>
          <w:szCs w:val="30"/>
        </w:rPr>
        <w:t>4</w:t>
      </w:r>
      <w:r w:rsidRPr="00DE209B">
        <w:rPr>
          <w:rFonts w:hAnsi="標楷體"/>
          <w:spacing w:val="6"/>
          <w:sz w:val="30"/>
          <w:szCs w:val="30"/>
        </w:rPr>
        <w:t>條之</w:t>
      </w:r>
      <w:r w:rsidRPr="00DE209B">
        <w:rPr>
          <w:spacing w:val="6"/>
          <w:sz w:val="30"/>
          <w:szCs w:val="30"/>
        </w:rPr>
        <w:t>1</w:t>
      </w:r>
      <w:r w:rsidRPr="00DE209B">
        <w:rPr>
          <w:rFonts w:hAnsi="標楷體"/>
          <w:spacing w:val="6"/>
          <w:sz w:val="30"/>
          <w:szCs w:val="30"/>
        </w:rPr>
        <w:t>。循此，不但符合「量能課稅與實質</w:t>
      </w:r>
      <w:r w:rsidRPr="007B5D03">
        <w:rPr>
          <w:rFonts w:hAnsi="標楷體"/>
          <w:sz w:val="30"/>
          <w:szCs w:val="30"/>
        </w:rPr>
        <w:t>課稅原則」之精神，亦與　鈞院第</w:t>
      </w:r>
      <w:r w:rsidRPr="007B5D03">
        <w:rPr>
          <w:sz w:val="30"/>
          <w:szCs w:val="30"/>
        </w:rPr>
        <w:t>420</w:t>
      </w:r>
      <w:r w:rsidRPr="007B5D03">
        <w:rPr>
          <w:rFonts w:hAnsi="標楷體"/>
          <w:sz w:val="30"/>
          <w:szCs w:val="30"/>
        </w:rPr>
        <w:t>號、第</w:t>
      </w:r>
      <w:r w:rsidRPr="007B5D03">
        <w:rPr>
          <w:sz w:val="30"/>
          <w:szCs w:val="30"/>
        </w:rPr>
        <w:t>493</w:t>
      </w:r>
      <w:r w:rsidRPr="007B5D03">
        <w:rPr>
          <w:rFonts w:hAnsi="標楷體"/>
          <w:sz w:val="30"/>
          <w:szCs w:val="30"/>
        </w:rPr>
        <w:t>號、第</w:t>
      </w:r>
      <w:r w:rsidRPr="007B5D03">
        <w:rPr>
          <w:sz w:val="30"/>
          <w:szCs w:val="30"/>
        </w:rPr>
        <w:t>597</w:t>
      </w:r>
      <w:r w:rsidRPr="007B5D03">
        <w:rPr>
          <w:rFonts w:hAnsi="標楷體"/>
          <w:sz w:val="30"/>
          <w:szCs w:val="30"/>
        </w:rPr>
        <w:t>號、第</w:t>
      </w:r>
      <w:r w:rsidRPr="007B5D03">
        <w:rPr>
          <w:sz w:val="30"/>
          <w:szCs w:val="30"/>
        </w:rPr>
        <w:t>607</w:t>
      </w:r>
      <w:r w:rsidRPr="007B5D03">
        <w:rPr>
          <w:rFonts w:hint="eastAsia"/>
          <w:sz w:val="30"/>
          <w:szCs w:val="30"/>
        </w:rPr>
        <w:t>號</w:t>
      </w:r>
      <w:r w:rsidRPr="007B5D03">
        <w:rPr>
          <w:rFonts w:hAnsi="標楷體"/>
          <w:sz w:val="30"/>
          <w:szCs w:val="30"/>
        </w:rPr>
        <w:t>、第</w:t>
      </w:r>
      <w:r w:rsidRPr="007B5D03">
        <w:rPr>
          <w:sz w:val="30"/>
          <w:szCs w:val="30"/>
        </w:rPr>
        <w:t>622</w:t>
      </w:r>
      <w:r w:rsidRPr="007B5D03">
        <w:rPr>
          <w:rFonts w:hAnsi="標楷體"/>
          <w:sz w:val="30"/>
          <w:szCs w:val="30"/>
        </w:rPr>
        <w:t>號、第</w:t>
      </w:r>
      <w:r w:rsidRPr="007B5D03">
        <w:rPr>
          <w:sz w:val="30"/>
          <w:szCs w:val="30"/>
        </w:rPr>
        <w:t>625</w:t>
      </w:r>
      <w:r w:rsidRPr="007B5D03">
        <w:rPr>
          <w:rFonts w:hAnsi="標楷體"/>
          <w:sz w:val="30"/>
          <w:szCs w:val="30"/>
        </w:rPr>
        <w:t>號與第</w:t>
      </w:r>
      <w:r w:rsidRPr="007B5D03">
        <w:rPr>
          <w:sz w:val="30"/>
          <w:szCs w:val="30"/>
        </w:rPr>
        <w:t>635</w:t>
      </w:r>
      <w:r w:rsidRPr="007B5D03">
        <w:rPr>
          <w:rFonts w:hAnsi="標楷體"/>
          <w:sz w:val="30"/>
          <w:szCs w:val="30"/>
        </w:rPr>
        <w:t>號等解釋先例一致。</w:t>
      </w:r>
    </w:p>
    <w:p w:rsidR="00514426" w:rsidRPr="007B5D03" w:rsidRDefault="00514426" w:rsidP="00DE209B">
      <w:pPr>
        <w:snapToGrid w:val="0"/>
        <w:spacing w:line="437" w:lineRule="exact"/>
        <w:ind w:leftChars="320" w:left="896" w:firstLineChars="100" w:firstLine="300"/>
        <w:rPr>
          <w:sz w:val="30"/>
          <w:szCs w:val="30"/>
        </w:rPr>
      </w:pPr>
      <w:r w:rsidRPr="007B5D03">
        <w:rPr>
          <w:rFonts w:hAnsi="標楷體"/>
          <w:sz w:val="30"/>
          <w:szCs w:val="30"/>
        </w:rPr>
        <w:t>從法律體系整體諧和一致性觀察，在出現法規競合之場</w:t>
      </w:r>
      <w:r w:rsidRPr="00DE209B">
        <w:rPr>
          <w:rFonts w:hAnsi="標楷體"/>
          <w:spacing w:val="-6"/>
          <w:sz w:val="30"/>
          <w:szCs w:val="30"/>
        </w:rPr>
        <w:t>合，若須有所抉擇時，亦應取向於法律之公平正義。準此，</w:t>
      </w:r>
      <w:r w:rsidRPr="007B5D03">
        <w:rPr>
          <w:rFonts w:hAnsi="標楷體"/>
          <w:sz w:val="30"/>
          <w:szCs w:val="30"/>
        </w:rPr>
        <w:t>本案權證課稅爭議，出現所得稅法</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項與同法第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競合衝突，依前揭論述可知，擇前者較選後者之結果更能符合公平正義法則，則本案答案顯然應優先選擇適用所得稅法第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項，而非財政部</w:t>
      </w:r>
      <w:r w:rsidRPr="007B5D03">
        <w:rPr>
          <w:sz w:val="30"/>
          <w:szCs w:val="30"/>
        </w:rPr>
        <w:t>86</w:t>
      </w:r>
      <w:r w:rsidRPr="007B5D03">
        <w:rPr>
          <w:rFonts w:hAnsi="標楷體"/>
          <w:sz w:val="30"/>
          <w:szCs w:val="30"/>
        </w:rPr>
        <w:t>年函釋認定之所得稅法第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。本論據亦獲得</w:t>
      </w:r>
      <w:r w:rsidRPr="007B5D03">
        <w:rPr>
          <w:sz w:val="30"/>
          <w:szCs w:val="30"/>
        </w:rPr>
        <w:t>96</w:t>
      </w:r>
      <w:r w:rsidRPr="007B5D03">
        <w:rPr>
          <w:rFonts w:hAnsi="標楷體"/>
          <w:sz w:val="30"/>
          <w:szCs w:val="30"/>
        </w:rPr>
        <w:t>年增訂之所得稅法第</w:t>
      </w:r>
      <w:r w:rsidRPr="007B5D03">
        <w:rPr>
          <w:sz w:val="30"/>
          <w:szCs w:val="30"/>
        </w:rPr>
        <w:t>24</w:t>
      </w:r>
      <w:r w:rsidRPr="007B5D03">
        <w:rPr>
          <w:rFonts w:hAnsi="標楷體"/>
          <w:sz w:val="30"/>
          <w:szCs w:val="30"/>
        </w:rPr>
        <w:t>條之</w:t>
      </w:r>
      <w:r w:rsidRPr="007B5D03">
        <w:rPr>
          <w:sz w:val="30"/>
          <w:szCs w:val="30"/>
        </w:rPr>
        <w:t>2</w:t>
      </w:r>
      <w:r w:rsidRPr="007B5D03">
        <w:rPr>
          <w:rFonts w:hAnsi="標楷體"/>
          <w:sz w:val="30"/>
          <w:szCs w:val="30"/>
        </w:rPr>
        <w:t>之立法確認。</w:t>
      </w:r>
    </w:p>
    <w:p w:rsidR="00514426" w:rsidRPr="007B5D03" w:rsidRDefault="00514426" w:rsidP="00DE209B">
      <w:pPr>
        <w:snapToGrid w:val="0"/>
        <w:spacing w:line="437" w:lineRule="exact"/>
        <w:ind w:leftChars="320" w:left="896" w:firstLineChars="100" w:firstLine="300"/>
        <w:rPr>
          <w:sz w:val="30"/>
          <w:szCs w:val="30"/>
        </w:rPr>
      </w:pPr>
      <w:r w:rsidRPr="007B5D03">
        <w:rPr>
          <w:rFonts w:hAnsi="標楷體"/>
          <w:sz w:val="30"/>
          <w:szCs w:val="30"/>
        </w:rPr>
        <w:t>是本案確定判決所適用之財政部</w:t>
      </w:r>
      <w:r w:rsidRPr="007B5D03">
        <w:rPr>
          <w:sz w:val="30"/>
          <w:szCs w:val="30"/>
        </w:rPr>
        <w:t>86</w:t>
      </w:r>
      <w:r w:rsidRPr="007B5D03">
        <w:rPr>
          <w:rFonts w:hAnsi="標楷體"/>
          <w:sz w:val="30"/>
          <w:szCs w:val="30"/>
        </w:rPr>
        <w:t>年函釋，已違反憲法第</w:t>
      </w:r>
      <w:r w:rsidRPr="007B5D03">
        <w:rPr>
          <w:sz w:val="30"/>
          <w:szCs w:val="30"/>
        </w:rPr>
        <w:t>7</w:t>
      </w:r>
      <w:r w:rsidRPr="007B5D03">
        <w:rPr>
          <w:rFonts w:hAnsi="標楷體"/>
          <w:sz w:val="30"/>
          <w:szCs w:val="30"/>
        </w:rPr>
        <w:t>條平等原則、第</w:t>
      </w:r>
      <w:r w:rsidRPr="007B5D03">
        <w:rPr>
          <w:sz w:val="30"/>
          <w:szCs w:val="30"/>
        </w:rPr>
        <w:t>15</w:t>
      </w:r>
      <w:r w:rsidRPr="007B5D03">
        <w:rPr>
          <w:rFonts w:hAnsi="標楷體"/>
          <w:sz w:val="30"/>
          <w:szCs w:val="30"/>
        </w:rPr>
        <w:t>條工作權、體系正義、第</w:t>
      </w:r>
      <w:r w:rsidRPr="007B5D03">
        <w:rPr>
          <w:sz w:val="30"/>
          <w:szCs w:val="30"/>
        </w:rPr>
        <w:t>19</w:t>
      </w:r>
      <w:r w:rsidRPr="007B5D03">
        <w:rPr>
          <w:rFonts w:hAnsi="標楷體"/>
          <w:sz w:val="30"/>
          <w:szCs w:val="30"/>
        </w:rPr>
        <w:t>條租稅法律主義及量能課稅、實質課稅之租稅公平原則、第</w:t>
      </w:r>
      <w:r w:rsidRPr="007B5D03">
        <w:rPr>
          <w:sz w:val="30"/>
          <w:szCs w:val="30"/>
        </w:rPr>
        <w:t>23</w:t>
      </w:r>
      <w:r w:rsidRPr="007B5D03">
        <w:rPr>
          <w:rFonts w:hAnsi="標楷體"/>
          <w:sz w:val="30"/>
          <w:szCs w:val="30"/>
        </w:rPr>
        <w:t>條比例原則及第</w:t>
      </w:r>
      <w:r w:rsidRPr="007B5D03">
        <w:rPr>
          <w:sz w:val="30"/>
          <w:szCs w:val="30"/>
        </w:rPr>
        <w:t>172</w:t>
      </w:r>
      <w:r w:rsidRPr="007B5D03">
        <w:rPr>
          <w:rFonts w:hAnsi="標楷體"/>
          <w:sz w:val="30"/>
          <w:szCs w:val="30"/>
        </w:rPr>
        <w:t>條命令不得違法違憲等規定，再者，</w:t>
      </w:r>
      <w:r w:rsidRPr="007B5D03">
        <w:rPr>
          <w:sz w:val="30"/>
          <w:szCs w:val="30"/>
        </w:rPr>
        <w:t>62</w:t>
      </w:r>
      <w:r w:rsidRPr="007B5D03">
        <w:rPr>
          <w:rFonts w:hAnsi="標楷體"/>
          <w:sz w:val="30"/>
          <w:szCs w:val="30"/>
        </w:rPr>
        <w:t>年判例所採之爭點主義，乃係增加法律所無之訴訟權限制，在無公益特殊目的下造成人民不必要之訴訟權限制，有違憲法第</w:t>
      </w:r>
      <w:r w:rsidRPr="007B5D03">
        <w:rPr>
          <w:sz w:val="30"/>
          <w:szCs w:val="30"/>
        </w:rPr>
        <w:t>16</w:t>
      </w:r>
      <w:r w:rsidRPr="007B5D03">
        <w:rPr>
          <w:rFonts w:hAnsi="標楷體"/>
          <w:sz w:val="30"/>
          <w:szCs w:val="30"/>
        </w:rPr>
        <w:t>條及第</w:t>
      </w:r>
      <w:r w:rsidRPr="007B5D03">
        <w:rPr>
          <w:sz w:val="30"/>
          <w:szCs w:val="30"/>
        </w:rPr>
        <w:t>23</w:t>
      </w:r>
      <w:r w:rsidRPr="007B5D03">
        <w:rPr>
          <w:rFonts w:hAnsi="標楷體"/>
          <w:sz w:val="30"/>
          <w:szCs w:val="30"/>
        </w:rPr>
        <w:t>條，就此尚請　鈞院大法官迅賜解釋宣告上開財政部函釋</w:t>
      </w:r>
      <w:r w:rsidRPr="007B5D03">
        <w:rPr>
          <w:rFonts w:hAnsi="標楷體" w:hint="eastAsia"/>
          <w:sz w:val="30"/>
          <w:szCs w:val="30"/>
        </w:rPr>
        <w:t>及</w:t>
      </w:r>
      <w:r w:rsidRPr="007B5D03">
        <w:rPr>
          <w:rFonts w:hAnsi="標楷體" w:hint="eastAsia"/>
          <w:sz w:val="30"/>
          <w:szCs w:val="30"/>
        </w:rPr>
        <w:t>62</w:t>
      </w:r>
      <w:r w:rsidRPr="007B5D03">
        <w:rPr>
          <w:rFonts w:hAnsi="標楷體" w:hint="eastAsia"/>
          <w:sz w:val="30"/>
          <w:szCs w:val="30"/>
        </w:rPr>
        <w:t>年判例</w:t>
      </w:r>
      <w:r w:rsidRPr="007B5D03">
        <w:rPr>
          <w:rFonts w:hAnsi="標楷體"/>
          <w:sz w:val="30"/>
          <w:szCs w:val="30"/>
        </w:rPr>
        <w:t>，違反所得稅法及憲法相關規定無效，以維聲請人權益。</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肆、關係文件之名稱及件數</w:t>
      </w:r>
    </w:p>
    <w:p w:rsidR="00514426" w:rsidRPr="007B5D03" w:rsidRDefault="00514426" w:rsidP="00FB2D5A">
      <w:pPr>
        <w:snapToGrid w:val="0"/>
        <w:spacing w:line="437" w:lineRule="exact"/>
        <w:ind w:leftChars="100" w:left="960" w:hanging="680"/>
        <w:rPr>
          <w:rFonts w:hint="eastAsia"/>
          <w:sz w:val="30"/>
          <w:szCs w:val="30"/>
        </w:rPr>
      </w:pPr>
      <w:r w:rsidRPr="007B5D03">
        <w:rPr>
          <w:rFonts w:hAnsi="標楷體"/>
          <w:sz w:val="30"/>
          <w:szCs w:val="30"/>
        </w:rPr>
        <w:t>附件</w:t>
      </w:r>
      <w:r w:rsidRPr="007B5D03">
        <w:rPr>
          <w:sz w:val="30"/>
          <w:szCs w:val="30"/>
        </w:rPr>
        <w:t>1</w:t>
      </w:r>
      <w:r w:rsidRPr="007B5D03">
        <w:rPr>
          <w:rFonts w:hAnsi="標楷體"/>
          <w:sz w:val="30"/>
          <w:szCs w:val="30"/>
        </w:rPr>
        <w:t xml:space="preserve">　最高行政法院</w:t>
      </w:r>
      <w:r w:rsidRPr="007B5D03">
        <w:rPr>
          <w:sz w:val="30"/>
          <w:szCs w:val="30"/>
        </w:rPr>
        <w:t>97</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判字第</w:t>
      </w:r>
      <w:r w:rsidRPr="007B5D03">
        <w:rPr>
          <w:sz w:val="30"/>
          <w:szCs w:val="30"/>
        </w:rPr>
        <w:t>838</w:t>
      </w:r>
      <w:r w:rsidRPr="007B5D03">
        <w:rPr>
          <w:rFonts w:hAnsi="標楷體"/>
          <w:sz w:val="30"/>
          <w:szCs w:val="30"/>
        </w:rPr>
        <w:t>號確定判決</w:t>
      </w:r>
      <w:r w:rsidRPr="007B5D03">
        <w:rPr>
          <w:rFonts w:hAnsi="標楷體" w:hint="eastAsia"/>
          <w:sz w:val="30"/>
          <w:szCs w:val="30"/>
        </w:rPr>
        <w:t>。</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2</w:t>
      </w:r>
      <w:r w:rsidRPr="007B5D03">
        <w:rPr>
          <w:rFonts w:hAnsi="標楷體"/>
          <w:sz w:val="30"/>
          <w:szCs w:val="30"/>
        </w:rPr>
        <w:t xml:space="preserve">　臺北高等行政法院</w:t>
      </w:r>
      <w:r w:rsidRPr="007B5D03">
        <w:rPr>
          <w:sz w:val="30"/>
          <w:szCs w:val="30"/>
        </w:rPr>
        <w:t>96</w:t>
      </w:r>
      <w:r w:rsidRPr="007B5D03">
        <w:rPr>
          <w:rFonts w:hAnsi="標楷體"/>
          <w:sz w:val="30"/>
          <w:szCs w:val="30"/>
        </w:rPr>
        <w:t>年</w:t>
      </w:r>
      <w:r w:rsidRPr="007B5D03">
        <w:rPr>
          <w:rFonts w:hAnsi="標楷體" w:hint="eastAsia"/>
          <w:sz w:val="30"/>
          <w:szCs w:val="30"/>
        </w:rPr>
        <w:t>度</w:t>
      </w:r>
      <w:r w:rsidRPr="007B5D03">
        <w:rPr>
          <w:rFonts w:hAnsi="標楷體"/>
          <w:sz w:val="30"/>
          <w:szCs w:val="30"/>
        </w:rPr>
        <w:t>訴字第</w:t>
      </w:r>
      <w:r w:rsidRPr="007B5D03">
        <w:rPr>
          <w:sz w:val="30"/>
          <w:szCs w:val="30"/>
        </w:rPr>
        <w:t>2705</w:t>
      </w:r>
      <w:r w:rsidRPr="007B5D03">
        <w:rPr>
          <w:rFonts w:hAnsi="標楷體"/>
          <w:sz w:val="30"/>
          <w:szCs w:val="30"/>
        </w:rPr>
        <w:t>號確定判決</w:t>
      </w:r>
      <w:r w:rsidRPr="007B5D03">
        <w:rPr>
          <w:rFonts w:hAnsi="標楷體" w:hint="eastAsia"/>
          <w:sz w:val="30"/>
          <w:szCs w:val="30"/>
        </w:rPr>
        <w:t>。</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3</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11"/>
          <w:attr w:name="Month" w:val="12"/>
          <w:attr w:name="Year" w:val="1986"/>
        </w:smartTagP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w:t>
      </w:r>
      <w:r w:rsidRPr="007B5D03">
        <w:rPr>
          <w:rFonts w:hAnsi="標楷體" w:hint="eastAsia"/>
          <w:sz w:val="30"/>
          <w:szCs w:val="30"/>
        </w:rPr>
        <w:t>。</w:t>
      </w:r>
    </w:p>
    <w:p w:rsidR="00514426" w:rsidRPr="007B5D03" w:rsidRDefault="00514426" w:rsidP="00FB2D5A">
      <w:pPr>
        <w:snapToGrid w:val="0"/>
        <w:spacing w:line="437" w:lineRule="exact"/>
        <w:ind w:leftChars="99" w:left="1513" w:hanging="1236"/>
        <w:rPr>
          <w:sz w:val="30"/>
          <w:szCs w:val="30"/>
        </w:rPr>
      </w:pPr>
      <w:r w:rsidRPr="007B5D03">
        <w:rPr>
          <w:rFonts w:hAnsi="標楷體"/>
          <w:sz w:val="30"/>
          <w:szCs w:val="30"/>
        </w:rPr>
        <w:lastRenderedPageBreak/>
        <w:t>附件</w:t>
      </w:r>
      <w:r w:rsidRPr="007B5D03">
        <w:rPr>
          <w:sz w:val="30"/>
          <w:szCs w:val="30"/>
        </w:rPr>
        <w:t>4</w:t>
      </w:r>
      <w:r w:rsidRPr="007B5D03">
        <w:rPr>
          <w:rFonts w:hAnsi="標楷體"/>
          <w:sz w:val="30"/>
          <w:szCs w:val="30"/>
        </w:rPr>
        <w:t xml:space="preserve">　葛克昌，所得稅與憲法，頁</w:t>
      </w:r>
      <w:r w:rsidRPr="007B5D03">
        <w:rPr>
          <w:sz w:val="30"/>
          <w:szCs w:val="30"/>
        </w:rPr>
        <w:t>29</w:t>
      </w:r>
      <w:r w:rsidRPr="007B5D03">
        <w:rPr>
          <w:rFonts w:hAnsi="標楷體"/>
          <w:sz w:val="30"/>
          <w:szCs w:val="30"/>
        </w:rPr>
        <w:t>至</w:t>
      </w:r>
      <w:r w:rsidRPr="007B5D03">
        <w:rPr>
          <w:sz w:val="30"/>
          <w:szCs w:val="30"/>
        </w:rPr>
        <w:t>30</w:t>
      </w:r>
      <w:r w:rsidRPr="007B5D03">
        <w:rPr>
          <w:rFonts w:hAnsi="標楷體"/>
          <w:sz w:val="30"/>
          <w:szCs w:val="30"/>
        </w:rPr>
        <w:t>、頁</w:t>
      </w:r>
      <w:r w:rsidRPr="007B5D03">
        <w:rPr>
          <w:sz w:val="30"/>
          <w:szCs w:val="30"/>
        </w:rPr>
        <w:t>37</w:t>
      </w:r>
      <w:r w:rsidRPr="007B5D03">
        <w:rPr>
          <w:rFonts w:hAnsi="標楷體"/>
          <w:sz w:val="30"/>
          <w:szCs w:val="30"/>
        </w:rPr>
        <w:t>至</w:t>
      </w:r>
      <w:r w:rsidRPr="007B5D03">
        <w:rPr>
          <w:sz w:val="30"/>
          <w:szCs w:val="30"/>
        </w:rPr>
        <w:t>38</w:t>
      </w:r>
      <w:r w:rsidRPr="007B5D03">
        <w:rPr>
          <w:rFonts w:hAnsi="標楷體"/>
          <w:sz w:val="30"/>
          <w:szCs w:val="30"/>
        </w:rPr>
        <w:t>、頁</w:t>
      </w:r>
      <w:r w:rsidRPr="007B5D03">
        <w:rPr>
          <w:sz w:val="30"/>
          <w:szCs w:val="30"/>
        </w:rPr>
        <w:t>121</w:t>
      </w:r>
      <w:r w:rsidRPr="007B5D03">
        <w:rPr>
          <w:rFonts w:hAnsi="標楷體"/>
          <w:sz w:val="30"/>
          <w:szCs w:val="30"/>
        </w:rPr>
        <w:t>至</w:t>
      </w:r>
      <w:r w:rsidRPr="007B5D03">
        <w:rPr>
          <w:sz w:val="30"/>
          <w:szCs w:val="30"/>
        </w:rPr>
        <w:t>123</w:t>
      </w:r>
      <w:r w:rsidRPr="007B5D03">
        <w:rPr>
          <w:rFonts w:hAnsi="標楷體"/>
          <w:sz w:val="30"/>
          <w:szCs w:val="30"/>
        </w:rPr>
        <w:t>、頁</w:t>
      </w:r>
      <w:r w:rsidRPr="007B5D03">
        <w:rPr>
          <w:sz w:val="30"/>
          <w:szCs w:val="30"/>
        </w:rPr>
        <w:t>156</w:t>
      </w:r>
      <w:r w:rsidRPr="007B5D03">
        <w:rPr>
          <w:rFonts w:hAnsi="標楷體"/>
          <w:sz w:val="30"/>
          <w:szCs w:val="30"/>
        </w:rPr>
        <w:t>至</w:t>
      </w:r>
      <w:r w:rsidRPr="007B5D03">
        <w:rPr>
          <w:sz w:val="30"/>
          <w:szCs w:val="30"/>
        </w:rPr>
        <w:t>158</w:t>
      </w:r>
      <w:r w:rsidRPr="007B5D03">
        <w:rPr>
          <w:rFonts w:hint="eastAsia"/>
          <w:sz w:val="30"/>
          <w:szCs w:val="30"/>
        </w:rPr>
        <w:t>。</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5</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smartTag w:uri="urn:schemas-microsoft-com:office:smarttags" w:element="chsdate">
          <w:smartTagPr>
            <w:attr w:name="Year" w:val="2007"/>
            <w:attr w:name="Month" w:val="7"/>
            <w:attr w:name="Day" w:val="31"/>
            <w:attr w:name="IsLunarDate" w:val="False"/>
            <w:attr w:name="IsROCDate" w:val="False"/>
          </w:smartTagP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smartTag>
      <w:r w:rsidRPr="007B5D03">
        <w:rPr>
          <w:rFonts w:hAnsi="標楷體"/>
          <w:sz w:val="30"/>
          <w:szCs w:val="30"/>
        </w:rPr>
        <w:t>發布台財稅第</w:t>
      </w:r>
      <w:r w:rsidRPr="007B5D03">
        <w:rPr>
          <w:sz w:val="30"/>
          <w:szCs w:val="30"/>
        </w:rPr>
        <w:t>861909311</w:t>
      </w:r>
      <w:r w:rsidRPr="007B5D03">
        <w:rPr>
          <w:rFonts w:hAnsi="標楷體"/>
          <w:sz w:val="30"/>
          <w:szCs w:val="30"/>
        </w:rPr>
        <w:t>號函</w:t>
      </w:r>
      <w:r w:rsidRPr="007B5D03">
        <w:rPr>
          <w:rFonts w:hAnsi="標楷體" w:hint="eastAsia"/>
          <w:sz w:val="30"/>
          <w:szCs w:val="30"/>
        </w:rPr>
        <w:t>。</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6</w:t>
      </w:r>
      <w:r w:rsidRPr="007B5D03">
        <w:rPr>
          <w:rFonts w:hAnsi="標楷體"/>
          <w:sz w:val="30"/>
          <w:szCs w:val="30"/>
        </w:rPr>
        <w:t xml:space="preserve">　發行人申請發行認購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權證處理要點</w:t>
      </w:r>
      <w:r w:rsidRPr="007B5D03">
        <w:rPr>
          <w:rFonts w:hAnsi="標楷體" w:hint="eastAsia"/>
          <w:sz w:val="30"/>
          <w:szCs w:val="30"/>
        </w:rPr>
        <w:t>。</w:t>
      </w:r>
    </w:p>
    <w:p w:rsidR="00514426" w:rsidRPr="00FC2C0D" w:rsidRDefault="00514426" w:rsidP="00FC2C0D">
      <w:pPr>
        <w:snapToGrid w:val="0"/>
        <w:spacing w:line="437" w:lineRule="exact"/>
        <w:ind w:leftChars="99" w:left="1411" w:hanging="1134"/>
        <w:rPr>
          <w:spacing w:val="4"/>
          <w:sz w:val="30"/>
          <w:szCs w:val="30"/>
        </w:rPr>
      </w:pPr>
      <w:r w:rsidRPr="00FC2C0D">
        <w:rPr>
          <w:rFonts w:hAnsi="標楷體"/>
          <w:spacing w:val="4"/>
          <w:sz w:val="30"/>
          <w:szCs w:val="30"/>
        </w:rPr>
        <w:t>附件</w:t>
      </w:r>
      <w:r w:rsidRPr="00FC2C0D">
        <w:rPr>
          <w:spacing w:val="4"/>
          <w:sz w:val="30"/>
          <w:szCs w:val="30"/>
        </w:rPr>
        <w:t>7</w:t>
      </w:r>
      <w:r w:rsidRPr="00FC2C0D">
        <w:rPr>
          <w:rFonts w:hAnsi="標楷體"/>
          <w:spacing w:val="4"/>
          <w:sz w:val="30"/>
          <w:szCs w:val="30"/>
        </w:rPr>
        <w:t xml:space="preserve">　臺灣證券交易所股份有限公司認購</w:t>
      </w:r>
      <w:r w:rsidRPr="00FC2C0D">
        <w:rPr>
          <w:rFonts w:hint="eastAsia"/>
          <w:spacing w:val="4"/>
          <w:sz w:val="30"/>
          <w:szCs w:val="30"/>
        </w:rPr>
        <w:t>（</w:t>
      </w:r>
      <w:r w:rsidRPr="00FC2C0D">
        <w:rPr>
          <w:rFonts w:hAnsi="標楷體"/>
          <w:spacing w:val="4"/>
          <w:sz w:val="30"/>
          <w:szCs w:val="30"/>
        </w:rPr>
        <w:t>售</w:t>
      </w:r>
      <w:r w:rsidRPr="00FC2C0D">
        <w:rPr>
          <w:rFonts w:hint="eastAsia"/>
          <w:spacing w:val="4"/>
          <w:sz w:val="30"/>
          <w:szCs w:val="30"/>
        </w:rPr>
        <w:t>）</w:t>
      </w:r>
      <w:r w:rsidRPr="00FC2C0D">
        <w:rPr>
          <w:rFonts w:hAnsi="標楷體"/>
          <w:spacing w:val="4"/>
          <w:sz w:val="30"/>
          <w:szCs w:val="30"/>
        </w:rPr>
        <w:t>權證上市審查準則有關規定</w:t>
      </w:r>
      <w:r w:rsidRPr="00FC2C0D">
        <w:rPr>
          <w:rFonts w:hAnsi="標楷體" w:hint="eastAsia"/>
          <w:spacing w:val="4"/>
          <w:sz w:val="30"/>
          <w:szCs w:val="30"/>
        </w:rPr>
        <w:t>。</w:t>
      </w:r>
    </w:p>
    <w:p w:rsidR="00514426" w:rsidRPr="007B5D03" w:rsidRDefault="00514426" w:rsidP="00FB2D5A">
      <w:pPr>
        <w:snapToGrid w:val="0"/>
        <w:spacing w:line="437" w:lineRule="exact"/>
        <w:ind w:leftChars="99" w:left="1513" w:hanging="1236"/>
        <w:rPr>
          <w:sz w:val="30"/>
          <w:szCs w:val="30"/>
        </w:rPr>
      </w:pPr>
      <w:r w:rsidRPr="007B5D03">
        <w:rPr>
          <w:rFonts w:hAnsi="標楷體"/>
          <w:sz w:val="30"/>
          <w:szCs w:val="30"/>
        </w:rPr>
        <w:t>附件</w:t>
      </w:r>
      <w:r w:rsidRPr="007B5D03">
        <w:rPr>
          <w:sz w:val="30"/>
          <w:szCs w:val="30"/>
        </w:rPr>
        <w:t>8</w:t>
      </w:r>
      <w:r w:rsidRPr="007B5D03">
        <w:rPr>
          <w:rFonts w:hAnsi="標楷體"/>
          <w:sz w:val="30"/>
          <w:szCs w:val="30"/>
        </w:rPr>
        <w:t xml:space="preserve">　截至聲請日行政法院權證交易相關判決一覽</w:t>
      </w:r>
      <w:r w:rsidRPr="007B5D03">
        <w:rPr>
          <w:rFonts w:hAnsi="標楷體" w:hint="eastAsia"/>
          <w:sz w:val="30"/>
          <w:szCs w:val="30"/>
        </w:rPr>
        <w:t>。</w:t>
      </w:r>
    </w:p>
    <w:p w:rsidR="00514426" w:rsidRPr="00FC2C0D" w:rsidRDefault="00514426" w:rsidP="00FB2D5A">
      <w:pPr>
        <w:snapToGrid w:val="0"/>
        <w:spacing w:line="437" w:lineRule="exact"/>
        <w:ind w:leftChars="99" w:left="1513" w:hanging="1236"/>
        <w:rPr>
          <w:spacing w:val="4"/>
          <w:sz w:val="30"/>
          <w:szCs w:val="30"/>
        </w:rPr>
      </w:pPr>
      <w:r w:rsidRPr="00FC2C0D">
        <w:rPr>
          <w:rFonts w:hAnsi="標楷體"/>
          <w:spacing w:val="4"/>
          <w:sz w:val="30"/>
          <w:szCs w:val="30"/>
        </w:rPr>
        <w:t>附件</w:t>
      </w:r>
      <w:r w:rsidRPr="00FC2C0D">
        <w:rPr>
          <w:spacing w:val="4"/>
          <w:sz w:val="30"/>
          <w:szCs w:val="30"/>
        </w:rPr>
        <w:t>9</w:t>
      </w:r>
      <w:r w:rsidRPr="00FC2C0D">
        <w:rPr>
          <w:rFonts w:hAnsi="標楷體"/>
          <w:spacing w:val="4"/>
          <w:sz w:val="30"/>
          <w:szCs w:val="30"/>
        </w:rPr>
        <w:t xml:space="preserve">　李建良，基本權利理論之構成</w:t>
      </w:r>
      <w:r w:rsidRPr="00FC2C0D">
        <w:rPr>
          <w:rFonts w:hAnsi="標楷體"/>
          <w:spacing w:val="4"/>
          <w:sz w:val="30"/>
          <w:szCs w:val="30"/>
          <w:lang w:val="de-DE"/>
        </w:rPr>
        <w:t>及</w:t>
      </w:r>
      <w:r w:rsidRPr="00FC2C0D">
        <w:rPr>
          <w:rFonts w:hAnsi="標楷體"/>
          <w:spacing w:val="4"/>
          <w:sz w:val="30"/>
          <w:szCs w:val="30"/>
        </w:rPr>
        <w:t>其思考層次，人文及社會科學集刊，第九卷第一期，頁</w:t>
      </w:r>
      <w:r w:rsidRPr="00FC2C0D">
        <w:rPr>
          <w:spacing w:val="4"/>
          <w:sz w:val="30"/>
          <w:szCs w:val="30"/>
        </w:rPr>
        <w:t>39</w:t>
      </w:r>
      <w:r w:rsidRPr="00FC2C0D">
        <w:rPr>
          <w:rFonts w:hAnsi="標楷體"/>
          <w:spacing w:val="4"/>
          <w:sz w:val="30"/>
          <w:szCs w:val="30"/>
        </w:rPr>
        <w:t>以下</w:t>
      </w:r>
      <w:r w:rsidRPr="00FC2C0D">
        <w:rPr>
          <w:rFonts w:hAnsi="標楷體" w:hint="eastAsia"/>
          <w:spacing w:val="4"/>
          <w:sz w:val="30"/>
          <w:szCs w:val="30"/>
        </w:rPr>
        <w:t>。</w:t>
      </w:r>
    </w:p>
    <w:p w:rsidR="00514426" w:rsidRPr="007B5D03" w:rsidRDefault="00514426" w:rsidP="00FB2D5A">
      <w:pPr>
        <w:snapToGrid w:val="0"/>
        <w:spacing w:line="437" w:lineRule="exact"/>
        <w:ind w:leftChars="99" w:left="1513" w:hanging="1236"/>
        <w:rPr>
          <w:sz w:val="30"/>
          <w:szCs w:val="30"/>
        </w:rPr>
      </w:pPr>
      <w:r w:rsidRPr="007B5D03">
        <w:rPr>
          <w:rFonts w:hAnsi="標楷體"/>
          <w:sz w:val="30"/>
          <w:szCs w:val="30"/>
        </w:rPr>
        <w:t>附件</w:t>
      </w:r>
      <w:r w:rsidRPr="007B5D03">
        <w:rPr>
          <w:sz w:val="30"/>
          <w:szCs w:val="30"/>
        </w:rPr>
        <w:t>10</w:t>
      </w:r>
      <w:r w:rsidRPr="007B5D03">
        <w:rPr>
          <w:rFonts w:hAnsi="標楷體"/>
          <w:sz w:val="30"/>
          <w:szCs w:val="30"/>
        </w:rPr>
        <w:t xml:space="preserve">　陳清秀，行政訴訟法，第</w:t>
      </w:r>
      <w:r w:rsidRPr="007B5D03">
        <w:rPr>
          <w:sz w:val="30"/>
          <w:szCs w:val="30"/>
        </w:rPr>
        <w:t>526</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513" w:hanging="1236"/>
        <w:rPr>
          <w:sz w:val="30"/>
          <w:szCs w:val="30"/>
        </w:rPr>
      </w:pPr>
      <w:r w:rsidRPr="007B5D03">
        <w:rPr>
          <w:rFonts w:hAnsi="標楷體"/>
          <w:sz w:val="30"/>
          <w:szCs w:val="30"/>
        </w:rPr>
        <w:t>附件</w:t>
      </w:r>
      <w:r w:rsidRPr="007B5D03">
        <w:rPr>
          <w:sz w:val="30"/>
          <w:szCs w:val="30"/>
        </w:rPr>
        <w:t>11</w:t>
      </w:r>
      <w:r w:rsidRPr="007B5D03">
        <w:rPr>
          <w:rFonts w:hAnsi="標楷體"/>
          <w:sz w:val="30"/>
          <w:szCs w:val="30"/>
        </w:rPr>
        <w:t xml:space="preserve">　楊子慧，憲法訴訟，第</w:t>
      </w:r>
      <w:r w:rsidRPr="007B5D03">
        <w:rPr>
          <w:sz w:val="30"/>
          <w:szCs w:val="30"/>
        </w:rPr>
        <w:t>278</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513" w:hanging="1236"/>
        <w:rPr>
          <w:sz w:val="30"/>
          <w:szCs w:val="30"/>
        </w:rPr>
      </w:pPr>
      <w:r w:rsidRPr="007B5D03">
        <w:rPr>
          <w:rFonts w:hAnsi="標楷體"/>
          <w:sz w:val="30"/>
          <w:szCs w:val="30"/>
        </w:rPr>
        <w:t>附件</w:t>
      </w:r>
      <w:r w:rsidRPr="007B5D03">
        <w:rPr>
          <w:sz w:val="30"/>
          <w:szCs w:val="30"/>
        </w:rPr>
        <w:t>12</w:t>
      </w:r>
      <w:r w:rsidRPr="007B5D03">
        <w:rPr>
          <w:rFonts w:hAnsi="標楷體"/>
          <w:sz w:val="30"/>
          <w:szCs w:val="30"/>
        </w:rPr>
        <w:t xml:space="preserve">　楊子慧，憲法訴訟，第</w:t>
      </w:r>
      <w:r w:rsidRPr="007B5D03">
        <w:rPr>
          <w:sz w:val="30"/>
          <w:szCs w:val="30"/>
        </w:rPr>
        <w:t>284</w:t>
      </w:r>
      <w:r w:rsidRPr="007B5D03">
        <w:rPr>
          <w:rFonts w:hAnsi="標楷體"/>
          <w:sz w:val="30"/>
          <w:szCs w:val="30"/>
        </w:rPr>
        <w:t>頁</w:t>
      </w:r>
      <w:r w:rsidRPr="007B5D03">
        <w:rPr>
          <w:rFonts w:hAnsi="標楷體" w:hint="eastAsia"/>
          <w:sz w:val="30"/>
          <w:szCs w:val="30"/>
        </w:rPr>
        <w:t>。</w:t>
      </w:r>
    </w:p>
    <w:p w:rsidR="00514426" w:rsidRPr="007B5D03" w:rsidRDefault="00514426" w:rsidP="00FC2C0D">
      <w:pPr>
        <w:snapToGrid w:val="0"/>
        <w:spacing w:line="437" w:lineRule="exact"/>
        <w:ind w:leftChars="99" w:left="1581" w:hanging="1304"/>
        <w:rPr>
          <w:sz w:val="30"/>
          <w:szCs w:val="30"/>
        </w:rPr>
      </w:pPr>
      <w:r w:rsidRPr="007B5D03">
        <w:rPr>
          <w:rFonts w:hAnsi="標楷體"/>
          <w:sz w:val="30"/>
          <w:szCs w:val="30"/>
        </w:rPr>
        <w:t>附件</w:t>
      </w:r>
      <w:r w:rsidRPr="007B5D03">
        <w:rPr>
          <w:sz w:val="30"/>
          <w:szCs w:val="30"/>
        </w:rPr>
        <w:t>13</w:t>
      </w:r>
      <w:r w:rsidRPr="007B5D03">
        <w:rPr>
          <w:rFonts w:hAnsi="標楷體"/>
          <w:sz w:val="30"/>
          <w:szCs w:val="30"/>
        </w:rPr>
        <w:t xml:space="preserve">　吳庚，憲法的解釋與適用，</w:t>
      </w:r>
      <w:r w:rsidRPr="007B5D03">
        <w:rPr>
          <w:sz w:val="30"/>
          <w:szCs w:val="30"/>
        </w:rPr>
        <w:t>93</w:t>
      </w:r>
      <w:r w:rsidRPr="007B5D03">
        <w:rPr>
          <w:rFonts w:hAnsi="標楷體"/>
          <w:sz w:val="30"/>
          <w:szCs w:val="30"/>
        </w:rPr>
        <w:t>年</w:t>
      </w:r>
      <w:r w:rsidRPr="007B5D03">
        <w:rPr>
          <w:sz w:val="30"/>
          <w:szCs w:val="30"/>
        </w:rPr>
        <w:t>6</w:t>
      </w:r>
      <w:r w:rsidRPr="007B5D03">
        <w:rPr>
          <w:rFonts w:hAnsi="標楷體"/>
          <w:sz w:val="30"/>
          <w:szCs w:val="30"/>
        </w:rPr>
        <w:t>月第</w:t>
      </w:r>
      <w:r w:rsidRPr="007B5D03">
        <w:rPr>
          <w:sz w:val="30"/>
          <w:szCs w:val="30"/>
        </w:rPr>
        <w:t>3</w:t>
      </w:r>
      <w:r w:rsidRPr="007B5D03">
        <w:rPr>
          <w:rFonts w:hAnsi="標楷體"/>
          <w:sz w:val="30"/>
          <w:szCs w:val="30"/>
        </w:rPr>
        <w:t>版，第</w:t>
      </w:r>
      <w:r w:rsidRPr="007B5D03">
        <w:rPr>
          <w:sz w:val="30"/>
          <w:szCs w:val="30"/>
        </w:rPr>
        <w:t>387</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14</w:t>
      </w:r>
      <w:r w:rsidRPr="007B5D03">
        <w:rPr>
          <w:rFonts w:hAnsi="標楷體"/>
          <w:sz w:val="30"/>
          <w:szCs w:val="30"/>
        </w:rPr>
        <w:t xml:space="preserve">　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立法理由</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15</w:t>
      </w:r>
      <w:r w:rsidRPr="007B5D03">
        <w:rPr>
          <w:rFonts w:hAnsi="標楷體"/>
          <w:sz w:val="30"/>
          <w:szCs w:val="30"/>
        </w:rPr>
        <w:t xml:space="preserve">　黃茂榮，法學方法與現代民法，頁</w:t>
      </w:r>
      <w:r w:rsidRPr="007B5D03">
        <w:rPr>
          <w:sz w:val="30"/>
          <w:szCs w:val="30"/>
        </w:rPr>
        <w:t>385</w:t>
      </w:r>
      <w:r w:rsidRPr="007B5D03">
        <w:rPr>
          <w:rFonts w:hAnsi="標楷體"/>
          <w:sz w:val="30"/>
          <w:szCs w:val="30"/>
        </w:rPr>
        <w:t>至</w:t>
      </w:r>
      <w:r w:rsidRPr="007B5D03">
        <w:rPr>
          <w:sz w:val="30"/>
          <w:szCs w:val="30"/>
        </w:rPr>
        <w:t>387</w:t>
      </w:r>
      <w:r w:rsidRPr="007B5D03">
        <w:rPr>
          <w:rFonts w:hint="eastAsia"/>
          <w:sz w:val="30"/>
          <w:szCs w:val="30"/>
        </w:rPr>
        <w:t>。</w:t>
      </w:r>
    </w:p>
    <w:p w:rsidR="00514426" w:rsidRPr="007B5D03" w:rsidRDefault="00514426" w:rsidP="00FC2C0D">
      <w:pPr>
        <w:snapToGrid w:val="0"/>
        <w:spacing w:line="437" w:lineRule="exact"/>
        <w:ind w:leftChars="99" w:left="1581" w:hanging="1304"/>
        <w:rPr>
          <w:rFonts w:hAnsi="標楷體" w:hint="eastAsia"/>
          <w:sz w:val="30"/>
          <w:szCs w:val="30"/>
        </w:rPr>
      </w:pPr>
      <w:r w:rsidRPr="007B5D03">
        <w:rPr>
          <w:rFonts w:hAnsi="標楷體"/>
          <w:sz w:val="30"/>
          <w:szCs w:val="30"/>
        </w:rPr>
        <w:t>附件</w:t>
      </w:r>
      <w:r w:rsidRPr="007B5D03">
        <w:rPr>
          <w:sz w:val="30"/>
          <w:szCs w:val="30"/>
        </w:rPr>
        <w:t>16</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26"/>
          <w:attr w:name="Month" w:val="12"/>
          <w:attr w:name="Year" w:val="1991"/>
        </w:smartTagPr>
        <w:r w:rsidRPr="007B5D03">
          <w:rPr>
            <w:sz w:val="30"/>
            <w:szCs w:val="30"/>
          </w:rPr>
          <w:t>91</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26</w:t>
        </w:r>
        <w:r w:rsidRPr="007B5D03">
          <w:rPr>
            <w:rFonts w:hAnsi="標楷體"/>
            <w:sz w:val="30"/>
            <w:szCs w:val="30"/>
          </w:rPr>
          <w:t>日</w:t>
        </w:r>
      </w:smartTag>
      <w:r w:rsidRPr="007B5D03">
        <w:rPr>
          <w:rFonts w:hAnsi="標楷體"/>
          <w:sz w:val="30"/>
          <w:szCs w:val="30"/>
        </w:rPr>
        <w:t>台財稅</w:t>
      </w:r>
      <w:r w:rsidRPr="007B5D03">
        <w:rPr>
          <w:rFonts w:hAnsi="標楷體" w:hint="eastAsia"/>
          <w:sz w:val="30"/>
          <w:szCs w:val="30"/>
        </w:rPr>
        <w:t>字</w:t>
      </w:r>
      <w:r w:rsidRPr="007B5D03">
        <w:rPr>
          <w:rFonts w:hAnsi="標楷體"/>
          <w:sz w:val="30"/>
          <w:szCs w:val="30"/>
        </w:rPr>
        <w:t>第</w:t>
      </w:r>
      <w:r w:rsidRPr="007B5D03">
        <w:rPr>
          <w:sz w:val="30"/>
          <w:szCs w:val="30"/>
        </w:rPr>
        <w:t>0910455619</w:t>
      </w:r>
      <w:r w:rsidRPr="007B5D03">
        <w:rPr>
          <w:rFonts w:hAnsi="標楷體"/>
          <w:sz w:val="30"/>
          <w:szCs w:val="30"/>
        </w:rPr>
        <w:t>號函釋</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17</w:t>
      </w:r>
      <w:r w:rsidRPr="007B5D03">
        <w:rPr>
          <w:rFonts w:hAnsi="標楷體"/>
          <w:sz w:val="30"/>
          <w:szCs w:val="30"/>
        </w:rPr>
        <w:t xml:space="preserve">　</w:t>
      </w:r>
      <w:r w:rsidRPr="007B5D03">
        <w:rPr>
          <w:rFonts w:hAnsi="標楷體" w:hint="eastAsia"/>
          <w:sz w:val="30"/>
          <w:szCs w:val="30"/>
        </w:rPr>
        <w:t>臺北高等行政法院</w:t>
      </w:r>
      <w:r w:rsidRPr="007B5D03">
        <w:rPr>
          <w:rFonts w:hAnsi="標楷體" w:hint="eastAsia"/>
          <w:sz w:val="30"/>
          <w:szCs w:val="30"/>
        </w:rPr>
        <w:t>92</w:t>
      </w:r>
      <w:r w:rsidRPr="007B5D03">
        <w:rPr>
          <w:rFonts w:hAnsi="標楷體" w:hint="eastAsia"/>
          <w:sz w:val="30"/>
          <w:szCs w:val="30"/>
        </w:rPr>
        <w:t>年度訴字第</w:t>
      </w:r>
      <w:r w:rsidRPr="007B5D03">
        <w:rPr>
          <w:rFonts w:hAnsi="標楷體" w:hint="eastAsia"/>
          <w:sz w:val="30"/>
          <w:szCs w:val="30"/>
        </w:rPr>
        <w:t>157</w:t>
      </w:r>
      <w:r w:rsidRPr="007B5D03">
        <w:rPr>
          <w:rFonts w:hAnsi="標楷體" w:hint="eastAsia"/>
          <w:sz w:val="30"/>
          <w:szCs w:val="30"/>
        </w:rPr>
        <w:t>號判決。</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1</w:t>
      </w:r>
      <w:r w:rsidRPr="007B5D03">
        <w:rPr>
          <w:rFonts w:hint="eastAsia"/>
          <w:sz w:val="30"/>
          <w:szCs w:val="30"/>
        </w:rPr>
        <w:t>8</w:t>
      </w:r>
      <w:r w:rsidRPr="007B5D03">
        <w:rPr>
          <w:rFonts w:hAnsi="標楷體"/>
          <w:sz w:val="30"/>
          <w:szCs w:val="30"/>
        </w:rPr>
        <w:t xml:space="preserve">　黃茂榮，稅法總論第一冊，頁</w:t>
      </w:r>
      <w:r w:rsidRPr="007B5D03">
        <w:rPr>
          <w:sz w:val="30"/>
          <w:szCs w:val="30"/>
        </w:rPr>
        <w:t>405</w:t>
      </w:r>
      <w:r w:rsidRPr="007B5D03">
        <w:rPr>
          <w:rFonts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1</w:t>
      </w:r>
      <w:r w:rsidRPr="007B5D03">
        <w:rPr>
          <w:rFonts w:hint="eastAsia"/>
          <w:sz w:val="30"/>
          <w:szCs w:val="30"/>
        </w:rPr>
        <w:t>9</w:t>
      </w:r>
      <w:r w:rsidRPr="007B5D03">
        <w:rPr>
          <w:rFonts w:hAnsi="標楷體"/>
          <w:sz w:val="30"/>
          <w:szCs w:val="30"/>
        </w:rPr>
        <w:t xml:space="preserve">　陳清秀，稅法總論，頁</w:t>
      </w:r>
      <w:r w:rsidRPr="007B5D03">
        <w:rPr>
          <w:sz w:val="30"/>
          <w:szCs w:val="30"/>
        </w:rPr>
        <w:t>32</w:t>
      </w:r>
      <w:r w:rsidRPr="007B5D03">
        <w:rPr>
          <w:rFonts w:hAnsi="標楷體"/>
          <w:sz w:val="30"/>
          <w:szCs w:val="30"/>
        </w:rPr>
        <w:t>及</w:t>
      </w:r>
      <w:r w:rsidRPr="007B5D03">
        <w:rPr>
          <w:sz w:val="30"/>
          <w:szCs w:val="30"/>
        </w:rPr>
        <w:t>196</w:t>
      </w:r>
      <w:r w:rsidRPr="007B5D03">
        <w:rPr>
          <w:rFonts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rFonts w:hAnsi="標楷體" w:hint="eastAsia"/>
          <w:sz w:val="30"/>
          <w:szCs w:val="30"/>
        </w:rPr>
        <w:t>20</w:t>
      </w:r>
      <w:r w:rsidRPr="007B5D03">
        <w:rPr>
          <w:rFonts w:hAnsi="標楷體"/>
          <w:sz w:val="30"/>
          <w:szCs w:val="30"/>
        </w:rPr>
        <w:t xml:space="preserve">　黃茂榮，法學方法與現代民法，頁</w:t>
      </w:r>
      <w:r w:rsidRPr="007B5D03">
        <w:rPr>
          <w:sz w:val="30"/>
          <w:szCs w:val="30"/>
        </w:rPr>
        <w:t>219</w:t>
      </w:r>
      <w:r w:rsidRPr="007B5D03">
        <w:rPr>
          <w:rFonts w:hAnsi="標楷體"/>
          <w:sz w:val="30"/>
          <w:szCs w:val="30"/>
        </w:rPr>
        <w:t>至</w:t>
      </w:r>
      <w:r w:rsidRPr="007B5D03">
        <w:rPr>
          <w:sz w:val="30"/>
          <w:szCs w:val="30"/>
        </w:rPr>
        <w:t>222</w:t>
      </w:r>
      <w:r w:rsidRPr="007B5D03">
        <w:rPr>
          <w:rFonts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1</w:t>
      </w:r>
      <w:r w:rsidRPr="007B5D03">
        <w:rPr>
          <w:rFonts w:hAnsi="標楷體"/>
          <w:sz w:val="30"/>
          <w:szCs w:val="30"/>
        </w:rPr>
        <w:t xml:space="preserve">　林明昕，論行政罰中單一行為之概念，頁</w:t>
      </w:r>
      <w:r w:rsidRPr="007B5D03">
        <w:rPr>
          <w:sz w:val="30"/>
          <w:szCs w:val="30"/>
        </w:rPr>
        <w:t>21</w:t>
      </w:r>
      <w:r w:rsidRPr="007B5D03">
        <w:rPr>
          <w:rFonts w:hAnsi="標楷體"/>
          <w:sz w:val="30"/>
          <w:szCs w:val="30"/>
        </w:rPr>
        <w:t>及</w:t>
      </w:r>
      <w:r w:rsidRPr="007B5D03">
        <w:rPr>
          <w:sz w:val="30"/>
          <w:szCs w:val="30"/>
        </w:rPr>
        <w:t>22</w:t>
      </w:r>
      <w:r w:rsidRPr="007B5D03">
        <w:rPr>
          <w:rFonts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2</w:t>
      </w:r>
      <w:r w:rsidRPr="007B5D03">
        <w:rPr>
          <w:rFonts w:hAnsi="標楷體"/>
          <w:sz w:val="30"/>
          <w:szCs w:val="30"/>
        </w:rPr>
        <w:t xml:space="preserve">　金子宏，租稅法，第</w:t>
      </w:r>
      <w:r w:rsidRPr="007B5D03">
        <w:rPr>
          <w:sz w:val="30"/>
          <w:szCs w:val="30"/>
        </w:rPr>
        <w:t>13</w:t>
      </w:r>
      <w:r w:rsidRPr="007B5D03">
        <w:rPr>
          <w:rFonts w:hAnsi="標楷體"/>
          <w:sz w:val="30"/>
          <w:szCs w:val="30"/>
        </w:rPr>
        <w:t>版，頁</w:t>
      </w:r>
      <w:r w:rsidRPr="007B5D03">
        <w:rPr>
          <w:sz w:val="30"/>
          <w:szCs w:val="30"/>
        </w:rPr>
        <w:t>262</w:t>
      </w:r>
      <w:r w:rsidRPr="007B5D03">
        <w:rPr>
          <w:rFonts w:hAnsi="標楷體"/>
          <w:sz w:val="30"/>
          <w:szCs w:val="30"/>
        </w:rPr>
        <w:t>、</w:t>
      </w:r>
      <w:r w:rsidRPr="007B5D03">
        <w:rPr>
          <w:sz w:val="30"/>
          <w:szCs w:val="30"/>
        </w:rPr>
        <w:t>265</w:t>
      </w:r>
      <w:r w:rsidRPr="007B5D03">
        <w:rPr>
          <w:rFonts w:hAnsi="標楷體"/>
          <w:sz w:val="30"/>
          <w:szCs w:val="30"/>
        </w:rPr>
        <w:t>、頁</w:t>
      </w:r>
      <w:r w:rsidRPr="007B5D03">
        <w:rPr>
          <w:sz w:val="30"/>
          <w:szCs w:val="30"/>
        </w:rPr>
        <w:t>750</w:t>
      </w:r>
      <w:r w:rsidRPr="007B5D03">
        <w:rPr>
          <w:rFonts w:hAnsi="標楷體"/>
          <w:sz w:val="30"/>
          <w:szCs w:val="30"/>
        </w:rPr>
        <w:t>、頁</w:t>
      </w:r>
      <w:r w:rsidRPr="007B5D03">
        <w:rPr>
          <w:sz w:val="30"/>
          <w:szCs w:val="30"/>
        </w:rPr>
        <w:t>752</w:t>
      </w:r>
      <w:r w:rsidRPr="007B5D03">
        <w:rPr>
          <w:rFonts w:hint="eastAsia"/>
          <w:sz w:val="30"/>
          <w:szCs w:val="30"/>
        </w:rPr>
        <w:t>。</w:t>
      </w:r>
    </w:p>
    <w:p w:rsidR="00514426" w:rsidRPr="007B5D03" w:rsidRDefault="00514426" w:rsidP="00FC2C0D">
      <w:pPr>
        <w:snapToGrid w:val="0"/>
        <w:spacing w:line="437" w:lineRule="exact"/>
        <w:ind w:leftChars="99" w:left="1524" w:hanging="1247"/>
        <w:rPr>
          <w:sz w:val="30"/>
          <w:szCs w:val="30"/>
        </w:rPr>
      </w:pPr>
      <w:r w:rsidRPr="007B5D03">
        <w:rPr>
          <w:rFonts w:hAnsi="標楷體"/>
          <w:sz w:val="30"/>
          <w:szCs w:val="30"/>
        </w:rPr>
        <w:t>附件</w:t>
      </w:r>
      <w:r w:rsidRPr="007B5D03">
        <w:rPr>
          <w:sz w:val="30"/>
          <w:szCs w:val="30"/>
        </w:rPr>
        <w:t>2</w:t>
      </w:r>
      <w:r w:rsidRPr="007B5D03">
        <w:rPr>
          <w:rFonts w:hint="eastAsia"/>
          <w:sz w:val="30"/>
          <w:szCs w:val="30"/>
        </w:rPr>
        <w:t>3</w:t>
      </w:r>
      <w:r w:rsidRPr="007B5D03">
        <w:rPr>
          <w:rFonts w:hAnsi="標楷體"/>
          <w:sz w:val="30"/>
          <w:szCs w:val="30"/>
        </w:rPr>
        <w:t xml:space="preserve">　財務會計準則第</w:t>
      </w:r>
      <w:r w:rsidRPr="007B5D03">
        <w:rPr>
          <w:sz w:val="30"/>
          <w:szCs w:val="30"/>
        </w:rPr>
        <w:t>34</w:t>
      </w:r>
      <w:r w:rsidRPr="007B5D03">
        <w:rPr>
          <w:rFonts w:hAnsi="標楷體"/>
          <w:sz w:val="30"/>
          <w:szCs w:val="30"/>
        </w:rPr>
        <w:t>號「金融商品之會計處理準則」公</w:t>
      </w:r>
      <w:r w:rsidRPr="007B5D03">
        <w:rPr>
          <w:rFonts w:hAnsi="標楷體"/>
          <w:sz w:val="30"/>
          <w:szCs w:val="30"/>
        </w:rPr>
        <w:lastRenderedPageBreak/>
        <w:t>報</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4</w:t>
      </w:r>
      <w:r w:rsidRPr="007B5D03">
        <w:rPr>
          <w:rFonts w:hAnsi="標楷體"/>
          <w:sz w:val="30"/>
          <w:szCs w:val="30"/>
        </w:rPr>
        <w:t xml:space="preserve">　證券商財務報告編製準則</w:t>
      </w:r>
      <w:r w:rsidRPr="007B5D03">
        <w:rPr>
          <w:rFonts w:hAnsi="標楷體" w:hint="eastAsia"/>
          <w:sz w:val="30"/>
          <w:szCs w:val="30"/>
        </w:rPr>
        <w:t>。</w:t>
      </w:r>
    </w:p>
    <w:p w:rsidR="00514426" w:rsidRPr="00FC2C0D" w:rsidRDefault="00514426" w:rsidP="00FC2C0D">
      <w:pPr>
        <w:snapToGrid w:val="0"/>
        <w:spacing w:line="437" w:lineRule="exact"/>
        <w:ind w:leftChars="99" w:left="1581" w:hanging="1304"/>
        <w:rPr>
          <w:spacing w:val="-4"/>
          <w:sz w:val="30"/>
          <w:szCs w:val="30"/>
        </w:rPr>
      </w:pPr>
      <w:r w:rsidRPr="00FC2C0D">
        <w:rPr>
          <w:rFonts w:hAnsi="標楷體"/>
          <w:spacing w:val="-4"/>
          <w:sz w:val="30"/>
          <w:szCs w:val="30"/>
        </w:rPr>
        <w:t>附件</w:t>
      </w:r>
      <w:r w:rsidRPr="00FC2C0D">
        <w:rPr>
          <w:spacing w:val="-4"/>
          <w:sz w:val="30"/>
          <w:szCs w:val="30"/>
        </w:rPr>
        <w:t>2</w:t>
      </w:r>
      <w:r w:rsidRPr="00FC2C0D">
        <w:rPr>
          <w:rFonts w:hint="eastAsia"/>
          <w:spacing w:val="-4"/>
          <w:sz w:val="30"/>
          <w:szCs w:val="30"/>
        </w:rPr>
        <w:t>5</w:t>
      </w:r>
      <w:r w:rsidRPr="00FC2C0D">
        <w:rPr>
          <w:rFonts w:hAnsi="標楷體"/>
          <w:spacing w:val="-4"/>
          <w:sz w:val="30"/>
          <w:szCs w:val="30"/>
        </w:rPr>
        <w:t xml:space="preserve">　黃茂榮，不動產稅及其對不動產產業的經濟引導，註</w:t>
      </w:r>
      <w:r w:rsidRPr="00FC2C0D">
        <w:rPr>
          <w:spacing w:val="-4"/>
          <w:sz w:val="30"/>
          <w:szCs w:val="30"/>
        </w:rPr>
        <w:t>5</w:t>
      </w:r>
      <w:r w:rsidRPr="00FC2C0D">
        <w:rPr>
          <w:rFonts w:hAnsi="標楷體"/>
          <w:spacing w:val="-4"/>
          <w:sz w:val="30"/>
          <w:szCs w:val="30"/>
        </w:rPr>
        <w:t>，頁</w:t>
      </w:r>
      <w:r w:rsidRPr="00FC2C0D">
        <w:rPr>
          <w:spacing w:val="-4"/>
          <w:sz w:val="30"/>
          <w:szCs w:val="30"/>
        </w:rPr>
        <w:t>442</w:t>
      </w:r>
      <w:r w:rsidRPr="00FC2C0D">
        <w:rPr>
          <w:rFonts w:hint="eastAsia"/>
          <w:spacing w:val="-4"/>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6</w:t>
      </w:r>
      <w:r w:rsidRPr="007B5D03">
        <w:rPr>
          <w:rFonts w:hAnsi="標楷體"/>
          <w:sz w:val="30"/>
          <w:szCs w:val="30"/>
        </w:rPr>
        <w:t xml:space="preserve">　稅捐稽徵法第</w:t>
      </w:r>
      <w:r w:rsidRPr="007B5D03">
        <w:rPr>
          <w:sz w:val="30"/>
          <w:szCs w:val="30"/>
        </w:rPr>
        <w:t>12</w:t>
      </w:r>
      <w:r w:rsidRPr="007B5D03">
        <w:rPr>
          <w:rFonts w:hAnsi="標楷體"/>
          <w:sz w:val="30"/>
          <w:szCs w:val="30"/>
        </w:rPr>
        <w:t>條之</w:t>
      </w:r>
      <w:r w:rsidRPr="007B5D03">
        <w:rPr>
          <w:sz w:val="30"/>
          <w:szCs w:val="30"/>
        </w:rPr>
        <w:t>1</w:t>
      </w:r>
      <w:r w:rsidRPr="007B5D03">
        <w:rPr>
          <w:rFonts w:hAnsi="標楷體"/>
          <w:sz w:val="30"/>
          <w:szCs w:val="30"/>
        </w:rPr>
        <w:t>規定</w:t>
      </w:r>
      <w:r w:rsidRPr="007B5D03">
        <w:rPr>
          <w:rFonts w:hAnsi="標楷體" w:hint="eastAsia"/>
          <w:sz w:val="30"/>
          <w:szCs w:val="30"/>
        </w:rPr>
        <w:t>。</w:t>
      </w:r>
    </w:p>
    <w:p w:rsidR="00514426" w:rsidRPr="00FC2C0D" w:rsidRDefault="00514426" w:rsidP="00FB2D5A">
      <w:pPr>
        <w:snapToGrid w:val="0"/>
        <w:spacing w:line="437" w:lineRule="exact"/>
        <w:ind w:leftChars="99" w:left="1638" w:hanging="1361"/>
        <w:rPr>
          <w:spacing w:val="-3"/>
          <w:sz w:val="30"/>
          <w:szCs w:val="30"/>
        </w:rPr>
      </w:pPr>
      <w:r w:rsidRPr="00FC2C0D">
        <w:rPr>
          <w:rFonts w:hAnsi="標楷體"/>
          <w:spacing w:val="-3"/>
          <w:sz w:val="30"/>
          <w:szCs w:val="30"/>
        </w:rPr>
        <w:t>附件</w:t>
      </w:r>
      <w:r w:rsidRPr="00FC2C0D">
        <w:rPr>
          <w:spacing w:val="-3"/>
          <w:sz w:val="30"/>
          <w:szCs w:val="30"/>
        </w:rPr>
        <w:t>2</w:t>
      </w:r>
      <w:r w:rsidRPr="00FC2C0D">
        <w:rPr>
          <w:rFonts w:hint="eastAsia"/>
          <w:spacing w:val="-3"/>
          <w:sz w:val="30"/>
          <w:szCs w:val="30"/>
        </w:rPr>
        <w:t>7</w:t>
      </w:r>
      <w:r w:rsidRPr="00FC2C0D">
        <w:rPr>
          <w:rFonts w:hAnsi="標楷體"/>
          <w:spacing w:val="-3"/>
          <w:sz w:val="30"/>
          <w:szCs w:val="30"/>
        </w:rPr>
        <w:t xml:space="preserve">　陳清秀，量能課稅原則在所得稅法上之實踐，現代稅法原理與國際稅法，頁</w:t>
      </w:r>
      <w:r w:rsidRPr="00FC2C0D">
        <w:rPr>
          <w:spacing w:val="-3"/>
          <w:sz w:val="30"/>
          <w:szCs w:val="30"/>
        </w:rPr>
        <w:t>47</w:t>
      </w:r>
      <w:r w:rsidRPr="00FC2C0D">
        <w:rPr>
          <w:rFonts w:hAnsi="標楷體"/>
          <w:spacing w:val="-3"/>
          <w:sz w:val="30"/>
          <w:szCs w:val="30"/>
        </w:rPr>
        <w:t>至</w:t>
      </w:r>
      <w:r w:rsidRPr="00FC2C0D">
        <w:rPr>
          <w:spacing w:val="-3"/>
          <w:sz w:val="30"/>
          <w:szCs w:val="30"/>
        </w:rPr>
        <w:t>48</w:t>
      </w:r>
      <w:r w:rsidRPr="00FC2C0D">
        <w:rPr>
          <w:rFonts w:hint="eastAsia"/>
          <w:spacing w:val="-3"/>
          <w:sz w:val="30"/>
          <w:szCs w:val="30"/>
        </w:rPr>
        <w:t>。</w:t>
      </w:r>
      <w:hyperlink w:history="1"/>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8</w:t>
      </w:r>
      <w:r w:rsidRPr="007B5D03">
        <w:rPr>
          <w:rFonts w:hAnsi="標楷體"/>
          <w:sz w:val="30"/>
          <w:szCs w:val="30"/>
        </w:rPr>
        <w:t xml:space="preserve">　陳清秀，論客觀的淨額所得原則，現代稅法原理與國際稅法，頁</w:t>
      </w:r>
      <w:r w:rsidRPr="007B5D03">
        <w:rPr>
          <w:sz w:val="30"/>
          <w:szCs w:val="30"/>
        </w:rPr>
        <w:t>265</w:t>
      </w:r>
      <w:r w:rsidRPr="007B5D03">
        <w:rPr>
          <w:rFonts w:hAnsi="標楷體"/>
          <w:sz w:val="30"/>
          <w:szCs w:val="30"/>
        </w:rPr>
        <w:t>、</w:t>
      </w:r>
      <w:r w:rsidRPr="007B5D03">
        <w:rPr>
          <w:sz w:val="30"/>
          <w:szCs w:val="30"/>
        </w:rPr>
        <w:t>271</w:t>
      </w:r>
      <w:r w:rsidRPr="007B5D03">
        <w:rPr>
          <w:rFonts w:hAnsi="標楷體"/>
          <w:sz w:val="30"/>
          <w:szCs w:val="30"/>
        </w:rPr>
        <w:t>至</w:t>
      </w:r>
      <w:r w:rsidRPr="007B5D03">
        <w:rPr>
          <w:sz w:val="30"/>
          <w:szCs w:val="30"/>
        </w:rPr>
        <w:t>272</w:t>
      </w:r>
      <w:r w:rsidRPr="007B5D03">
        <w:rPr>
          <w:rFonts w:hAnsi="標楷體"/>
          <w:sz w:val="30"/>
          <w:szCs w:val="30"/>
        </w:rPr>
        <w:t>、</w:t>
      </w:r>
      <w:r w:rsidRPr="007B5D03">
        <w:rPr>
          <w:sz w:val="30"/>
          <w:szCs w:val="30"/>
        </w:rPr>
        <w:t>297</w:t>
      </w:r>
      <w:r w:rsidRPr="007B5D03">
        <w:rPr>
          <w:rFonts w:hAnsi="標楷體"/>
          <w:sz w:val="30"/>
          <w:szCs w:val="30"/>
        </w:rPr>
        <w:t>至</w:t>
      </w:r>
      <w:r w:rsidRPr="007B5D03">
        <w:rPr>
          <w:sz w:val="30"/>
          <w:szCs w:val="30"/>
        </w:rPr>
        <w:t>306</w:t>
      </w:r>
      <w:r w:rsidRPr="007B5D03">
        <w:rPr>
          <w:rFonts w:hint="eastAsia"/>
          <w:sz w:val="30"/>
          <w:szCs w:val="30"/>
        </w:rPr>
        <w:t>。</w:t>
      </w:r>
      <w:hyperlink w:history="1"/>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2</w:t>
      </w:r>
      <w:r w:rsidRPr="007B5D03">
        <w:rPr>
          <w:rFonts w:hint="eastAsia"/>
          <w:sz w:val="30"/>
          <w:szCs w:val="30"/>
        </w:rPr>
        <w:t>9</w:t>
      </w:r>
      <w:r w:rsidRPr="007B5D03">
        <w:rPr>
          <w:rFonts w:hAnsi="標楷體"/>
          <w:sz w:val="30"/>
          <w:szCs w:val="30"/>
        </w:rPr>
        <w:t xml:space="preserve">　</w:t>
      </w:r>
      <w:smartTag w:uri="urn:schemas-microsoft-com:office:smarttags" w:element="PersonName">
        <w:smartTagPr>
          <w:attr w:name="ProductID" w:val="李存修"/>
        </w:smartTagPr>
        <w:r w:rsidRPr="007B5D03">
          <w:rPr>
            <w:rFonts w:hAnsi="標楷體"/>
            <w:sz w:val="30"/>
            <w:szCs w:val="30"/>
          </w:rPr>
          <w:t>李存修</w:t>
        </w:r>
      </w:smartTag>
      <w:r w:rsidRPr="007B5D03">
        <w:rPr>
          <w:rFonts w:hAnsi="標楷體"/>
          <w:sz w:val="30"/>
          <w:szCs w:val="30"/>
        </w:rPr>
        <w:t>教授主持，證券商發行認購（售）權證之定價策略及各項相關成本分析研究報告，</w:t>
      </w:r>
      <w:r w:rsidRPr="007B5D03">
        <w:rPr>
          <w:sz w:val="30"/>
          <w:szCs w:val="30"/>
        </w:rPr>
        <w:t>93</w:t>
      </w:r>
      <w:r w:rsidRPr="007B5D03">
        <w:rPr>
          <w:rFonts w:hAnsi="標楷體"/>
          <w:sz w:val="30"/>
          <w:szCs w:val="30"/>
        </w:rPr>
        <w:t>年</w:t>
      </w:r>
      <w:r w:rsidRPr="007B5D03">
        <w:rPr>
          <w:sz w:val="30"/>
          <w:szCs w:val="30"/>
        </w:rPr>
        <w:t>8</w:t>
      </w:r>
      <w:r w:rsidRPr="007B5D03">
        <w:rPr>
          <w:rFonts w:hAnsi="標楷體"/>
          <w:sz w:val="30"/>
          <w:szCs w:val="30"/>
        </w:rPr>
        <w:t>月</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w:t>
      </w:r>
      <w:r w:rsidRPr="007B5D03">
        <w:rPr>
          <w:rFonts w:hAnsi="標楷體"/>
          <w:spacing w:val="-12"/>
          <w:sz w:val="30"/>
          <w:szCs w:val="30"/>
        </w:rPr>
        <w:t>件</w:t>
      </w:r>
      <w:r w:rsidRPr="007B5D03">
        <w:rPr>
          <w:rFonts w:hint="eastAsia"/>
          <w:spacing w:val="-12"/>
          <w:sz w:val="30"/>
          <w:szCs w:val="30"/>
        </w:rPr>
        <w:t>30</w:t>
      </w:r>
      <w:r w:rsidRPr="007B5D03">
        <w:rPr>
          <w:rFonts w:hAnsi="標楷體"/>
          <w:sz w:val="30"/>
          <w:szCs w:val="30"/>
        </w:rPr>
        <w:t xml:space="preserve">　</w:t>
      </w:r>
      <w:r w:rsidRPr="00FC2C0D">
        <w:rPr>
          <w:rFonts w:hAnsi="標楷體"/>
          <w:spacing w:val="-4"/>
          <w:sz w:val="30"/>
          <w:szCs w:val="30"/>
        </w:rPr>
        <w:t>陳愛娥，大法官憲法解釋之界限</w:t>
      </w:r>
      <w:r w:rsidRPr="00FC2C0D">
        <w:rPr>
          <w:spacing w:val="-4"/>
          <w:sz w:val="30"/>
          <w:szCs w:val="30"/>
        </w:rPr>
        <w:t>—</w:t>
      </w:r>
      <w:r w:rsidRPr="00FC2C0D">
        <w:rPr>
          <w:rFonts w:hAnsi="標楷體"/>
          <w:spacing w:val="-4"/>
          <w:sz w:val="30"/>
          <w:szCs w:val="30"/>
        </w:rPr>
        <w:t>由功能法觀點出發</w:t>
      </w:r>
      <w:r w:rsidRPr="00FC2C0D">
        <w:rPr>
          <w:rFonts w:hAnsi="標楷體" w:hint="eastAsia"/>
          <w:spacing w:val="-4"/>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rFonts w:hint="eastAsia"/>
          <w:sz w:val="30"/>
          <w:szCs w:val="30"/>
        </w:rPr>
        <w:t>31</w:t>
      </w:r>
      <w:r w:rsidRPr="007B5D03">
        <w:rPr>
          <w:rFonts w:hAnsi="標楷體"/>
          <w:sz w:val="30"/>
          <w:szCs w:val="30"/>
        </w:rPr>
        <w:t xml:space="preserve">　立法院公報第</w:t>
      </w:r>
      <w:r w:rsidRPr="007B5D03">
        <w:rPr>
          <w:sz w:val="30"/>
          <w:szCs w:val="30"/>
        </w:rPr>
        <w:t>94</w:t>
      </w:r>
      <w:r w:rsidRPr="007B5D03">
        <w:rPr>
          <w:rFonts w:hAnsi="標楷體"/>
          <w:sz w:val="30"/>
          <w:szCs w:val="30"/>
        </w:rPr>
        <w:t>卷第</w:t>
      </w:r>
      <w:r w:rsidRPr="007B5D03">
        <w:rPr>
          <w:sz w:val="30"/>
          <w:szCs w:val="30"/>
        </w:rPr>
        <w:t>62</w:t>
      </w:r>
      <w:r w:rsidRPr="007B5D03">
        <w:rPr>
          <w:rFonts w:hAnsi="標楷體"/>
          <w:sz w:val="30"/>
          <w:szCs w:val="30"/>
        </w:rPr>
        <w:t>期</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3</w:t>
      </w:r>
      <w:r w:rsidRPr="007B5D03">
        <w:rPr>
          <w:rFonts w:hint="eastAsia"/>
          <w:sz w:val="30"/>
          <w:szCs w:val="30"/>
        </w:rPr>
        <w:t>2</w:t>
      </w:r>
      <w:r w:rsidRPr="007B5D03">
        <w:rPr>
          <w:rFonts w:hAnsi="標楷體"/>
          <w:sz w:val="30"/>
          <w:szCs w:val="30"/>
        </w:rPr>
        <w:t xml:space="preserve">　</w:t>
      </w:r>
      <w:smartTag w:uri="urn:schemas-microsoft-com:office:smarttags" w:element="chsdate">
        <w:smartTagPr>
          <w:attr w:name="IsROCDate" w:val="False"/>
          <w:attr w:name="IsLunarDate" w:val="False"/>
          <w:attr w:name="Day" w:val="3"/>
          <w:attr w:name="Month" w:val="4"/>
          <w:attr w:name="Year" w:val="1996"/>
        </w:smartTagPr>
        <w:r w:rsidRPr="007B5D03">
          <w:rPr>
            <w:sz w:val="30"/>
            <w:szCs w:val="30"/>
          </w:rPr>
          <w:t>96</w:t>
        </w:r>
        <w:r w:rsidRPr="007B5D03">
          <w:rPr>
            <w:rFonts w:hAnsi="標楷體"/>
            <w:sz w:val="30"/>
            <w:szCs w:val="30"/>
          </w:rPr>
          <w:t>年</w:t>
        </w:r>
        <w:r w:rsidRPr="007B5D03">
          <w:rPr>
            <w:sz w:val="30"/>
            <w:szCs w:val="30"/>
          </w:rPr>
          <w:t>4</w:t>
        </w:r>
        <w:r w:rsidRPr="007B5D03">
          <w:rPr>
            <w:rFonts w:hAnsi="標楷體"/>
            <w:sz w:val="30"/>
            <w:szCs w:val="30"/>
          </w:rPr>
          <w:t>月</w:t>
        </w:r>
        <w:r w:rsidRPr="007B5D03">
          <w:rPr>
            <w:sz w:val="30"/>
            <w:szCs w:val="30"/>
          </w:rPr>
          <w:t>3</w:t>
        </w:r>
        <w:r w:rsidRPr="007B5D03">
          <w:rPr>
            <w:rFonts w:hAnsi="標楷體"/>
            <w:sz w:val="30"/>
            <w:szCs w:val="30"/>
          </w:rPr>
          <w:t>日</w:t>
        </w:r>
      </w:smartTag>
      <w:r w:rsidRPr="007B5D03">
        <w:rPr>
          <w:rFonts w:hAnsi="標楷體"/>
          <w:sz w:val="30"/>
          <w:szCs w:val="30"/>
        </w:rPr>
        <w:t>經濟日報，網址：</w:t>
      </w:r>
    </w:p>
    <w:p w:rsidR="00514426" w:rsidRPr="007B5D03" w:rsidRDefault="00514426" w:rsidP="00FB2D5A">
      <w:pPr>
        <w:snapToGrid w:val="0"/>
        <w:spacing w:line="437" w:lineRule="exact"/>
        <w:ind w:leftChars="500" w:left="1400"/>
        <w:rPr>
          <w:rFonts w:hint="eastAsia"/>
          <w:spacing w:val="-20"/>
          <w:sz w:val="30"/>
          <w:szCs w:val="30"/>
        </w:rPr>
      </w:pPr>
      <w:r w:rsidRPr="007B5D03">
        <w:rPr>
          <w:spacing w:val="-20"/>
          <w:sz w:val="30"/>
          <w:szCs w:val="30"/>
        </w:rPr>
        <w:t>http://pro.udnjob.com/mag2/fn/storypage.jsp?f_ART_ID=32465</w:t>
      </w:r>
      <w:r w:rsidRPr="007B5D03">
        <w:rPr>
          <w:rFonts w:hAnsi="標楷體"/>
          <w:spacing w:val="-20"/>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33</w:t>
      </w:r>
      <w:r w:rsidRPr="007B5D03">
        <w:rPr>
          <w:rFonts w:hAnsi="標楷體"/>
          <w:sz w:val="30"/>
          <w:szCs w:val="30"/>
        </w:rPr>
        <w:t xml:space="preserve">　最高行政法院</w:t>
      </w:r>
      <w:r w:rsidRPr="007B5D03">
        <w:rPr>
          <w:sz w:val="30"/>
          <w:szCs w:val="30"/>
        </w:rPr>
        <w:t>96</w:t>
      </w:r>
      <w:r w:rsidRPr="007B5D03">
        <w:rPr>
          <w:rFonts w:hAnsi="標楷體"/>
          <w:sz w:val="30"/>
          <w:szCs w:val="30"/>
        </w:rPr>
        <w:t>年度判字第</w:t>
      </w:r>
      <w:r w:rsidRPr="007B5D03">
        <w:rPr>
          <w:sz w:val="30"/>
          <w:szCs w:val="30"/>
        </w:rPr>
        <w:t>406</w:t>
      </w:r>
      <w:r w:rsidRPr="007B5D03">
        <w:rPr>
          <w:rFonts w:hAnsi="標楷體"/>
          <w:sz w:val="30"/>
          <w:szCs w:val="30"/>
        </w:rPr>
        <w:t>號判決</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34</w:t>
      </w:r>
      <w:r w:rsidRPr="007B5D03">
        <w:rPr>
          <w:rFonts w:hAnsi="標楷體"/>
          <w:sz w:val="30"/>
          <w:szCs w:val="30"/>
        </w:rPr>
        <w:t xml:space="preserve">　立法院公報第</w:t>
      </w:r>
      <w:r w:rsidRPr="007B5D03">
        <w:rPr>
          <w:sz w:val="30"/>
          <w:szCs w:val="30"/>
        </w:rPr>
        <w:t>79</w:t>
      </w:r>
      <w:r w:rsidRPr="007B5D03">
        <w:rPr>
          <w:rFonts w:hAnsi="標楷體"/>
          <w:sz w:val="30"/>
          <w:szCs w:val="30"/>
        </w:rPr>
        <w:t>卷第</w:t>
      </w:r>
      <w:r w:rsidRPr="007B5D03">
        <w:rPr>
          <w:sz w:val="30"/>
          <w:szCs w:val="30"/>
        </w:rPr>
        <w:t>59</w:t>
      </w:r>
      <w:r w:rsidRPr="007B5D03">
        <w:rPr>
          <w:rFonts w:hAnsi="標楷體"/>
          <w:sz w:val="30"/>
          <w:szCs w:val="30"/>
        </w:rPr>
        <w:t>期</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w:t>
      </w:r>
      <w:r w:rsidRPr="007B5D03">
        <w:rPr>
          <w:rFonts w:hAnsi="標楷體"/>
          <w:spacing w:val="-22"/>
          <w:sz w:val="30"/>
          <w:szCs w:val="30"/>
        </w:rPr>
        <w:t>件</w:t>
      </w:r>
      <w:r w:rsidRPr="007B5D03">
        <w:rPr>
          <w:spacing w:val="-22"/>
          <w:sz w:val="30"/>
          <w:szCs w:val="30"/>
        </w:rPr>
        <w:t>3</w:t>
      </w:r>
      <w:r w:rsidRPr="007B5D03">
        <w:rPr>
          <w:sz w:val="30"/>
          <w:szCs w:val="30"/>
        </w:rPr>
        <w:t>5</w:t>
      </w:r>
      <w:r w:rsidRPr="007B5D03">
        <w:rPr>
          <w:rFonts w:hAnsi="標楷體"/>
          <w:sz w:val="30"/>
          <w:szCs w:val="30"/>
        </w:rPr>
        <w:t xml:space="preserve">　黃士洲，權證官司二審敗訴簡評</w:t>
      </w:r>
      <w:r w:rsidRPr="007B5D03">
        <w:rPr>
          <w:sz w:val="30"/>
          <w:szCs w:val="30"/>
        </w:rPr>
        <w:t>---</w:t>
      </w:r>
      <w:r w:rsidRPr="007B5D03">
        <w:rPr>
          <w:rFonts w:hAnsi="標楷體"/>
          <w:sz w:val="30"/>
          <w:szCs w:val="30"/>
        </w:rPr>
        <w:t>最高行政法院</w:t>
      </w:r>
      <w:r w:rsidRPr="007B5D03">
        <w:rPr>
          <w:sz w:val="30"/>
          <w:szCs w:val="30"/>
        </w:rPr>
        <w:t>95</w:t>
      </w:r>
      <w:r w:rsidRPr="007B5D03">
        <w:rPr>
          <w:rFonts w:hAnsi="標楷體"/>
          <w:sz w:val="30"/>
          <w:szCs w:val="30"/>
        </w:rPr>
        <w:t>年判字第</w:t>
      </w:r>
      <w:r w:rsidRPr="007B5D03">
        <w:rPr>
          <w:sz w:val="30"/>
          <w:szCs w:val="30"/>
        </w:rPr>
        <w:t>2206</w:t>
      </w:r>
      <w:r w:rsidRPr="007B5D03">
        <w:rPr>
          <w:rFonts w:hAnsi="標楷體"/>
          <w:sz w:val="30"/>
          <w:szCs w:val="30"/>
        </w:rPr>
        <w:t>號判決評析，稅務旬刊，</w:t>
      </w:r>
      <w:r w:rsidRPr="007B5D03">
        <w:rPr>
          <w:sz w:val="30"/>
          <w:szCs w:val="30"/>
        </w:rPr>
        <w:t>1994</w:t>
      </w:r>
      <w:r w:rsidRPr="007B5D03">
        <w:rPr>
          <w:rFonts w:hAnsi="標楷體"/>
          <w:sz w:val="30"/>
          <w:szCs w:val="30"/>
        </w:rPr>
        <w:t>期，</w:t>
      </w:r>
      <w:r w:rsidRPr="007B5D03">
        <w:rPr>
          <w:sz w:val="30"/>
          <w:szCs w:val="30"/>
        </w:rPr>
        <w:t>2007</w:t>
      </w:r>
      <w:r w:rsidRPr="007B5D03">
        <w:rPr>
          <w:rFonts w:hAnsi="標楷體"/>
          <w:sz w:val="30"/>
          <w:szCs w:val="30"/>
        </w:rPr>
        <w:t>年</w:t>
      </w:r>
      <w:r w:rsidRPr="007B5D03">
        <w:rPr>
          <w:sz w:val="30"/>
          <w:szCs w:val="30"/>
        </w:rPr>
        <w:t>2</w:t>
      </w:r>
      <w:r w:rsidRPr="007B5D03">
        <w:rPr>
          <w:rFonts w:hAnsi="標楷體"/>
          <w:sz w:val="30"/>
          <w:szCs w:val="30"/>
        </w:rPr>
        <w:t>月，頁</w:t>
      </w:r>
      <w:r w:rsidRPr="007B5D03">
        <w:rPr>
          <w:sz w:val="30"/>
          <w:szCs w:val="30"/>
        </w:rPr>
        <w:t>7</w:t>
      </w:r>
      <w:r w:rsidRPr="007B5D03">
        <w:rPr>
          <w:rFonts w:hAnsi="標楷體"/>
          <w:sz w:val="30"/>
          <w:szCs w:val="30"/>
        </w:rPr>
        <w:t>以下。</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36</w:t>
      </w:r>
      <w:r w:rsidRPr="007B5D03">
        <w:rPr>
          <w:rFonts w:hAnsi="標楷體"/>
          <w:sz w:val="30"/>
          <w:szCs w:val="30"/>
        </w:rPr>
        <w:t xml:space="preserve">　許宗力，從憲法解釋看待平等原則與違憲審查，收錄於中央研究院舉辦第二屆「憲法解釋之理論與實務」學術研討會，會議論文（一），民國</w:t>
      </w:r>
      <w:r w:rsidRPr="007B5D03">
        <w:rPr>
          <w:sz w:val="30"/>
          <w:szCs w:val="30"/>
        </w:rPr>
        <w:t>88</w:t>
      </w:r>
      <w:r w:rsidRPr="007B5D03">
        <w:rPr>
          <w:rFonts w:hAnsi="標楷體"/>
          <w:sz w:val="30"/>
          <w:szCs w:val="30"/>
        </w:rPr>
        <w:t>年，第</w:t>
      </w:r>
      <w:r w:rsidRPr="007B5D03">
        <w:rPr>
          <w:sz w:val="30"/>
          <w:szCs w:val="30"/>
        </w:rPr>
        <w:t>85</w:t>
      </w:r>
      <w:r w:rsidRPr="007B5D03">
        <w:rPr>
          <w:rFonts w:hAnsi="標楷體"/>
          <w:sz w:val="30"/>
          <w:szCs w:val="30"/>
        </w:rPr>
        <w:t>頁以下影本乙份。</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37</w:t>
      </w:r>
      <w:r w:rsidRPr="007B5D03">
        <w:rPr>
          <w:rFonts w:hAnsi="標楷體"/>
          <w:sz w:val="30"/>
          <w:szCs w:val="30"/>
        </w:rPr>
        <w:t xml:space="preserve">　臺北高等行政法院</w:t>
      </w:r>
      <w:r w:rsidRPr="007B5D03">
        <w:rPr>
          <w:sz w:val="30"/>
          <w:szCs w:val="30"/>
        </w:rPr>
        <w:t>92</w:t>
      </w:r>
      <w:r w:rsidRPr="007B5D03">
        <w:rPr>
          <w:rFonts w:hAnsi="標楷體"/>
          <w:sz w:val="30"/>
          <w:szCs w:val="30"/>
        </w:rPr>
        <w:t>年度訴字第</w:t>
      </w:r>
      <w:r w:rsidRPr="007B5D03">
        <w:rPr>
          <w:sz w:val="30"/>
          <w:szCs w:val="30"/>
        </w:rPr>
        <w:t>4555</w:t>
      </w:r>
      <w:r w:rsidRPr="007B5D03">
        <w:rPr>
          <w:rFonts w:hAnsi="標楷體"/>
          <w:sz w:val="30"/>
          <w:szCs w:val="30"/>
        </w:rPr>
        <w:t>號判決</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38</w:t>
      </w:r>
      <w:r w:rsidRPr="007B5D03">
        <w:rPr>
          <w:rFonts w:hAnsi="標楷體"/>
          <w:sz w:val="30"/>
          <w:szCs w:val="30"/>
        </w:rPr>
        <w:t xml:space="preserve">　盛子龍</w:t>
      </w:r>
      <w:r w:rsidRPr="007B5D03">
        <w:rPr>
          <w:rFonts w:hAnsi="標楷體"/>
          <w:sz w:val="30"/>
          <w:szCs w:val="30"/>
          <w:lang w:val="de-DE"/>
        </w:rPr>
        <w:t>，</w:t>
      </w:r>
      <w:r w:rsidRPr="007B5D03">
        <w:rPr>
          <w:rFonts w:hAnsi="標楷體"/>
          <w:sz w:val="30"/>
          <w:szCs w:val="30"/>
        </w:rPr>
        <w:t>比例原則作為規範違憲審查之準則</w:t>
      </w:r>
      <w:r w:rsidRPr="007B5D03">
        <w:rPr>
          <w:sz w:val="30"/>
          <w:szCs w:val="30"/>
          <w:lang w:val="de-DE"/>
        </w:rPr>
        <w:t>—</w:t>
      </w:r>
      <w:r w:rsidRPr="007B5D03">
        <w:rPr>
          <w:rFonts w:hAnsi="標楷體"/>
          <w:sz w:val="30"/>
          <w:szCs w:val="30"/>
        </w:rPr>
        <w:t>西德聯</w:t>
      </w:r>
      <w:r w:rsidRPr="007B5D03">
        <w:rPr>
          <w:rFonts w:hAnsi="標楷體"/>
          <w:sz w:val="30"/>
          <w:szCs w:val="30"/>
        </w:rPr>
        <w:lastRenderedPageBreak/>
        <w:t>邦憲法法院判決及學說之研究</w:t>
      </w:r>
      <w:r w:rsidRPr="007B5D03">
        <w:rPr>
          <w:rFonts w:hAnsi="標楷體"/>
          <w:sz w:val="30"/>
          <w:szCs w:val="30"/>
          <w:lang w:val="de-DE"/>
        </w:rPr>
        <w:t>，</w:t>
      </w:r>
      <w:r w:rsidRPr="007B5D03">
        <w:rPr>
          <w:rFonts w:hAnsi="標楷體" w:hint="eastAsia"/>
          <w:sz w:val="30"/>
          <w:szCs w:val="30"/>
        </w:rPr>
        <w:t>78</w:t>
      </w:r>
      <w:r w:rsidRPr="007B5D03">
        <w:rPr>
          <w:rFonts w:hAnsi="標楷體"/>
          <w:sz w:val="30"/>
          <w:szCs w:val="30"/>
        </w:rPr>
        <w:t>年台大法研所碩士論文，第</w:t>
      </w:r>
      <w:r w:rsidRPr="007B5D03">
        <w:rPr>
          <w:sz w:val="30"/>
          <w:szCs w:val="30"/>
        </w:rPr>
        <w:t>133</w:t>
      </w:r>
      <w:r w:rsidRPr="007B5D03">
        <w:rPr>
          <w:rFonts w:hAnsi="標楷體"/>
          <w:sz w:val="30"/>
          <w:szCs w:val="30"/>
        </w:rPr>
        <w:t>至</w:t>
      </w:r>
      <w:r w:rsidRPr="007B5D03">
        <w:rPr>
          <w:sz w:val="30"/>
          <w:szCs w:val="30"/>
        </w:rPr>
        <w:t>143</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39</w:t>
      </w:r>
      <w:r w:rsidRPr="007B5D03">
        <w:rPr>
          <w:rFonts w:hAnsi="標楷體"/>
          <w:sz w:val="30"/>
          <w:szCs w:val="30"/>
        </w:rPr>
        <w:t xml:space="preserve">　權證損益明細表</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bCs/>
          <w:spacing w:val="-20"/>
          <w:sz w:val="30"/>
          <w:szCs w:val="30"/>
        </w:rPr>
      </w:pPr>
      <w:r w:rsidRPr="007B5D03">
        <w:rPr>
          <w:rFonts w:hAnsi="標楷體"/>
          <w:sz w:val="30"/>
          <w:szCs w:val="30"/>
        </w:rPr>
        <w:t>附件</w:t>
      </w:r>
      <w:r w:rsidRPr="007B5D03">
        <w:rPr>
          <w:sz w:val="30"/>
          <w:szCs w:val="30"/>
        </w:rPr>
        <w:t>40</w:t>
      </w:r>
      <w:r w:rsidRPr="007B5D03">
        <w:rPr>
          <w:rFonts w:hAnsi="標楷體"/>
          <w:sz w:val="30"/>
          <w:szCs w:val="30"/>
        </w:rPr>
        <w:t xml:space="preserve">　</w:t>
      </w:r>
      <w:r w:rsidRPr="007B5D03">
        <w:rPr>
          <w:rFonts w:hAnsi="標楷體"/>
          <w:bCs/>
          <w:sz w:val="30"/>
          <w:szCs w:val="30"/>
        </w:rPr>
        <w:t>【月報】</w:t>
      </w:r>
      <w:r w:rsidRPr="007B5D03">
        <w:rPr>
          <w:rFonts w:hAnsi="標楷體"/>
          <w:bCs/>
          <w:spacing w:val="-20"/>
          <w:sz w:val="30"/>
          <w:szCs w:val="30"/>
        </w:rPr>
        <w:t>專題評析：權證退稅爭議之演進與影響，網址：</w:t>
      </w:r>
    </w:p>
    <w:p w:rsidR="00514426" w:rsidRPr="007B5D03" w:rsidRDefault="00514426" w:rsidP="00FB2D5A">
      <w:pPr>
        <w:snapToGrid w:val="0"/>
        <w:spacing w:line="437" w:lineRule="exact"/>
        <w:ind w:leftChars="550" w:left="2901" w:hanging="1361"/>
        <w:rPr>
          <w:rFonts w:hint="eastAsia"/>
          <w:bCs/>
          <w:sz w:val="30"/>
          <w:szCs w:val="30"/>
        </w:rPr>
      </w:pPr>
      <w:hyperlink r:id="rId19" w:history="1">
        <w:r w:rsidRPr="007B5D03">
          <w:rPr>
            <w:rStyle w:val="afff4"/>
            <w:bCs/>
            <w:color w:val="auto"/>
            <w:sz w:val="30"/>
            <w:szCs w:val="30"/>
          </w:rPr>
          <w:t>http://stock.yam.com/rsh/article.php/350945</w:t>
        </w:r>
      </w:hyperlink>
      <w:r w:rsidRPr="007B5D03">
        <w:rPr>
          <w:rFonts w:ascii="標楷體" w:hAnsi="標楷體" w:hint="eastAsia"/>
          <w:sz w:val="30"/>
          <w:szCs w:val="30"/>
        </w:rPr>
        <w:t>。</w:t>
      </w:r>
    </w:p>
    <w:p w:rsidR="00514426" w:rsidRPr="007B5D03" w:rsidRDefault="00514426" w:rsidP="00FB2D5A">
      <w:pPr>
        <w:snapToGrid w:val="0"/>
        <w:spacing w:line="437" w:lineRule="exact"/>
        <w:ind w:leftChars="99" w:left="1638" w:hanging="1361"/>
        <w:rPr>
          <w:rStyle w:val="afffc"/>
          <w:b w:val="0"/>
          <w:sz w:val="30"/>
          <w:szCs w:val="30"/>
        </w:rPr>
      </w:pPr>
      <w:r w:rsidRPr="007B5D03">
        <w:rPr>
          <w:rFonts w:hAnsi="標楷體"/>
          <w:bCs/>
          <w:sz w:val="30"/>
          <w:szCs w:val="30"/>
        </w:rPr>
        <w:t>附件</w:t>
      </w:r>
      <w:r w:rsidRPr="007B5D03">
        <w:rPr>
          <w:bCs/>
          <w:sz w:val="30"/>
          <w:szCs w:val="30"/>
        </w:rPr>
        <w:t>41</w:t>
      </w:r>
      <w:r w:rsidRPr="007B5D03">
        <w:rPr>
          <w:rFonts w:hAnsi="標楷體"/>
          <w:bCs/>
          <w:sz w:val="30"/>
          <w:szCs w:val="30"/>
        </w:rPr>
        <w:t xml:space="preserve">　</w:t>
      </w:r>
      <w:r w:rsidRPr="00FC2C0D">
        <w:rPr>
          <w:rStyle w:val="afffc"/>
          <w:rFonts w:hAnsi="標楷體"/>
          <w:b w:val="0"/>
          <w:spacing w:val="-4"/>
          <w:sz w:val="30"/>
          <w:szCs w:val="30"/>
        </w:rPr>
        <w:t>權證最快年底在台股消失，理財週刊第</w:t>
      </w:r>
      <w:r w:rsidRPr="00FC2C0D">
        <w:rPr>
          <w:rStyle w:val="afffc"/>
          <w:b w:val="0"/>
          <w:spacing w:val="-4"/>
          <w:sz w:val="30"/>
          <w:szCs w:val="30"/>
        </w:rPr>
        <w:t>301</w:t>
      </w:r>
      <w:r w:rsidRPr="00FC2C0D">
        <w:rPr>
          <w:rStyle w:val="afffc"/>
          <w:rFonts w:hAnsi="標楷體"/>
          <w:b w:val="0"/>
          <w:spacing w:val="-4"/>
          <w:sz w:val="30"/>
          <w:szCs w:val="30"/>
        </w:rPr>
        <w:t>期，網址：</w:t>
      </w:r>
    </w:p>
    <w:p w:rsidR="00514426" w:rsidRPr="007B5D03" w:rsidRDefault="00514426" w:rsidP="00FB2D5A">
      <w:pPr>
        <w:snapToGrid w:val="0"/>
        <w:spacing w:line="437" w:lineRule="exact"/>
        <w:ind w:leftChars="550" w:left="2901" w:hanging="1361"/>
        <w:rPr>
          <w:rStyle w:val="afffc"/>
          <w:rFonts w:hint="eastAsia"/>
          <w:sz w:val="30"/>
          <w:szCs w:val="30"/>
        </w:rPr>
      </w:pPr>
      <w:hyperlink r:id="rId20" w:history="1">
        <w:r w:rsidRPr="007B5D03">
          <w:rPr>
            <w:rStyle w:val="afff4"/>
            <w:color w:val="auto"/>
            <w:sz w:val="30"/>
            <w:szCs w:val="30"/>
          </w:rPr>
          <w:t>http://fn.yam.com/fninfo/php/article.php/384618</w:t>
        </w:r>
      </w:hyperlink>
      <w:r w:rsidRPr="007B5D03">
        <w:rPr>
          <w:rFonts w:ascii="標楷體"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Style w:val="afffc"/>
          <w:rFonts w:hAnsi="標楷體"/>
          <w:b w:val="0"/>
          <w:sz w:val="30"/>
          <w:szCs w:val="30"/>
        </w:rPr>
        <w:t>附件</w:t>
      </w:r>
      <w:r w:rsidRPr="007B5D03">
        <w:rPr>
          <w:rStyle w:val="afffc"/>
          <w:b w:val="0"/>
          <w:sz w:val="30"/>
          <w:szCs w:val="30"/>
        </w:rPr>
        <w:t>42</w:t>
      </w:r>
      <w:r w:rsidRPr="007B5D03">
        <w:rPr>
          <w:rStyle w:val="afffc"/>
          <w:rFonts w:hAnsi="標楷體"/>
          <w:sz w:val="30"/>
          <w:szCs w:val="30"/>
        </w:rPr>
        <w:t xml:space="preserve">　</w:t>
      </w:r>
      <w:r w:rsidRPr="007B5D03">
        <w:rPr>
          <w:rStyle w:val="afffc"/>
          <w:rFonts w:hAnsi="標楷體"/>
          <w:b w:val="0"/>
          <w:sz w:val="30"/>
          <w:szCs w:val="30"/>
        </w:rPr>
        <w:t>李惠宗，憲法要義</w:t>
      </w:r>
      <w:r w:rsidRPr="007B5D03">
        <w:rPr>
          <w:rStyle w:val="afffc"/>
          <w:rFonts w:hAnsi="標楷體" w:hint="eastAsia"/>
          <w:b w:val="0"/>
          <w:sz w:val="30"/>
          <w:szCs w:val="30"/>
        </w:rPr>
        <w:t>，</w:t>
      </w:r>
      <w:r w:rsidRPr="007B5D03">
        <w:rPr>
          <w:rStyle w:val="afffc"/>
          <w:rFonts w:hAnsi="標楷體"/>
          <w:b w:val="0"/>
          <w:sz w:val="30"/>
          <w:szCs w:val="30"/>
        </w:rPr>
        <w:t>第</w:t>
      </w:r>
      <w:r w:rsidRPr="007B5D03">
        <w:rPr>
          <w:rStyle w:val="afffc"/>
          <w:rFonts w:hAnsi="標楷體" w:hint="eastAsia"/>
          <w:b w:val="0"/>
          <w:sz w:val="30"/>
          <w:szCs w:val="30"/>
        </w:rPr>
        <w:t>2</w:t>
      </w:r>
      <w:r w:rsidRPr="007B5D03">
        <w:rPr>
          <w:rStyle w:val="afffc"/>
          <w:rFonts w:hAnsi="標楷體"/>
          <w:b w:val="0"/>
          <w:sz w:val="30"/>
          <w:szCs w:val="30"/>
        </w:rPr>
        <w:t>版，第</w:t>
      </w:r>
      <w:r w:rsidRPr="007B5D03">
        <w:rPr>
          <w:rStyle w:val="afffc"/>
          <w:b w:val="0"/>
          <w:sz w:val="30"/>
          <w:szCs w:val="30"/>
        </w:rPr>
        <w:t>176</w:t>
      </w:r>
      <w:r w:rsidRPr="007B5D03">
        <w:rPr>
          <w:rStyle w:val="afffc"/>
          <w:rFonts w:hAnsi="標楷體"/>
          <w:b w:val="0"/>
          <w:sz w:val="30"/>
          <w:szCs w:val="30"/>
        </w:rPr>
        <w:t>至</w:t>
      </w:r>
      <w:r w:rsidRPr="007B5D03">
        <w:rPr>
          <w:rStyle w:val="afffc"/>
          <w:b w:val="0"/>
          <w:sz w:val="30"/>
          <w:szCs w:val="30"/>
        </w:rPr>
        <w:t>177</w:t>
      </w:r>
      <w:r w:rsidRPr="007B5D03">
        <w:rPr>
          <w:rStyle w:val="afffc"/>
          <w:rFonts w:hAnsi="標楷體"/>
          <w:b w:val="0"/>
          <w:sz w:val="30"/>
          <w:szCs w:val="30"/>
        </w:rPr>
        <w:t>頁、</w:t>
      </w:r>
      <w:r w:rsidRPr="007B5D03">
        <w:rPr>
          <w:rFonts w:hAnsi="標楷體"/>
          <w:sz w:val="30"/>
          <w:szCs w:val="30"/>
        </w:rPr>
        <w:t>第</w:t>
      </w:r>
      <w:r w:rsidRPr="007B5D03">
        <w:rPr>
          <w:sz w:val="30"/>
          <w:szCs w:val="30"/>
        </w:rPr>
        <w:t>204</w:t>
      </w:r>
      <w:r w:rsidRPr="007B5D03">
        <w:rPr>
          <w:rFonts w:hAnsi="標楷體"/>
          <w:sz w:val="30"/>
          <w:szCs w:val="30"/>
        </w:rPr>
        <w:t>至</w:t>
      </w:r>
      <w:r w:rsidRPr="007B5D03">
        <w:rPr>
          <w:sz w:val="30"/>
          <w:szCs w:val="30"/>
        </w:rPr>
        <w:t>212</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43</w:t>
      </w:r>
      <w:r w:rsidRPr="007B5D03">
        <w:rPr>
          <w:rFonts w:hAnsi="標楷體"/>
          <w:sz w:val="30"/>
          <w:szCs w:val="30"/>
        </w:rPr>
        <w:t xml:space="preserve">　陳敏，行政法總論，</w:t>
      </w:r>
      <w:r w:rsidRPr="007B5D03">
        <w:rPr>
          <w:rStyle w:val="afffc"/>
          <w:rFonts w:hAnsi="標楷體"/>
          <w:b w:val="0"/>
          <w:sz w:val="30"/>
          <w:szCs w:val="30"/>
        </w:rPr>
        <w:t>第</w:t>
      </w:r>
      <w:r w:rsidRPr="007B5D03">
        <w:rPr>
          <w:sz w:val="30"/>
          <w:szCs w:val="30"/>
        </w:rPr>
        <w:t>2</w:t>
      </w:r>
      <w:r w:rsidRPr="007B5D03">
        <w:rPr>
          <w:rFonts w:hAnsi="標楷體"/>
          <w:sz w:val="30"/>
          <w:szCs w:val="30"/>
        </w:rPr>
        <w:t>版，</w:t>
      </w:r>
      <w:r w:rsidRPr="007B5D03">
        <w:rPr>
          <w:rStyle w:val="afffc"/>
          <w:rFonts w:hAnsi="標楷體"/>
          <w:b w:val="0"/>
          <w:sz w:val="30"/>
          <w:szCs w:val="30"/>
        </w:rPr>
        <w:t>第</w:t>
      </w:r>
      <w:r w:rsidRPr="007B5D03">
        <w:rPr>
          <w:sz w:val="30"/>
          <w:szCs w:val="30"/>
        </w:rPr>
        <w:t>394</w:t>
      </w:r>
      <w:r w:rsidRPr="007B5D03">
        <w:rPr>
          <w:rFonts w:hint="eastAsia"/>
          <w:sz w:val="30"/>
          <w:szCs w:val="30"/>
        </w:rPr>
        <w:t>頁</w:t>
      </w:r>
      <w:r w:rsidRPr="007B5D03">
        <w:rPr>
          <w:rFonts w:hAnsi="標楷體"/>
          <w:sz w:val="30"/>
          <w:szCs w:val="30"/>
        </w:rPr>
        <w:t>、</w:t>
      </w:r>
      <w:r w:rsidRPr="007B5D03">
        <w:rPr>
          <w:rStyle w:val="afffc"/>
          <w:rFonts w:hAnsi="標楷體"/>
          <w:b w:val="0"/>
          <w:sz w:val="30"/>
          <w:szCs w:val="30"/>
        </w:rPr>
        <w:t>第</w:t>
      </w:r>
      <w:r w:rsidRPr="007B5D03">
        <w:rPr>
          <w:sz w:val="30"/>
          <w:szCs w:val="30"/>
        </w:rPr>
        <w:t>395</w:t>
      </w:r>
      <w:r w:rsidRPr="007B5D03">
        <w:rPr>
          <w:rFonts w:hAnsi="標楷體"/>
          <w:sz w:val="30"/>
          <w:szCs w:val="30"/>
        </w:rPr>
        <w:t>頁、</w:t>
      </w:r>
      <w:r w:rsidRPr="007B5D03">
        <w:rPr>
          <w:rStyle w:val="afffc"/>
          <w:rFonts w:hAnsi="標楷體"/>
          <w:b w:val="0"/>
          <w:sz w:val="30"/>
          <w:szCs w:val="30"/>
        </w:rPr>
        <w:t>第</w:t>
      </w:r>
      <w:r w:rsidRPr="007B5D03">
        <w:rPr>
          <w:sz w:val="30"/>
          <w:szCs w:val="30"/>
        </w:rPr>
        <w:t>1260</w:t>
      </w:r>
      <w:r w:rsidRPr="007B5D03">
        <w:rPr>
          <w:rFonts w:hint="eastAsia"/>
          <w:sz w:val="30"/>
          <w:szCs w:val="30"/>
        </w:rPr>
        <w:t>頁</w:t>
      </w:r>
      <w:r w:rsidRPr="007B5D03">
        <w:rPr>
          <w:rFonts w:hAnsi="標楷體"/>
          <w:sz w:val="30"/>
          <w:szCs w:val="30"/>
        </w:rPr>
        <w:t>、</w:t>
      </w:r>
      <w:r w:rsidRPr="007B5D03">
        <w:rPr>
          <w:rStyle w:val="afffc"/>
          <w:rFonts w:hAnsi="標楷體"/>
          <w:b w:val="0"/>
          <w:sz w:val="30"/>
          <w:szCs w:val="30"/>
        </w:rPr>
        <w:t>第</w:t>
      </w:r>
      <w:r w:rsidRPr="007B5D03">
        <w:rPr>
          <w:sz w:val="30"/>
          <w:szCs w:val="30"/>
        </w:rPr>
        <w:t>1261</w:t>
      </w:r>
      <w:r w:rsidRPr="007B5D03">
        <w:rPr>
          <w:rFonts w:hAnsi="標楷體"/>
          <w:sz w:val="30"/>
          <w:szCs w:val="30"/>
        </w:rPr>
        <w:t>頁</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sz w:val="30"/>
          <w:szCs w:val="30"/>
        </w:rPr>
      </w:pPr>
      <w:r w:rsidRPr="007B5D03">
        <w:rPr>
          <w:rFonts w:hAnsi="標楷體"/>
          <w:sz w:val="30"/>
          <w:szCs w:val="30"/>
        </w:rPr>
        <w:t>附件</w:t>
      </w:r>
      <w:r w:rsidRPr="007B5D03">
        <w:rPr>
          <w:sz w:val="30"/>
          <w:szCs w:val="30"/>
        </w:rPr>
        <w:t>44</w:t>
      </w:r>
      <w:r w:rsidRPr="007B5D03">
        <w:rPr>
          <w:rFonts w:hAnsi="標楷體"/>
          <w:sz w:val="30"/>
          <w:szCs w:val="30"/>
        </w:rPr>
        <w:t xml:space="preserve">　陳清秀，稅務訴訟之訴訟標的，第</w:t>
      </w:r>
      <w:r w:rsidRPr="007B5D03">
        <w:rPr>
          <w:sz w:val="30"/>
          <w:szCs w:val="30"/>
        </w:rPr>
        <w:t>85</w:t>
      </w:r>
      <w:r w:rsidRPr="007B5D03">
        <w:rPr>
          <w:rFonts w:hAnsi="標楷體"/>
          <w:sz w:val="30"/>
          <w:szCs w:val="30"/>
        </w:rPr>
        <w:t>至</w:t>
      </w:r>
      <w:r w:rsidRPr="007B5D03">
        <w:rPr>
          <w:sz w:val="30"/>
          <w:szCs w:val="30"/>
        </w:rPr>
        <w:t>90</w:t>
      </w:r>
      <w:r w:rsidRPr="007B5D03">
        <w:rPr>
          <w:rFonts w:hAnsi="標楷體"/>
          <w:sz w:val="30"/>
          <w:szCs w:val="30"/>
        </w:rPr>
        <w:t>頁、第</w:t>
      </w:r>
      <w:r w:rsidRPr="007B5D03">
        <w:rPr>
          <w:sz w:val="30"/>
          <w:szCs w:val="30"/>
        </w:rPr>
        <w:t>276</w:t>
      </w:r>
      <w:r w:rsidRPr="007B5D03">
        <w:rPr>
          <w:rFonts w:hAnsi="標楷體"/>
          <w:sz w:val="30"/>
          <w:szCs w:val="30"/>
        </w:rPr>
        <w:t>、</w:t>
      </w:r>
      <w:r w:rsidRPr="007B5D03">
        <w:rPr>
          <w:sz w:val="30"/>
          <w:szCs w:val="30"/>
        </w:rPr>
        <w:t>277</w:t>
      </w:r>
      <w:r w:rsidRPr="007B5D03">
        <w:rPr>
          <w:rFonts w:hAnsi="標楷體"/>
          <w:sz w:val="30"/>
          <w:szCs w:val="30"/>
        </w:rPr>
        <w:t>頁、第</w:t>
      </w:r>
      <w:r w:rsidRPr="007B5D03">
        <w:rPr>
          <w:sz w:val="30"/>
          <w:szCs w:val="30"/>
        </w:rPr>
        <w:t>390</w:t>
      </w:r>
      <w:r w:rsidRPr="007B5D03">
        <w:rPr>
          <w:rFonts w:hAnsi="標楷體"/>
          <w:sz w:val="30"/>
          <w:szCs w:val="30"/>
        </w:rPr>
        <w:t>至</w:t>
      </w:r>
      <w:r w:rsidRPr="007B5D03">
        <w:rPr>
          <w:sz w:val="30"/>
          <w:szCs w:val="30"/>
        </w:rPr>
        <w:t>394</w:t>
      </w:r>
      <w:r w:rsidRPr="007B5D03">
        <w:rPr>
          <w:rFonts w:hAnsi="標楷體"/>
          <w:sz w:val="30"/>
          <w:szCs w:val="30"/>
        </w:rPr>
        <w:t>頁、第</w:t>
      </w:r>
      <w:r w:rsidRPr="007B5D03">
        <w:rPr>
          <w:sz w:val="30"/>
          <w:szCs w:val="30"/>
        </w:rPr>
        <w:t>433</w:t>
      </w:r>
      <w:r w:rsidRPr="007B5D03">
        <w:rPr>
          <w:rFonts w:hAnsi="標楷體"/>
          <w:sz w:val="30"/>
          <w:szCs w:val="30"/>
        </w:rPr>
        <w:t>至</w:t>
      </w:r>
      <w:r w:rsidRPr="007B5D03">
        <w:rPr>
          <w:sz w:val="30"/>
          <w:szCs w:val="30"/>
        </w:rPr>
        <w:t>440</w:t>
      </w:r>
      <w:r w:rsidRPr="007B5D03">
        <w:rPr>
          <w:rFonts w:hAnsi="標楷體"/>
          <w:sz w:val="30"/>
          <w:szCs w:val="30"/>
        </w:rPr>
        <w:t>頁、第</w:t>
      </w:r>
      <w:r w:rsidRPr="007B5D03">
        <w:rPr>
          <w:sz w:val="30"/>
          <w:szCs w:val="30"/>
        </w:rPr>
        <w:t>448</w:t>
      </w:r>
      <w:r w:rsidRPr="007B5D03">
        <w:rPr>
          <w:rFonts w:hAnsi="標楷體"/>
          <w:sz w:val="30"/>
          <w:szCs w:val="30"/>
        </w:rPr>
        <w:t>至</w:t>
      </w:r>
      <w:r w:rsidRPr="007B5D03">
        <w:rPr>
          <w:sz w:val="30"/>
          <w:szCs w:val="30"/>
        </w:rPr>
        <w:t>457</w:t>
      </w:r>
      <w:r w:rsidRPr="007B5D03">
        <w:rPr>
          <w:rFonts w:hAnsi="標楷體"/>
          <w:sz w:val="30"/>
          <w:szCs w:val="30"/>
        </w:rPr>
        <w:t>頁、第</w:t>
      </w:r>
      <w:r w:rsidRPr="007B5D03">
        <w:rPr>
          <w:sz w:val="30"/>
          <w:szCs w:val="30"/>
        </w:rPr>
        <w:t>458</w:t>
      </w:r>
      <w:r w:rsidRPr="007B5D03">
        <w:rPr>
          <w:rFonts w:hAnsi="標楷體"/>
          <w:sz w:val="30"/>
          <w:szCs w:val="30"/>
        </w:rPr>
        <w:t>、</w:t>
      </w:r>
      <w:r w:rsidRPr="007B5D03">
        <w:rPr>
          <w:sz w:val="30"/>
          <w:szCs w:val="30"/>
        </w:rPr>
        <w:t>459</w:t>
      </w:r>
      <w:r w:rsidRPr="007B5D03">
        <w:rPr>
          <w:rFonts w:hAnsi="標楷體"/>
          <w:sz w:val="30"/>
          <w:szCs w:val="30"/>
        </w:rPr>
        <w:t>頁、第</w:t>
      </w:r>
      <w:r w:rsidRPr="007B5D03">
        <w:rPr>
          <w:sz w:val="30"/>
          <w:szCs w:val="30"/>
        </w:rPr>
        <w:t>475</w:t>
      </w:r>
      <w:r w:rsidRPr="007B5D03">
        <w:rPr>
          <w:rFonts w:hAnsi="標楷體"/>
          <w:sz w:val="30"/>
          <w:szCs w:val="30"/>
        </w:rPr>
        <w:t>頁、第</w:t>
      </w:r>
      <w:r w:rsidRPr="007B5D03">
        <w:rPr>
          <w:sz w:val="30"/>
          <w:szCs w:val="30"/>
        </w:rPr>
        <w:t>480</w:t>
      </w:r>
      <w:r w:rsidRPr="007B5D03">
        <w:rPr>
          <w:rFonts w:hAnsi="標楷體"/>
          <w:sz w:val="30"/>
          <w:szCs w:val="30"/>
        </w:rPr>
        <w:t>、</w:t>
      </w:r>
      <w:r w:rsidRPr="007B5D03">
        <w:rPr>
          <w:sz w:val="30"/>
          <w:szCs w:val="30"/>
        </w:rPr>
        <w:t>481</w:t>
      </w:r>
      <w:r w:rsidRPr="007B5D03">
        <w:rPr>
          <w:rFonts w:hAnsi="標楷體"/>
          <w:sz w:val="30"/>
          <w:szCs w:val="30"/>
        </w:rPr>
        <w:t>頁、第</w:t>
      </w:r>
      <w:r w:rsidRPr="007B5D03">
        <w:rPr>
          <w:sz w:val="30"/>
          <w:szCs w:val="30"/>
        </w:rPr>
        <w:t>548</w:t>
      </w:r>
      <w:r w:rsidRPr="007B5D03">
        <w:rPr>
          <w:rFonts w:hAnsi="標楷體"/>
          <w:sz w:val="30"/>
          <w:szCs w:val="30"/>
        </w:rPr>
        <w:t>、</w:t>
      </w:r>
      <w:r w:rsidRPr="007B5D03">
        <w:rPr>
          <w:sz w:val="30"/>
          <w:szCs w:val="30"/>
        </w:rPr>
        <w:t>549</w:t>
      </w:r>
      <w:r w:rsidRPr="007B5D03">
        <w:rPr>
          <w:rFonts w:hAnsi="標楷體"/>
          <w:sz w:val="30"/>
          <w:szCs w:val="30"/>
        </w:rPr>
        <w:t>、</w:t>
      </w:r>
      <w:r w:rsidRPr="007B5D03">
        <w:rPr>
          <w:sz w:val="30"/>
          <w:szCs w:val="30"/>
        </w:rPr>
        <w:t>582</w:t>
      </w:r>
      <w:r w:rsidRPr="007B5D03">
        <w:rPr>
          <w:rFonts w:hAnsi="標楷體"/>
          <w:sz w:val="30"/>
          <w:szCs w:val="30"/>
        </w:rPr>
        <w:t>頁。</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45</w:t>
      </w:r>
      <w:r w:rsidRPr="007B5D03">
        <w:rPr>
          <w:rFonts w:hAnsi="標楷體"/>
          <w:sz w:val="30"/>
          <w:szCs w:val="30"/>
        </w:rPr>
        <w:t xml:space="preserve">　榎本恒男，〈爭点主義的運営〉，載於小松英明、松沢智編，裁判実務大系第</w:t>
      </w:r>
      <w:r w:rsidRPr="007B5D03">
        <w:rPr>
          <w:sz w:val="30"/>
          <w:szCs w:val="30"/>
        </w:rPr>
        <w:t>20</w:t>
      </w:r>
      <w:r w:rsidRPr="007B5D03">
        <w:rPr>
          <w:rFonts w:hAnsi="標楷體"/>
          <w:sz w:val="30"/>
          <w:szCs w:val="30"/>
        </w:rPr>
        <w:t>卷，租稅爭訟法，</w:t>
      </w:r>
      <w:r w:rsidRPr="007B5D03">
        <w:rPr>
          <w:sz w:val="30"/>
          <w:szCs w:val="30"/>
        </w:rPr>
        <w:t>1992</w:t>
      </w:r>
      <w:r w:rsidRPr="007B5D03">
        <w:rPr>
          <w:rFonts w:hAnsi="標楷體"/>
          <w:sz w:val="30"/>
          <w:szCs w:val="30"/>
        </w:rPr>
        <w:t>年初版第</w:t>
      </w:r>
      <w:r w:rsidRPr="007B5D03">
        <w:rPr>
          <w:sz w:val="30"/>
          <w:szCs w:val="30"/>
        </w:rPr>
        <w:t>4</w:t>
      </w:r>
      <w:r w:rsidRPr="007B5D03">
        <w:rPr>
          <w:rFonts w:hAnsi="標楷體"/>
          <w:sz w:val="30"/>
          <w:szCs w:val="30"/>
        </w:rPr>
        <w:t>刷，頁</w:t>
      </w:r>
      <w:r w:rsidRPr="007B5D03">
        <w:rPr>
          <w:sz w:val="30"/>
          <w:szCs w:val="30"/>
        </w:rPr>
        <w:t>20</w:t>
      </w:r>
      <w:r w:rsidRPr="007B5D03">
        <w:rPr>
          <w:rFonts w:hAnsi="標楷體"/>
          <w:sz w:val="30"/>
          <w:szCs w:val="30"/>
        </w:rPr>
        <w:t>、</w:t>
      </w:r>
      <w:r w:rsidRPr="007B5D03">
        <w:rPr>
          <w:sz w:val="30"/>
          <w:szCs w:val="30"/>
        </w:rPr>
        <w:t>2</w:t>
      </w:r>
      <w:r w:rsidRPr="007B5D03">
        <w:rPr>
          <w:rFonts w:ascii="標楷體" w:hAnsi="標楷體"/>
          <w:sz w:val="30"/>
          <w:szCs w:val="30"/>
        </w:rPr>
        <w:t>1</w:t>
      </w:r>
      <w:r w:rsidRPr="007B5D03">
        <w:rPr>
          <w:rFonts w:ascii="標楷體"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lang w:eastAsia="ja-JP"/>
        </w:rPr>
      </w:pPr>
      <w:r w:rsidRPr="007B5D03">
        <w:rPr>
          <w:rFonts w:hAnsi="標楷體"/>
          <w:sz w:val="30"/>
          <w:szCs w:val="30"/>
          <w:lang w:eastAsia="ja-JP"/>
        </w:rPr>
        <w:t>附件</w:t>
      </w:r>
      <w:r w:rsidRPr="007B5D03">
        <w:rPr>
          <w:sz w:val="30"/>
          <w:szCs w:val="30"/>
          <w:lang w:eastAsia="ja-JP"/>
        </w:rPr>
        <w:t>46</w:t>
      </w:r>
      <w:r w:rsidRPr="007B5D03">
        <w:rPr>
          <w:rFonts w:hAnsi="標楷體"/>
          <w:sz w:val="30"/>
          <w:szCs w:val="30"/>
          <w:lang w:eastAsia="ja-JP"/>
        </w:rPr>
        <w:t xml:space="preserve">　小川正雄，租稅訴訟における訴訟物，</w:t>
      </w:r>
      <w:r w:rsidRPr="007B5D03">
        <w:rPr>
          <w:rStyle w:val="afffc"/>
          <w:rFonts w:hAnsi="標楷體"/>
          <w:b w:val="0"/>
          <w:sz w:val="30"/>
          <w:szCs w:val="30"/>
          <w:lang w:eastAsia="ja-JP"/>
        </w:rPr>
        <w:t>第</w:t>
      </w:r>
      <w:r w:rsidRPr="007B5D03">
        <w:rPr>
          <w:sz w:val="30"/>
          <w:szCs w:val="30"/>
          <w:lang w:eastAsia="ja-JP"/>
        </w:rPr>
        <w:t>277</w:t>
      </w:r>
      <w:r w:rsidRPr="007B5D03">
        <w:rPr>
          <w:rFonts w:hAnsi="標楷體"/>
          <w:sz w:val="30"/>
          <w:szCs w:val="30"/>
          <w:lang w:eastAsia="ja-JP"/>
        </w:rPr>
        <w:t>頁</w:t>
      </w:r>
      <w:r w:rsidRPr="007B5D03">
        <w:rPr>
          <w:rFonts w:hAnsi="標楷體" w:hint="eastAsia"/>
          <w:sz w:val="30"/>
          <w:szCs w:val="30"/>
          <w:lang w:eastAsia="ja-JP"/>
        </w:rPr>
        <w:t>。</w:t>
      </w:r>
    </w:p>
    <w:p w:rsidR="00514426" w:rsidRPr="007B5D03" w:rsidRDefault="00514426" w:rsidP="00FB2D5A">
      <w:pPr>
        <w:snapToGrid w:val="0"/>
        <w:spacing w:line="437" w:lineRule="exact"/>
        <w:ind w:leftChars="99" w:left="1638" w:hanging="1361"/>
        <w:rPr>
          <w:rFonts w:hint="eastAsia"/>
          <w:sz w:val="30"/>
          <w:szCs w:val="30"/>
          <w:highlight w:val="yellow"/>
        </w:rPr>
      </w:pPr>
      <w:r w:rsidRPr="007B5D03">
        <w:rPr>
          <w:rFonts w:hAnsi="標楷體"/>
          <w:sz w:val="30"/>
          <w:szCs w:val="30"/>
        </w:rPr>
        <w:t>附件</w:t>
      </w:r>
      <w:r w:rsidRPr="007B5D03">
        <w:rPr>
          <w:sz w:val="30"/>
          <w:szCs w:val="30"/>
        </w:rPr>
        <w:t>47</w:t>
      </w:r>
      <w:r w:rsidRPr="007B5D03">
        <w:rPr>
          <w:rFonts w:hAnsi="標楷體"/>
          <w:sz w:val="30"/>
          <w:szCs w:val="30"/>
        </w:rPr>
        <w:t xml:space="preserve">　日本最高法院西元</w:t>
      </w:r>
      <w:r w:rsidRPr="007B5D03">
        <w:rPr>
          <w:sz w:val="30"/>
          <w:szCs w:val="30"/>
        </w:rPr>
        <w:t>1974</w:t>
      </w:r>
      <w:r w:rsidRPr="007B5D03">
        <w:rPr>
          <w:rFonts w:hAnsi="標楷體"/>
          <w:sz w:val="30"/>
          <w:szCs w:val="30"/>
        </w:rPr>
        <w:t>年判例</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48</w:t>
      </w:r>
      <w:r w:rsidRPr="007B5D03">
        <w:rPr>
          <w:rFonts w:hAnsi="標楷體"/>
          <w:sz w:val="30"/>
          <w:szCs w:val="30"/>
        </w:rPr>
        <w:t xml:space="preserve">　日本最高法院</w:t>
      </w:r>
      <w:r w:rsidRPr="007B5D03">
        <w:rPr>
          <w:sz w:val="30"/>
          <w:szCs w:val="30"/>
        </w:rPr>
        <w:t>1981</w:t>
      </w:r>
      <w:r w:rsidRPr="007B5D03">
        <w:rPr>
          <w:rFonts w:hAnsi="標楷體"/>
          <w:sz w:val="30"/>
          <w:szCs w:val="30"/>
        </w:rPr>
        <w:t>年判例</w:t>
      </w:r>
      <w:r w:rsidRPr="007B5D03">
        <w:rPr>
          <w:rFonts w:hAnsi="標楷體" w:hint="eastAsia"/>
          <w:sz w:val="30"/>
          <w:szCs w:val="30"/>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bCs/>
          <w:sz w:val="30"/>
          <w:szCs w:val="30"/>
        </w:rPr>
        <w:t>附件</w:t>
      </w:r>
      <w:r w:rsidRPr="007B5D03">
        <w:rPr>
          <w:rFonts w:hint="eastAsia"/>
          <w:bCs/>
          <w:sz w:val="30"/>
          <w:szCs w:val="30"/>
        </w:rPr>
        <w:t>49</w:t>
      </w:r>
      <w:r w:rsidRPr="007B5D03">
        <w:rPr>
          <w:rFonts w:hAnsi="標楷體"/>
          <w:bCs/>
          <w:sz w:val="30"/>
          <w:szCs w:val="30"/>
        </w:rPr>
        <w:t xml:space="preserve">　東京高等法院昭和</w:t>
      </w:r>
      <w:r w:rsidRPr="007B5D03">
        <w:rPr>
          <w:bCs/>
          <w:sz w:val="30"/>
          <w:szCs w:val="30"/>
        </w:rPr>
        <w:t>57</w:t>
      </w:r>
      <w:r w:rsidRPr="007B5D03">
        <w:rPr>
          <w:rFonts w:hAnsi="標楷體"/>
          <w:bCs/>
          <w:sz w:val="30"/>
          <w:szCs w:val="30"/>
        </w:rPr>
        <w:t>年</w:t>
      </w:r>
      <w:r w:rsidRPr="007B5D03">
        <w:rPr>
          <w:bCs/>
          <w:sz w:val="30"/>
          <w:szCs w:val="30"/>
        </w:rPr>
        <w:t>8</w:t>
      </w:r>
      <w:r w:rsidRPr="007B5D03">
        <w:rPr>
          <w:rFonts w:hAnsi="標楷體"/>
          <w:bCs/>
          <w:sz w:val="30"/>
          <w:szCs w:val="30"/>
        </w:rPr>
        <w:t>月</w:t>
      </w:r>
      <w:r w:rsidRPr="007B5D03">
        <w:rPr>
          <w:bCs/>
          <w:sz w:val="30"/>
          <w:szCs w:val="30"/>
        </w:rPr>
        <w:t>10</w:t>
      </w:r>
      <w:r w:rsidRPr="007B5D03">
        <w:rPr>
          <w:rFonts w:hAnsi="標楷體"/>
          <w:bCs/>
          <w:sz w:val="30"/>
          <w:szCs w:val="30"/>
        </w:rPr>
        <w:t>日判決</w:t>
      </w:r>
      <w:r w:rsidRPr="007B5D03">
        <w:rPr>
          <w:rFonts w:hAnsi="標楷體" w:hint="eastAsia"/>
          <w:bCs/>
          <w:sz w:val="30"/>
          <w:szCs w:val="30"/>
        </w:rPr>
        <w:t>。</w:t>
      </w:r>
    </w:p>
    <w:p w:rsidR="00514426" w:rsidRPr="007B5D03" w:rsidRDefault="00514426" w:rsidP="00FB2D5A">
      <w:pPr>
        <w:snapToGrid w:val="0"/>
        <w:spacing w:line="437" w:lineRule="exact"/>
        <w:ind w:leftChars="99" w:left="1638" w:hanging="1361"/>
        <w:rPr>
          <w:rFonts w:hint="eastAsia"/>
          <w:sz w:val="30"/>
          <w:szCs w:val="30"/>
          <w:lang w:eastAsia="ja-JP"/>
        </w:rPr>
      </w:pPr>
      <w:r w:rsidRPr="007B5D03">
        <w:rPr>
          <w:rFonts w:hAnsi="標楷體"/>
          <w:sz w:val="30"/>
          <w:szCs w:val="30"/>
          <w:lang w:eastAsia="ja-JP"/>
        </w:rPr>
        <w:t>附件</w:t>
      </w:r>
      <w:r w:rsidRPr="007B5D03">
        <w:rPr>
          <w:sz w:val="30"/>
          <w:szCs w:val="30"/>
          <w:lang w:eastAsia="ja-JP"/>
        </w:rPr>
        <w:t>5</w:t>
      </w:r>
      <w:r w:rsidRPr="007B5D03">
        <w:rPr>
          <w:rFonts w:hint="eastAsia"/>
          <w:sz w:val="30"/>
          <w:szCs w:val="30"/>
          <w:lang w:eastAsia="ja-JP"/>
        </w:rPr>
        <w:t>0</w:t>
      </w:r>
      <w:r w:rsidRPr="007B5D03">
        <w:rPr>
          <w:rFonts w:hAnsi="標楷體"/>
          <w:sz w:val="30"/>
          <w:szCs w:val="30"/>
          <w:lang w:eastAsia="ja-JP"/>
        </w:rPr>
        <w:t xml:space="preserve">　宮崎直見，課税処分取消訴訟の訴訟物（審判の対象），載於小松英明、松沢智編，裁判実務大系第</w:t>
      </w:r>
      <w:r w:rsidRPr="007B5D03">
        <w:rPr>
          <w:sz w:val="30"/>
          <w:szCs w:val="30"/>
          <w:lang w:eastAsia="ja-JP"/>
        </w:rPr>
        <w:t>20</w:t>
      </w:r>
      <w:r w:rsidRPr="007B5D03">
        <w:rPr>
          <w:rFonts w:hAnsi="標楷體"/>
          <w:sz w:val="30"/>
          <w:szCs w:val="30"/>
          <w:lang w:eastAsia="ja-JP"/>
        </w:rPr>
        <w:t>卷，租稅爭訟法，</w:t>
      </w:r>
      <w:r w:rsidRPr="007B5D03">
        <w:rPr>
          <w:sz w:val="30"/>
          <w:szCs w:val="30"/>
          <w:lang w:eastAsia="ja-JP"/>
        </w:rPr>
        <w:t>1992</w:t>
      </w:r>
      <w:r w:rsidRPr="007B5D03">
        <w:rPr>
          <w:rFonts w:hAnsi="標楷體"/>
          <w:sz w:val="30"/>
          <w:szCs w:val="30"/>
          <w:lang w:eastAsia="ja-JP"/>
        </w:rPr>
        <w:t>年初版第</w:t>
      </w:r>
      <w:r w:rsidRPr="007B5D03">
        <w:rPr>
          <w:sz w:val="30"/>
          <w:szCs w:val="30"/>
          <w:lang w:eastAsia="ja-JP"/>
        </w:rPr>
        <w:t>4</w:t>
      </w:r>
      <w:r w:rsidRPr="007B5D03">
        <w:rPr>
          <w:rFonts w:hAnsi="標楷體"/>
          <w:sz w:val="30"/>
          <w:szCs w:val="30"/>
          <w:lang w:eastAsia="ja-JP"/>
        </w:rPr>
        <w:t>刷，頁</w:t>
      </w:r>
      <w:r w:rsidRPr="007B5D03">
        <w:rPr>
          <w:sz w:val="30"/>
          <w:szCs w:val="30"/>
          <w:lang w:eastAsia="ja-JP"/>
        </w:rPr>
        <w:t>39</w:t>
      </w:r>
      <w:r w:rsidRPr="007B5D03">
        <w:rPr>
          <w:rFonts w:hAnsi="標楷體"/>
          <w:sz w:val="30"/>
          <w:szCs w:val="30"/>
          <w:lang w:eastAsia="ja-JP"/>
        </w:rPr>
        <w:t>、</w:t>
      </w:r>
      <w:r w:rsidRPr="007B5D03">
        <w:rPr>
          <w:sz w:val="30"/>
          <w:szCs w:val="30"/>
          <w:lang w:eastAsia="ja-JP"/>
        </w:rPr>
        <w:t>40</w:t>
      </w:r>
      <w:r w:rsidRPr="007B5D03">
        <w:rPr>
          <w:rFonts w:ascii="標楷體" w:hAnsi="標楷體" w:hint="eastAsia"/>
          <w:sz w:val="30"/>
          <w:szCs w:val="30"/>
          <w:lang w:eastAsia="ja-JP"/>
        </w:rPr>
        <w:t>。</w:t>
      </w:r>
    </w:p>
    <w:p w:rsidR="00514426" w:rsidRPr="007B5D03" w:rsidRDefault="00514426" w:rsidP="00FB2D5A">
      <w:pPr>
        <w:snapToGrid w:val="0"/>
        <w:spacing w:line="437" w:lineRule="exact"/>
        <w:ind w:leftChars="99" w:left="1638" w:hanging="1361"/>
        <w:rPr>
          <w:rFonts w:hint="eastAsia"/>
          <w:sz w:val="30"/>
          <w:szCs w:val="30"/>
        </w:rPr>
      </w:pPr>
      <w:r w:rsidRPr="007B5D03">
        <w:rPr>
          <w:rFonts w:hAnsi="標楷體"/>
          <w:sz w:val="30"/>
          <w:szCs w:val="30"/>
        </w:rPr>
        <w:t>附件</w:t>
      </w:r>
      <w:r w:rsidRPr="007B5D03">
        <w:rPr>
          <w:sz w:val="30"/>
          <w:szCs w:val="30"/>
        </w:rPr>
        <w:t>5</w:t>
      </w:r>
      <w:r w:rsidRPr="007B5D03">
        <w:rPr>
          <w:rFonts w:hint="eastAsia"/>
          <w:sz w:val="30"/>
          <w:szCs w:val="30"/>
        </w:rPr>
        <w:t>1</w:t>
      </w:r>
      <w:r w:rsidRPr="007B5D03">
        <w:rPr>
          <w:rFonts w:hAnsi="標楷體"/>
          <w:sz w:val="30"/>
          <w:szCs w:val="30"/>
        </w:rPr>
        <w:t xml:space="preserve">　陳慈陽，憲法學，</w:t>
      </w:r>
      <w:r w:rsidRPr="007B5D03">
        <w:rPr>
          <w:rStyle w:val="afffc"/>
          <w:rFonts w:hAnsi="標楷體"/>
          <w:b w:val="0"/>
          <w:sz w:val="30"/>
          <w:szCs w:val="30"/>
        </w:rPr>
        <w:t>第</w:t>
      </w:r>
      <w:r w:rsidRPr="007B5D03">
        <w:rPr>
          <w:sz w:val="30"/>
          <w:szCs w:val="30"/>
        </w:rPr>
        <w:t>2</w:t>
      </w:r>
      <w:r w:rsidRPr="007B5D03">
        <w:rPr>
          <w:rFonts w:hAnsi="標楷體"/>
          <w:sz w:val="30"/>
          <w:szCs w:val="30"/>
        </w:rPr>
        <w:t>版，</w:t>
      </w:r>
      <w:r w:rsidRPr="007B5D03">
        <w:rPr>
          <w:rStyle w:val="afffc"/>
          <w:rFonts w:hAnsi="標楷體"/>
          <w:b w:val="0"/>
          <w:sz w:val="30"/>
          <w:szCs w:val="30"/>
        </w:rPr>
        <w:t>第</w:t>
      </w:r>
      <w:r w:rsidRPr="007B5D03">
        <w:rPr>
          <w:sz w:val="30"/>
          <w:szCs w:val="30"/>
        </w:rPr>
        <w:t>624</w:t>
      </w:r>
      <w:r w:rsidRPr="007B5D03">
        <w:rPr>
          <w:rFonts w:hAnsi="標楷體"/>
          <w:sz w:val="30"/>
          <w:szCs w:val="30"/>
        </w:rPr>
        <w:t>頁</w:t>
      </w:r>
      <w:r w:rsidRPr="007B5D03">
        <w:rPr>
          <w:rFonts w:hAnsi="標楷體" w:hint="eastAsia"/>
          <w:sz w:val="30"/>
          <w:szCs w:val="30"/>
        </w:rPr>
        <w:t>。</w:t>
      </w:r>
    </w:p>
    <w:p w:rsidR="00514426" w:rsidRPr="007B5D03" w:rsidRDefault="00514426" w:rsidP="00FB2D5A">
      <w:pPr>
        <w:spacing w:line="437" w:lineRule="exact"/>
        <w:ind w:left="958" w:hanging="633"/>
        <w:rPr>
          <w:sz w:val="30"/>
          <w:szCs w:val="30"/>
        </w:rPr>
      </w:pPr>
      <w:r w:rsidRPr="007B5D03">
        <w:rPr>
          <w:rFonts w:hAnsi="標楷體"/>
          <w:sz w:val="30"/>
          <w:szCs w:val="30"/>
        </w:rPr>
        <w:lastRenderedPageBreak/>
        <w:t>謹　呈</w:t>
      </w:r>
    </w:p>
    <w:p w:rsidR="00514426" w:rsidRPr="007B5D03" w:rsidRDefault="00514426" w:rsidP="00FB2D5A">
      <w:pPr>
        <w:spacing w:line="437" w:lineRule="exact"/>
        <w:ind w:left="958" w:hanging="958"/>
        <w:rPr>
          <w:sz w:val="30"/>
          <w:szCs w:val="30"/>
        </w:rPr>
      </w:pPr>
      <w:r w:rsidRPr="007B5D03">
        <w:rPr>
          <w:rFonts w:hAnsi="標楷體"/>
          <w:sz w:val="30"/>
          <w:szCs w:val="30"/>
        </w:rPr>
        <w:t>司法院　公鑒</w:t>
      </w:r>
    </w:p>
    <w:p w:rsidR="00514426" w:rsidRPr="007B5D03" w:rsidRDefault="00514426" w:rsidP="00FB2D5A">
      <w:pPr>
        <w:spacing w:line="437" w:lineRule="exact"/>
        <w:ind w:firstLine="3362"/>
        <w:rPr>
          <w:sz w:val="30"/>
          <w:szCs w:val="30"/>
        </w:rPr>
      </w:pPr>
      <w:r w:rsidRPr="007B5D03">
        <w:rPr>
          <w:rFonts w:hAnsi="標楷體"/>
          <w:sz w:val="30"/>
          <w:szCs w:val="30"/>
        </w:rPr>
        <w:t>聲　請　人　元大證券股份有限公司</w:t>
      </w:r>
    </w:p>
    <w:p w:rsidR="00514426" w:rsidRPr="007B5D03" w:rsidRDefault="00514426" w:rsidP="00FB2D5A">
      <w:pPr>
        <w:spacing w:line="437" w:lineRule="exact"/>
        <w:ind w:right="641" w:firstLine="3360"/>
        <w:rPr>
          <w:rFonts w:hint="eastAsia"/>
          <w:sz w:val="30"/>
          <w:szCs w:val="30"/>
        </w:rPr>
      </w:pPr>
      <w:r w:rsidRPr="007B5D03">
        <w:rPr>
          <w:rFonts w:hAnsi="標楷體"/>
          <w:sz w:val="30"/>
          <w:szCs w:val="30"/>
        </w:rPr>
        <w:t xml:space="preserve">代　表　人　</w:t>
      </w:r>
      <w:r w:rsidRPr="007B5D03">
        <w:rPr>
          <w:rFonts w:hAnsi="標楷體" w:hint="eastAsia"/>
          <w:sz w:val="30"/>
          <w:szCs w:val="30"/>
        </w:rPr>
        <w:t>申</w:t>
      </w:r>
      <w:r w:rsidRPr="007B5D03">
        <w:rPr>
          <w:rFonts w:hAnsi="標楷體"/>
          <w:sz w:val="30"/>
          <w:szCs w:val="30"/>
        </w:rPr>
        <w:t xml:space="preserve">　</w:t>
      </w:r>
      <w:r w:rsidRPr="007B5D03">
        <w:rPr>
          <w:rFonts w:hAnsi="標楷體" w:hint="eastAsia"/>
          <w:sz w:val="30"/>
          <w:szCs w:val="30"/>
        </w:rPr>
        <w:t>鼎</w:t>
      </w:r>
      <w:r w:rsidRPr="007B5D03">
        <w:rPr>
          <w:rFonts w:hAnsi="標楷體"/>
          <w:sz w:val="30"/>
          <w:szCs w:val="30"/>
        </w:rPr>
        <w:t xml:space="preserve">　</w:t>
      </w:r>
      <w:r w:rsidRPr="007B5D03">
        <w:rPr>
          <w:rFonts w:hAnsi="標楷體" w:hint="eastAsia"/>
          <w:sz w:val="30"/>
          <w:szCs w:val="30"/>
        </w:rPr>
        <w:t>籛</w:t>
      </w:r>
    </w:p>
    <w:p w:rsidR="00514426" w:rsidRPr="007B5D03" w:rsidRDefault="00514426" w:rsidP="00FB2D5A">
      <w:pPr>
        <w:spacing w:line="437" w:lineRule="exact"/>
        <w:ind w:right="641" w:firstLine="3360"/>
        <w:rPr>
          <w:sz w:val="30"/>
          <w:szCs w:val="30"/>
        </w:rPr>
      </w:pPr>
      <w:r w:rsidRPr="007B5D03">
        <w:rPr>
          <w:rFonts w:hAnsi="標楷體"/>
          <w:sz w:val="30"/>
          <w:szCs w:val="30"/>
        </w:rPr>
        <w:t>聲請代理人　袁　金　蘭　會計師</w:t>
      </w:r>
    </w:p>
    <w:p w:rsidR="00514426" w:rsidRPr="007B5D03" w:rsidRDefault="00514426" w:rsidP="00FB2D5A">
      <w:pPr>
        <w:spacing w:line="437" w:lineRule="exact"/>
        <w:ind w:right="641" w:firstLine="3360"/>
        <w:rPr>
          <w:sz w:val="30"/>
          <w:szCs w:val="30"/>
        </w:rPr>
      </w:pPr>
      <w:r w:rsidRPr="007B5D03">
        <w:rPr>
          <w:rFonts w:hAnsi="標楷體"/>
          <w:sz w:val="30"/>
          <w:szCs w:val="30"/>
        </w:rPr>
        <w:t xml:space="preserve">　　　　　　林　瑞　彬　律　師</w:t>
      </w:r>
    </w:p>
    <w:p w:rsidR="00514426" w:rsidRPr="007B5D03" w:rsidRDefault="00514426" w:rsidP="00FB2D5A">
      <w:pPr>
        <w:spacing w:line="437" w:lineRule="exact"/>
        <w:jc w:val="distribute"/>
        <w:rPr>
          <w:sz w:val="30"/>
          <w:szCs w:val="30"/>
        </w:rPr>
      </w:pPr>
      <w:smartTag w:uri="urn:schemas-microsoft-com:office:smarttags" w:element="chsdate">
        <w:smartTagPr>
          <w:attr w:name="IsROCDate" w:val="True"/>
          <w:attr w:name="IsLunarDate" w:val="False"/>
          <w:attr w:name="Day" w:val="24"/>
          <w:attr w:name="Month" w:val="8"/>
          <w:attr w:name="Year" w:val="2009"/>
        </w:smartTagPr>
        <w:r w:rsidRPr="007B5D03">
          <w:rPr>
            <w:rFonts w:hAnsi="標楷體"/>
            <w:sz w:val="30"/>
            <w:szCs w:val="30"/>
          </w:rPr>
          <w:t>中華民國九十八年八月二十四日</w:t>
        </w:r>
      </w:smartTag>
    </w:p>
    <w:p w:rsidR="00514426" w:rsidRPr="007B5D03" w:rsidRDefault="00514426" w:rsidP="00FB2D5A">
      <w:pPr>
        <w:spacing w:line="437" w:lineRule="exact"/>
        <w:ind w:right="57"/>
        <w:rPr>
          <w:sz w:val="30"/>
          <w:szCs w:val="30"/>
        </w:rPr>
      </w:pPr>
    </w:p>
    <w:p w:rsidR="00514426" w:rsidRPr="007B5D03" w:rsidRDefault="00514426" w:rsidP="00FB2D5A">
      <w:pPr>
        <w:spacing w:line="437" w:lineRule="exact"/>
        <w:rPr>
          <w:sz w:val="30"/>
          <w:szCs w:val="30"/>
        </w:rPr>
      </w:pPr>
      <w:r w:rsidRPr="007B5D03">
        <w:rPr>
          <w:rFonts w:hAnsi="標楷體"/>
          <w:sz w:val="30"/>
          <w:szCs w:val="30"/>
        </w:rPr>
        <w:t>（附件一）</w:t>
      </w:r>
    </w:p>
    <w:p w:rsidR="00514426" w:rsidRPr="007B5D03" w:rsidRDefault="00514426" w:rsidP="00FB2D5A">
      <w:pPr>
        <w:spacing w:line="437" w:lineRule="exact"/>
        <w:jc w:val="distribute"/>
        <w:rPr>
          <w:sz w:val="30"/>
          <w:szCs w:val="30"/>
        </w:rPr>
      </w:pPr>
      <w:r w:rsidRPr="007B5D03">
        <w:rPr>
          <w:rFonts w:hAnsi="標楷體"/>
          <w:sz w:val="30"/>
          <w:szCs w:val="30"/>
        </w:rPr>
        <w:t xml:space="preserve">最高行政法院判決　　　　</w:t>
      </w:r>
      <w:r w:rsidRPr="007B5D03">
        <w:rPr>
          <w:sz w:val="30"/>
          <w:szCs w:val="30"/>
        </w:rPr>
        <w:t>97</w:t>
      </w:r>
      <w:r w:rsidRPr="007B5D03">
        <w:rPr>
          <w:rFonts w:hAnsi="標楷體"/>
          <w:sz w:val="30"/>
          <w:szCs w:val="30"/>
        </w:rPr>
        <w:t>年度判字第</w:t>
      </w:r>
      <w:r w:rsidRPr="007B5D03">
        <w:rPr>
          <w:sz w:val="30"/>
          <w:szCs w:val="30"/>
        </w:rPr>
        <w:t>00838</w:t>
      </w:r>
      <w:r w:rsidRPr="007B5D03">
        <w:rPr>
          <w:rFonts w:hAnsi="標楷體"/>
          <w:sz w:val="30"/>
          <w:szCs w:val="30"/>
        </w:rPr>
        <w:t>號</w:t>
      </w:r>
    </w:p>
    <w:p w:rsidR="00514426" w:rsidRPr="007B5D03" w:rsidRDefault="00514426" w:rsidP="00FB2D5A">
      <w:pPr>
        <w:spacing w:line="437" w:lineRule="exact"/>
        <w:rPr>
          <w:sz w:val="30"/>
          <w:szCs w:val="30"/>
        </w:rPr>
      </w:pPr>
      <w:r w:rsidRPr="007B5D03">
        <w:rPr>
          <w:rFonts w:hAnsi="標楷體"/>
          <w:sz w:val="30"/>
          <w:szCs w:val="30"/>
        </w:rPr>
        <w:t>上　訴　人　元大證券股份有限公司</w:t>
      </w:r>
    </w:p>
    <w:p w:rsidR="00514426" w:rsidRPr="007B5D03" w:rsidRDefault="00514426" w:rsidP="00FB2D5A">
      <w:pPr>
        <w:spacing w:line="437" w:lineRule="exact"/>
        <w:rPr>
          <w:sz w:val="30"/>
          <w:szCs w:val="30"/>
        </w:rPr>
      </w:pPr>
      <w:r w:rsidRPr="007B5D03">
        <w:rPr>
          <w:rFonts w:hAnsi="標楷體"/>
          <w:sz w:val="30"/>
          <w:szCs w:val="30"/>
        </w:rPr>
        <w:t>代　表　人　杜　麗　莊</w:t>
      </w:r>
    </w:p>
    <w:p w:rsidR="00514426" w:rsidRPr="007B5D03" w:rsidRDefault="00514426" w:rsidP="00FB2D5A">
      <w:pPr>
        <w:spacing w:line="437" w:lineRule="exact"/>
        <w:rPr>
          <w:sz w:val="30"/>
          <w:szCs w:val="30"/>
        </w:rPr>
      </w:pPr>
      <w:r w:rsidRPr="007B5D03">
        <w:rPr>
          <w:rFonts w:hAnsi="標楷體"/>
          <w:sz w:val="30"/>
          <w:szCs w:val="30"/>
        </w:rPr>
        <w:t>訴訟代理人　蔡　朝　安　律　師</w:t>
      </w:r>
    </w:p>
    <w:p w:rsidR="00514426" w:rsidRPr="007B5D03" w:rsidRDefault="00514426" w:rsidP="00FB2D5A">
      <w:pPr>
        <w:spacing w:line="437" w:lineRule="exact"/>
        <w:rPr>
          <w:sz w:val="30"/>
          <w:szCs w:val="30"/>
        </w:rPr>
      </w:pPr>
      <w:r w:rsidRPr="007B5D03">
        <w:rPr>
          <w:rFonts w:hAnsi="標楷體"/>
          <w:spacing w:val="50"/>
          <w:sz w:val="30"/>
          <w:szCs w:val="30"/>
        </w:rPr>
        <w:t>被</w:t>
      </w:r>
      <w:r w:rsidRPr="007B5D03">
        <w:rPr>
          <w:rFonts w:hAnsi="標楷體" w:hint="eastAsia"/>
          <w:spacing w:val="50"/>
          <w:sz w:val="30"/>
          <w:szCs w:val="30"/>
        </w:rPr>
        <w:t>上訴</w:t>
      </w:r>
      <w:r w:rsidRPr="007B5D03">
        <w:rPr>
          <w:rFonts w:hAnsi="標楷體" w:hint="eastAsia"/>
          <w:spacing w:val="-2"/>
          <w:sz w:val="30"/>
          <w:szCs w:val="30"/>
        </w:rPr>
        <w:t>人</w:t>
      </w:r>
      <w:r w:rsidRPr="007B5D03">
        <w:rPr>
          <w:rFonts w:hAnsi="標楷體"/>
          <w:spacing w:val="4"/>
          <w:sz w:val="30"/>
          <w:szCs w:val="30"/>
        </w:rPr>
        <w:t xml:space="preserve">　財</w:t>
      </w:r>
      <w:r w:rsidRPr="007B5D03">
        <w:rPr>
          <w:rFonts w:hAnsi="標楷體"/>
          <w:sz w:val="30"/>
          <w:szCs w:val="30"/>
        </w:rPr>
        <w:t>政部臺北市國稅局</w:t>
      </w:r>
    </w:p>
    <w:p w:rsidR="00514426" w:rsidRPr="007B5D03" w:rsidRDefault="00514426" w:rsidP="00FB2D5A">
      <w:pPr>
        <w:spacing w:line="437" w:lineRule="exact"/>
        <w:rPr>
          <w:sz w:val="30"/>
          <w:szCs w:val="30"/>
        </w:rPr>
      </w:pPr>
      <w:r w:rsidRPr="007B5D03">
        <w:rPr>
          <w:rFonts w:hAnsi="標楷體"/>
          <w:sz w:val="30"/>
          <w:szCs w:val="30"/>
        </w:rPr>
        <w:t>代　表　人　凌　忠　媛</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上列當事人間營利事業所得稅事件，上訴人對於</w:t>
      </w:r>
      <w:smartTag w:uri="urn:schemas-microsoft-com:office:smarttags" w:element="chsdate">
        <w:smartTagPr>
          <w:attr w:name="IsROCDate" w:val="True"/>
          <w:attr w:name="IsLunarDate" w:val="False"/>
          <w:attr w:name="Day" w:val="3"/>
          <w:attr w:name="Month" w:val="4"/>
          <w:attr w:name="Year" w:val="2008"/>
        </w:smartTagPr>
        <w:r w:rsidRPr="007B5D03">
          <w:rPr>
            <w:rFonts w:hAnsi="標楷體"/>
            <w:sz w:val="30"/>
            <w:szCs w:val="30"/>
          </w:rPr>
          <w:t>中華民國</w:t>
        </w:r>
        <w:r w:rsidRPr="007B5D03">
          <w:rPr>
            <w:sz w:val="30"/>
            <w:szCs w:val="30"/>
          </w:rPr>
          <w:t>97</w:t>
        </w:r>
        <w:r w:rsidRPr="007B5D03">
          <w:rPr>
            <w:rFonts w:hAnsi="標楷體"/>
            <w:sz w:val="30"/>
            <w:szCs w:val="30"/>
          </w:rPr>
          <w:t>年</w:t>
        </w:r>
        <w:r w:rsidRPr="007B5D03">
          <w:rPr>
            <w:sz w:val="30"/>
            <w:szCs w:val="30"/>
          </w:rPr>
          <w:t>4</w:t>
        </w:r>
        <w:r w:rsidRPr="007B5D03">
          <w:rPr>
            <w:rFonts w:hAnsi="標楷體"/>
            <w:sz w:val="30"/>
            <w:szCs w:val="30"/>
          </w:rPr>
          <w:t>月</w:t>
        </w:r>
        <w:r w:rsidRPr="007B5D03">
          <w:rPr>
            <w:sz w:val="30"/>
            <w:szCs w:val="30"/>
          </w:rPr>
          <w:t>3</w:t>
        </w:r>
        <w:r w:rsidRPr="007B5D03">
          <w:rPr>
            <w:rFonts w:hAnsi="標楷體"/>
            <w:sz w:val="30"/>
            <w:szCs w:val="30"/>
          </w:rPr>
          <w:t>日</w:t>
        </w:r>
      </w:smartTag>
      <w:r w:rsidRPr="007B5D03">
        <w:rPr>
          <w:rFonts w:hAnsi="標楷體"/>
          <w:sz w:val="30"/>
          <w:szCs w:val="30"/>
        </w:rPr>
        <w:t>臺北高等行政法院</w:t>
      </w:r>
      <w:r w:rsidRPr="007B5D03">
        <w:rPr>
          <w:sz w:val="30"/>
          <w:szCs w:val="30"/>
        </w:rPr>
        <w:t>96</w:t>
      </w:r>
      <w:r w:rsidRPr="007B5D03">
        <w:rPr>
          <w:rFonts w:hAnsi="標楷體"/>
          <w:sz w:val="30"/>
          <w:szCs w:val="30"/>
        </w:rPr>
        <w:t>年度訴字第</w:t>
      </w:r>
      <w:r w:rsidRPr="007B5D03">
        <w:rPr>
          <w:sz w:val="30"/>
          <w:szCs w:val="30"/>
        </w:rPr>
        <w:t>2705</w:t>
      </w:r>
      <w:r w:rsidRPr="007B5D03">
        <w:rPr>
          <w:rFonts w:hAnsi="標楷體"/>
          <w:sz w:val="30"/>
          <w:szCs w:val="30"/>
        </w:rPr>
        <w:t>號判決，提起上訴，本院判決如下：</w:t>
      </w:r>
    </w:p>
    <w:p w:rsidR="00514426" w:rsidRPr="007B5D03" w:rsidRDefault="00514426" w:rsidP="00FB2D5A">
      <w:pPr>
        <w:spacing w:line="437" w:lineRule="exact"/>
        <w:rPr>
          <w:sz w:val="30"/>
          <w:szCs w:val="30"/>
        </w:rPr>
      </w:pPr>
      <w:r w:rsidRPr="007B5D03">
        <w:rPr>
          <w:rFonts w:hAnsi="標楷體"/>
          <w:sz w:val="30"/>
          <w:szCs w:val="30"/>
        </w:rPr>
        <w:t xml:space="preserve">　　主　文</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上訴駁回。</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上訴審訴訟費用由上訴人負擔。</w:t>
      </w:r>
    </w:p>
    <w:p w:rsidR="00514426" w:rsidRPr="007B5D03" w:rsidRDefault="00514426" w:rsidP="00FB2D5A">
      <w:pPr>
        <w:spacing w:line="437" w:lineRule="exact"/>
        <w:rPr>
          <w:sz w:val="30"/>
          <w:szCs w:val="30"/>
        </w:rPr>
      </w:pPr>
      <w:r w:rsidRPr="007B5D03">
        <w:rPr>
          <w:rFonts w:hAnsi="標楷體"/>
          <w:sz w:val="30"/>
          <w:szCs w:val="30"/>
        </w:rPr>
        <w:t xml:space="preserve">　　事實及理由</w:t>
      </w:r>
    </w:p>
    <w:p w:rsidR="00514426" w:rsidRPr="007B5D03" w:rsidRDefault="00514426" w:rsidP="00FB2D5A">
      <w:pPr>
        <w:snapToGrid w:val="0"/>
        <w:spacing w:line="437" w:lineRule="exact"/>
        <w:ind w:left="680" w:hanging="680"/>
        <w:rPr>
          <w:sz w:val="30"/>
          <w:szCs w:val="30"/>
        </w:rPr>
      </w:pPr>
      <w:r w:rsidRPr="007B5D03">
        <w:rPr>
          <w:rFonts w:hAnsi="標楷體"/>
          <w:spacing w:val="8"/>
          <w:sz w:val="30"/>
          <w:szCs w:val="30"/>
        </w:rPr>
        <w:t>一、</w:t>
      </w:r>
      <w:r w:rsidRPr="00FC2C0D">
        <w:rPr>
          <w:rFonts w:hAnsi="標楷體"/>
          <w:spacing w:val="4"/>
          <w:sz w:val="30"/>
          <w:szCs w:val="30"/>
        </w:rPr>
        <w:t>上訴人辦理</w:t>
      </w:r>
      <w:r w:rsidRPr="00FC2C0D">
        <w:rPr>
          <w:spacing w:val="4"/>
          <w:sz w:val="30"/>
          <w:szCs w:val="30"/>
        </w:rPr>
        <w:t>91</w:t>
      </w:r>
      <w:r w:rsidRPr="00FC2C0D">
        <w:rPr>
          <w:rFonts w:hAnsi="標楷體"/>
          <w:spacing w:val="4"/>
          <w:sz w:val="30"/>
          <w:szCs w:val="30"/>
        </w:rPr>
        <w:t>年度營利事業所得稅結算申報，列報營業收</w:t>
      </w:r>
      <w:r w:rsidRPr="007B5D03">
        <w:rPr>
          <w:rFonts w:hAnsi="標楷體"/>
          <w:sz w:val="30"/>
          <w:szCs w:val="30"/>
        </w:rPr>
        <w:t>入新臺幣</w:t>
      </w:r>
      <w:r w:rsidRPr="007B5D03">
        <w:rPr>
          <w:rFonts w:hint="eastAsia"/>
          <w:sz w:val="30"/>
          <w:szCs w:val="30"/>
        </w:rPr>
        <w:t>（</w:t>
      </w:r>
      <w:r w:rsidRPr="007B5D03">
        <w:rPr>
          <w:rFonts w:hAnsi="標楷體"/>
          <w:sz w:val="30"/>
          <w:szCs w:val="30"/>
        </w:rPr>
        <w:t>下同</w:t>
      </w:r>
      <w:r w:rsidRPr="007B5D03">
        <w:rPr>
          <w:rFonts w:hint="eastAsia"/>
          <w:sz w:val="30"/>
          <w:szCs w:val="30"/>
        </w:rPr>
        <w:t>）</w:t>
      </w:r>
      <w:r w:rsidRPr="007B5D03">
        <w:rPr>
          <w:sz w:val="30"/>
          <w:szCs w:val="30"/>
        </w:rPr>
        <w:t>10,713,177,118</w:t>
      </w:r>
      <w:r w:rsidRPr="007B5D03">
        <w:rPr>
          <w:rFonts w:hAnsi="標楷體"/>
          <w:sz w:val="30"/>
          <w:szCs w:val="30"/>
        </w:rPr>
        <w:t>元及停徵之證券交易所得</w:t>
      </w:r>
      <w:r w:rsidRPr="007B5D03">
        <w:rPr>
          <w:sz w:val="30"/>
          <w:szCs w:val="30"/>
        </w:rPr>
        <w:t>416,365,574</w:t>
      </w:r>
      <w:r w:rsidRPr="007B5D03">
        <w:rPr>
          <w:rFonts w:hAnsi="標楷體"/>
          <w:sz w:val="30"/>
          <w:szCs w:val="30"/>
        </w:rPr>
        <w:t>元。經被上訴人原核定以：</w:t>
      </w:r>
      <w:r w:rsidRPr="007B5D03">
        <w:rPr>
          <w:rFonts w:hint="eastAsia"/>
          <w:sz w:val="30"/>
          <w:szCs w:val="30"/>
        </w:rPr>
        <w:t>（</w:t>
      </w:r>
      <w:r w:rsidRPr="007B5D03">
        <w:rPr>
          <w:rFonts w:hAnsi="標楷體"/>
          <w:sz w:val="30"/>
          <w:szCs w:val="30"/>
        </w:rPr>
        <w:t>一</w:t>
      </w:r>
      <w:r w:rsidRPr="007B5D03">
        <w:rPr>
          <w:rFonts w:hint="eastAsia"/>
          <w:sz w:val="30"/>
          <w:szCs w:val="30"/>
        </w:rPr>
        <w:t>）</w:t>
      </w:r>
      <w:r w:rsidRPr="007B5D03">
        <w:rPr>
          <w:rFonts w:hAnsi="標楷體"/>
          <w:sz w:val="30"/>
          <w:szCs w:val="30"/>
        </w:rPr>
        <w:t>上訴人發行</w:t>
      </w:r>
      <w:r w:rsidRPr="007B5D03">
        <w:rPr>
          <w:sz w:val="30"/>
          <w:szCs w:val="30"/>
        </w:rPr>
        <w:t>91</w:t>
      </w:r>
      <w:r w:rsidRPr="007B5D03">
        <w:rPr>
          <w:rFonts w:hAnsi="標楷體"/>
          <w:sz w:val="30"/>
          <w:szCs w:val="30"/>
        </w:rPr>
        <w:t>年度到期之元大</w:t>
      </w:r>
      <w:r w:rsidRPr="007B5D03">
        <w:rPr>
          <w:sz w:val="30"/>
          <w:szCs w:val="30"/>
        </w:rPr>
        <w:t>25-37</w:t>
      </w:r>
      <w:r w:rsidRPr="007B5D03">
        <w:rPr>
          <w:rFonts w:hAnsi="標楷體"/>
          <w:sz w:val="30"/>
          <w:szCs w:val="30"/>
        </w:rPr>
        <w:t>等</w:t>
      </w:r>
      <w:r w:rsidRPr="007B5D03">
        <w:rPr>
          <w:sz w:val="30"/>
          <w:szCs w:val="30"/>
        </w:rPr>
        <w:t>13</w:t>
      </w:r>
      <w:r w:rsidRPr="007B5D03">
        <w:rPr>
          <w:rFonts w:hAnsi="標楷體"/>
          <w:sz w:val="30"/>
          <w:szCs w:val="30"/>
        </w:rPr>
        <w:t>檔認購權證所取得之發行價款</w:t>
      </w:r>
      <w:r w:rsidRPr="007B5D03">
        <w:rPr>
          <w:sz w:val="30"/>
          <w:szCs w:val="30"/>
        </w:rPr>
        <w:lastRenderedPageBreak/>
        <w:t>1,352,592,500</w:t>
      </w:r>
      <w:r w:rsidRPr="007B5D03">
        <w:rPr>
          <w:rFonts w:hAnsi="標楷體"/>
          <w:sz w:val="30"/>
          <w:szCs w:val="30"/>
        </w:rPr>
        <w:t>元</w:t>
      </w:r>
      <w:r w:rsidRPr="007B5D03">
        <w:rPr>
          <w:rFonts w:hint="eastAsia"/>
          <w:sz w:val="30"/>
          <w:szCs w:val="30"/>
        </w:rPr>
        <w:t>（</w:t>
      </w:r>
      <w:r w:rsidRPr="007B5D03">
        <w:rPr>
          <w:rFonts w:hAnsi="標楷體"/>
          <w:sz w:val="30"/>
          <w:szCs w:val="30"/>
        </w:rPr>
        <w:t>按包括自留未由發行人以外之一般投資人購買之額度</w:t>
      </w:r>
      <w:r w:rsidRPr="007B5D03">
        <w:rPr>
          <w:sz w:val="30"/>
          <w:szCs w:val="30"/>
        </w:rPr>
        <w:t>192,414,228</w:t>
      </w:r>
      <w:r w:rsidRPr="007B5D03">
        <w:rPr>
          <w:rFonts w:hAnsi="標楷體"/>
          <w:sz w:val="30"/>
          <w:szCs w:val="30"/>
        </w:rPr>
        <w:t>元，下稱自留額度</w:t>
      </w:r>
      <w:r w:rsidRPr="007B5D03">
        <w:rPr>
          <w:rFonts w:hint="eastAsia"/>
          <w:sz w:val="30"/>
          <w:szCs w:val="30"/>
        </w:rPr>
        <w:t>）</w:t>
      </w:r>
      <w:r w:rsidRPr="007B5D03">
        <w:rPr>
          <w:rFonts w:hAnsi="標楷體"/>
          <w:sz w:val="30"/>
          <w:szCs w:val="30"/>
        </w:rPr>
        <w:t>，屬應稅之權利</w:t>
      </w:r>
      <w:r w:rsidRPr="00DC50C2">
        <w:rPr>
          <w:rFonts w:hAnsi="標楷體"/>
          <w:spacing w:val="-6"/>
          <w:sz w:val="30"/>
          <w:szCs w:val="30"/>
        </w:rPr>
        <w:t>金收入</w:t>
      </w:r>
      <w:r w:rsidRPr="00DC50C2">
        <w:rPr>
          <w:rFonts w:hint="eastAsia"/>
          <w:spacing w:val="-6"/>
          <w:sz w:val="30"/>
          <w:szCs w:val="30"/>
        </w:rPr>
        <w:t>（</w:t>
      </w:r>
      <w:r w:rsidRPr="00DC50C2">
        <w:rPr>
          <w:rFonts w:hAnsi="標楷體"/>
          <w:spacing w:val="-6"/>
          <w:sz w:val="30"/>
          <w:szCs w:val="30"/>
        </w:rPr>
        <w:t>下稱權利金收入</w:t>
      </w:r>
      <w:r w:rsidRPr="00DC50C2">
        <w:rPr>
          <w:rFonts w:hAnsi="標楷體" w:hint="eastAsia"/>
          <w:spacing w:val="-6"/>
          <w:sz w:val="30"/>
          <w:szCs w:val="30"/>
        </w:rPr>
        <w:t>）</w:t>
      </w:r>
      <w:r w:rsidRPr="00DC50C2">
        <w:rPr>
          <w:rFonts w:hAnsi="標楷體"/>
          <w:spacing w:val="-6"/>
          <w:sz w:val="30"/>
          <w:szCs w:val="30"/>
        </w:rPr>
        <w:t>，乃核定營業收入為</w:t>
      </w:r>
      <w:r w:rsidRPr="00DC50C2">
        <w:rPr>
          <w:spacing w:val="-6"/>
          <w:sz w:val="30"/>
          <w:szCs w:val="30"/>
        </w:rPr>
        <w:t>12,065,769,618</w:t>
      </w:r>
      <w:r w:rsidRPr="007B5D03">
        <w:rPr>
          <w:rFonts w:hAnsi="標楷體"/>
          <w:sz w:val="30"/>
          <w:szCs w:val="30"/>
        </w:rPr>
        <w:t>元</w:t>
      </w:r>
      <w:r w:rsidRPr="007B5D03">
        <w:rPr>
          <w:rFonts w:hint="eastAsia"/>
          <w:sz w:val="30"/>
          <w:szCs w:val="30"/>
        </w:rPr>
        <w:t>（</w:t>
      </w:r>
      <w:r w:rsidRPr="007B5D03">
        <w:rPr>
          <w:rFonts w:hAnsi="標楷體"/>
          <w:sz w:val="30"/>
          <w:szCs w:val="30"/>
        </w:rPr>
        <w:t>＝原申報數</w:t>
      </w:r>
      <w:r w:rsidRPr="007B5D03">
        <w:rPr>
          <w:sz w:val="30"/>
          <w:szCs w:val="30"/>
        </w:rPr>
        <w:t>10,713,177,118</w:t>
      </w:r>
      <w:r w:rsidRPr="007B5D03">
        <w:rPr>
          <w:rFonts w:hAnsi="標楷體"/>
          <w:sz w:val="30"/>
          <w:szCs w:val="30"/>
        </w:rPr>
        <w:t>元＋發行認購權證權利金收</w:t>
      </w:r>
      <w:r w:rsidRPr="00DC50C2">
        <w:rPr>
          <w:rFonts w:hAnsi="標楷體"/>
          <w:spacing w:val="-6"/>
          <w:sz w:val="30"/>
          <w:szCs w:val="30"/>
        </w:rPr>
        <w:t>入</w:t>
      </w:r>
      <w:r w:rsidRPr="00DC50C2">
        <w:rPr>
          <w:spacing w:val="-6"/>
          <w:sz w:val="30"/>
          <w:szCs w:val="30"/>
        </w:rPr>
        <w:t>1,352,592,500</w:t>
      </w:r>
      <w:r w:rsidRPr="00DC50C2">
        <w:rPr>
          <w:rFonts w:hAnsi="標楷體"/>
          <w:spacing w:val="-6"/>
          <w:sz w:val="30"/>
          <w:szCs w:val="30"/>
        </w:rPr>
        <w:t>元</w:t>
      </w:r>
      <w:r w:rsidRPr="00DC50C2">
        <w:rPr>
          <w:rFonts w:hint="eastAsia"/>
          <w:spacing w:val="-6"/>
          <w:sz w:val="30"/>
          <w:szCs w:val="30"/>
        </w:rPr>
        <w:t>）</w:t>
      </w:r>
      <w:r w:rsidRPr="00DC50C2">
        <w:rPr>
          <w:rFonts w:hAnsi="標楷體"/>
          <w:spacing w:val="-6"/>
          <w:sz w:val="30"/>
          <w:szCs w:val="30"/>
        </w:rPr>
        <w:t>；</w:t>
      </w:r>
      <w:r w:rsidRPr="00DC50C2">
        <w:rPr>
          <w:rFonts w:hint="eastAsia"/>
          <w:spacing w:val="-6"/>
          <w:sz w:val="30"/>
          <w:szCs w:val="30"/>
        </w:rPr>
        <w:t>（</w:t>
      </w:r>
      <w:r w:rsidRPr="00DC50C2">
        <w:rPr>
          <w:rFonts w:hAnsi="標楷體"/>
          <w:spacing w:val="-6"/>
          <w:sz w:val="30"/>
          <w:szCs w:val="30"/>
        </w:rPr>
        <w:t>二</w:t>
      </w:r>
      <w:r w:rsidRPr="00DC50C2">
        <w:rPr>
          <w:rFonts w:hint="eastAsia"/>
          <w:spacing w:val="-6"/>
          <w:sz w:val="30"/>
          <w:szCs w:val="30"/>
        </w:rPr>
        <w:t>）</w:t>
      </w:r>
      <w:r w:rsidRPr="00DC50C2">
        <w:rPr>
          <w:rFonts w:hAnsi="標楷體"/>
          <w:spacing w:val="-6"/>
          <w:sz w:val="30"/>
          <w:szCs w:val="30"/>
        </w:rPr>
        <w:t>另核算上訴人應稅業務交際費及</w:t>
      </w:r>
      <w:r w:rsidRPr="007B5D03">
        <w:rPr>
          <w:rFonts w:hAnsi="標楷體"/>
          <w:sz w:val="30"/>
          <w:szCs w:val="30"/>
        </w:rPr>
        <w:t>職工福利可列支限額分別為</w:t>
      </w:r>
      <w:r w:rsidRPr="007B5D03">
        <w:rPr>
          <w:sz w:val="30"/>
          <w:szCs w:val="30"/>
        </w:rPr>
        <w:t>58,172,625</w:t>
      </w:r>
      <w:r w:rsidRPr="007B5D03">
        <w:rPr>
          <w:rFonts w:hAnsi="標楷體"/>
          <w:sz w:val="30"/>
          <w:szCs w:val="30"/>
        </w:rPr>
        <w:t>元、</w:t>
      </w:r>
      <w:r w:rsidRPr="007B5D03">
        <w:rPr>
          <w:sz w:val="30"/>
          <w:szCs w:val="30"/>
        </w:rPr>
        <w:t>17,571,656</w:t>
      </w:r>
      <w:r w:rsidRPr="007B5D03">
        <w:rPr>
          <w:rFonts w:hAnsi="標楷體"/>
          <w:sz w:val="30"/>
          <w:szCs w:val="30"/>
        </w:rPr>
        <w:t>元，乃將超限之交際費</w:t>
      </w:r>
      <w:r w:rsidRPr="007B5D03">
        <w:rPr>
          <w:sz w:val="30"/>
          <w:szCs w:val="30"/>
        </w:rPr>
        <w:t>127,045,920</w:t>
      </w:r>
      <w:r w:rsidRPr="007B5D03">
        <w:rPr>
          <w:rFonts w:hAnsi="標楷體"/>
          <w:sz w:val="30"/>
          <w:szCs w:val="30"/>
        </w:rPr>
        <w:t>元及職工福利</w:t>
      </w:r>
      <w:r w:rsidRPr="007B5D03">
        <w:rPr>
          <w:sz w:val="30"/>
          <w:szCs w:val="30"/>
        </w:rPr>
        <w:t>5,506,878</w:t>
      </w:r>
      <w:r w:rsidRPr="007B5D03">
        <w:rPr>
          <w:rFonts w:hAnsi="標楷體"/>
          <w:sz w:val="30"/>
          <w:szCs w:val="30"/>
        </w:rPr>
        <w:t>元列屬出售有價證券免稅業務部分之費用，扣除自營部門已列報交際費</w:t>
      </w:r>
      <w:r w:rsidRPr="007B5D03">
        <w:rPr>
          <w:sz w:val="30"/>
          <w:szCs w:val="30"/>
        </w:rPr>
        <w:t>662,422</w:t>
      </w:r>
      <w:r w:rsidRPr="007B5D03">
        <w:rPr>
          <w:rFonts w:hAnsi="標楷體"/>
          <w:sz w:val="30"/>
          <w:szCs w:val="30"/>
        </w:rPr>
        <w:t>元及職工福利</w:t>
      </w:r>
      <w:r w:rsidRPr="007B5D03">
        <w:rPr>
          <w:sz w:val="30"/>
          <w:szCs w:val="30"/>
        </w:rPr>
        <w:t>130,682</w:t>
      </w:r>
      <w:r w:rsidRPr="007B5D03">
        <w:rPr>
          <w:rFonts w:hAnsi="標楷體"/>
          <w:sz w:val="30"/>
          <w:szCs w:val="30"/>
        </w:rPr>
        <w:t>元，其餘交際費</w:t>
      </w:r>
      <w:r w:rsidRPr="007B5D03">
        <w:rPr>
          <w:sz w:val="30"/>
          <w:szCs w:val="30"/>
        </w:rPr>
        <w:t>126,383,498</w:t>
      </w:r>
      <w:r w:rsidRPr="007B5D03">
        <w:rPr>
          <w:rFonts w:hAnsi="標楷體"/>
          <w:sz w:val="30"/>
          <w:szCs w:val="30"/>
        </w:rPr>
        <w:t>元及職工福利</w:t>
      </w:r>
      <w:r w:rsidRPr="007B5D03">
        <w:rPr>
          <w:sz w:val="30"/>
          <w:szCs w:val="30"/>
        </w:rPr>
        <w:t>5,376,196</w:t>
      </w:r>
      <w:r w:rsidRPr="007B5D03">
        <w:rPr>
          <w:rFonts w:hAnsi="標楷體"/>
          <w:sz w:val="30"/>
          <w:szCs w:val="30"/>
        </w:rPr>
        <w:t>元轉自有價證券出售收入項下認列減除，暨將債券附買回交易前手息扣繳稅款</w:t>
      </w:r>
      <w:r w:rsidRPr="007B5D03">
        <w:rPr>
          <w:sz w:val="30"/>
          <w:szCs w:val="30"/>
        </w:rPr>
        <w:t>23,360,946</w:t>
      </w:r>
      <w:r w:rsidRPr="007B5D03">
        <w:rPr>
          <w:rFonts w:hAnsi="標楷體"/>
          <w:sz w:val="30"/>
          <w:szCs w:val="30"/>
        </w:rPr>
        <w:t>元、發行上開認購權證費用</w:t>
      </w:r>
      <w:r w:rsidRPr="007B5D03">
        <w:rPr>
          <w:sz w:val="30"/>
          <w:szCs w:val="30"/>
        </w:rPr>
        <w:t>9,699,745</w:t>
      </w:r>
      <w:r w:rsidRPr="007B5D03">
        <w:rPr>
          <w:rFonts w:hAnsi="標楷體"/>
          <w:sz w:val="30"/>
          <w:szCs w:val="30"/>
        </w:rPr>
        <w:t>元分別轉列為證券交易成本加項、自原申報為證券交易成本減除等由，乃核定停徵之證券交易所得為</w:t>
      </w:r>
      <w:r w:rsidRPr="007B5D03">
        <w:rPr>
          <w:sz w:val="30"/>
          <w:szCs w:val="30"/>
        </w:rPr>
        <w:t>270,944,679</w:t>
      </w:r>
      <w:r w:rsidRPr="007B5D03">
        <w:rPr>
          <w:rFonts w:hAnsi="標楷體"/>
          <w:sz w:val="30"/>
          <w:szCs w:val="30"/>
        </w:rPr>
        <w:t>元</w:t>
      </w:r>
      <w:r w:rsidRPr="007B5D03">
        <w:rPr>
          <w:rFonts w:hint="eastAsia"/>
          <w:sz w:val="30"/>
          <w:szCs w:val="30"/>
        </w:rPr>
        <w:t>（</w:t>
      </w:r>
      <w:r w:rsidRPr="007B5D03">
        <w:rPr>
          <w:rFonts w:hAnsi="標楷體"/>
          <w:sz w:val="30"/>
          <w:szCs w:val="30"/>
        </w:rPr>
        <w:t>＝原申報數</w:t>
      </w:r>
      <w:r w:rsidRPr="007B5D03">
        <w:rPr>
          <w:sz w:val="30"/>
          <w:szCs w:val="30"/>
        </w:rPr>
        <w:t>416,365,574</w:t>
      </w:r>
      <w:r w:rsidRPr="007B5D03">
        <w:rPr>
          <w:rFonts w:hAnsi="標楷體"/>
          <w:sz w:val="30"/>
          <w:szCs w:val="30"/>
        </w:rPr>
        <w:t>元－自交際費轉來</w:t>
      </w:r>
      <w:r w:rsidRPr="007B5D03">
        <w:rPr>
          <w:sz w:val="30"/>
          <w:szCs w:val="30"/>
        </w:rPr>
        <w:t>126,383,498</w:t>
      </w:r>
      <w:r w:rsidRPr="007B5D03">
        <w:rPr>
          <w:rFonts w:hAnsi="標楷體"/>
          <w:sz w:val="30"/>
          <w:szCs w:val="30"/>
        </w:rPr>
        <w:t>元－自職工福利</w:t>
      </w:r>
      <w:r w:rsidRPr="00DC50C2">
        <w:rPr>
          <w:rFonts w:hAnsi="標楷體"/>
          <w:spacing w:val="6"/>
          <w:sz w:val="30"/>
          <w:szCs w:val="30"/>
        </w:rPr>
        <w:t>轉來</w:t>
      </w:r>
      <w:r w:rsidRPr="00DC50C2">
        <w:rPr>
          <w:spacing w:val="6"/>
          <w:sz w:val="30"/>
          <w:szCs w:val="30"/>
        </w:rPr>
        <w:t>5,376,196</w:t>
      </w:r>
      <w:r w:rsidRPr="00DC50C2">
        <w:rPr>
          <w:rFonts w:hAnsi="標楷體"/>
          <w:spacing w:val="6"/>
          <w:sz w:val="30"/>
          <w:szCs w:val="30"/>
        </w:rPr>
        <w:t>元－前手息扣繳稅款</w:t>
      </w:r>
      <w:r w:rsidRPr="00DC50C2">
        <w:rPr>
          <w:spacing w:val="6"/>
          <w:sz w:val="30"/>
          <w:szCs w:val="30"/>
        </w:rPr>
        <w:t>23,360,946</w:t>
      </w:r>
      <w:r w:rsidRPr="00DC50C2">
        <w:rPr>
          <w:rFonts w:hAnsi="標楷體"/>
          <w:spacing w:val="6"/>
          <w:sz w:val="30"/>
          <w:szCs w:val="30"/>
        </w:rPr>
        <w:t>元＋發行認</w:t>
      </w:r>
      <w:r w:rsidRPr="007B5D03">
        <w:rPr>
          <w:rFonts w:hAnsi="標楷體"/>
          <w:sz w:val="30"/>
          <w:szCs w:val="30"/>
        </w:rPr>
        <w:t>購權證費用</w:t>
      </w:r>
      <w:r w:rsidRPr="007B5D03">
        <w:rPr>
          <w:sz w:val="30"/>
          <w:szCs w:val="30"/>
        </w:rPr>
        <w:t>9,699,745</w:t>
      </w:r>
      <w:r w:rsidRPr="007B5D03">
        <w:rPr>
          <w:rFonts w:hAnsi="標楷體"/>
          <w:sz w:val="30"/>
          <w:szCs w:val="30"/>
        </w:rPr>
        <w:t>元</w:t>
      </w:r>
      <w:r w:rsidRPr="007B5D03">
        <w:rPr>
          <w:rFonts w:hint="eastAsia"/>
          <w:sz w:val="30"/>
          <w:szCs w:val="30"/>
        </w:rPr>
        <w:t>）</w:t>
      </w:r>
      <w:r w:rsidRPr="007B5D03">
        <w:rPr>
          <w:rFonts w:hAnsi="標楷體"/>
          <w:sz w:val="30"/>
          <w:szCs w:val="30"/>
        </w:rPr>
        <w:t>。上訴人不服，主張就「發行認購權證權利金收入、避險交易損失不予認列及交際費、職工福</w:t>
      </w:r>
      <w:r w:rsidRPr="00DC50C2">
        <w:rPr>
          <w:rFonts w:hAnsi="標楷體"/>
          <w:spacing w:val="6"/>
          <w:sz w:val="30"/>
          <w:szCs w:val="30"/>
        </w:rPr>
        <w:t>利金超出限額移入免稅收入應分攤之費用之部分」申請復</w:t>
      </w:r>
      <w:r w:rsidRPr="00DC50C2">
        <w:rPr>
          <w:rFonts w:hAnsi="標楷體"/>
          <w:spacing w:val="-6"/>
          <w:sz w:val="30"/>
          <w:szCs w:val="30"/>
        </w:rPr>
        <w:t>查，未獲變更，提起訴願，亦遭決定駁回，遂提起行政訴訟。</w:t>
      </w:r>
    </w:p>
    <w:p w:rsidR="00514426" w:rsidRPr="007B5D03" w:rsidRDefault="00514426" w:rsidP="00FB2D5A">
      <w:pPr>
        <w:snapToGrid w:val="0"/>
        <w:spacing w:line="437" w:lineRule="exact"/>
        <w:ind w:left="680" w:hanging="680"/>
        <w:rPr>
          <w:sz w:val="30"/>
          <w:szCs w:val="30"/>
        </w:rPr>
      </w:pPr>
      <w:r w:rsidRPr="007B5D03">
        <w:rPr>
          <w:rFonts w:hAnsi="標楷體"/>
          <w:spacing w:val="-6"/>
          <w:sz w:val="30"/>
          <w:szCs w:val="30"/>
        </w:rPr>
        <w:t>二、</w:t>
      </w:r>
      <w:r w:rsidRPr="007B5D03">
        <w:rPr>
          <w:rFonts w:hAnsi="標楷體"/>
          <w:sz w:val="30"/>
          <w:szCs w:val="30"/>
        </w:rPr>
        <w:t>上訴人起訴主張：</w:t>
      </w:r>
      <w:r w:rsidRPr="007B5D03">
        <w:rPr>
          <w:rFonts w:hint="eastAsia"/>
          <w:sz w:val="30"/>
          <w:szCs w:val="30"/>
        </w:rPr>
        <w:t>（</w:t>
      </w:r>
      <w:r w:rsidRPr="007B5D03">
        <w:rPr>
          <w:rFonts w:hAnsi="標楷體"/>
          <w:sz w:val="30"/>
          <w:szCs w:val="30"/>
        </w:rPr>
        <w:t>一</w:t>
      </w:r>
      <w:r w:rsidRPr="007B5D03">
        <w:rPr>
          <w:rFonts w:hint="eastAsia"/>
          <w:sz w:val="30"/>
          <w:szCs w:val="30"/>
        </w:rPr>
        <w:t>）</w:t>
      </w:r>
      <w:r w:rsidRPr="007B5D03">
        <w:rPr>
          <w:rFonts w:hAnsi="標楷體"/>
          <w:sz w:val="30"/>
          <w:szCs w:val="30"/>
        </w:rPr>
        <w:t>本件經核定之系爭權利金收入</w:t>
      </w:r>
      <w:r w:rsidRPr="007B5D03">
        <w:rPr>
          <w:sz w:val="30"/>
          <w:szCs w:val="30"/>
        </w:rPr>
        <w:t>1,352,592,500</w:t>
      </w:r>
      <w:r w:rsidRPr="007B5D03">
        <w:rPr>
          <w:rFonts w:hAnsi="標楷體"/>
          <w:sz w:val="30"/>
          <w:szCs w:val="30"/>
        </w:rPr>
        <w:t>元中，自投資人收取者僅</w:t>
      </w:r>
      <w:r w:rsidRPr="007B5D03">
        <w:rPr>
          <w:sz w:val="30"/>
          <w:szCs w:val="30"/>
        </w:rPr>
        <w:t>1,160,178,272</w:t>
      </w:r>
      <w:r w:rsidRPr="007B5D03">
        <w:rPr>
          <w:rFonts w:hAnsi="標楷體"/>
          <w:sz w:val="30"/>
          <w:szCs w:val="30"/>
        </w:rPr>
        <w:t>元，餘因未有投資人購買所生自留額度</w:t>
      </w:r>
      <w:r w:rsidRPr="007B5D03">
        <w:rPr>
          <w:sz w:val="30"/>
          <w:szCs w:val="30"/>
        </w:rPr>
        <w:t>192,414,228</w:t>
      </w:r>
      <w:r w:rsidRPr="007B5D03">
        <w:rPr>
          <w:rFonts w:hAnsi="標楷體"/>
          <w:sz w:val="30"/>
          <w:szCs w:val="30"/>
        </w:rPr>
        <w:t>元，並非財政</w:t>
      </w:r>
      <w:r w:rsidRPr="00DC50C2">
        <w:rPr>
          <w:rFonts w:hAnsi="標楷體"/>
          <w:spacing w:val="6"/>
          <w:sz w:val="30"/>
          <w:szCs w:val="30"/>
        </w:rPr>
        <w:t>部</w:t>
      </w:r>
      <w:smartTag w:uri="urn:schemas-microsoft-com:office:smarttags" w:element="chsdate">
        <w:smartTagPr>
          <w:attr w:name="IsROCDate" w:val="True"/>
          <w:attr w:name="IsLunarDate" w:val="False"/>
          <w:attr w:name="Day" w:val="11"/>
          <w:attr w:name="Month" w:val="12"/>
          <w:attr w:name="Year" w:val="1997"/>
        </w:smartTagPr>
        <w:r w:rsidRPr="00DC50C2">
          <w:rPr>
            <w:rFonts w:hAnsi="標楷體"/>
            <w:spacing w:val="6"/>
            <w:sz w:val="30"/>
            <w:szCs w:val="30"/>
          </w:rPr>
          <w:t>民國</w:t>
        </w:r>
        <w:smartTag w:uri="urn:schemas-microsoft-com:office:smarttags" w:element="chsdate">
          <w:smartTagPr>
            <w:attr w:name="Year" w:val="1986"/>
            <w:attr w:name="Month" w:val="12"/>
            <w:attr w:name="Day" w:val="11"/>
            <w:attr w:name="IsLunarDate" w:val="False"/>
            <w:attr w:name="IsROCDate" w:val="False"/>
          </w:smartTagPr>
          <w:r w:rsidRPr="00DC50C2">
            <w:rPr>
              <w:spacing w:val="6"/>
              <w:sz w:val="30"/>
              <w:szCs w:val="30"/>
            </w:rPr>
            <w:t>86</w:t>
          </w:r>
          <w:r w:rsidRPr="00DC50C2">
            <w:rPr>
              <w:rFonts w:hAnsi="標楷體"/>
              <w:spacing w:val="6"/>
              <w:sz w:val="30"/>
              <w:szCs w:val="30"/>
            </w:rPr>
            <w:t>年</w:t>
          </w:r>
          <w:r w:rsidRPr="00DC50C2">
            <w:rPr>
              <w:spacing w:val="6"/>
              <w:sz w:val="30"/>
              <w:szCs w:val="30"/>
            </w:rPr>
            <w:t>12</w:t>
          </w:r>
          <w:r w:rsidRPr="00DC50C2">
            <w:rPr>
              <w:rFonts w:hAnsi="標楷體"/>
              <w:spacing w:val="6"/>
              <w:sz w:val="30"/>
              <w:szCs w:val="30"/>
            </w:rPr>
            <w:t>月</w:t>
          </w:r>
          <w:r w:rsidRPr="00DC50C2">
            <w:rPr>
              <w:spacing w:val="6"/>
              <w:sz w:val="30"/>
              <w:szCs w:val="30"/>
            </w:rPr>
            <w:t>11</w:t>
          </w:r>
          <w:r w:rsidRPr="00DC50C2">
            <w:rPr>
              <w:rFonts w:hAnsi="標楷體"/>
              <w:spacing w:val="6"/>
              <w:sz w:val="30"/>
              <w:szCs w:val="30"/>
            </w:rPr>
            <w:t>日</w:t>
          </w:r>
        </w:smartTag>
      </w:smartTag>
      <w:r w:rsidRPr="00DC50C2">
        <w:rPr>
          <w:rFonts w:hAnsi="標楷體"/>
          <w:spacing w:val="6"/>
          <w:sz w:val="30"/>
          <w:szCs w:val="30"/>
        </w:rPr>
        <w:t>台財稅第</w:t>
      </w:r>
      <w:r w:rsidRPr="00DC50C2">
        <w:rPr>
          <w:spacing w:val="6"/>
          <w:sz w:val="30"/>
          <w:szCs w:val="30"/>
        </w:rPr>
        <w:t>861922464</w:t>
      </w:r>
      <w:r w:rsidRPr="00DC50C2">
        <w:rPr>
          <w:rFonts w:hAnsi="標楷體"/>
          <w:spacing w:val="6"/>
          <w:sz w:val="30"/>
          <w:szCs w:val="30"/>
        </w:rPr>
        <w:t>號函釋</w:t>
      </w:r>
      <w:r w:rsidRPr="00DC50C2">
        <w:rPr>
          <w:rFonts w:hint="eastAsia"/>
          <w:spacing w:val="6"/>
          <w:sz w:val="30"/>
          <w:szCs w:val="30"/>
        </w:rPr>
        <w:t>（</w:t>
      </w:r>
      <w:r w:rsidRPr="00DC50C2">
        <w:rPr>
          <w:rFonts w:hAnsi="標楷體"/>
          <w:spacing w:val="6"/>
          <w:sz w:val="30"/>
          <w:szCs w:val="30"/>
        </w:rPr>
        <w:t>下稱</w:t>
      </w:r>
      <w:r w:rsidRPr="007B5D03">
        <w:rPr>
          <w:rFonts w:hAnsi="標楷體"/>
          <w:sz w:val="30"/>
          <w:szCs w:val="30"/>
        </w:rPr>
        <w:t>財政部</w:t>
      </w:r>
      <w:r w:rsidRPr="007B5D03">
        <w:rPr>
          <w:sz w:val="30"/>
          <w:szCs w:val="30"/>
        </w:rPr>
        <w:t>86</w:t>
      </w:r>
      <w:r w:rsidRPr="007B5D03">
        <w:rPr>
          <w:rFonts w:hAnsi="標楷體"/>
          <w:sz w:val="30"/>
          <w:szCs w:val="30"/>
        </w:rPr>
        <w:t>年函釋</w:t>
      </w:r>
      <w:r w:rsidRPr="007B5D03">
        <w:rPr>
          <w:rFonts w:hint="eastAsia"/>
          <w:sz w:val="30"/>
          <w:szCs w:val="30"/>
        </w:rPr>
        <w:t>）</w:t>
      </w:r>
      <w:r w:rsidRPr="007B5D03">
        <w:rPr>
          <w:rFonts w:hAnsi="標楷體"/>
          <w:sz w:val="30"/>
          <w:szCs w:val="30"/>
        </w:rPr>
        <w:t>所指「發行時發行人所取得之發行價款」</w:t>
      </w:r>
      <w:r w:rsidRPr="00DC50C2">
        <w:rPr>
          <w:rFonts w:hAnsi="標楷體"/>
          <w:spacing w:val="-6"/>
          <w:sz w:val="30"/>
          <w:szCs w:val="30"/>
        </w:rPr>
        <w:t>，</w:t>
      </w:r>
      <w:r w:rsidRPr="00DC50C2">
        <w:rPr>
          <w:rFonts w:hAnsi="標楷體"/>
          <w:spacing w:val="-6"/>
          <w:sz w:val="30"/>
          <w:szCs w:val="30"/>
        </w:rPr>
        <w:lastRenderedPageBreak/>
        <w:t>非屬權利金收入，且自留額度之發生並非發行人即上訴人所</w:t>
      </w:r>
      <w:r w:rsidRPr="007B5D03">
        <w:rPr>
          <w:rFonts w:hAnsi="標楷體"/>
          <w:sz w:val="30"/>
          <w:szCs w:val="30"/>
        </w:rPr>
        <w:t>樂見，亦非一開始發行就保留，僅係為恐所發行權證失效，</w:t>
      </w:r>
      <w:r w:rsidRPr="00DC50C2">
        <w:rPr>
          <w:rFonts w:hAnsi="標楷體"/>
          <w:spacing w:val="6"/>
          <w:sz w:val="30"/>
          <w:szCs w:val="30"/>
        </w:rPr>
        <w:t>上訴人在發行時並非透過自留額度手段來爭取避稅或任何</w:t>
      </w:r>
      <w:r w:rsidRPr="007B5D03">
        <w:rPr>
          <w:rFonts w:hAnsi="標楷體"/>
          <w:sz w:val="30"/>
          <w:szCs w:val="30"/>
        </w:rPr>
        <w:t>優惠，是應將自留額度自系爭權利金收入加予扣除。</w:t>
      </w:r>
      <w:r w:rsidRPr="007B5D03">
        <w:rPr>
          <w:rFonts w:hint="eastAsia"/>
          <w:sz w:val="30"/>
          <w:szCs w:val="30"/>
        </w:rPr>
        <w:t>（</w:t>
      </w:r>
      <w:r w:rsidRPr="007B5D03">
        <w:rPr>
          <w:rFonts w:hAnsi="標楷體"/>
          <w:sz w:val="30"/>
          <w:szCs w:val="30"/>
        </w:rPr>
        <w:t>二</w:t>
      </w:r>
      <w:r w:rsidRPr="007B5D03">
        <w:rPr>
          <w:rFonts w:hint="eastAsia"/>
          <w:sz w:val="30"/>
          <w:szCs w:val="30"/>
        </w:rPr>
        <w:t>）</w:t>
      </w:r>
      <w:r w:rsidRPr="00DC50C2">
        <w:rPr>
          <w:rFonts w:hAnsi="標楷體"/>
          <w:spacing w:val="6"/>
          <w:sz w:val="30"/>
          <w:szCs w:val="30"/>
        </w:rPr>
        <w:t>營利事業交際費與職工福利費用應以整個營利事業為核算</w:t>
      </w:r>
      <w:r w:rsidRPr="007B5D03">
        <w:rPr>
          <w:rFonts w:hAnsi="標楷體"/>
          <w:sz w:val="30"/>
          <w:szCs w:val="30"/>
        </w:rPr>
        <w:t>單位，按不同性質之營業活動分別計算限額，上訴人原申報數額未超過各限額總額，應准依法認列。</w:t>
      </w:r>
      <w:r w:rsidRPr="007B5D03">
        <w:rPr>
          <w:rFonts w:hint="eastAsia"/>
          <w:sz w:val="30"/>
          <w:szCs w:val="30"/>
        </w:rPr>
        <w:t>（</w:t>
      </w:r>
      <w:r w:rsidRPr="007B5D03">
        <w:rPr>
          <w:rFonts w:hAnsi="標楷體"/>
          <w:sz w:val="30"/>
          <w:szCs w:val="30"/>
        </w:rPr>
        <w:t>三</w:t>
      </w:r>
      <w:r w:rsidRPr="007B5D03">
        <w:rPr>
          <w:rFonts w:hint="eastAsia"/>
          <w:sz w:val="30"/>
          <w:szCs w:val="30"/>
        </w:rPr>
        <w:t>）</w:t>
      </w:r>
      <w:r w:rsidRPr="007B5D03">
        <w:rPr>
          <w:rFonts w:hAnsi="標楷體"/>
          <w:sz w:val="30"/>
          <w:szCs w:val="30"/>
        </w:rPr>
        <w:t>又上訴人因履行發行認購權證所附之公法負擔，而生之避險成本費用，並無負稅能力，是被上訴人未將因發行認購權證所生為避險而買賣標的股票之證券交易損失</w:t>
      </w:r>
      <w:r w:rsidRPr="007B5D03">
        <w:rPr>
          <w:sz w:val="30"/>
          <w:szCs w:val="30"/>
        </w:rPr>
        <w:t>274,733,338</w:t>
      </w:r>
      <w:r w:rsidRPr="007B5D03">
        <w:rPr>
          <w:rFonts w:hAnsi="標楷體"/>
          <w:sz w:val="30"/>
          <w:szCs w:val="30"/>
        </w:rPr>
        <w:t>元及認購權證</w:t>
      </w:r>
      <w:r w:rsidRPr="00DC50C2">
        <w:rPr>
          <w:rFonts w:hAnsi="標楷體"/>
          <w:spacing w:val="6"/>
          <w:sz w:val="30"/>
          <w:szCs w:val="30"/>
        </w:rPr>
        <w:t>再買回出售損失</w:t>
      </w:r>
      <w:r w:rsidRPr="00DC50C2">
        <w:rPr>
          <w:rFonts w:hint="eastAsia"/>
          <w:spacing w:val="6"/>
          <w:sz w:val="30"/>
          <w:szCs w:val="30"/>
        </w:rPr>
        <w:t>（</w:t>
      </w:r>
      <w:r w:rsidRPr="00DC50C2">
        <w:rPr>
          <w:rFonts w:hAnsi="標楷體"/>
          <w:spacing w:val="6"/>
          <w:sz w:val="30"/>
          <w:szCs w:val="30"/>
        </w:rPr>
        <w:t>按應係指自留額度嗣於次級市場出售損</w:t>
      </w:r>
      <w:r w:rsidRPr="007B5D03">
        <w:rPr>
          <w:rFonts w:hAnsi="標楷體"/>
          <w:sz w:val="30"/>
          <w:szCs w:val="30"/>
        </w:rPr>
        <w:t>失</w:t>
      </w:r>
      <w:r w:rsidRPr="007B5D03">
        <w:rPr>
          <w:rFonts w:hint="eastAsia"/>
          <w:sz w:val="30"/>
          <w:szCs w:val="30"/>
        </w:rPr>
        <w:t>）</w:t>
      </w:r>
      <w:r w:rsidRPr="007B5D03">
        <w:rPr>
          <w:sz w:val="30"/>
          <w:szCs w:val="30"/>
        </w:rPr>
        <w:t>677,966,397</w:t>
      </w:r>
      <w:r w:rsidRPr="007B5D03">
        <w:rPr>
          <w:rFonts w:hAnsi="標楷體"/>
          <w:sz w:val="30"/>
          <w:szCs w:val="30"/>
        </w:rPr>
        <w:t>元轉列為權利金收入之成本，有違收入與費用配合原則、量能課稅原則、實質課稅精神，亦不符行為時</w:t>
      </w:r>
      <w:r w:rsidRPr="007B5D03">
        <w:rPr>
          <w:rFonts w:hint="eastAsia"/>
          <w:sz w:val="30"/>
          <w:szCs w:val="30"/>
        </w:rPr>
        <w:t>（</w:t>
      </w:r>
      <w:r w:rsidRPr="007B5D03">
        <w:rPr>
          <w:rFonts w:hAnsi="標楷體"/>
          <w:sz w:val="30"/>
          <w:szCs w:val="30"/>
        </w:rPr>
        <w:t>下同</w:t>
      </w:r>
      <w:r w:rsidRPr="007B5D03">
        <w:rPr>
          <w:rFonts w:hint="eastAsia"/>
          <w:sz w:val="30"/>
          <w:szCs w:val="30"/>
        </w:rPr>
        <w:t>）</w:t>
      </w: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意旨。原處分顯有違誤等語，求為判決訴願決定及原處分</w:t>
      </w:r>
      <w:r w:rsidRPr="007B5D03">
        <w:rPr>
          <w:rFonts w:hint="eastAsia"/>
          <w:sz w:val="30"/>
          <w:szCs w:val="30"/>
        </w:rPr>
        <w:t>（</w:t>
      </w:r>
      <w:r w:rsidRPr="007B5D03">
        <w:rPr>
          <w:rFonts w:hAnsi="標楷體"/>
          <w:sz w:val="30"/>
          <w:szCs w:val="30"/>
        </w:rPr>
        <w:t>復查決定</w:t>
      </w:r>
      <w:r w:rsidRPr="007B5D03">
        <w:rPr>
          <w:rFonts w:hint="eastAsia"/>
          <w:sz w:val="30"/>
          <w:szCs w:val="30"/>
        </w:rPr>
        <w:t>）</w:t>
      </w:r>
      <w:r w:rsidRPr="007B5D03">
        <w:rPr>
          <w:rFonts w:hAnsi="標楷體"/>
          <w:sz w:val="30"/>
          <w:szCs w:val="30"/>
        </w:rPr>
        <w:t>均撤銷。</w:t>
      </w:r>
    </w:p>
    <w:p w:rsidR="00514426" w:rsidRPr="007B5D03" w:rsidRDefault="00514426" w:rsidP="00FB2D5A">
      <w:pPr>
        <w:snapToGrid w:val="0"/>
        <w:spacing w:line="437" w:lineRule="exact"/>
        <w:ind w:left="680" w:hanging="680"/>
        <w:rPr>
          <w:sz w:val="30"/>
          <w:szCs w:val="30"/>
        </w:rPr>
      </w:pPr>
      <w:r w:rsidRPr="00DC50C2">
        <w:rPr>
          <w:rFonts w:hAnsi="標楷體"/>
          <w:spacing w:val="-4"/>
          <w:sz w:val="30"/>
          <w:szCs w:val="30"/>
        </w:rPr>
        <w:t>三、被上訴人則以：</w:t>
      </w:r>
      <w:r w:rsidRPr="00DC50C2">
        <w:rPr>
          <w:rFonts w:hint="eastAsia"/>
          <w:spacing w:val="-4"/>
          <w:sz w:val="30"/>
          <w:szCs w:val="30"/>
        </w:rPr>
        <w:t>（</w:t>
      </w:r>
      <w:r w:rsidRPr="00DC50C2">
        <w:rPr>
          <w:rFonts w:hAnsi="標楷體"/>
          <w:spacing w:val="-4"/>
          <w:sz w:val="30"/>
          <w:szCs w:val="30"/>
        </w:rPr>
        <w:t>一</w:t>
      </w:r>
      <w:r w:rsidRPr="00DC50C2">
        <w:rPr>
          <w:rFonts w:hint="eastAsia"/>
          <w:spacing w:val="-4"/>
          <w:sz w:val="30"/>
          <w:szCs w:val="30"/>
        </w:rPr>
        <w:t>）</w:t>
      </w:r>
      <w:r w:rsidRPr="00DC50C2">
        <w:rPr>
          <w:rFonts w:hAnsi="標楷體"/>
          <w:spacing w:val="-4"/>
          <w:sz w:val="30"/>
          <w:szCs w:val="30"/>
        </w:rPr>
        <w:t>依行為時臺灣證券交易所股份有限公司</w:t>
      </w:r>
      <w:r w:rsidRPr="007B5D03">
        <w:rPr>
          <w:rFonts w:hint="eastAsia"/>
          <w:sz w:val="30"/>
          <w:szCs w:val="30"/>
        </w:rPr>
        <w:t>（</w:t>
      </w:r>
      <w:r w:rsidRPr="007B5D03">
        <w:rPr>
          <w:rFonts w:hAnsi="標楷體"/>
          <w:sz w:val="30"/>
          <w:szCs w:val="30"/>
        </w:rPr>
        <w:t>下稱證交所</w:t>
      </w:r>
      <w:r w:rsidRPr="007B5D03">
        <w:rPr>
          <w:rFonts w:hint="eastAsia"/>
          <w:sz w:val="30"/>
          <w:szCs w:val="30"/>
        </w:rPr>
        <w:t>）</w:t>
      </w:r>
      <w:r w:rsidRPr="007B5D03">
        <w:rPr>
          <w:rFonts w:hAnsi="標楷體"/>
          <w:sz w:val="30"/>
          <w:szCs w:val="30"/>
        </w:rPr>
        <w:t>審查認購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權證上市作業程序</w:t>
      </w:r>
      <w:r w:rsidRPr="007B5D03">
        <w:rPr>
          <w:rFonts w:hint="eastAsia"/>
          <w:sz w:val="30"/>
          <w:szCs w:val="30"/>
        </w:rPr>
        <w:t>（</w:t>
      </w:r>
      <w:r w:rsidRPr="007B5D03">
        <w:rPr>
          <w:rFonts w:hAnsi="標楷體"/>
          <w:sz w:val="30"/>
          <w:szCs w:val="30"/>
        </w:rPr>
        <w:t>下稱審查作業程序</w:t>
      </w:r>
      <w:r w:rsidRPr="007B5D03">
        <w:rPr>
          <w:rFonts w:hint="eastAsia"/>
          <w:sz w:val="30"/>
          <w:szCs w:val="30"/>
        </w:rPr>
        <w:t>）</w:t>
      </w:r>
      <w:r w:rsidRPr="007B5D03">
        <w:rPr>
          <w:rFonts w:hAnsi="標楷體"/>
          <w:sz w:val="30"/>
          <w:szCs w:val="30"/>
        </w:rPr>
        <w:t>第</w:t>
      </w:r>
      <w:r w:rsidRPr="007B5D03">
        <w:rPr>
          <w:sz w:val="30"/>
          <w:szCs w:val="30"/>
        </w:rPr>
        <w:t>7</w:t>
      </w:r>
      <w:r w:rsidRPr="007B5D03">
        <w:rPr>
          <w:rFonts w:hAnsi="標楷體"/>
          <w:sz w:val="30"/>
          <w:szCs w:val="30"/>
        </w:rPr>
        <w:t>點第</w:t>
      </w:r>
      <w:r w:rsidRPr="007B5D03">
        <w:rPr>
          <w:sz w:val="30"/>
          <w:szCs w:val="30"/>
        </w:rPr>
        <w:t>1</w:t>
      </w:r>
      <w:r w:rsidRPr="007B5D03">
        <w:rPr>
          <w:rFonts w:hAnsi="標楷體"/>
          <w:sz w:val="30"/>
          <w:szCs w:val="30"/>
        </w:rPr>
        <w:t>項規定可知，發行認購權證需「全額銷售完成」始能向證交所申請上市買賣，且自留並非法律或證交所強制規定，則系爭自留額度既係經上訴人選擇自行認購而完成發行銷售程序，亦可在市場上拋售而與一般持有人之權利並無二致，自應認列為發行階段之權利金收入，以符實質課稅並避免稅負規避；蓋如發行當下未將自留額度認定為應稅之權利金收入，則上訴人嗣將其於市場拋售時，將轉化成免稅之證券交易所得。</w:t>
      </w:r>
      <w:r w:rsidRPr="007B5D03">
        <w:rPr>
          <w:rFonts w:hint="eastAsia"/>
          <w:sz w:val="30"/>
          <w:szCs w:val="30"/>
        </w:rPr>
        <w:t>（</w:t>
      </w:r>
      <w:r w:rsidRPr="007B5D03">
        <w:rPr>
          <w:rFonts w:hAnsi="標楷體"/>
          <w:sz w:val="30"/>
          <w:szCs w:val="30"/>
        </w:rPr>
        <w:t>二</w:t>
      </w:r>
      <w:r w:rsidRPr="007B5D03">
        <w:rPr>
          <w:rFonts w:hint="eastAsia"/>
          <w:sz w:val="30"/>
          <w:szCs w:val="30"/>
        </w:rPr>
        <w:t>）</w:t>
      </w:r>
      <w:r w:rsidRPr="007B5D03">
        <w:rPr>
          <w:rFonts w:hAnsi="標楷體"/>
          <w:sz w:val="30"/>
          <w:szCs w:val="30"/>
        </w:rPr>
        <w:t>上訴人為一綜合證券商而與一般投資公司之經營方式不同，其經紀、承銷、自營等</w:t>
      </w:r>
      <w:r w:rsidRPr="007B5D03">
        <w:rPr>
          <w:rFonts w:hAnsi="標楷體"/>
          <w:sz w:val="30"/>
          <w:szCs w:val="30"/>
        </w:rPr>
        <w:lastRenderedPageBreak/>
        <w:t>各部門之組織架構及業務明確，各該部門因經營部門業務所發生之相關費用，自應個別歸屬於各該部門收支損益項下之營業費用認列，僅管理部分之損費因無法明確歸屬，始可按其費用性質，分別依部門薪資、員工人數或辦公室使用面積等作為合理之分攤基礎。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37</w:t>
      </w:r>
      <w:r w:rsidRPr="007B5D03">
        <w:rPr>
          <w:rFonts w:hAnsi="標楷體"/>
          <w:sz w:val="30"/>
          <w:szCs w:val="30"/>
        </w:rPr>
        <w:t>條第</w:t>
      </w:r>
      <w:r w:rsidRPr="007B5D03">
        <w:rPr>
          <w:sz w:val="30"/>
          <w:szCs w:val="30"/>
        </w:rPr>
        <w:t>1</w:t>
      </w:r>
      <w:r w:rsidRPr="007B5D03">
        <w:rPr>
          <w:rFonts w:hAnsi="標楷體"/>
          <w:sz w:val="30"/>
          <w:szCs w:val="30"/>
        </w:rPr>
        <w:t>項、營利事業所得稅查核準則</w:t>
      </w:r>
      <w:r w:rsidRPr="007B5D03">
        <w:rPr>
          <w:rFonts w:hint="eastAsia"/>
          <w:sz w:val="30"/>
          <w:szCs w:val="30"/>
        </w:rPr>
        <w:t>（</w:t>
      </w:r>
      <w:r w:rsidRPr="007B5D03">
        <w:rPr>
          <w:rFonts w:hAnsi="標楷體"/>
          <w:sz w:val="30"/>
          <w:szCs w:val="30"/>
        </w:rPr>
        <w:t>下稱查核準則</w:t>
      </w:r>
      <w:r w:rsidRPr="007B5D03">
        <w:rPr>
          <w:rFonts w:hint="eastAsia"/>
          <w:sz w:val="30"/>
          <w:szCs w:val="30"/>
        </w:rPr>
        <w:t>）</w:t>
      </w:r>
      <w:r w:rsidRPr="007B5D03">
        <w:rPr>
          <w:rFonts w:hAnsi="標楷體"/>
          <w:sz w:val="30"/>
          <w:szCs w:val="30"/>
        </w:rPr>
        <w:t>第</w:t>
      </w:r>
      <w:r w:rsidRPr="007B5D03">
        <w:rPr>
          <w:sz w:val="30"/>
          <w:szCs w:val="30"/>
        </w:rPr>
        <w:t>81</w:t>
      </w:r>
      <w:r w:rsidRPr="007B5D03">
        <w:rPr>
          <w:rFonts w:hAnsi="標楷體"/>
          <w:sz w:val="30"/>
          <w:szCs w:val="30"/>
        </w:rPr>
        <w:t>條、財政部</w:t>
      </w:r>
      <w:smartTag w:uri="urn:schemas-microsoft-com:office:smarttags" w:element="chsdate">
        <w:smartTagPr>
          <w:attr w:name="IsROCDate" w:val="False"/>
          <w:attr w:name="IsLunarDate" w:val="False"/>
          <w:attr w:name="Day" w:val="8"/>
          <w:attr w:name="Month" w:val="2"/>
          <w:attr w:name="Year" w:val="1983"/>
        </w:smartTagPr>
        <w:r w:rsidRPr="007B5D03">
          <w:rPr>
            <w:sz w:val="30"/>
            <w:szCs w:val="30"/>
          </w:rPr>
          <w:t>83</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8</w:t>
        </w:r>
        <w:r w:rsidRPr="007B5D03">
          <w:rPr>
            <w:rFonts w:hAnsi="標楷體"/>
            <w:sz w:val="30"/>
            <w:szCs w:val="30"/>
          </w:rPr>
          <w:t>日</w:t>
        </w:r>
      </w:smartTag>
      <w:r w:rsidRPr="007B5D03">
        <w:rPr>
          <w:rFonts w:hAnsi="標楷體"/>
          <w:sz w:val="30"/>
          <w:szCs w:val="30"/>
        </w:rPr>
        <w:t>台財稅第</w:t>
      </w:r>
      <w:r w:rsidRPr="007B5D03">
        <w:rPr>
          <w:sz w:val="30"/>
          <w:szCs w:val="30"/>
        </w:rPr>
        <w:t>831582472</w:t>
      </w:r>
      <w:r w:rsidRPr="00DC50C2">
        <w:rPr>
          <w:rFonts w:hAnsi="標楷體"/>
          <w:spacing w:val="4"/>
          <w:sz w:val="30"/>
          <w:szCs w:val="30"/>
        </w:rPr>
        <w:t>號、</w:t>
      </w:r>
      <w:smartTag w:uri="urn:schemas-microsoft-com:office:smarttags" w:element="chsdate">
        <w:smartTagPr>
          <w:attr w:name="IsROCDate" w:val="False"/>
          <w:attr w:name="IsLunarDate" w:val="False"/>
          <w:attr w:name="Day" w:val="23"/>
          <w:attr w:name="Month" w:val="11"/>
          <w:attr w:name="Year" w:val="1983"/>
        </w:smartTagPr>
        <w:r w:rsidRPr="00DC50C2">
          <w:rPr>
            <w:spacing w:val="4"/>
            <w:sz w:val="30"/>
            <w:szCs w:val="30"/>
          </w:rPr>
          <w:t>83</w:t>
        </w:r>
        <w:r w:rsidRPr="00DC50C2">
          <w:rPr>
            <w:rFonts w:hAnsi="標楷體"/>
            <w:spacing w:val="4"/>
            <w:sz w:val="30"/>
            <w:szCs w:val="30"/>
          </w:rPr>
          <w:t>年</w:t>
        </w:r>
        <w:r w:rsidRPr="00DC50C2">
          <w:rPr>
            <w:spacing w:val="4"/>
            <w:sz w:val="30"/>
            <w:szCs w:val="30"/>
          </w:rPr>
          <w:t>11</w:t>
        </w:r>
        <w:r w:rsidRPr="00DC50C2">
          <w:rPr>
            <w:rFonts w:hAnsi="標楷體"/>
            <w:spacing w:val="4"/>
            <w:sz w:val="30"/>
            <w:szCs w:val="30"/>
          </w:rPr>
          <w:t>月</w:t>
        </w:r>
        <w:r w:rsidRPr="00DC50C2">
          <w:rPr>
            <w:spacing w:val="4"/>
            <w:sz w:val="30"/>
            <w:szCs w:val="30"/>
          </w:rPr>
          <w:t>23</w:t>
        </w:r>
        <w:r w:rsidRPr="00DC50C2">
          <w:rPr>
            <w:rFonts w:hAnsi="標楷體"/>
            <w:spacing w:val="4"/>
            <w:sz w:val="30"/>
            <w:szCs w:val="30"/>
          </w:rPr>
          <w:t>日</w:t>
        </w:r>
      </w:smartTag>
      <w:r w:rsidRPr="00DC50C2">
        <w:rPr>
          <w:rFonts w:hAnsi="標楷體"/>
          <w:spacing w:val="4"/>
          <w:sz w:val="30"/>
          <w:szCs w:val="30"/>
        </w:rPr>
        <w:t>台財稅第</w:t>
      </w:r>
      <w:r w:rsidRPr="00DC50C2">
        <w:rPr>
          <w:spacing w:val="4"/>
          <w:sz w:val="30"/>
          <w:szCs w:val="30"/>
        </w:rPr>
        <w:t>831620897</w:t>
      </w:r>
      <w:r w:rsidRPr="00DC50C2">
        <w:rPr>
          <w:rFonts w:hAnsi="標楷體"/>
          <w:spacing w:val="4"/>
          <w:sz w:val="30"/>
          <w:szCs w:val="30"/>
        </w:rPr>
        <w:t>號</w:t>
      </w:r>
      <w:r w:rsidRPr="00DC50C2">
        <w:rPr>
          <w:rFonts w:hint="eastAsia"/>
          <w:spacing w:val="4"/>
          <w:sz w:val="30"/>
          <w:szCs w:val="30"/>
        </w:rPr>
        <w:t>（</w:t>
      </w:r>
      <w:r w:rsidRPr="00DC50C2">
        <w:rPr>
          <w:rFonts w:hAnsi="標楷體"/>
          <w:spacing w:val="4"/>
          <w:sz w:val="30"/>
          <w:szCs w:val="30"/>
        </w:rPr>
        <w:t>下稱財政部</w:t>
      </w:r>
      <w:r w:rsidRPr="007B5D03">
        <w:rPr>
          <w:sz w:val="30"/>
          <w:szCs w:val="30"/>
        </w:rPr>
        <w:t>83</w:t>
      </w:r>
      <w:r w:rsidRPr="007B5D03">
        <w:rPr>
          <w:rFonts w:hAnsi="標楷體"/>
          <w:sz w:val="30"/>
          <w:szCs w:val="30"/>
        </w:rPr>
        <w:t>年函釋</w:t>
      </w:r>
      <w:r w:rsidRPr="007B5D03">
        <w:rPr>
          <w:rFonts w:hint="eastAsia"/>
          <w:sz w:val="30"/>
          <w:szCs w:val="30"/>
        </w:rPr>
        <w:t>）</w:t>
      </w:r>
      <w:r w:rsidRPr="007B5D03">
        <w:rPr>
          <w:rFonts w:hAnsi="標楷體"/>
          <w:sz w:val="30"/>
          <w:szCs w:val="30"/>
        </w:rPr>
        <w:t>及</w:t>
      </w:r>
      <w:smartTag w:uri="urn:schemas-microsoft-com:office:smarttags" w:element="chsdate">
        <w:smartTagPr>
          <w:attr w:name="IsROCDate" w:val="False"/>
          <w:attr w:name="IsLunarDate" w:val="False"/>
          <w:attr w:name="Day" w:val="9"/>
          <w:attr w:name="Month" w:val="8"/>
          <w:attr w:name="Year" w:val="1985"/>
        </w:smartTagPr>
        <w:r w:rsidRPr="007B5D03">
          <w:rPr>
            <w:sz w:val="30"/>
            <w:szCs w:val="30"/>
          </w:rPr>
          <w:t>85</w:t>
        </w:r>
        <w:r w:rsidRPr="007B5D03">
          <w:rPr>
            <w:rFonts w:hAnsi="標楷體"/>
            <w:sz w:val="30"/>
            <w:szCs w:val="30"/>
          </w:rPr>
          <w:t>年</w:t>
        </w:r>
        <w:r w:rsidRPr="007B5D03">
          <w:rPr>
            <w:sz w:val="30"/>
            <w:szCs w:val="30"/>
          </w:rPr>
          <w:t>8</w:t>
        </w:r>
        <w:r w:rsidRPr="007B5D03">
          <w:rPr>
            <w:rFonts w:hAnsi="標楷體"/>
            <w:sz w:val="30"/>
            <w:szCs w:val="30"/>
          </w:rPr>
          <w:t>月</w:t>
        </w:r>
        <w:r w:rsidRPr="007B5D03">
          <w:rPr>
            <w:sz w:val="30"/>
            <w:szCs w:val="30"/>
          </w:rPr>
          <w:t>9</w:t>
        </w:r>
        <w:r w:rsidRPr="007B5D03">
          <w:rPr>
            <w:rFonts w:hAnsi="標楷體"/>
            <w:sz w:val="30"/>
            <w:szCs w:val="30"/>
          </w:rPr>
          <w:t>日</w:t>
        </w:r>
      </w:smartTag>
      <w:r w:rsidRPr="007B5D03">
        <w:rPr>
          <w:rFonts w:hAnsi="標楷體"/>
          <w:sz w:val="30"/>
          <w:szCs w:val="30"/>
        </w:rPr>
        <w:t>台財稅第</w:t>
      </w:r>
      <w:r w:rsidRPr="007B5D03">
        <w:rPr>
          <w:sz w:val="30"/>
          <w:szCs w:val="30"/>
        </w:rPr>
        <w:t>851914404</w:t>
      </w:r>
      <w:r w:rsidRPr="007B5D03">
        <w:rPr>
          <w:rFonts w:hAnsi="標楷體"/>
          <w:sz w:val="30"/>
          <w:szCs w:val="30"/>
        </w:rPr>
        <w:t>號</w:t>
      </w:r>
      <w:r w:rsidRPr="007B5D03">
        <w:rPr>
          <w:rFonts w:hint="eastAsia"/>
          <w:sz w:val="30"/>
          <w:szCs w:val="30"/>
        </w:rPr>
        <w:t>（</w:t>
      </w:r>
      <w:r w:rsidRPr="007B5D03">
        <w:rPr>
          <w:rFonts w:hAnsi="標楷體"/>
          <w:sz w:val="30"/>
          <w:szCs w:val="30"/>
        </w:rPr>
        <w:t>下稱</w:t>
      </w:r>
      <w:r w:rsidRPr="00DC50C2">
        <w:rPr>
          <w:rFonts w:hAnsi="標楷體"/>
          <w:spacing w:val="4"/>
          <w:sz w:val="30"/>
          <w:szCs w:val="30"/>
        </w:rPr>
        <w:t>財政部</w:t>
      </w:r>
      <w:r w:rsidRPr="00DC50C2">
        <w:rPr>
          <w:spacing w:val="4"/>
          <w:sz w:val="30"/>
          <w:szCs w:val="30"/>
        </w:rPr>
        <w:t>85</w:t>
      </w:r>
      <w:r w:rsidRPr="00DC50C2">
        <w:rPr>
          <w:rFonts w:hAnsi="標楷體"/>
          <w:spacing w:val="4"/>
          <w:sz w:val="30"/>
          <w:szCs w:val="30"/>
        </w:rPr>
        <w:t>年函釋</w:t>
      </w:r>
      <w:r w:rsidRPr="00DC50C2">
        <w:rPr>
          <w:rFonts w:hint="eastAsia"/>
          <w:spacing w:val="4"/>
          <w:sz w:val="30"/>
          <w:szCs w:val="30"/>
        </w:rPr>
        <w:t>）</w:t>
      </w:r>
      <w:r w:rsidRPr="00DC50C2">
        <w:rPr>
          <w:rFonts w:hAnsi="標楷體"/>
          <w:spacing w:val="4"/>
          <w:sz w:val="30"/>
          <w:szCs w:val="30"/>
        </w:rPr>
        <w:t>函釋等規定意旨，將應稅及免稅部門分</w:t>
      </w:r>
      <w:r w:rsidRPr="007B5D03">
        <w:rPr>
          <w:rFonts w:hAnsi="標楷體"/>
          <w:sz w:val="30"/>
          <w:szCs w:val="30"/>
        </w:rPr>
        <w:t>別核算交際費限額後，再將超過應稅部門可列支之交際費限額部分，移由免稅部門核認，此係採對上訴人最有利之計算方式，讓上訴人享受全部交際費限額。</w:t>
      </w:r>
      <w:r w:rsidRPr="007B5D03">
        <w:rPr>
          <w:rFonts w:hint="eastAsia"/>
          <w:sz w:val="30"/>
          <w:szCs w:val="30"/>
        </w:rPr>
        <w:t>（</w:t>
      </w:r>
      <w:r w:rsidRPr="007B5D03">
        <w:rPr>
          <w:rFonts w:hAnsi="標楷體"/>
          <w:sz w:val="30"/>
          <w:szCs w:val="30"/>
        </w:rPr>
        <w:t>三</w:t>
      </w:r>
      <w:r w:rsidRPr="007B5D03">
        <w:rPr>
          <w:rFonts w:hint="eastAsia"/>
          <w:sz w:val="30"/>
          <w:szCs w:val="30"/>
        </w:rPr>
        <w:t>）</w:t>
      </w:r>
      <w:r w:rsidRPr="007B5D03">
        <w:rPr>
          <w:rFonts w:hAnsi="標楷體"/>
          <w:sz w:val="30"/>
          <w:szCs w:val="30"/>
        </w:rPr>
        <w:t>不論是認購權證或標的股票之交易，縱使係為避險，依行為時法均符合形式上或實質上「有價證券交易」之定義，自有所得稅法第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之適用而不得將相關交易損失自應稅項下認列。原處分並無違誤等語，資為抗辯，求為判決駁回上訴人之訴。</w:t>
      </w:r>
    </w:p>
    <w:p w:rsidR="00514426" w:rsidRPr="007B5D03" w:rsidRDefault="00514426" w:rsidP="00FB2D5A">
      <w:pPr>
        <w:snapToGrid w:val="0"/>
        <w:spacing w:after="240" w:line="437" w:lineRule="exact"/>
        <w:ind w:left="680" w:hanging="680"/>
        <w:rPr>
          <w:sz w:val="30"/>
          <w:szCs w:val="30"/>
        </w:rPr>
      </w:pPr>
      <w:r w:rsidRPr="007B5D03">
        <w:rPr>
          <w:rFonts w:hAnsi="標楷體"/>
          <w:sz w:val="30"/>
          <w:szCs w:val="30"/>
        </w:rPr>
        <w:t>四、</w:t>
      </w:r>
      <w:r w:rsidRPr="00DC50C2">
        <w:rPr>
          <w:rFonts w:hAnsi="標楷體"/>
          <w:spacing w:val="-4"/>
          <w:sz w:val="30"/>
          <w:szCs w:val="30"/>
        </w:rPr>
        <w:t>原審斟酌全辯論意旨及調查證據之結果，以：</w:t>
      </w:r>
      <w:r w:rsidRPr="00DC50C2">
        <w:rPr>
          <w:rFonts w:hint="eastAsia"/>
          <w:spacing w:val="-4"/>
          <w:sz w:val="30"/>
          <w:szCs w:val="30"/>
        </w:rPr>
        <w:t>（</w:t>
      </w:r>
      <w:r w:rsidRPr="00DC50C2">
        <w:rPr>
          <w:rFonts w:hAnsi="標楷體"/>
          <w:spacing w:val="-4"/>
          <w:sz w:val="30"/>
          <w:szCs w:val="30"/>
        </w:rPr>
        <w:t>一</w:t>
      </w:r>
      <w:r w:rsidRPr="00DC50C2">
        <w:rPr>
          <w:rFonts w:hint="eastAsia"/>
          <w:spacing w:val="-4"/>
          <w:sz w:val="30"/>
          <w:szCs w:val="30"/>
        </w:rPr>
        <w:t>）</w:t>
      </w:r>
      <w:r w:rsidRPr="00DC50C2">
        <w:rPr>
          <w:rFonts w:hAnsi="標楷體"/>
          <w:spacing w:val="-4"/>
          <w:sz w:val="30"/>
          <w:szCs w:val="30"/>
        </w:rPr>
        <w:t>營業收入</w:t>
      </w:r>
      <w:r w:rsidRPr="007B5D03">
        <w:rPr>
          <w:rFonts w:hAnsi="標楷體"/>
          <w:sz w:val="30"/>
          <w:szCs w:val="30"/>
        </w:rPr>
        <w:t>項下認購權證權利金收入部分：依審查作業程序第</w:t>
      </w:r>
      <w:r w:rsidRPr="007B5D03">
        <w:rPr>
          <w:sz w:val="30"/>
          <w:szCs w:val="30"/>
        </w:rPr>
        <w:t>7</w:t>
      </w:r>
      <w:r w:rsidRPr="007B5D03">
        <w:rPr>
          <w:rFonts w:hAnsi="標楷體"/>
          <w:sz w:val="30"/>
          <w:szCs w:val="30"/>
        </w:rPr>
        <w:t>點規定可知，發行人發行認購權證需「全額銷售完成」始能向證交所申請上市買賣，本件上訴人自留額度既經完成發行銷售程序，實為銷售與上訴人，即由上訴人認購自留。對自留部分而言，上訴人之法律地位係屬「持有人」身分，與一般持有人之權利並無二致，自應認列與一般持有人相同之發行階段權利金，以符實質課稅並避免稅負規避。次查，依證交所認</w:t>
      </w:r>
      <w:r w:rsidRPr="00DC50C2">
        <w:rPr>
          <w:rFonts w:hAnsi="標楷體"/>
          <w:spacing w:val="4"/>
          <w:sz w:val="30"/>
          <w:szCs w:val="30"/>
        </w:rPr>
        <w:t>購</w:t>
      </w:r>
      <w:r w:rsidRPr="00DC50C2">
        <w:rPr>
          <w:rFonts w:hint="eastAsia"/>
          <w:spacing w:val="4"/>
          <w:sz w:val="30"/>
          <w:szCs w:val="30"/>
        </w:rPr>
        <w:t>（</w:t>
      </w:r>
      <w:r w:rsidRPr="00DC50C2">
        <w:rPr>
          <w:rFonts w:hAnsi="標楷體"/>
          <w:spacing w:val="4"/>
          <w:sz w:val="30"/>
          <w:szCs w:val="30"/>
        </w:rPr>
        <w:t>售</w:t>
      </w:r>
      <w:r w:rsidRPr="00DC50C2">
        <w:rPr>
          <w:rFonts w:hint="eastAsia"/>
          <w:spacing w:val="4"/>
          <w:sz w:val="30"/>
          <w:szCs w:val="30"/>
        </w:rPr>
        <w:t>）</w:t>
      </w:r>
      <w:r w:rsidRPr="00DC50C2">
        <w:rPr>
          <w:rFonts w:hAnsi="標楷體"/>
          <w:spacing w:val="4"/>
          <w:sz w:val="30"/>
          <w:szCs w:val="30"/>
        </w:rPr>
        <w:t>權證上市審查準則</w:t>
      </w:r>
      <w:r w:rsidRPr="00DC50C2">
        <w:rPr>
          <w:rFonts w:hint="eastAsia"/>
          <w:spacing w:val="4"/>
          <w:sz w:val="30"/>
          <w:szCs w:val="30"/>
        </w:rPr>
        <w:t>（</w:t>
      </w:r>
      <w:r w:rsidRPr="00DC50C2">
        <w:rPr>
          <w:rFonts w:hAnsi="標楷體"/>
          <w:spacing w:val="4"/>
          <w:sz w:val="30"/>
          <w:szCs w:val="30"/>
        </w:rPr>
        <w:t>權證上市審查準則</w:t>
      </w:r>
      <w:r w:rsidRPr="00DC50C2">
        <w:rPr>
          <w:rFonts w:hint="eastAsia"/>
          <w:spacing w:val="4"/>
          <w:sz w:val="30"/>
          <w:szCs w:val="30"/>
        </w:rPr>
        <w:t>）</w:t>
      </w:r>
      <w:r w:rsidRPr="00DC50C2">
        <w:rPr>
          <w:rFonts w:hAnsi="標楷體"/>
          <w:spacing w:val="4"/>
          <w:sz w:val="30"/>
          <w:szCs w:val="30"/>
        </w:rPr>
        <w:t>第</w:t>
      </w:r>
      <w:r w:rsidRPr="00DC50C2">
        <w:rPr>
          <w:spacing w:val="4"/>
          <w:sz w:val="30"/>
          <w:szCs w:val="30"/>
        </w:rPr>
        <w:t>10</w:t>
      </w:r>
      <w:r w:rsidRPr="00DC50C2">
        <w:rPr>
          <w:rFonts w:hAnsi="標楷體"/>
          <w:spacing w:val="4"/>
          <w:sz w:val="30"/>
          <w:szCs w:val="30"/>
        </w:rPr>
        <w:t>條</w:t>
      </w:r>
      <w:r w:rsidRPr="00DC50C2">
        <w:rPr>
          <w:rFonts w:hAnsi="標楷體"/>
          <w:spacing w:val="-6"/>
          <w:sz w:val="30"/>
          <w:szCs w:val="30"/>
        </w:rPr>
        <w:lastRenderedPageBreak/>
        <w:t>第</w:t>
      </w:r>
      <w:r w:rsidRPr="00DC50C2">
        <w:rPr>
          <w:spacing w:val="-6"/>
          <w:sz w:val="30"/>
          <w:szCs w:val="30"/>
        </w:rPr>
        <w:t>2</w:t>
      </w:r>
      <w:r w:rsidRPr="00DC50C2">
        <w:rPr>
          <w:rFonts w:hAnsi="標楷體"/>
          <w:spacing w:val="-6"/>
          <w:sz w:val="30"/>
          <w:szCs w:val="30"/>
        </w:rPr>
        <w:t>項第</w:t>
      </w:r>
      <w:r w:rsidRPr="00DC50C2">
        <w:rPr>
          <w:spacing w:val="-6"/>
          <w:sz w:val="30"/>
          <w:szCs w:val="30"/>
        </w:rPr>
        <w:t>3</w:t>
      </w:r>
      <w:r w:rsidRPr="00DC50C2">
        <w:rPr>
          <w:rFonts w:hAnsi="標楷體"/>
          <w:spacing w:val="-6"/>
          <w:sz w:val="30"/>
          <w:szCs w:val="30"/>
        </w:rPr>
        <w:t>款所定「發行人及其關係人、受僱人持有單位數，</w:t>
      </w:r>
      <w:r w:rsidRPr="007B5D03">
        <w:rPr>
          <w:rFonts w:hAnsi="標楷體"/>
          <w:sz w:val="30"/>
          <w:szCs w:val="30"/>
        </w:rPr>
        <w:t>不得逾上市單位</w:t>
      </w:r>
      <w:r w:rsidRPr="007B5D03">
        <w:rPr>
          <w:sz w:val="30"/>
          <w:szCs w:val="30"/>
        </w:rPr>
        <w:t>20%</w:t>
      </w:r>
      <w:r w:rsidRPr="007B5D03">
        <w:rPr>
          <w:rFonts w:hAnsi="標楷體"/>
          <w:sz w:val="30"/>
          <w:szCs w:val="30"/>
        </w:rPr>
        <w:t>」之規定可知，認購權證之自留並非法律強制規定，發行人既選擇認購自留，其會計分錄為借：發行認購權證再買回，貸：交易目的金融負債－發行認購權證負債，其貸方科目與對外發行之貸方科目一致，顯已認定權證義務，即對應之權利金收入已實現。至上訴人主張系爭自</w:t>
      </w:r>
      <w:r w:rsidRPr="00DC50C2">
        <w:rPr>
          <w:rFonts w:hAnsi="標楷體"/>
          <w:spacing w:val="6"/>
          <w:sz w:val="30"/>
          <w:szCs w:val="30"/>
        </w:rPr>
        <w:t>留額度並非財政部</w:t>
      </w:r>
      <w:r w:rsidRPr="00DC50C2">
        <w:rPr>
          <w:spacing w:val="6"/>
          <w:sz w:val="30"/>
          <w:szCs w:val="30"/>
        </w:rPr>
        <w:t>86</w:t>
      </w:r>
      <w:r w:rsidRPr="00DC50C2">
        <w:rPr>
          <w:rFonts w:hAnsi="標楷體"/>
          <w:spacing w:val="6"/>
          <w:sz w:val="30"/>
          <w:szCs w:val="30"/>
        </w:rPr>
        <w:t>年函釋所稱「發行時發行人取得之發</w:t>
      </w:r>
      <w:r w:rsidRPr="007B5D03">
        <w:rPr>
          <w:rFonts w:hAnsi="標楷體"/>
          <w:sz w:val="30"/>
          <w:szCs w:val="30"/>
        </w:rPr>
        <w:t>行價款」乙節，查收入之實現創造資產的增加，本案自留額度之發行價款，由上開會計分錄內容可知，實已轉換為「發行認購權證再買回」之權證資產，難謂無收入之產生。申言之，其交易分錄可解析為：</w:t>
      </w:r>
    </w:p>
    <w:tbl>
      <w:tblPr>
        <w:tblW w:w="0" w:type="auto"/>
        <w:jc w:val="center"/>
        <w:tblCellMar>
          <w:left w:w="0" w:type="dxa"/>
          <w:right w:w="0" w:type="dxa"/>
        </w:tblCellMar>
        <w:tblLook w:val="01E0" w:firstRow="1" w:lastRow="1" w:firstColumn="1" w:lastColumn="1" w:noHBand="0" w:noVBand="0"/>
      </w:tblPr>
      <w:tblGrid>
        <w:gridCol w:w="3720"/>
        <w:gridCol w:w="3720"/>
      </w:tblGrid>
      <w:tr w:rsidR="00514426" w:rsidRPr="00A66448" w:rsidTr="00A66448">
        <w:trPr>
          <w:jc w:val="center"/>
        </w:trPr>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借：銀行存款</w:t>
            </w:r>
          </w:p>
        </w:tc>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借：發行認購權證再買回</w:t>
            </w:r>
          </w:p>
        </w:tc>
      </w:tr>
      <w:tr w:rsidR="00514426" w:rsidRPr="00A66448" w:rsidTr="00A66448">
        <w:trPr>
          <w:jc w:val="center"/>
        </w:trPr>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貸：交易目的金融負債</w:t>
            </w:r>
          </w:p>
          <w:p w:rsidR="00514426" w:rsidRPr="00A66448" w:rsidRDefault="00514426" w:rsidP="00A66448">
            <w:pPr>
              <w:snapToGrid w:val="0"/>
              <w:spacing w:line="437" w:lineRule="exact"/>
              <w:jc w:val="center"/>
              <w:rPr>
                <w:sz w:val="30"/>
                <w:szCs w:val="30"/>
              </w:rPr>
            </w:pPr>
            <w:r w:rsidRPr="00A66448">
              <w:rPr>
                <w:rFonts w:hAnsi="標楷體"/>
                <w:sz w:val="30"/>
                <w:szCs w:val="30"/>
              </w:rPr>
              <w:t>－發行認購權證負債</w:t>
            </w:r>
          </w:p>
        </w:tc>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貸：銀行存款</w:t>
            </w:r>
          </w:p>
        </w:tc>
      </w:tr>
    </w:tbl>
    <w:p w:rsidR="00514426" w:rsidRPr="007B5D03" w:rsidRDefault="00514426" w:rsidP="00DC50C2">
      <w:pPr>
        <w:snapToGrid w:val="0"/>
        <w:spacing w:before="200" w:line="437" w:lineRule="exact"/>
        <w:ind w:left="680"/>
        <w:rPr>
          <w:sz w:val="30"/>
          <w:szCs w:val="30"/>
        </w:rPr>
      </w:pPr>
      <w:r w:rsidRPr="007B5D03">
        <w:rPr>
          <w:rFonts w:hAnsi="標楷體"/>
          <w:sz w:val="30"/>
          <w:szCs w:val="30"/>
        </w:rPr>
        <w:t>是上訴人上開主張自留額度</w:t>
      </w:r>
      <w:r w:rsidRPr="007B5D03">
        <w:rPr>
          <w:sz w:val="30"/>
          <w:szCs w:val="30"/>
        </w:rPr>
        <w:t>192,414,228</w:t>
      </w:r>
      <w:r w:rsidRPr="007B5D03">
        <w:rPr>
          <w:rFonts w:hAnsi="標楷體"/>
          <w:sz w:val="30"/>
          <w:szCs w:val="30"/>
        </w:rPr>
        <w:t>元非屬權利金收入云云，尚非可採。</w:t>
      </w:r>
      <w:r w:rsidRPr="007B5D03">
        <w:rPr>
          <w:rFonts w:hint="eastAsia"/>
          <w:sz w:val="30"/>
          <w:szCs w:val="30"/>
        </w:rPr>
        <w:t>（</w:t>
      </w:r>
      <w:r w:rsidRPr="007B5D03">
        <w:rPr>
          <w:rFonts w:hAnsi="標楷體"/>
          <w:sz w:val="30"/>
          <w:szCs w:val="30"/>
        </w:rPr>
        <w:t>二</w:t>
      </w:r>
      <w:r w:rsidRPr="007B5D03">
        <w:rPr>
          <w:rFonts w:hint="eastAsia"/>
          <w:sz w:val="30"/>
          <w:szCs w:val="30"/>
        </w:rPr>
        <w:t>）</w:t>
      </w:r>
      <w:r w:rsidRPr="007B5D03">
        <w:rPr>
          <w:rFonts w:hAnsi="標楷體"/>
          <w:sz w:val="30"/>
          <w:szCs w:val="30"/>
        </w:rPr>
        <w:t>證券交易免稅所得</w:t>
      </w:r>
      <w:r w:rsidRPr="007B5D03">
        <w:rPr>
          <w:rFonts w:hint="eastAsia"/>
          <w:sz w:val="30"/>
          <w:szCs w:val="30"/>
        </w:rPr>
        <w:t>（</w:t>
      </w:r>
      <w:r w:rsidRPr="007B5D03">
        <w:rPr>
          <w:rFonts w:hAnsi="標楷體"/>
          <w:sz w:val="30"/>
          <w:szCs w:val="30"/>
        </w:rPr>
        <w:t>分攤交際費、職工福利</w:t>
      </w:r>
      <w:r w:rsidRPr="007B5D03">
        <w:rPr>
          <w:rFonts w:hint="eastAsia"/>
          <w:sz w:val="30"/>
          <w:szCs w:val="30"/>
        </w:rPr>
        <w:t>）</w:t>
      </w:r>
      <w:r w:rsidRPr="007B5D03">
        <w:rPr>
          <w:rFonts w:hAnsi="標楷體"/>
          <w:sz w:val="30"/>
          <w:szCs w:val="30"/>
        </w:rPr>
        <w:t>部分：</w:t>
      </w:r>
      <w:r w:rsidRPr="007B5D03">
        <w:rPr>
          <w:sz w:val="30"/>
          <w:szCs w:val="30"/>
        </w:rPr>
        <w:t>1.</w:t>
      </w:r>
      <w:r w:rsidRPr="007B5D03">
        <w:rPr>
          <w:rFonts w:hAnsi="標楷體"/>
          <w:sz w:val="30"/>
          <w:szCs w:val="30"/>
        </w:rPr>
        <w:t>本件上訴人係以有價證券買賣為專業之綜合證券商，其所得實際上分為應稅所得與免稅所得，其因業務所支付之交際費，應按其經營之免稅業務及應稅業務兩部分，分別計算可列支交際費限額，再據以分攤交際費，方能正確計算其證券交易免稅所得，並避免免稅部門之相關成本費用歸由應稅部門吸收，致營利事業雙重獲益，造成侵蝕稅源及課稅不公平與不合理之現象；符合收入與費用配合原則及量能課稅原則。是原核定為正確計算免稅所得，依所得稅法第</w:t>
      </w:r>
      <w:r w:rsidRPr="007B5D03">
        <w:rPr>
          <w:sz w:val="30"/>
          <w:szCs w:val="30"/>
        </w:rPr>
        <w:t>37</w:t>
      </w:r>
      <w:r w:rsidRPr="007B5D03">
        <w:rPr>
          <w:rFonts w:hAnsi="標楷體"/>
          <w:sz w:val="30"/>
          <w:szCs w:val="30"/>
        </w:rPr>
        <w:t>條及查核準則第</w:t>
      </w:r>
      <w:r w:rsidRPr="007B5D03">
        <w:rPr>
          <w:sz w:val="30"/>
          <w:szCs w:val="30"/>
        </w:rPr>
        <w:t>80</w:t>
      </w:r>
      <w:r w:rsidRPr="007B5D03">
        <w:rPr>
          <w:rFonts w:hAnsi="標楷體"/>
          <w:sz w:val="30"/>
          <w:szCs w:val="30"/>
        </w:rPr>
        <w:t>條暨上開財政部</w:t>
      </w:r>
      <w:r w:rsidRPr="007B5D03">
        <w:rPr>
          <w:sz w:val="30"/>
          <w:szCs w:val="30"/>
        </w:rPr>
        <w:t>83</w:t>
      </w:r>
      <w:r w:rsidRPr="007B5D03">
        <w:rPr>
          <w:rFonts w:hAnsi="標楷體"/>
          <w:sz w:val="30"/>
          <w:szCs w:val="30"/>
        </w:rPr>
        <w:t>年、</w:t>
      </w:r>
      <w:r w:rsidRPr="007B5D03">
        <w:rPr>
          <w:sz w:val="30"/>
          <w:szCs w:val="30"/>
        </w:rPr>
        <w:t>85</w:t>
      </w:r>
      <w:r w:rsidRPr="007B5D03">
        <w:rPr>
          <w:rFonts w:hAnsi="標楷體"/>
          <w:sz w:val="30"/>
          <w:szCs w:val="30"/>
        </w:rPr>
        <w:t>年函</w:t>
      </w:r>
      <w:r w:rsidRPr="007B5D03">
        <w:rPr>
          <w:rFonts w:hAnsi="標楷體"/>
          <w:sz w:val="30"/>
          <w:szCs w:val="30"/>
        </w:rPr>
        <w:lastRenderedPageBreak/>
        <w:t>釋，分別核算上訴人應稅業務部分之交際費可列支限額及出售有價證券免稅業務部分交際費可列支限額，再將超過應稅業務部門可列支交際費限額部分，移由免稅部門核認，此係採對業者包括上訴人最有利之計算方式。亦即，將非屬出</w:t>
      </w:r>
      <w:r w:rsidRPr="00DC50C2">
        <w:rPr>
          <w:rFonts w:hAnsi="標楷體"/>
          <w:spacing w:val="6"/>
          <w:sz w:val="30"/>
          <w:szCs w:val="30"/>
        </w:rPr>
        <w:t>售有價證券之應稅業務部分，讓業者享受全部之交際費限</w:t>
      </w:r>
      <w:r w:rsidRPr="007B5D03">
        <w:rPr>
          <w:rFonts w:hAnsi="標楷體"/>
          <w:sz w:val="30"/>
          <w:szCs w:val="30"/>
        </w:rPr>
        <w:t>額，再將超過應稅業務可列支之交際費限額部分歸屬為出售有價證券免稅業務部分之費用，轉自有價證券出售收入項下認列，並無違誤。是上訴人主張「關於營利事業申報交際費限額之計算數額，依所得稅法第</w:t>
      </w:r>
      <w:r w:rsidRPr="007B5D03">
        <w:rPr>
          <w:sz w:val="30"/>
          <w:szCs w:val="30"/>
        </w:rPr>
        <w:t>37</w:t>
      </w:r>
      <w:r w:rsidRPr="007B5D03">
        <w:rPr>
          <w:rFonts w:hAnsi="標楷體"/>
          <w:sz w:val="30"/>
          <w:szCs w:val="30"/>
        </w:rPr>
        <w:t>條、查核準則第</w:t>
      </w:r>
      <w:r w:rsidRPr="007B5D03">
        <w:rPr>
          <w:sz w:val="30"/>
          <w:szCs w:val="30"/>
        </w:rPr>
        <w:t>80</w:t>
      </w:r>
      <w:r w:rsidRPr="007B5D03">
        <w:rPr>
          <w:rFonts w:hAnsi="標楷體"/>
          <w:sz w:val="30"/>
          <w:szCs w:val="30"/>
        </w:rPr>
        <w:t>條、</w:t>
      </w:r>
      <w:r w:rsidRPr="00DC50C2">
        <w:rPr>
          <w:rFonts w:hAnsi="標楷體"/>
          <w:spacing w:val="-8"/>
          <w:sz w:val="30"/>
          <w:szCs w:val="30"/>
        </w:rPr>
        <w:t>第</w:t>
      </w:r>
      <w:r w:rsidRPr="00DC50C2">
        <w:rPr>
          <w:spacing w:val="-8"/>
          <w:sz w:val="30"/>
          <w:szCs w:val="30"/>
        </w:rPr>
        <w:t>81</w:t>
      </w:r>
      <w:r w:rsidRPr="00DC50C2">
        <w:rPr>
          <w:rFonts w:hAnsi="標楷體"/>
          <w:spacing w:val="-8"/>
          <w:sz w:val="30"/>
          <w:szCs w:val="30"/>
        </w:rPr>
        <w:t>條規定，均未指出就應稅及免稅業務應分別計算限額。」</w:t>
      </w:r>
      <w:r w:rsidRPr="007B5D03">
        <w:rPr>
          <w:rFonts w:hAnsi="標楷體"/>
          <w:sz w:val="30"/>
          <w:szCs w:val="30"/>
        </w:rPr>
        <w:t>「交際費用計算應以全公司為計算基礎，只要與業務相關且取據合法憑證而實際支出之交際費，在限額內者應均得認列為費用；而不宜於法條文義外，另行附加法律所無之限制，採用計算應稅『部門限額』，再以轉列應稅部門超過『部門限額』部分於免稅收入應分擔營業費用之方式，間接剔除該部分費用之作法。」「原處分對於本件交際費之核定違反所</w:t>
      </w:r>
      <w:r w:rsidRPr="00DC50C2">
        <w:rPr>
          <w:rFonts w:hAnsi="標楷體"/>
          <w:spacing w:val="6"/>
          <w:sz w:val="30"/>
          <w:szCs w:val="30"/>
        </w:rPr>
        <w:t>得稅法第</w:t>
      </w:r>
      <w:r w:rsidRPr="00DC50C2">
        <w:rPr>
          <w:spacing w:val="6"/>
          <w:sz w:val="30"/>
          <w:szCs w:val="30"/>
        </w:rPr>
        <w:t>37</w:t>
      </w:r>
      <w:r w:rsidRPr="00DC50C2">
        <w:rPr>
          <w:rFonts w:hAnsi="標楷體"/>
          <w:spacing w:val="6"/>
          <w:sz w:val="30"/>
          <w:szCs w:val="30"/>
        </w:rPr>
        <w:t>條規定，並增加法律所無之限制」云云，即非</w:t>
      </w:r>
      <w:r w:rsidRPr="007B5D03">
        <w:rPr>
          <w:rFonts w:hAnsi="標楷體"/>
          <w:sz w:val="30"/>
          <w:szCs w:val="30"/>
        </w:rPr>
        <w:t>可採。</w:t>
      </w:r>
      <w:r w:rsidRPr="007B5D03">
        <w:rPr>
          <w:sz w:val="30"/>
          <w:szCs w:val="30"/>
        </w:rPr>
        <w:t>2.</w:t>
      </w:r>
      <w:r w:rsidRPr="007B5D03">
        <w:rPr>
          <w:rFonts w:hAnsi="標楷體"/>
          <w:sz w:val="30"/>
          <w:szCs w:val="30"/>
        </w:rPr>
        <w:t>同理，被上訴人先計算應稅業務部分可列支職工福利限額，再將超過可列支應稅限額部分轉分攤至免稅部分，亦無不合等由，因將原決定及原處分均予維持，駁回上訴人之訴。</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五、本院按：</w:t>
      </w:r>
      <w:r w:rsidRPr="007B5D03">
        <w:rPr>
          <w:rFonts w:hint="eastAsia"/>
          <w:sz w:val="30"/>
          <w:szCs w:val="30"/>
        </w:rPr>
        <w:t>（</w:t>
      </w:r>
      <w:r w:rsidRPr="007B5D03">
        <w:rPr>
          <w:rFonts w:hAnsi="標楷體"/>
          <w:sz w:val="30"/>
          <w:szCs w:val="30"/>
        </w:rPr>
        <w:t>一</w:t>
      </w:r>
      <w:r w:rsidRPr="007B5D03">
        <w:rPr>
          <w:rFonts w:hint="eastAsia"/>
          <w:sz w:val="30"/>
          <w:szCs w:val="30"/>
        </w:rPr>
        <w:t>）</w:t>
      </w:r>
      <w:r w:rsidRPr="007B5D03">
        <w:rPr>
          <w:rFonts w:hAnsi="標楷體"/>
          <w:sz w:val="30"/>
          <w:szCs w:val="30"/>
        </w:rPr>
        <w:t>系爭權利金收入</w:t>
      </w:r>
      <w:r w:rsidRPr="007B5D03">
        <w:rPr>
          <w:sz w:val="30"/>
          <w:szCs w:val="30"/>
        </w:rPr>
        <w:t>1,352,592,500</w:t>
      </w:r>
      <w:r w:rsidRPr="007B5D03">
        <w:rPr>
          <w:rFonts w:hAnsi="標楷體"/>
          <w:sz w:val="30"/>
          <w:szCs w:val="30"/>
        </w:rPr>
        <w:t>元應否扣除自留額度</w:t>
      </w:r>
      <w:r w:rsidRPr="007B5D03">
        <w:rPr>
          <w:sz w:val="30"/>
          <w:szCs w:val="30"/>
        </w:rPr>
        <w:t>192,414,228</w:t>
      </w:r>
      <w:r w:rsidRPr="007B5D03">
        <w:rPr>
          <w:rFonts w:hAnsi="標楷體"/>
          <w:sz w:val="30"/>
          <w:szCs w:val="30"/>
        </w:rPr>
        <w:t>元部分：</w:t>
      </w:r>
      <w:r w:rsidRPr="007B5D03">
        <w:rPr>
          <w:sz w:val="30"/>
          <w:szCs w:val="30"/>
        </w:rPr>
        <w:t>1.</w:t>
      </w:r>
      <w:r w:rsidRPr="007B5D03">
        <w:rPr>
          <w:rFonts w:hAnsi="標楷體"/>
          <w:sz w:val="30"/>
          <w:szCs w:val="30"/>
        </w:rPr>
        <w:t>按「會計基礎，凡屬公司組織</w:t>
      </w:r>
      <w:r w:rsidRPr="00DC50C2">
        <w:rPr>
          <w:rFonts w:hAnsi="標楷體"/>
          <w:spacing w:val="-6"/>
          <w:sz w:val="30"/>
          <w:szCs w:val="30"/>
        </w:rPr>
        <w:t>者，應採用權責發生制</w:t>
      </w:r>
      <w:r w:rsidRPr="00DC50C2">
        <w:rPr>
          <w:rFonts w:hint="eastAsia"/>
          <w:spacing w:val="-6"/>
          <w:sz w:val="30"/>
          <w:szCs w:val="30"/>
        </w:rPr>
        <w:t>……</w:t>
      </w:r>
      <w:r w:rsidRPr="00DC50C2">
        <w:rPr>
          <w:rFonts w:hAnsi="標楷體"/>
          <w:spacing w:val="-6"/>
          <w:sz w:val="30"/>
          <w:szCs w:val="30"/>
        </w:rPr>
        <w:t>」、「營利事業所得之計算，以其</w:t>
      </w:r>
      <w:r w:rsidRPr="007B5D03">
        <w:rPr>
          <w:rFonts w:hAnsi="標楷體"/>
          <w:sz w:val="30"/>
          <w:szCs w:val="30"/>
        </w:rPr>
        <w:t>本年度收入總額減除各項成本費用、損失及稅捐後之純益額為所得額。」所得稅法第</w:t>
      </w:r>
      <w:r w:rsidRPr="007B5D03">
        <w:rPr>
          <w:sz w:val="30"/>
          <w:szCs w:val="30"/>
        </w:rPr>
        <w:t>22</w:t>
      </w:r>
      <w:r w:rsidRPr="007B5D03">
        <w:rPr>
          <w:rFonts w:hAnsi="標楷體"/>
          <w:sz w:val="30"/>
          <w:szCs w:val="30"/>
        </w:rPr>
        <w:t>條第</w:t>
      </w:r>
      <w:r w:rsidRPr="007B5D03">
        <w:rPr>
          <w:sz w:val="30"/>
          <w:szCs w:val="30"/>
        </w:rPr>
        <w:t>1</w:t>
      </w:r>
      <w:r w:rsidRPr="007B5D03">
        <w:rPr>
          <w:rFonts w:hAnsi="標楷體"/>
          <w:sz w:val="30"/>
          <w:szCs w:val="30"/>
        </w:rPr>
        <w:t>項前段、第</w:t>
      </w:r>
      <w:r w:rsidRPr="007B5D03">
        <w:rPr>
          <w:sz w:val="30"/>
          <w:szCs w:val="30"/>
        </w:rPr>
        <w:t>24</w:t>
      </w:r>
      <w:r w:rsidRPr="007B5D03">
        <w:rPr>
          <w:rFonts w:hAnsi="標楷體"/>
          <w:sz w:val="30"/>
          <w:szCs w:val="30"/>
        </w:rPr>
        <w:t>條第</w:t>
      </w:r>
      <w:r w:rsidRPr="007B5D03">
        <w:rPr>
          <w:sz w:val="30"/>
          <w:szCs w:val="30"/>
        </w:rPr>
        <w:t>1</w:t>
      </w:r>
      <w:r w:rsidRPr="007B5D03">
        <w:rPr>
          <w:rFonts w:hAnsi="標楷體"/>
          <w:sz w:val="30"/>
          <w:szCs w:val="30"/>
        </w:rPr>
        <w:t>項定有明文。次按「認購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權證發行人於發行時所取得之發</w:t>
      </w:r>
      <w:r w:rsidRPr="007B5D03">
        <w:rPr>
          <w:rFonts w:hAnsi="標楷體"/>
          <w:sz w:val="30"/>
          <w:szCs w:val="30"/>
        </w:rPr>
        <w:lastRenderedPageBreak/>
        <w:t>行價款，係屬權利金收入，依現行所得稅法第</w:t>
      </w:r>
      <w:r w:rsidRPr="007B5D03">
        <w:rPr>
          <w:sz w:val="30"/>
          <w:szCs w:val="30"/>
        </w:rPr>
        <w:t>22</w:t>
      </w:r>
      <w:r w:rsidRPr="007B5D03">
        <w:rPr>
          <w:rFonts w:hAnsi="標楷體"/>
          <w:sz w:val="30"/>
          <w:szCs w:val="30"/>
        </w:rPr>
        <w:t>條有關公司組織之會計基礎應採權責發生制之規定，應於發行期間內分期計算損益或於履約時認列損益。</w:t>
      </w:r>
      <w:r w:rsidRPr="007B5D03">
        <w:rPr>
          <w:rFonts w:hint="eastAsia"/>
          <w:sz w:val="30"/>
          <w:szCs w:val="30"/>
        </w:rPr>
        <w:t>……</w:t>
      </w:r>
      <w:r w:rsidRPr="007B5D03">
        <w:rPr>
          <w:rFonts w:hAnsi="標楷體"/>
          <w:sz w:val="30"/>
          <w:szCs w:val="30"/>
        </w:rPr>
        <w:t>」亦有財政部</w:t>
      </w:r>
      <w:r w:rsidRPr="007B5D03">
        <w:rPr>
          <w:sz w:val="30"/>
          <w:szCs w:val="30"/>
        </w:rPr>
        <w:t>86</w:t>
      </w:r>
      <w:r w:rsidRPr="007B5D03">
        <w:rPr>
          <w:rFonts w:hAnsi="標楷體"/>
          <w:sz w:val="30"/>
          <w:szCs w:val="30"/>
        </w:rPr>
        <w:t>年函釋在案，經核該函釋與上開母法並無相違而可於本件適用。</w:t>
      </w:r>
      <w:r w:rsidRPr="007B5D03">
        <w:rPr>
          <w:sz w:val="30"/>
          <w:szCs w:val="30"/>
        </w:rPr>
        <w:t>2.</w:t>
      </w:r>
      <w:r w:rsidRPr="007B5D03">
        <w:rPr>
          <w:rFonts w:hAnsi="標楷體"/>
          <w:sz w:val="30"/>
          <w:szCs w:val="30"/>
        </w:rPr>
        <w:t>再按審查作業程序第</w:t>
      </w:r>
      <w:r w:rsidRPr="007B5D03">
        <w:rPr>
          <w:sz w:val="30"/>
          <w:szCs w:val="30"/>
        </w:rPr>
        <w:t>7</w:t>
      </w:r>
      <w:r w:rsidRPr="007B5D03">
        <w:rPr>
          <w:rFonts w:hAnsi="標楷體"/>
          <w:sz w:val="30"/>
          <w:szCs w:val="30"/>
        </w:rPr>
        <w:t>點第</w:t>
      </w:r>
      <w:r w:rsidRPr="007B5D03">
        <w:rPr>
          <w:sz w:val="30"/>
          <w:szCs w:val="30"/>
        </w:rPr>
        <w:t>1</w:t>
      </w:r>
      <w:r w:rsidRPr="007B5D03">
        <w:rPr>
          <w:rFonts w:hAnsi="標楷體"/>
          <w:sz w:val="30"/>
          <w:szCs w:val="30"/>
        </w:rPr>
        <w:t>項規定「七</w:t>
      </w:r>
      <w:r w:rsidRPr="007B5D03">
        <w:rPr>
          <w:rFonts w:hAnsi="標楷體" w:hint="eastAsia"/>
          <w:sz w:val="30"/>
          <w:szCs w:val="30"/>
        </w:rPr>
        <w:t>、</w:t>
      </w:r>
      <w:r w:rsidRPr="007B5D03">
        <w:rPr>
          <w:rFonts w:hAnsi="標楷體"/>
          <w:sz w:val="30"/>
          <w:szCs w:val="30"/>
        </w:rPr>
        <w:t>發行公司應依下列規定辦理並檢送相關資料予本公司：</w:t>
      </w:r>
      <w:r w:rsidRPr="007B5D03">
        <w:rPr>
          <w:rFonts w:hint="eastAsia"/>
          <w:sz w:val="30"/>
          <w:szCs w:val="30"/>
        </w:rPr>
        <w:t>（</w:t>
      </w:r>
      <w:r w:rsidRPr="007B5D03">
        <w:rPr>
          <w:rFonts w:hAnsi="標楷體"/>
          <w:sz w:val="30"/>
          <w:szCs w:val="30"/>
        </w:rPr>
        <w:t>一</w:t>
      </w:r>
      <w:r w:rsidRPr="007B5D03">
        <w:rPr>
          <w:rFonts w:hint="eastAsia"/>
          <w:sz w:val="30"/>
          <w:szCs w:val="30"/>
        </w:rPr>
        <w:t>）</w:t>
      </w:r>
      <w:r w:rsidRPr="007B5D03">
        <w:rPr>
          <w:rFonts w:hAnsi="標楷體"/>
          <w:sz w:val="30"/>
          <w:szCs w:val="30"/>
        </w:rPr>
        <w:t>本公司出具同意其認購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權證發行計畫之文件後，發行人應將認購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權證銷售之公告報紙</w:t>
      </w:r>
      <w:r w:rsidRPr="007B5D03">
        <w:rPr>
          <w:sz w:val="30"/>
          <w:szCs w:val="30"/>
        </w:rPr>
        <w:t>3</w:t>
      </w:r>
      <w:r w:rsidRPr="007B5D03">
        <w:rPr>
          <w:rFonts w:hAnsi="標楷體"/>
          <w:sz w:val="30"/>
          <w:szCs w:val="30"/>
        </w:rPr>
        <w:t>份於公告後</w:t>
      </w:r>
      <w:r w:rsidRPr="007B5D03">
        <w:rPr>
          <w:sz w:val="30"/>
          <w:szCs w:val="30"/>
        </w:rPr>
        <w:t>2</w:t>
      </w:r>
      <w:r w:rsidRPr="007B5D03">
        <w:rPr>
          <w:rFonts w:hAnsi="標楷體"/>
          <w:sz w:val="30"/>
          <w:szCs w:val="30"/>
        </w:rPr>
        <w:t>日內檢送本公司，並於銷售完成且其上市契約經主管機關核准後，於預定之上市買賣日至少</w:t>
      </w:r>
      <w:r w:rsidRPr="007B5D03">
        <w:rPr>
          <w:sz w:val="30"/>
          <w:szCs w:val="30"/>
        </w:rPr>
        <w:t>3</w:t>
      </w:r>
      <w:r w:rsidRPr="007B5D03">
        <w:rPr>
          <w:rFonts w:hAnsi="標楷體"/>
          <w:sz w:val="30"/>
          <w:szCs w:val="30"/>
        </w:rPr>
        <w:t>個營業日前，檢送認購</w:t>
      </w:r>
      <w:r w:rsidRPr="007B5D03">
        <w:rPr>
          <w:rFonts w:hint="eastAsia"/>
          <w:sz w:val="30"/>
          <w:szCs w:val="30"/>
        </w:rPr>
        <w:t>（</w:t>
      </w:r>
      <w:r w:rsidRPr="007B5D03">
        <w:rPr>
          <w:rFonts w:hAnsi="標楷體"/>
          <w:sz w:val="30"/>
          <w:szCs w:val="30"/>
        </w:rPr>
        <w:t>售</w:t>
      </w:r>
      <w:r w:rsidRPr="007B5D03">
        <w:rPr>
          <w:rFonts w:hint="eastAsia"/>
          <w:sz w:val="30"/>
          <w:szCs w:val="30"/>
        </w:rPr>
        <w:t>）</w:t>
      </w:r>
      <w:r w:rsidRPr="007B5D03">
        <w:rPr>
          <w:rFonts w:hAnsi="標楷體"/>
          <w:sz w:val="30"/>
          <w:szCs w:val="30"/>
        </w:rPr>
        <w:t>權證持有人分散情形檢查表及持有人名冊，向本公司辦理洽商預定上市買賣事宜，其預定上市買賣日並不得逾洽商日後</w:t>
      </w:r>
      <w:r w:rsidRPr="007B5D03">
        <w:rPr>
          <w:sz w:val="30"/>
          <w:szCs w:val="30"/>
        </w:rPr>
        <w:t>10</w:t>
      </w:r>
      <w:r w:rsidRPr="007B5D03">
        <w:rPr>
          <w:rFonts w:hAnsi="標楷體"/>
          <w:sz w:val="30"/>
          <w:szCs w:val="30"/>
        </w:rPr>
        <w:t>個營業日。」可知，發行人發行認購權證需「全額銷售完成」始能向證交所申請上市買賣。</w:t>
      </w:r>
      <w:r w:rsidRPr="007B5D03">
        <w:rPr>
          <w:sz w:val="30"/>
          <w:szCs w:val="30"/>
        </w:rPr>
        <w:t>3.</w:t>
      </w:r>
      <w:r w:rsidRPr="007B5D03">
        <w:rPr>
          <w:rFonts w:hAnsi="標楷體"/>
          <w:sz w:val="30"/>
          <w:szCs w:val="30"/>
        </w:rPr>
        <w:t>經查，本件上訴人就其發行系爭</w:t>
      </w:r>
      <w:r w:rsidRPr="007B5D03">
        <w:rPr>
          <w:sz w:val="30"/>
          <w:szCs w:val="30"/>
        </w:rPr>
        <w:t>13</w:t>
      </w:r>
      <w:r w:rsidRPr="007B5D03">
        <w:rPr>
          <w:rFonts w:hAnsi="標楷體"/>
          <w:sz w:val="30"/>
          <w:szCs w:val="30"/>
        </w:rPr>
        <w:t>檔認購權證時所取得之發行價款性質部分，依財政</w:t>
      </w:r>
      <w:r w:rsidRPr="00E97713">
        <w:rPr>
          <w:rFonts w:hAnsi="標楷體"/>
          <w:spacing w:val="6"/>
          <w:sz w:val="30"/>
          <w:szCs w:val="30"/>
        </w:rPr>
        <w:t>部</w:t>
      </w:r>
      <w:r w:rsidRPr="00E97713">
        <w:rPr>
          <w:spacing w:val="6"/>
          <w:sz w:val="30"/>
          <w:szCs w:val="30"/>
        </w:rPr>
        <w:t>86</w:t>
      </w:r>
      <w:r w:rsidRPr="00E97713">
        <w:rPr>
          <w:rFonts w:hAnsi="標楷體"/>
          <w:spacing w:val="6"/>
          <w:sz w:val="30"/>
          <w:szCs w:val="30"/>
        </w:rPr>
        <w:t>年函釋屬應稅權利金收入</w:t>
      </w:r>
      <w:r w:rsidRPr="00E97713">
        <w:rPr>
          <w:rFonts w:hint="eastAsia"/>
          <w:spacing w:val="6"/>
          <w:sz w:val="30"/>
          <w:szCs w:val="30"/>
        </w:rPr>
        <w:t>（</w:t>
      </w:r>
      <w:r w:rsidRPr="00E97713">
        <w:rPr>
          <w:rFonts w:hAnsi="標楷體"/>
          <w:spacing w:val="6"/>
          <w:sz w:val="30"/>
          <w:szCs w:val="30"/>
        </w:rPr>
        <w:t>列為營業收入項下</w:t>
      </w:r>
      <w:r w:rsidRPr="00E97713">
        <w:rPr>
          <w:rFonts w:hint="eastAsia"/>
          <w:spacing w:val="6"/>
          <w:sz w:val="30"/>
          <w:szCs w:val="30"/>
        </w:rPr>
        <w:t>）</w:t>
      </w:r>
      <w:r w:rsidRPr="00E97713">
        <w:rPr>
          <w:rFonts w:hAnsi="標楷體"/>
          <w:spacing w:val="6"/>
          <w:sz w:val="30"/>
          <w:szCs w:val="30"/>
        </w:rPr>
        <w:t>並不</w:t>
      </w:r>
      <w:r w:rsidRPr="007B5D03">
        <w:rPr>
          <w:rFonts w:hAnsi="標楷體"/>
          <w:sz w:val="30"/>
          <w:szCs w:val="30"/>
        </w:rPr>
        <w:t>爭執，且不否認發行人發行認購權證需「全額銷售完成」始能向證交所申請上市買賣，同時亦認同自留額度屬於「發行總金額」之一部</w:t>
      </w:r>
      <w:r w:rsidRPr="007B5D03">
        <w:rPr>
          <w:rFonts w:hint="eastAsia"/>
          <w:sz w:val="30"/>
          <w:szCs w:val="30"/>
        </w:rPr>
        <w:t>（</w:t>
      </w:r>
      <w:r w:rsidRPr="007B5D03">
        <w:rPr>
          <w:rFonts w:hAnsi="標楷體"/>
          <w:sz w:val="30"/>
          <w:szCs w:val="30"/>
        </w:rPr>
        <w:t>參原處分卷第</w:t>
      </w:r>
      <w:r w:rsidRPr="007B5D03">
        <w:rPr>
          <w:sz w:val="30"/>
          <w:szCs w:val="30"/>
        </w:rPr>
        <w:t>427</w:t>
      </w:r>
      <w:r w:rsidRPr="007B5D03">
        <w:rPr>
          <w:rFonts w:hAnsi="標楷體"/>
          <w:sz w:val="30"/>
          <w:szCs w:val="30"/>
        </w:rPr>
        <w:t>頁所附上訴人復查申請書所載</w:t>
      </w:r>
      <w:r w:rsidRPr="007B5D03">
        <w:rPr>
          <w:rFonts w:hint="eastAsia"/>
          <w:sz w:val="30"/>
          <w:szCs w:val="30"/>
        </w:rPr>
        <w:t>）</w:t>
      </w:r>
      <w:r w:rsidRPr="007B5D03">
        <w:rPr>
          <w:rFonts w:hAnsi="標楷體"/>
          <w:sz w:val="30"/>
          <w:szCs w:val="30"/>
        </w:rPr>
        <w:t>，僅爭執自留額度</w:t>
      </w:r>
      <w:r w:rsidRPr="007B5D03">
        <w:rPr>
          <w:sz w:val="30"/>
          <w:szCs w:val="30"/>
        </w:rPr>
        <w:t>192,414,228</w:t>
      </w:r>
      <w:r w:rsidRPr="007B5D03">
        <w:rPr>
          <w:rFonts w:hAnsi="標楷體"/>
          <w:sz w:val="30"/>
          <w:szCs w:val="30"/>
        </w:rPr>
        <w:t>元「並沒有從</w:t>
      </w:r>
      <w:r w:rsidRPr="007B5D03">
        <w:rPr>
          <w:rFonts w:hint="eastAsia"/>
          <w:sz w:val="30"/>
          <w:szCs w:val="30"/>
        </w:rPr>
        <w:t>（</w:t>
      </w:r>
      <w:r w:rsidRPr="007B5D03">
        <w:rPr>
          <w:rFonts w:hAnsi="標楷體"/>
          <w:sz w:val="30"/>
          <w:szCs w:val="30"/>
        </w:rPr>
        <w:t>上訴</w:t>
      </w:r>
      <w:r w:rsidRPr="00E97713">
        <w:rPr>
          <w:rFonts w:hAnsi="標楷體"/>
          <w:spacing w:val="6"/>
          <w:sz w:val="30"/>
          <w:szCs w:val="30"/>
        </w:rPr>
        <w:t>人以外之</w:t>
      </w:r>
      <w:r w:rsidRPr="00E97713">
        <w:rPr>
          <w:rFonts w:hint="eastAsia"/>
          <w:spacing w:val="6"/>
          <w:sz w:val="30"/>
          <w:szCs w:val="30"/>
        </w:rPr>
        <w:t>）</w:t>
      </w:r>
      <w:r w:rsidRPr="00E97713">
        <w:rPr>
          <w:rFonts w:hAnsi="標楷體"/>
          <w:spacing w:val="6"/>
          <w:sz w:val="30"/>
          <w:szCs w:val="30"/>
        </w:rPr>
        <w:t>第三人取得任何價款，故根本沒有任何收入實</w:t>
      </w:r>
      <w:r w:rsidRPr="00E97713">
        <w:rPr>
          <w:rFonts w:hAnsi="標楷體"/>
          <w:spacing w:val="-6"/>
          <w:sz w:val="30"/>
          <w:szCs w:val="30"/>
        </w:rPr>
        <w:t>現」，「自留額度之發生並非發行人即上訴人所樂見」，亦非「一開始發行就保留」</w:t>
      </w:r>
      <w:r w:rsidRPr="00E97713">
        <w:rPr>
          <w:rFonts w:hint="eastAsia"/>
          <w:spacing w:val="-6"/>
          <w:sz w:val="30"/>
          <w:szCs w:val="30"/>
        </w:rPr>
        <w:t>（</w:t>
      </w:r>
      <w:r w:rsidRPr="00E97713">
        <w:rPr>
          <w:rFonts w:hAnsi="標楷體"/>
          <w:spacing w:val="-6"/>
          <w:sz w:val="30"/>
          <w:szCs w:val="30"/>
        </w:rPr>
        <w:t>參原審卷第</w:t>
      </w:r>
      <w:r w:rsidRPr="00E97713">
        <w:rPr>
          <w:spacing w:val="-6"/>
          <w:sz w:val="30"/>
          <w:szCs w:val="30"/>
        </w:rPr>
        <w:t>114</w:t>
      </w:r>
      <w:r w:rsidRPr="00E97713">
        <w:rPr>
          <w:rFonts w:hAnsi="標楷體"/>
          <w:spacing w:val="-6"/>
          <w:sz w:val="30"/>
          <w:szCs w:val="30"/>
        </w:rPr>
        <w:t>頁言詞辯論筆錄</w:t>
      </w:r>
      <w:r w:rsidRPr="00E97713">
        <w:rPr>
          <w:rFonts w:hint="eastAsia"/>
          <w:spacing w:val="-6"/>
          <w:sz w:val="30"/>
          <w:szCs w:val="30"/>
        </w:rPr>
        <w:t>）</w:t>
      </w:r>
      <w:r w:rsidRPr="00E97713">
        <w:rPr>
          <w:rFonts w:hAnsi="標楷體"/>
          <w:spacing w:val="-6"/>
          <w:sz w:val="30"/>
          <w:szCs w:val="30"/>
        </w:rPr>
        <w:t>，</w:t>
      </w:r>
      <w:r w:rsidRPr="007B5D03">
        <w:rPr>
          <w:rFonts w:hAnsi="標楷體"/>
          <w:sz w:val="30"/>
          <w:szCs w:val="30"/>
        </w:rPr>
        <w:t>因而主張非屬權利金收入，應自核定系爭權利金收入金額</w:t>
      </w:r>
      <w:r w:rsidRPr="007B5D03">
        <w:rPr>
          <w:sz w:val="30"/>
          <w:szCs w:val="30"/>
        </w:rPr>
        <w:t>1,352,592,500</w:t>
      </w:r>
      <w:r w:rsidRPr="007B5D03">
        <w:rPr>
          <w:rFonts w:hAnsi="標楷體"/>
          <w:sz w:val="30"/>
          <w:szCs w:val="30"/>
        </w:rPr>
        <w:t>元加予減列云云；業經原審論敘不採之心證理由，詳如上述，經核並無不合。且依原審卷第</w:t>
      </w:r>
      <w:r w:rsidRPr="007B5D03">
        <w:rPr>
          <w:sz w:val="30"/>
          <w:szCs w:val="30"/>
        </w:rPr>
        <w:t>113</w:t>
      </w:r>
      <w:r w:rsidRPr="007B5D03">
        <w:rPr>
          <w:rFonts w:hAnsi="標楷體"/>
          <w:sz w:val="30"/>
          <w:szCs w:val="30"/>
        </w:rPr>
        <w:t>頁言詞辯</w:t>
      </w:r>
      <w:r w:rsidRPr="0069394E">
        <w:rPr>
          <w:rFonts w:hAnsi="標楷體"/>
          <w:spacing w:val="6"/>
          <w:sz w:val="30"/>
          <w:szCs w:val="30"/>
        </w:rPr>
        <w:t>論筆錄所載，</w:t>
      </w:r>
      <w:r w:rsidRPr="0069394E">
        <w:rPr>
          <w:rFonts w:hAnsi="標楷體"/>
          <w:spacing w:val="6"/>
          <w:sz w:val="30"/>
          <w:szCs w:val="30"/>
        </w:rPr>
        <w:lastRenderedPageBreak/>
        <w:t>系爭自留額度係由上訴人之自營部門認購自</w:t>
      </w:r>
      <w:r w:rsidRPr="007B5D03">
        <w:rPr>
          <w:rFonts w:hAnsi="標楷體"/>
          <w:sz w:val="30"/>
          <w:szCs w:val="30"/>
        </w:rPr>
        <w:t>留；而自營部門之業務性質，本係以自行承擔持有或買賣有價證券之風險為常態；又自留額度之會計分錄借方科目為發行認購權證「再買回」，乃原審確定之事實。則本件自留額</w:t>
      </w:r>
      <w:r w:rsidRPr="0069394E">
        <w:rPr>
          <w:rFonts w:hAnsi="標楷體"/>
          <w:spacing w:val="6"/>
          <w:sz w:val="30"/>
          <w:szCs w:val="30"/>
        </w:rPr>
        <w:t>度自非可與上訴人於發行市場以發行人地位卻不全額發行有價證券之情形同視，而系爭</w:t>
      </w:r>
      <w:r w:rsidRPr="0069394E">
        <w:rPr>
          <w:spacing w:val="6"/>
          <w:sz w:val="30"/>
          <w:szCs w:val="30"/>
        </w:rPr>
        <w:t>13</w:t>
      </w:r>
      <w:r w:rsidRPr="0069394E">
        <w:rPr>
          <w:rFonts w:hAnsi="標楷體"/>
          <w:spacing w:val="6"/>
          <w:sz w:val="30"/>
          <w:szCs w:val="30"/>
        </w:rPr>
        <w:t>檔認購權證既經「全額銷</w:t>
      </w:r>
      <w:r w:rsidRPr="007B5D03">
        <w:rPr>
          <w:rFonts w:hAnsi="標楷體"/>
          <w:sz w:val="30"/>
          <w:szCs w:val="30"/>
        </w:rPr>
        <w:t>售完成」，系爭自留額度仍應屬於發行階段之權利金收入。上訴論旨，就此部分，除執前詞並主張：依財務會計準則公</w:t>
      </w:r>
      <w:r w:rsidRPr="0069394E">
        <w:rPr>
          <w:rFonts w:hAnsi="標楷體"/>
          <w:spacing w:val="6"/>
          <w:sz w:val="30"/>
          <w:szCs w:val="30"/>
        </w:rPr>
        <w:t>報第</w:t>
      </w:r>
      <w:r w:rsidRPr="0069394E">
        <w:rPr>
          <w:spacing w:val="6"/>
          <w:sz w:val="30"/>
          <w:szCs w:val="30"/>
        </w:rPr>
        <w:t>32</w:t>
      </w:r>
      <w:r w:rsidRPr="0069394E">
        <w:rPr>
          <w:rFonts w:hAnsi="標楷體"/>
          <w:spacing w:val="6"/>
          <w:sz w:val="30"/>
          <w:szCs w:val="30"/>
        </w:rPr>
        <w:t>號「收入認列之會計處理準則」第</w:t>
      </w:r>
      <w:r w:rsidRPr="0069394E">
        <w:rPr>
          <w:spacing w:val="6"/>
          <w:sz w:val="30"/>
          <w:szCs w:val="30"/>
        </w:rPr>
        <w:t>2</w:t>
      </w:r>
      <w:r w:rsidRPr="0069394E">
        <w:rPr>
          <w:rFonts w:hAnsi="標楷體"/>
          <w:spacing w:val="6"/>
          <w:sz w:val="30"/>
          <w:szCs w:val="30"/>
        </w:rPr>
        <w:t>段「本公報所稱之收入係指企業在一定期間內因銷售商品</w:t>
      </w:r>
      <w:r w:rsidRPr="0069394E">
        <w:rPr>
          <w:rFonts w:hint="eastAsia"/>
          <w:spacing w:val="6"/>
          <w:sz w:val="30"/>
          <w:szCs w:val="30"/>
        </w:rPr>
        <w:t>……</w:t>
      </w:r>
      <w:r w:rsidRPr="0069394E">
        <w:rPr>
          <w:rFonts w:hAnsi="標楷體"/>
          <w:spacing w:val="6"/>
          <w:sz w:val="30"/>
          <w:szCs w:val="30"/>
        </w:rPr>
        <w:t>而導致業</w:t>
      </w:r>
      <w:r w:rsidRPr="007B5D03">
        <w:rPr>
          <w:rFonts w:hAnsi="標楷體"/>
          <w:sz w:val="30"/>
          <w:szCs w:val="30"/>
        </w:rPr>
        <w:t>主權益增加之經濟效益流入總額，業主投資雖亦能增加業主權益，但非屬收入。」之規定，系爭自留額度銷售之對象為上訴人本身，並未發生自外部取得而導致業主權益增加之經濟效益流入總額，難謂有收入之增加；原審認為自留額度應</w:t>
      </w:r>
      <w:r w:rsidRPr="0069394E">
        <w:rPr>
          <w:rFonts w:hAnsi="標楷體"/>
          <w:spacing w:val="6"/>
          <w:sz w:val="30"/>
          <w:szCs w:val="30"/>
        </w:rPr>
        <w:t>計入權利金收入課稅，係對於所得稅法第</w:t>
      </w:r>
      <w:r w:rsidRPr="0069394E">
        <w:rPr>
          <w:spacing w:val="6"/>
          <w:sz w:val="30"/>
          <w:szCs w:val="30"/>
        </w:rPr>
        <w:t>24</w:t>
      </w:r>
      <w:r w:rsidRPr="0069394E">
        <w:rPr>
          <w:rFonts w:hAnsi="標楷體"/>
          <w:spacing w:val="6"/>
          <w:sz w:val="30"/>
          <w:szCs w:val="30"/>
        </w:rPr>
        <w:t>條第</w:t>
      </w:r>
      <w:r w:rsidRPr="0069394E">
        <w:rPr>
          <w:spacing w:val="6"/>
          <w:sz w:val="30"/>
          <w:szCs w:val="30"/>
        </w:rPr>
        <w:t>1</w:t>
      </w:r>
      <w:r w:rsidRPr="0069394E">
        <w:rPr>
          <w:rFonts w:hAnsi="標楷體"/>
          <w:spacing w:val="6"/>
          <w:sz w:val="30"/>
          <w:szCs w:val="30"/>
        </w:rPr>
        <w:t>項所稱</w:t>
      </w:r>
      <w:r w:rsidRPr="007B5D03">
        <w:rPr>
          <w:rFonts w:hAnsi="標楷體"/>
          <w:sz w:val="30"/>
          <w:szCs w:val="30"/>
        </w:rPr>
        <w:t>「收入」有所誤解而有判決適用法規不當之違法云云，自難認有理由。</w:t>
      </w:r>
      <w:r w:rsidRPr="007B5D03">
        <w:rPr>
          <w:rFonts w:hint="eastAsia"/>
          <w:sz w:val="30"/>
          <w:szCs w:val="30"/>
        </w:rPr>
        <w:t>（</w:t>
      </w:r>
      <w:r w:rsidRPr="007B5D03">
        <w:rPr>
          <w:rFonts w:hAnsi="標楷體"/>
          <w:sz w:val="30"/>
          <w:szCs w:val="30"/>
        </w:rPr>
        <w:t>二</w:t>
      </w:r>
      <w:r w:rsidRPr="007B5D03">
        <w:rPr>
          <w:rFonts w:hint="eastAsia"/>
          <w:sz w:val="30"/>
          <w:szCs w:val="30"/>
        </w:rPr>
        <w:t>）</w:t>
      </w:r>
      <w:r w:rsidRPr="007B5D03">
        <w:rPr>
          <w:rFonts w:hAnsi="標楷體"/>
          <w:sz w:val="30"/>
          <w:szCs w:val="30"/>
        </w:rPr>
        <w:t>證券交易免稅所得</w:t>
      </w:r>
      <w:r w:rsidRPr="007B5D03">
        <w:rPr>
          <w:rFonts w:hint="eastAsia"/>
          <w:sz w:val="30"/>
          <w:szCs w:val="30"/>
        </w:rPr>
        <w:t>（</w:t>
      </w:r>
      <w:r w:rsidRPr="007B5D03">
        <w:rPr>
          <w:rFonts w:hAnsi="標楷體"/>
          <w:sz w:val="30"/>
          <w:szCs w:val="30"/>
        </w:rPr>
        <w:t>分攤交際費、職工福利</w:t>
      </w:r>
      <w:r w:rsidRPr="007B5D03">
        <w:rPr>
          <w:rFonts w:hAnsi="標楷體" w:hint="eastAsia"/>
          <w:sz w:val="30"/>
          <w:szCs w:val="30"/>
        </w:rPr>
        <w:t>金</w:t>
      </w:r>
      <w:r w:rsidRPr="007B5D03">
        <w:rPr>
          <w:rFonts w:hint="eastAsia"/>
          <w:sz w:val="30"/>
          <w:szCs w:val="30"/>
        </w:rPr>
        <w:t>）</w:t>
      </w:r>
      <w:r w:rsidRPr="007B5D03">
        <w:rPr>
          <w:rFonts w:hAnsi="標楷體"/>
          <w:sz w:val="30"/>
          <w:szCs w:val="30"/>
        </w:rPr>
        <w:t>部分：按交際費與職工福利金之提撥，有其限額，原判決業已敘明，依所得稅法第</w:t>
      </w:r>
      <w:r w:rsidRPr="007B5D03">
        <w:rPr>
          <w:sz w:val="30"/>
          <w:szCs w:val="30"/>
        </w:rPr>
        <w:t>24</w:t>
      </w:r>
      <w:r w:rsidRPr="007B5D03">
        <w:rPr>
          <w:rFonts w:hAnsi="標楷體"/>
          <w:sz w:val="30"/>
          <w:szCs w:val="30"/>
        </w:rPr>
        <w:t>條之收入與成本費用配合原則，應稅部分可列報之費用，應以依應稅部分計算之最高額度為限，經核並無不合。是被上訴人分別計算應稅部分可列報之交際費及職工福利金，難謂違反所得稅法第</w:t>
      </w:r>
      <w:r w:rsidRPr="007B5D03">
        <w:rPr>
          <w:sz w:val="30"/>
          <w:szCs w:val="30"/>
        </w:rPr>
        <w:t>37</w:t>
      </w:r>
      <w:r w:rsidRPr="007B5D03">
        <w:rPr>
          <w:rFonts w:hAnsi="標楷體"/>
          <w:sz w:val="30"/>
          <w:szCs w:val="30"/>
        </w:rPr>
        <w:t>條第</w:t>
      </w:r>
      <w:r w:rsidRPr="007B5D03">
        <w:rPr>
          <w:sz w:val="30"/>
          <w:szCs w:val="30"/>
        </w:rPr>
        <w:t>1</w:t>
      </w:r>
      <w:r w:rsidRPr="0069394E">
        <w:rPr>
          <w:rFonts w:hAnsi="標楷體"/>
          <w:spacing w:val="-6"/>
          <w:sz w:val="30"/>
          <w:szCs w:val="30"/>
        </w:rPr>
        <w:t>項立法目的、例外從嚴法理、租稅法律主義、量能課稅原則、</w:t>
      </w:r>
      <w:r w:rsidRPr="007B5D03">
        <w:rPr>
          <w:rFonts w:hAnsi="標楷體"/>
          <w:sz w:val="30"/>
          <w:szCs w:val="30"/>
        </w:rPr>
        <w:t>平等原則或司法院釋字第</w:t>
      </w:r>
      <w:r w:rsidRPr="007B5D03">
        <w:rPr>
          <w:sz w:val="30"/>
          <w:szCs w:val="30"/>
        </w:rPr>
        <w:t>566</w:t>
      </w:r>
      <w:r w:rsidRPr="007B5D03">
        <w:rPr>
          <w:rFonts w:hAnsi="標楷體"/>
          <w:sz w:val="30"/>
          <w:szCs w:val="30"/>
        </w:rPr>
        <w:t>號、第</w:t>
      </w:r>
      <w:r w:rsidRPr="007B5D03">
        <w:rPr>
          <w:sz w:val="30"/>
          <w:szCs w:val="30"/>
        </w:rPr>
        <w:t>493</w:t>
      </w:r>
      <w:r w:rsidRPr="007B5D03">
        <w:rPr>
          <w:rFonts w:hAnsi="標楷體"/>
          <w:sz w:val="30"/>
          <w:szCs w:val="30"/>
        </w:rPr>
        <w:t>號解釋意旨。又查核準則第</w:t>
      </w:r>
      <w:r w:rsidRPr="007B5D03">
        <w:rPr>
          <w:sz w:val="30"/>
          <w:szCs w:val="30"/>
        </w:rPr>
        <w:t>80</w:t>
      </w:r>
      <w:r w:rsidRPr="007B5D03">
        <w:rPr>
          <w:rFonts w:hAnsi="標楷體"/>
          <w:sz w:val="30"/>
          <w:szCs w:val="30"/>
        </w:rPr>
        <w:t>條係對保險業交際費之規定，於本件並無適用</w:t>
      </w:r>
      <w:r w:rsidRPr="0018652F">
        <w:rPr>
          <w:rFonts w:hAnsi="標楷體"/>
          <w:spacing w:val="-6"/>
          <w:sz w:val="30"/>
          <w:szCs w:val="30"/>
        </w:rPr>
        <w:t>餘地。上訴人復執陳詞，指摘原判決未當，為無理由。</w:t>
      </w:r>
      <w:r w:rsidRPr="0018652F">
        <w:rPr>
          <w:rFonts w:hint="eastAsia"/>
          <w:spacing w:val="-6"/>
          <w:sz w:val="30"/>
          <w:szCs w:val="30"/>
        </w:rPr>
        <w:t>（</w:t>
      </w:r>
      <w:r w:rsidRPr="0018652F">
        <w:rPr>
          <w:rFonts w:hAnsi="標楷體"/>
          <w:spacing w:val="-6"/>
          <w:sz w:val="30"/>
          <w:szCs w:val="30"/>
        </w:rPr>
        <w:t>三</w:t>
      </w:r>
      <w:r w:rsidRPr="0018652F">
        <w:rPr>
          <w:rFonts w:hint="eastAsia"/>
          <w:spacing w:val="-6"/>
          <w:sz w:val="30"/>
          <w:szCs w:val="30"/>
        </w:rPr>
        <w:t>）</w:t>
      </w:r>
      <w:r w:rsidRPr="007B5D03">
        <w:rPr>
          <w:rFonts w:hAnsi="標楷體"/>
          <w:sz w:val="30"/>
          <w:szCs w:val="30"/>
        </w:rPr>
        <w:t>綜上，上訴論旨，仍</w:t>
      </w:r>
      <w:r w:rsidRPr="007B5D03">
        <w:rPr>
          <w:rFonts w:hAnsi="標楷體"/>
          <w:sz w:val="30"/>
          <w:szCs w:val="30"/>
        </w:rPr>
        <w:lastRenderedPageBreak/>
        <w:t>執前詞，指摘原判決違背法令，求予廢棄，為無理由，應予駁回。至上訴人主張對於「避險交易損失不予認列」不服，被上訴人未將因發行認購權證所生為避險而買賣標的股票之證券交易損失</w:t>
      </w:r>
      <w:r w:rsidRPr="007B5D03">
        <w:rPr>
          <w:sz w:val="30"/>
          <w:szCs w:val="30"/>
        </w:rPr>
        <w:t>274,733,338</w:t>
      </w:r>
      <w:r w:rsidRPr="007B5D03">
        <w:rPr>
          <w:rFonts w:hAnsi="標楷體"/>
          <w:sz w:val="30"/>
          <w:szCs w:val="30"/>
        </w:rPr>
        <w:t>元及認購權證再買回出售損失</w:t>
      </w:r>
      <w:r w:rsidRPr="007B5D03">
        <w:rPr>
          <w:sz w:val="30"/>
          <w:szCs w:val="30"/>
        </w:rPr>
        <w:t>677,966,397</w:t>
      </w:r>
      <w:r w:rsidRPr="007B5D03">
        <w:rPr>
          <w:rFonts w:hAnsi="標楷體"/>
          <w:sz w:val="30"/>
          <w:szCs w:val="30"/>
        </w:rPr>
        <w:t>元列為權利金收入之成本，有違收入與費用配合原則等語。經查，原核定並未將上開避險交易損失予以調整，此有原處分卷第</w:t>
      </w:r>
      <w:r w:rsidRPr="007B5D03">
        <w:rPr>
          <w:sz w:val="30"/>
          <w:szCs w:val="30"/>
        </w:rPr>
        <w:t>373</w:t>
      </w:r>
      <w:r w:rsidRPr="007B5D03">
        <w:rPr>
          <w:rFonts w:hAnsi="標楷體"/>
          <w:sz w:val="30"/>
          <w:szCs w:val="30"/>
        </w:rPr>
        <w:t>頁所附「</w:t>
      </w:r>
      <w:r w:rsidRPr="007B5D03">
        <w:rPr>
          <w:sz w:val="30"/>
          <w:szCs w:val="30"/>
        </w:rPr>
        <w:t>91</w:t>
      </w:r>
      <w:r w:rsidRPr="007B5D03">
        <w:rPr>
          <w:rFonts w:hAnsi="標楷體"/>
          <w:sz w:val="30"/>
          <w:szCs w:val="30"/>
        </w:rPr>
        <w:t>年度營利事業所得稅申報核定通知書調整法令及依據說明書」可稽，該調整說明書經核亦與原核定即原處分卷第</w:t>
      </w:r>
      <w:r w:rsidRPr="007B5D03">
        <w:rPr>
          <w:sz w:val="30"/>
          <w:szCs w:val="30"/>
        </w:rPr>
        <w:t>379</w:t>
      </w:r>
      <w:r w:rsidRPr="007B5D03">
        <w:rPr>
          <w:rFonts w:hAnsi="標楷體"/>
          <w:sz w:val="30"/>
          <w:szCs w:val="30"/>
        </w:rPr>
        <w:t>頁卷附之「</w:t>
      </w:r>
      <w:r w:rsidRPr="007B5D03">
        <w:rPr>
          <w:sz w:val="30"/>
          <w:szCs w:val="30"/>
        </w:rPr>
        <w:t>91</w:t>
      </w:r>
      <w:r w:rsidRPr="007B5D03">
        <w:rPr>
          <w:rFonts w:hAnsi="標楷體"/>
          <w:sz w:val="30"/>
          <w:szCs w:val="30"/>
        </w:rPr>
        <w:t>年度營利事業所得稅申報核定通知書」無不相符；且依原處分卷第</w:t>
      </w:r>
      <w:r w:rsidRPr="007B5D03">
        <w:rPr>
          <w:sz w:val="30"/>
          <w:szCs w:val="30"/>
        </w:rPr>
        <w:t>58</w:t>
      </w:r>
      <w:r w:rsidRPr="007B5D03">
        <w:rPr>
          <w:rFonts w:hAnsi="標楷體"/>
          <w:sz w:val="30"/>
          <w:szCs w:val="30"/>
        </w:rPr>
        <w:t>頁所附稅務簽證會計師之查核報告書亦有</w:t>
      </w:r>
      <w:r w:rsidRPr="0018652F">
        <w:rPr>
          <w:rFonts w:hAnsi="標楷體"/>
          <w:spacing w:val="6"/>
          <w:sz w:val="30"/>
          <w:szCs w:val="30"/>
        </w:rPr>
        <w:t>記載「發行認購權證產生之損益、再買回認購權證處分損</w:t>
      </w:r>
      <w:r w:rsidRPr="007B5D03">
        <w:rPr>
          <w:rFonts w:hAnsi="標楷體"/>
          <w:sz w:val="30"/>
          <w:szCs w:val="30"/>
        </w:rPr>
        <w:t>益，暫依所得稅法第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規定，以視同證券交易所得停止課徵所得稅方式辦理，俟相關法令修正後，</w:t>
      </w:r>
      <w:r w:rsidRPr="007B5D03">
        <w:rPr>
          <w:rFonts w:hint="eastAsia"/>
          <w:sz w:val="30"/>
          <w:szCs w:val="30"/>
        </w:rPr>
        <w:t>……</w:t>
      </w:r>
      <w:r w:rsidRPr="007B5D03">
        <w:rPr>
          <w:rFonts w:hAnsi="標楷體"/>
          <w:sz w:val="30"/>
          <w:szCs w:val="30"/>
        </w:rPr>
        <w:t>，再自行補正之。」是依上開卷證資料所示，應可認此部分係如申報數核定，依稅捐訴訟我實務係採爭點主義以觀，自非得於稅捐稽徵法第</w:t>
      </w:r>
      <w:r w:rsidRPr="007B5D03">
        <w:rPr>
          <w:sz w:val="30"/>
          <w:szCs w:val="30"/>
        </w:rPr>
        <w:t>35</w:t>
      </w:r>
      <w:r w:rsidRPr="007B5D03">
        <w:rPr>
          <w:rFonts w:hAnsi="標楷體"/>
          <w:sz w:val="30"/>
          <w:szCs w:val="30"/>
        </w:rPr>
        <w:t>條所定復查程序加以主張變更或救濟。是復查決定、訴願決定及原審判決就此部分均以實體無理由加以駁回，理由雖異，惟</w:t>
      </w:r>
      <w:r w:rsidRPr="007B5D03">
        <w:rPr>
          <w:rFonts w:hAnsi="標楷體" w:hint="eastAsia"/>
          <w:sz w:val="30"/>
          <w:szCs w:val="30"/>
        </w:rPr>
        <w:t>查</w:t>
      </w:r>
      <w:r w:rsidRPr="007B5D03">
        <w:rPr>
          <w:rFonts w:hAnsi="標楷體"/>
          <w:sz w:val="30"/>
          <w:szCs w:val="30"/>
        </w:rPr>
        <w:t>其結果並無不同，此部分上訴仍為無理由，附此敘明。</w:t>
      </w:r>
    </w:p>
    <w:p w:rsidR="00514426" w:rsidRPr="007B5D03" w:rsidRDefault="00514426" w:rsidP="00FB2D5A">
      <w:pPr>
        <w:snapToGrid w:val="0"/>
        <w:spacing w:line="437" w:lineRule="exact"/>
        <w:ind w:left="680" w:hanging="680"/>
        <w:rPr>
          <w:sz w:val="30"/>
          <w:szCs w:val="30"/>
        </w:rPr>
      </w:pPr>
      <w:r w:rsidRPr="007B5D03">
        <w:rPr>
          <w:rFonts w:hAnsi="標楷體"/>
          <w:sz w:val="30"/>
          <w:szCs w:val="30"/>
        </w:rPr>
        <w:t>六、據上論結，本件上訴為無理由。依行政訴訟法第</w:t>
      </w:r>
      <w:r w:rsidRPr="007B5D03">
        <w:rPr>
          <w:sz w:val="30"/>
          <w:szCs w:val="30"/>
        </w:rPr>
        <w:t>255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98</w:t>
      </w:r>
      <w:r w:rsidRPr="007B5D03">
        <w:rPr>
          <w:rFonts w:hAnsi="標楷體"/>
          <w:sz w:val="30"/>
          <w:szCs w:val="30"/>
        </w:rPr>
        <w:t>條第</w:t>
      </w:r>
      <w:r w:rsidRPr="007B5D03">
        <w:rPr>
          <w:sz w:val="30"/>
          <w:szCs w:val="30"/>
        </w:rPr>
        <w:t>1</w:t>
      </w:r>
      <w:r w:rsidRPr="007B5D03">
        <w:rPr>
          <w:rFonts w:hAnsi="標楷體"/>
          <w:sz w:val="30"/>
          <w:szCs w:val="30"/>
        </w:rPr>
        <w:t>項前段，判決如主文。</w:t>
      </w:r>
    </w:p>
    <w:p w:rsidR="00514426" w:rsidRPr="007B5D03" w:rsidRDefault="00514426" w:rsidP="00FB2D5A">
      <w:pPr>
        <w:spacing w:line="437" w:lineRule="exact"/>
        <w:jc w:val="distribute"/>
        <w:rPr>
          <w:sz w:val="30"/>
          <w:szCs w:val="30"/>
        </w:rPr>
      </w:pPr>
      <w:smartTag w:uri="urn:schemas-microsoft-com:office:smarttags" w:element="chsdate">
        <w:smartTagPr>
          <w:attr w:name="IsROCDate" w:val="True"/>
          <w:attr w:name="IsLunarDate" w:val="False"/>
          <w:attr w:name="Day" w:val="11"/>
          <w:attr w:name="Month" w:val="9"/>
          <w:attr w:name="Year" w:val="2008"/>
        </w:smartTagPr>
        <w:r w:rsidRPr="007B5D03">
          <w:rPr>
            <w:rFonts w:hAnsi="標楷體"/>
            <w:sz w:val="30"/>
            <w:szCs w:val="30"/>
          </w:rPr>
          <w:t>中華民國</w:t>
        </w:r>
        <w:r w:rsidRPr="007B5D03">
          <w:rPr>
            <w:sz w:val="30"/>
            <w:szCs w:val="30"/>
          </w:rPr>
          <w:t>97</w:t>
        </w:r>
        <w:r w:rsidRPr="007B5D03">
          <w:rPr>
            <w:rFonts w:hAnsi="標楷體"/>
            <w:sz w:val="30"/>
            <w:szCs w:val="30"/>
          </w:rPr>
          <w:t>年</w:t>
        </w:r>
        <w:r w:rsidRPr="007B5D03">
          <w:rPr>
            <w:sz w:val="30"/>
            <w:szCs w:val="30"/>
          </w:rPr>
          <w:t>9</w:t>
        </w:r>
        <w:r w:rsidRPr="007B5D03">
          <w:rPr>
            <w:rFonts w:hAnsi="標楷體"/>
            <w:sz w:val="30"/>
            <w:szCs w:val="30"/>
          </w:rPr>
          <w:t>月</w:t>
        </w:r>
        <w:r w:rsidRPr="007B5D03">
          <w:rPr>
            <w:sz w:val="30"/>
            <w:szCs w:val="30"/>
          </w:rPr>
          <w:t>11</w:t>
        </w:r>
        <w:r w:rsidRPr="007B5D03">
          <w:rPr>
            <w:rFonts w:hAnsi="標楷體"/>
            <w:sz w:val="30"/>
            <w:szCs w:val="30"/>
          </w:rPr>
          <w:t>日</w:t>
        </w:r>
      </w:smartTag>
    </w:p>
    <w:p w:rsidR="00514426" w:rsidRPr="007B5D03" w:rsidRDefault="00514426" w:rsidP="00FB2D5A">
      <w:pPr>
        <w:spacing w:line="437" w:lineRule="exact"/>
        <w:rPr>
          <w:sz w:val="30"/>
          <w:szCs w:val="30"/>
        </w:rPr>
      </w:pPr>
      <w:r w:rsidRPr="007B5D03">
        <w:rPr>
          <w:rFonts w:hint="eastAsia"/>
          <w:sz w:val="30"/>
          <w:szCs w:val="30"/>
        </w:rPr>
        <w:t>（本件聲請書其餘附件略）</w:t>
      </w:r>
    </w:p>
    <w:p w:rsidR="00514426" w:rsidRPr="007B5D03" w:rsidRDefault="00514426" w:rsidP="00FB2D5A">
      <w:pPr>
        <w:spacing w:line="437" w:lineRule="exact"/>
        <w:jc w:val="distribute"/>
        <w:rPr>
          <w:sz w:val="30"/>
          <w:szCs w:val="30"/>
        </w:rPr>
      </w:pPr>
    </w:p>
    <w:p w:rsidR="00514426" w:rsidRPr="007B5D03" w:rsidRDefault="00514426" w:rsidP="00FB2D5A">
      <w:pPr>
        <w:spacing w:line="437" w:lineRule="exact"/>
        <w:rPr>
          <w:sz w:val="30"/>
          <w:szCs w:val="30"/>
        </w:rPr>
      </w:pPr>
      <w:r w:rsidRPr="007B5D03">
        <w:rPr>
          <w:rFonts w:hAnsi="標楷體"/>
          <w:sz w:val="30"/>
          <w:szCs w:val="30"/>
        </w:rPr>
        <w:t>抄金鼎綜合證券股份有限公司</w:t>
      </w:r>
      <w:r w:rsidRPr="007B5D03">
        <w:rPr>
          <w:rFonts w:hAnsi="標楷體" w:hint="eastAsia"/>
          <w:sz w:val="30"/>
          <w:szCs w:val="30"/>
        </w:rPr>
        <w:t>代表人張元銘</w:t>
      </w:r>
      <w:r w:rsidRPr="007B5D03">
        <w:rPr>
          <w:rFonts w:hAnsi="標楷體"/>
          <w:sz w:val="30"/>
          <w:szCs w:val="30"/>
        </w:rPr>
        <w:t>釋憲聲請書</w:t>
      </w:r>
    </w:p>
    <w:p w:rsidR="00514426" w:rsidRPr="007B5D03" w:rsidRDefault="00514426" w:rsidP="00FB2D5A">
      <w:pPr>
        <w:spacing w:line="437" w:lineRule="exact"/>
        <w:ind w:firstLineChars="100" w:firstLine="300"/>
        <w:rPr>
          <w:sz w:val="30"/>
          <w:szCs w:val="30"/>
        </w:rPr>
      </w:pPr>
      <w:r w:rsidRPr="007B5D03">
        <w:rPr>
          <w:rFonts w:hAnsi="標楷體"/>
          <w:sz w:val="30"/>
          <w:szCs w:val="30"/>
        </w:rPr>
        <w:t>為最高行政法院</w:t>
      </w:r>
      <w:r w:rsidRPr="007B5D03">
        <w:rPr>
          <w:sz w:val="30"/>
          <w:szCs w:val="30"/>
        </w:rPr>
        <w:t>98</w:t>
      </w:r>
      <w:r w:rsidRPr="007B5D03">
        <w:rPr>
          <w:rFonts w:hAnsi="標楷體"/>
          <w:sz w:val="30"/>
          <w:szCs w:val="30"/>
        </w:rPr>
        <w:t>年度判字第</w:t>
      </w:r>
      <w:r w:rsidRPr="007B5D03">
        <w:rPr>
          <w:sz w:val="30"/>
          <w:szCs w:val="30"/>
        </w:rPr>
        <w:t>563</w:t>
      </w:r>
      <w:r w:rsidRPr="007B5D03">
        <w:rPr>
          <w:rFonts w:hAnsi="標楷體"/>
          <w:sz w:val="30"/>
          <w:szCs w:val="30"/>
        </w:rPr>
        <w:t>號判決所適用之所得稅法第</w:t>
      </w:r>
      <w:r w:rsidRPr="007B5D03">
        <w:rPr>
          <w:sz w:val="30"/>
          <w:szCs w:val="30"/>
        </w:rPr>
        <w:lastRenderedPageBreak/>
        <w:t>4</w:t>
      </w:r>
      <w:r w:rsidRPr="007B5D03">
        <w:rPr>
          <w:rFonts w:hAnsi="標楷體"/>
          <w:sz w:val="30"/>
          <w:szCs w:val="30"/>
        </w:rPr>
        <w:t>條之</w:t>
      </w:r>
      <w:r w:rsidRPr="007B5D03">
        <w:rPr>
          <w:sz w:val="30"/>
          <w:szCs w:val="30"/>
        </w:rPr>
        <w:t>1</w:t>
      </w:r>
      <w:r w:rsidRPr="007B5D03">
        <w:rPr>
          <w:rFonts w:hAnsi="標楷體"/>
          <w:sz w:val="30"/>
          <w:szCs w:val="30"/>
        </w:rPr>
        <w:t>、財政部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台財稅第</w:t>
      </w:r>
      <w:r w:rsidRPr="007B5D03">
        <w:rPr>
          <w:sz w:val="30"/>
          <w:szCs w:val="30"/>
        </w:rPr>
        <w:t>861909311</w:t>
      </w:r>
      <w:r w:rsidRPr="007B5D03">
        <w:rPr>
          <w:rFonts w:hAnsi="標楷體"/>
          <w:sz w:val="30"/>
          <w:szCs w:val="30"/>
        </w:rPr>
        <w:t>號函及同年</w:t>
      </w:r>
      <w:smartTag w:uri="urn:schemas-microsoft-com:office:smarttags" w:element="chsdate">
        <w:smartTagPr>
          <w:attr w:name="IsROCDate" w:val="False"/>
          <w:attr w:name="IsLunarDate" w:val="False"/>
          <w:attr w:name="Day" w:val="11"/>
          <w:attr w:name="Month" w:val="12"/>
          <w:attr w:name="Year" w:val="2012"/>
        </w:smartTagPr>
        <w:r w:rsidRPr="007B5D03">
          <w:rPr>
            <w:sz w:val="30"/>
            <w:szCs w:val="30"/>
          </w:rPr>
          <w:t>12</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號函，有牴觸憲法第</w:t>
      </w:r>
      <w:r w:rsidRPr="007B5D03">
        <w:rPr>
          <w:sz w:val="30"/>
          <w:szCs w:val="30"/>
        </w:rPr>
        <w:t>7</w:t>
      </w:r>
      <w:r w:rsidRPr="007B5D03">
        <w:rPr>
          <w:rFonts w:hAnsi="標楷體"/>
          <w:sz w:val="30"/>
          <w:szCs w:val="30"/>
        </w:rPr>
        <w:t>條、第</w:t>
      </w:r>
      <w:r w:rsidRPr="007B5D03">
        <w:rPr>
          <w:sz w:val="30"/>
          <w:szCs w:val="30"/>
        </w:rPr>
        <w:t>15</w:t>
      </w:r>
      <w:r w:rsidRPr="007B5D03">
        <w:rPr>
          <w:rFonts w:hAnsi="標楷體"/>
          <w:sz w:val="30"/>
          <w:szCs w:val="30"/>
        </w:rPr>
        <w:t>條、第</w:t>
      </w:r>
      <w:r w:rsidRPr="007B5D03">
        <w:rPr>
          <w:sz w:val="30"/>
          <w:szCs w:val="30"/>
        </w:rPr>
        <w:t>19</w:t>
      </w:r>
      <w:r w:rsidRPr="007B5D03">
        <w:rPr>
          <w:rFonts w:hAnsi="標楷體"/>
          <w:sz w:val="30"/>
          <w:szCs w:val="30"/>
        </w:rPr>
        <w:t>條及第</w:t>
      </w:r>
      <w:r w:rsidRPr="007B5D03">
        <w:rPr>
          <w:sz w:val="30"/>
          <w:szCs w:val="30"/>
        </w:rPr>
        <w:t>23</w:t>
      </w:r>
      <w:r w:rsidRPr="007B5D03">
        <w:rPr>
          <w:rFonts w:hAnsi="標楷體"/>
          <w:sz w:val="30"/>
          <w:szCs w:val="30"/>
        </w:rPr>
        <w:t>條之疑義，向　鈞院聲請解釋憲法。</w:t>
      </w:r>
    </w:p>
    <w:p w:rsidR="00514426" w:rsidRPr="007B5D03" w:rsidRDefault="00514426" w:rsidP="00FB2D5A">
      <w:pPr>
        <w:spacing w:line="437" w:lineRule="exact"/>
        <w:ind w:left="641" w:hanging="641"/>
        <w:rPr>
          <w:sz w:val="30"/>
          <w:szCs w:val="30"/>
        </w:rPr>
      </w:pPr>
      <w:r w:rsidRPr="007B5D03">
        <w:rPr>
          <w:rFonts w:hAnsi="標楷體"/>
          <w:sz w:val="30"/>
          <w:szCs w:val="30"/>
        </w:rPr>
        <w:t>壹、聲請解釋憲法之目的</w:t>
      </w:r>
    </w:p>
    <w:p w:rsidR="00514426" w:rsidRPr="007B5D03" w:rsidRDefault="00514426" w:rsidP="00010B61">
      <w:pPr>
        <w:snapToGrid w:val="0"/>
        <w:spacing w:line="437" w:lineRule="exact"/>
        <w:ind w:left="624" w:firstLine="318"/>
        <w:rPr>
          <w:sz w:val="30"/>
          <w:szCs w:val="30"/>
        </w:rPr>
      </w:pPr>
      <w:r w:rsidRPr="007B5D03">
        <w:rPr>
          <w:rFonts w:hAnsi="標楷體"/>
          <w:sz w:val="30"/>
          <w:szCs w:val="30"/>
        </w:rPr>
        <w:t>按人民、法人或政黨於其憲法上所保障之權利，遭受不法侵害，經依法定程序提起訴訟，對於確定終局裁判所適用之法律或命令發生有牴觸憲法之疑義者，得聲請解釋憲法，司法院大法官審理案件法第</w:t>
      </w:r>
      <w:r w:rsidRPr="007B5D03">
        <w:rPr>
          <w:sz w:val="30"/>
          <w:szCs w:val="30"/>
        </w:rPr>
        <w:t>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2</w:t>
      </w:r>
      <w:r w:rsidRPr="007B5D03">
        <w:rPr>
          <w:rFonts w:hAnsi="標楷體"/>
          <w:sz w:val="30"/>
          <w:szCs w:val="30"/>
        </w:rPr>
        <w:t>款定有明文。本案係因</w:t>
      </w:r>
      <w:r w:rsidRPr="007B5D03">
        <w:rPr>
          <w:sz w:val="30"/>
          <w:szCs w:val="30"/>
        </w:rPr>
        <w:t>98</w:t>
      </w:r>
      <w:r w:rsidRPr="007B5D03">
        <w:rPr>
          <w:rFonts w:hAnsi="標楷體"/>
          <w:sz w:val="30"/>
          <w:szCs w:val="30"/>
        </w:rPr>
        <w:t>年度判字第</w:t>
      </w:r>
      <w:r w:rsidRPr="007B5D03">
        <w:rPr>
          <w:sz w:val="30"/>
          <w:szCs w:val="30"/>
        </w:rPr>
        <w:t>563</w:t>
      </w:r>
      <w:r w:rsidRPr="007B5D03">
        <w:rPr>
          <w:rFonts w:hAnsi="標楷體"/>
          <w:sz w:val="30"/>
          <w:szCs w:val="30"/>
        </w:rPr>
        <w:t>號判決</w:t>
      </w:r>
      <w:r w:rsidRPr="007B5D03">
        <w:rPr>
          <w:rFonts w:hint="eastAsia"/>
          <w:sz w:val="30"/>
          <w:szCs w:val="30"/>
        </w:rPr>
        <w:t>（</w:t>
      </w:r>
      <w:r w:rsidRPr="007B5D03">
        <w:rPr>
          <w:rFonts w:hAnsi="標楷體"/>
          <w:sz w:val="30"/>
          <w:szCs w:val="30"/>
        </w:rPr>
        <w:t>附件</w:t>
      </w:r>
      <w:r w:rsidRPr="007B5D03">
        <w:rPr>
          <w:sz w:val="30"/>
          <w:szCs w:val="30"/>
        </w:rPr>
        <w:t>1</w:t>
      </w:r>
      <w:r w:rsidRPr="007B5D03">
        <w:rPr>
          <w:rFonts w:hint="eastAsia"/>
          <w:sz w:val="30"/>
          <w:szCs w:val="30"/>
        </w:rPr>
        <w:t>）</w:t>
      </w:r>
      <w:r w:rsidRPr="007B5D03">
        <w:rPr>
          <w:rFonts w:hAnsi="標楷體"/>
          <w:sz w:val="30"/>
          <w:szCs w:val="30"/>
        </w:rPr>
        <w:t>以所得稅法第</w:t>
      </w:r>
      <w:r w:rsidRPr="007B5D03">
        <w:rPr>
          <w:sz w:val="30"/>
          <w:szCs w:val="30"/>
        </w:rPr>
        <w:t>4</w:t>
      </w:r>
      <w:r w:rsidRPr="007B5D03">
        <w:rPr>
          <w:rFonts w:hAnsi="標楷體"/>
          <w:sz w:val="30"/>
          <w:szCs w:val="30"/>
        </w:rPr>
        <w:t>條</w:t>
      </w:r>
      <w:r w:rsidRPr="00010B61">
        <w:rPr>
          <w:rFonts w:hAnsi="標楷體"/>
          <w:spacing w:val="6"/>
          <w:sz w:val="30"/>
          <w:szCs w:val="30"/>
        </w:rPr>
        <w:t>之</w:t>
      </w:r>
      <w:r w:rsidRPr="00010B61">
        <w:rPr>
          <w:spacing w:val="6"/>
          <w:sz w:val="30"/>
          <w:szCs w:val="30"/>
        </w:rPr>
        <w:t>1</w:t>
      </w:r>
      <w:r w:rsidRPr="00010B61">
        <w:rPr>
          <w:rFonts w:hAnsi="標楷體"/>
          <w:spacing w:val="6"/>
          <w:sz w:val="30"/>
          <w:szCs w:val="30"/>
        </w:rPr>
        <w:t>、財政部</w:t>
      </w:r>
      <w:smartTag w:uri="urn:schemas-microsoft-com:office:smarttags" w:element="chsdate">
        <w:smartTagPr>
          <w:attr w:name="IsROCDate" w:val="False"/>
          <w:attr w:name="IsLunarDate" w:val="False"/>
          <w:attr w:name="Day" w:val="31"/>
          <w:attr w:name="Month" w:val="7"/>
          <w:attr w:name="Year" w:val="1986"/>
        </w:smartTagPr>
        <w:r w:rsidRPr="00010B61">
          <w:rPr>
            <w:spacing w:val="6"/>
            <w:sz w:val="30"/>
            <w:szCs w:val="30"/>
          </w:rPr>
          <w:t>86</w:t>
        </w:r>
        <w:r w:rsidRPr="00010B61">
          <w:rPr>
            <w:rFonts w:hAnsi="標楷體"/>
            <w:spacing w:val="6"/>
            <w:sz w:val="30"/>
            <w:szCs w:val="30"/>
          </w:rPr>
          <w:t>年</w:t>
        </w:r>
        <w:r w:rsidRPr="00010B61">
          <w:rPr>
            <w:spacing w:val="6"/>
            <w:sz w:val="30"/>
            <w:szCs w:val="30"/>
          </w:rPr>
          <w:t>7</w:t>
        </w:r>
        <w:r w:rsidRPr="00010B61">
          <w:rPr>
            <w:rFonts w:hAnsi="標楷體"/>
            <w:spacing w:val="6"/>
            <w:sz w:val="30"/>
            <w:szCs w:val="30"/>
          </w:rPr>
          <w:t>月</w:t>
        </w:r>
        <w:r w:rsidRPr="00010B61">
          <w:rPr>
            <w:spacing w:val="6"/>
            <w:sz w:val="30"/>
            <w:szCs w:val="30"/>
          </w:rPr>
          <w:t>31</w:t>
        </w:r>
        <w:r w:rsidRPr="00010B61">
          <w:rPr>
            <w:rFonts w:hAnsi="標楷體"/>
            <w:spacing w:val="6"/>
            <w:sz w:val="30"/>
            <w:szCs w:val="30"/>
          </w:rPr>
          <w:t>日</w:t>
        </w:r>
      </w:smartTag>
      <w:r w:rsidRPr="00010B61">
        <w:rPr>
          <w:rFonts w:hAnsi="標楷體"/>
          <w:spacing w:val="6"/>
          <w:sz w:val="30"/>
          <w:szCs w:val="30"/>
        </w:rPr>
        <w:t>台財稅第</w:t>
      </w:r>
      <w:r w:rsidRPr="00010B61">
        <w:rPr>
          <w:spacing w:val="6"/>
          <w:sz w:val="30"/>
          <w:szCs w:val="30"/>
        </w:rPr>
        <w:t>861909311</w:t>
      </w:r>
      <w:r w:rsidRPr="00010B61">
        <w:rPr>
          <w:rFonts w:hAnsi="標楷體"/>
          <w:spacing w:val="6"/>
          <w:sz w:val="30"/>
          <w:szCs w:val="30"/>
        </w:rPr>
        <w:t>號函</w:t>
      </w:r>
      <w:r w:rsidRPr="00010B61">
        <w:rPr>
          <w:rFonts w:hint="eastAsia"/>
          <w:spacing w:val="6"/>
          <w:sz w:val="30"/>
          <w:szCs w:val="30"/>
        </w:rPr>
        <w:t>（</w:t>
      </w:r>
      <w:r w:rsidRPr="00010B61">
        <w:rPr>
          <w:rFonts w:hAnsi="標楷體"/>
          <w:spacing w:val="6"/>
          <w:sz w:val="30"/>
          <w:szCs w:val="30"/>
        </w:rPr>
        <w:t>下</w:t>
      </w:r>
      <w:r w:rsidRPr="007B5D03">
        <w:rPr>
          <w:rFonts w:hAnsi="標楷體"/>
          <w:sz w:val="30"/>
          <w:szCs w:val="30"/>
        </w:rPr>
        <w:t>稱「財政部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w:t>
      </w:r>
      <w:r w:rsidRPr="007B5D03">
        <w:rPr>
          <w:rFonts w:hAnsi="標楷體" w:hint="eastAsia"/>
          <w:sz w:val="30"/>
          <w:szCs w:val="30"/>
        </w:rPr>
        <w:t>，</w:t>
      </w:r>
      <w:r w:rsidRPr="007B5D03">
        <w:rPr>
          <w:rFonts w:hAnsi="標楷體"/>
          <w:sz w:val="30"/>
          <w:szCs w:val="30"/>
        </w:rPr>
        <w:t>附件</w:t>
      </w:r>
      <w:r w:rsidRPr="007B5D03">
        <w:rPr>
          <w:sz w:val="30"/>
          <w:szCs w:val="30"/>
        </w:rPr>
        <w:t>2</w:t>
      </w:r>
      <w:r w:rsidRPr="007B5D03">
        <w:rPr>
          <w:rFonts w:hint="eastAsia"/>
          <w:sz w:val="30"/>
          <w:szCs w:val="30"/>
        </w:rPr>
        <w:t>）</w:t>
      </w:r>
      <w:r w:rsidRPr="007B5D03">
        <w:rPr>
          <w:rFonts w:hAnsi="標楷體"/>
          <w:sz w:val="30"/>
          <w:szCs w:val="30"/>
        </w:rPr>
        <w:t>及同年</w:t>
      </w:r>
      <w:smartTag w:uri="urn:schemas-microsoft-com:office:smarttags" w:element="chsdate">
        <w:smartTagPr>
          <w:attr w:name="IsROCDate" w:val="False"/>
          <w:attr w:name="IsLunarDate" w:val="False"/>
          <w:attr w:name="Day" w:val="11"/>
          <w:attr w:name="Month" w:val="12"/>
          <w:attr w:name="Year" w:val="2012"/>
        </w:smartTagPr>
        <w:r w:rsidRPr="007B5D03">
          <w:rPr>
            <w:sz w:val="30"/>
            <w:szCs w:val="30"/>
          </w:rPr>
          <w:t>12</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台財</w:t>
      </w:r>
      <w:r w:rsidRPr="00010B61">
        <w:rPr>
          <w:rFonts w:hAnsi="標楷體"/>
          <w:spacing w:val="-12"/>
          <w:sz w:val="30"/>
          <w:szCs w:val="30"/>
        </w:rPr>
        <w:t>稅第</w:t>
      </w:r>
      <w:r w:rsidRPr="00010B61">
        <w:rPr>
          <w:spacing w:val="-12"/>
          <w:sz w:val="30"/>
          <w:szCs w:val="30"/>
        </w:rPr>
        <w:t>861922464</w:t>
      </w:r>
      <w:r w:rsidRPr="00010B61">
        <w:rPr>
          <w:rFonts w:hAnsi="標楷體"/>
          <w:spacing w:val="-12"/>
          <w:sz w:val="30"/>
          <w:szCs w:val="30"/>
        </w:rPr>
        <w:t>號函</w:t>
      </w:r>
      <w:r w:rsidRPr="00010B61">
        <w:rPr>
          <w:rFonts w:hint="eastAsia"/>
          <w:spacing w:val="-12"/>
          <w:sz w:val="30"/>
          <w:szCs w:val="30"/>
        </w:rPr>
        <w:t>（</w:t>
      </w:r>
      <w:r w:rsidRPr="00010B61">
        <w:rPr>
          <w:rFonts w:hAnsi="標楷體"/>
          <w:spacing w:val="-12"/>
          <w:sz w:val="30"/>
          <w:szCs w:val="30"/>
        </w:rPr>
        <w:t>下稱「財政部</w:t>
      </w:r>
      <w:r w:rsidRPr="00010B61">
        <w:rPr>
          <w:spacing w:val="-12"/>
          <w:sz w:val="30"/>
          <w:szCs w:val="30"/>
        </w:rPr>
        <w:t>86</w:t>
      </w:r>
      <w:r w:rsidRPr="00010B61">
        <w:rPr>
          <w:rFonts w:hAnsi="標楷體"/>
          <w:spacing w:val="-12"/>
          <w:sz w:val="30"/>
          <w:szCs w:val="30"/>
        </w:rPr>
        <w:t>年</w:t>
      </w:r>
      <w:r w:rsidRPr="00010B61">
        <w:rPr>
          <w:spacing w:val="-12"/>
          <w:sz w:val="30"/>
          <w:szCs w:val="30"/>
        </w:rPr>
        <w:t>12</w:t>
      </w:r>
      <w:r w:rsidRPr="00010B61">
        <w:rPr>
          <w:rFonts w:hAnsi="標楷體"/>
          <w:spacing w:val="-12"/>
          <w:sz w:val="30"/>
          <w:szCs w:val="30"/>
        </w:rPr>
        <w:t>月函」，附件</w:t>
      </w:r>
      <w:r w:rsidRPr="00010B61">
        <w:rPr>
          <w:spacing w:val="-12"/>
          <w:sz w:val="30"/>
          <w:szCs w:val="30"/>
        </w:rPr>
        <w:t>3</w:t>
      </w:r>
      <w:r w:rsidRPr="00010B61">
        <w:rPr>
          <w:rFonts w:hint="eastAsia"/>
          <w:spacing w:val="-12"/>
          <w:sz w:val="30"/>
          <w:szCs w:val="30"/>
        </w:rPr>
        <w:t>）</w:t>
      </w:r>
      <w:r w:rsidRPr="00010B61">
        <w:rPr>
          <w:rFonts w:hAnsi="標楷體"/>
          <w:spacing w:val="-12"/>
          <w:sz w:val="30"/>
          <w:szCs w:val="30"/>
        </w:rPr>
        <w:t>，</w:t>
      </w:r>
      <w:r w:rsidRPr="007B5D03">
        <w:rPr>
          <w:rFonts w:hAnsi="標楷體"/>
          <w:sz w:val="30"/>
          <w:szCs w:val="30"/>
        </w:rPr>
        <w:t>認財政部臺北市國稅局</w:t>
      </w:r>
      <w:r w:rsidRPr="007B5D03">
        <w:rPr>
          <w:rFonts w:hint="eastAsia"/>
          <w:sz w:val="30"/>
          <w:szCs w:val="30"/>
        </w:rPr>
        <w:t>（</w:t>
      </w:r>
      <w:r w:rsidRPr="007B5D03">
        <w:rPr>
          <w:rFonts w:hAnsi="標楷體"/>
          <w:sz w:val="30"/>
          <w:szCs w:val="30"/>
        </w:rPr>
        <w:t>下稱「臺北市國稅局」</w:t>
      </w:r>
      <w:r w:rsidRPr="007B5D03">
        <w:rPr>
          <w:rFonts w:hint="eastAsia"/>
          <w:sz w:val="30"/>
          <w:szCs w:val="30"/>
        </w:rPr>
        <w:t>）</w:t>
      </w:r>
      <w:r w:rsidRPr="007B5D03">
        <w:rPr>
          <w:rFonts w:hAnsi="標楷體"/>
          <w:sz w:val="30"/>
          <w:szCs w:val="30"/>
        </w:rPr>
        <w:t>補徵聲請人民國（下同）</w:t>
      </w:r>
      <w:r w:rsidRPr="007B5D03">
        <w:rPr>
          <w:sz w:val="30"/>
          <w:szCs w:val="30"/>
        </w:rPr>
        <w:t>92</w:t>
      </w:r>
      <w:r w:rsidRPr="007B5D03">
        <w:rPr>
          <w:rFonts w:hAnsi="標楷體"/>
          <w:sz w:val="30"/>
          <w:szCs w:val="30"/>
        </w:rPr>
        <w:t>年度營利事業所得稅，於法有據，惟聲請人認所得稅法第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月函及</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月函係屬違憲，故臺北市國稅局之補稅處分即屬不法侵害聲請人受憲法保障之財產權，且聲請人已用盡訴訟程序，乃向　鈞院聲請解釋憲法，懇請　鈞院惠予宣告所得稅法第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及上揭財政部二則函釋牴觸憲法而無效。</w:t>
      </w:r>
    </w:p>
    <w:p w:rsidR="00514426" w:rsidRPr="007B5D03" w:rsidRDefault="00514426" w:rsidP="00FB2D5A">
      <w:pPr>
        <w:spacing w:line="437" w:lineRule="exact"/>
        <w:ind w:left="641" w:hanging="641"/>
        <w:rPr>
          <w:sz w:val="30"/>
          <w:szCs w:val="30"/>
        </w:rPr>
      </w:pPr>
      <w:r w:rsidRPr="007B5D03">
        <w:rPr>
          <w:rFonts w:hAnsi="標楷體"/>
          <w:sz w:val="30"/>
          <w:szCs w:val="30"/>
        </w:rPr>
        <w:t>貳、疑義之經過與性質及涉及之憲法條文</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一、疑義之經過</w:t>
      </w:r>
    </w:p>
    <w:p w:rsidR="00514426" w:rsidRPr="007B5D03" w:rsidRDefault="00514426" w:rsidP="00010B61">
      <w:pPr>
        <w:snapToGrid w:val="0"/>
        <w:spacing w:line="437" w:lineRule="exact"/>
        <w:ind w:left="1503" w:hanging="936"/>
        <w:rPr>
          <w:sz w:val="30"/>
          <w:szCs w:val="30"/>
        </w:rPr>
      </w:pPr>
      <w:r w:rsidRPr="007B5D03">
        <w:rPr>
          <w:rFonts w:hAnsi="標楷體"/>
          <w:sz w:val="30"/>
          <w:szCs w:val="30"/>
        </w:rPr>
        <w:t>（一）</w:t>
      </w:r>
      <w:r w:rsidRPr="00010B61">
        <w:rPr>
          <w:rFonts w:hAnsi="標楷體"/>
          <w:spacing w:val="-4"/>
          <w:sz w:val="30"/>
          <w:szCs w:val="30"/>
        </w:rPr>
        <w:t>緣聲請人於</w:t>
      </w:r>
      <w:r w:rsidRPr="00010B61">
        <w:rPr>
          <w:spacing w:val="-4"/>
          <w:sz w:val="30"/>
          <w:szCs w:val="30"/>
        </w:rPr>
        <w:t>92</w:t>
      </w:r>
      <w:r w:rsidRPr="00010B61">
        <w:rPr>
          <w:rFonts w:hAnsi="標楷體"/>
          <w:spacing w:val="-4"/>
          <w:sz w:val="30"/>
          <w:szCs w:val="30"/>
        </w:rPr>
        <w:t>年度營利事業所得稅（下稱「營所稅」）</w:t>
      </w:r>
      <w:r w:rsidRPr="007B5D03">
        <w:rPr>
          <w:rFonts w:hAnsi="標楷體"/>
          <w:sz w:val="30"/>
          <w:szCs w:val="30"/>
        </w:rPr>
        <w:t>結算申報時，原申報營業收入淨額為新臺幣（下同）</w:t>
      </w:r>
      <w:r w:rsidRPr="00010B61">
        <w:rPr>
          <w:spacing w:val="6"/>
          <w:sz w:val="30"/>
          <w:szCs w:val="30"/>
        </w:rPr>
        <w:t>438,146,058,260</w:t>
      </w:r>
      <w:r w:rsidRPr="00010B61">
        <w:rPr>
          <w:rFonts w:hAnsi="標楷體"/>
          <w:spacing w:val="6"/>
          <w:sz w:val="30"/>
          <w:szCs w:val="30"/>
        </w:rPr>
        <w:t>元，全年所得額為</w:t>
      </w:r>
      <w:r w:rsidRPr="00010B61">
        <w:rPr>
          <w:spacing w:val="6"/>
          <w:sz w:val="30"/>
          <w:szCs w:val="30"/>
        </w:rPr>
        <w:t>564,866,508</w:t>
      </w:r>
      <w:r w:rsidRPr="00010B61">
        <w:rPr>
          <w:rFonts w:hAnsi="標楷體"/>
          <w:spacing w:val="6"/>
          <w:sz w:val="30"/>
          <w:szCs w:val="30"/>
        </w:rPr>
        <w:t>元，</w:t>
      </w:r>
      <w:r w:rsidRPr="007B5D03">
        <w:rPr>
          <w:rFonts w:hAnsi="標楷體"/>
          <w:sz w:val="30"/>
          <w:szCs w:val="30"/>
        </w:rPr>
        <w:t>課稅所得額為</w:t>
      </w:r>
      <w:r w:rsidRPr="007B5D03">
        <w:rPr>
          <w:sz w:val="30"/>
          <w:szCs w:val="30"/>
        </w:rPr>
        <w:t>86,002,385</w:t>
      </w:r>
      <w:r w:rsidRPr="007B5D03">
        <w:rPr>
          <w:rFonts w:hAnsi="標楷體"/>
          <w:sz w:val="30"/>
          <w:szCs w:val="30"/>
        </w:rPr>
        <w:t>元。遭臺北市國稅局就營業</w:t>
      </w:r>
      <w:r w:rsidRPr="00010B61">
        <w:rPr>
          <w:rFonts w:hAnsi="標楷體"/>
          <w:spacing w:val="-6"/>
          <w:sz w:val="30"/>
          <w:szCs w:val="30"/>
        </w:rPr>
        <w:t>收入（認購權證發行價款）、營業成本（調減債券前手</w:t>
      </w:r>
      <w:r w:rsidRPr="00010B61">
        <w:rPr>
          <w:rFonts w:hAnsi="標楷體"/>
          <w:spacing w:val="-4"/>
          <w:sz w:val="30"/>
          <w:szCs w:val="30"/>
        </w:rPr>
        <w:t>息</w:t>
      </w:r>
      <w:r w:rsidRPr="00010B61">
        <w:rPr>
          <w:rFonts w:hAnsi="標楷體"/>
          <w:spacing w:val="-4"/>
          <w:sz w:val="30"/>
          <w:szCs w:val="30"/>
        </w:rPr>
        <w:lastRenderedPageBreak/>
        <w:t>扣繳稅款）、呆帳損失、各項耗竭及攤提及本年度尚</w:t>
      </w:r>
      <w:r w:rsidRPr="007B5D03">
        <w:rPr>
          <w:rFonts w:hAnsi="標楷體"/>
          <w:sz w:val="30"/>
          <w:szCs w:val="30"/>
        </w:rPr>
        <w:t>未抵繳之扣繳稅額（前手息扣繳稅款）等項目調整並核定補稅。</w:t>
      </w:r>
    </w:p>
    <w:p w:rsidR="00514426" w:rsidRPr="007B5D03" w:rsidRDefault="00514426" w:rsidP="00010B61">
      <w:pPr>
        <w:snapToGrid w:val="0"/>
        <w:spacing w:line="437" w:lineRule="exact"/>
        <w:ind w:left="1503" w:hanging="936"/>
        <w:rPr>
          <w:sz w:val="30"/>
          <w:szCs w:val="30"/>
        </w:rPr>
      </w:pPr>
      <w:r w:rsidRPr="007B5D03">
        <w:rPr>
          <w:rFonts w:hAnsi="標楷體"/>
          <w:sz w:val="30"/>
          <w:szCs w:val="30"/>
        </w:rPr>
        <w:t>（二）聲請人以自留額度不應列入權利金收入，且避險交易為聲請人履行公法上義務所生之損失，屬權利金成本而得自權利金收入項下減除為理由，申請復查，遭復查駁回；聲請人仍不服，申經訴願仍遭駁回；提起訴訟後，亦經臺北高等行政法院以</w:t>
      </w:r>
      <w:r w:rsidRPr="007B5D03">
        <w:rPr>
          <w:sz w:val="30"/>
          <w:szCs w:val="30"/>
        </w:rPr>
        <w:t>97</w:t>
      </w:r>
      <w:r w:rsidRPr="007B5D03">
        <w:rPr>
          <w:rFonts w:hAnsi="標楷體"/>
          <w:sz w:val="30"/>
          <w:szCs w:val="30"/>
        </w:rPr>
        <w:t>年度訴字第</w:t>
      </w:r>
      <w:r w:rsidRPr="007B5D03">
        <w:rPr>
          <w:sz w:val="30"/>
          <w:szCs w:val="30"/>
        </w:rPr>
        <w:t>2129</w:t>
      </w:r>
      <w:r w:rsidRPr="007B5D03">
        <w:rPr>
          <w:rFonts w:hAnsi="標楷體"/>
          <w:sz w:val="30"/>
          <w:szCs w:val="30"/>
        </w:rPr>
        <w:t>號判決駁回聲請人所提訴訟。聲請人就前揭判決仍有不服，提起上訴，最高行政法院以</w:t>
      </w:r>
      <w:r w:rsidRPr="007B5D03">
        <w:rPr>
          <w:sz w:val="30"/>
          <w:szCs w:val="30"/>
        </w:rPr>
        <w:t>98</w:t>
      </w:r>
      <w:r w:rsidRPr="007B5D03">
        <w:rPr>
          <w:rFonts w:hAnsi="標楷體"/>
          <w:sz w:val="30"/>
          <w:szCs w:val="30"/>
        </w:rPr>
        <w:t>年度判字第</w:t>
      </w:r>
      <w:r w:rsidRPr="007B5D03">
        <w:rPr>
          <w:sz w:val="30"/>
          <w:szCs w:val="30"/>
        </w:rPr>
        <w:t>563</w:t>
      </w:r>
      <w:r w:rsidRPr="007B5D03">
        <w:rPr>
          <w:rFonts w:hAnsi="標楷體"/>
          <w:sz w:val="30"/>
          <w:szCs w:val="30"/>
        </w:rPr>
        <w:t>號判決駁回聲請人第一審之訴。本案因依法不得再上訴，而告確定。</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二、疑義之性質及所涉憲法條文</w:t>
      </w:r>
    </w:p>
    <w:p w:rsidR="00514426" w:rsidRPr="007B5D03" w:rsidRDefault="00514426" w:rsidP="00010B61">
      <w:pPr>
        <w:snapToGrid w:val="0"/>
        <w:spacing w:line="437" w:lineRule="exact"/>
        <w:ind w:left="1503" w:hanging="936"/>
        <w:rPr>
          <w:sz w:val="30"/>
          <w:szCs w:val="30"/>
        </w:rPr>
      </w:pPr>
      <w:r w:rsidRPr="007B5D03">
        <w:rPr>
          <w:rFonts w:hAnsi="標楷體"/>
          <w:sz w:val="30"/>
          <w:szCs w:val="30"/>
        </w:rPr>
        <w:t>（一）按「自</w:t>
      </w:r>
      <w:smartTag w:uri="urn:schemas-microsoft-com:office:smarttags" w:element="chsdate">
        <w:smartTagPr>
          <w:attr w:name="IsROCDate" w:val="True"/>
          <w:attr w:name="IsLunarDate" w:val="False"/>
          <w:attr w:name="Day" w:val="1"/>
          <w:attr w:name="Month" w:val="1"/>
          <w:attr w:name="Year" w:val="1990"/>
        </w:smartTagPr>
        <w:r w:rsidRPr="007B5D03">
          <w:rPr>
            <w:rFonts w:hAnsi="標楷體"/>
            <w:sz w:val="30"/>
            <w:szCs w:val="30"/>
          </w:rPr>
          <w:t>中華民國七十九年一月一日</w:t>
        </w:r>
      </w:smartTag>
      <w:r w:rsidRPr="007B5D03">
        <w:rPr>
          <w:rFonts w:hAnsi="標楷體"/>
          <w:sz w:val="30"/>
          <w:szCs w:val="30"/>
        </w:rPr>
        <w:t>起，證券交易所得稅停止課徵所得稅，證券交易損失亦不得自所得額中減除。」所得稅法第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定有明文。而財政部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月函釋示認購（售）權證為其他有價證券，財政部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月函復釋示，「認購（售）權證發行人於發行時所取得之發行價款，係屬權利金收入，依現行所得稅法第</w:t>
      </w:r>
      <w:r w:rsidRPr="007B5D03">
        <w:rPr>
          <w:sz w:val="30"/>
          <w:szCs w:val="30"/>
        </w:rPr>
        <w:t>22</w:t>
      </w:r>
      <w:r w:rsidRPr="007B5D03">
        <w:rPr>
          <w:rFonts w:hAnsi="標楷體"/>
          <w:sz w:val="30"/>
          <w:szCs w:val="30"/>
        </w:rPr>
        <w:t>條有關公司組織之會計基礎應採權責發生制之規定，應於發行期間內分期計算損益或於履約時認列損益。認購</w:t>
      </w:r>
      <w:r w:rsidRPr="007B5D03">
        <w:rPr>
          <w:sz w:val="30"/>
          <w:szCs w:val="30"/>
        </w:rPr>
        <w:t>（售）</w:t>
      </w:r>
      <w:r w:rsidRPr="007B5D03">
        <w:rPr>
          <w:rFonts w:hAnsi="標楷體"/>
          <w:sz w:val="30"/>
          <w:szCs w:val="30"/>
        </w:rPr>
        <w:t>權證發行人於發行後，因投資人行使權利而售出或購入標的股票產生之證券交易所得稅或損失，</w:t>
      </w:r>
      <w:r w:rsidRPr="007B5D03">
        <w:rPr>
          <w:rFonts w:hint="eastAsia"/>
          <w:sz w:val="30"/>
          <w:szCs w:val="30"/>
        </w:rPr>
        <w:t>……</w:t>
      </w:r>
      <w:r w:rsidRPr="007B5D03">
        <w:rPr>
          <w:rFonts w:hAnsi="標楷體"/>
          <w:sz w:val="30"/>
          <w:szCs w:val="30"/>
        </w:rPr>
        <w:t>並依所得稅法第四條之一規定辦理。」最高行政法院前揭判決即適用上開規定，認聲請人本於證管法令要求，於發行階段以自有資金認購自身發行權證</w:t>
      </w:r>
      <w:r w:rsidRPr="007B5D03">
        <w:rPr>
          <w:rFonts w:hAnsi="標楷體"/>
          <w:sz w:val="30"/>
          <w:szCs w:val="30"/>
        </w:rPr>
        <w:lastRenderedPageBreak/>
        <w:t>部分仍有權利金收入之產生；以及所從事之避險交易，交易標的既為認購權證及標的股票，形式上即屬證券交易，交易所生之損失即係證券交易損失，不得自應稅所得額中減除。</w:t>
      </w:r>
    </w:p>
    <w:p w:rsidR="00514426" w:rsidRPr="007B5D03" w:rsidRDefault="00514426" w:rsidP="00334B4E">
      <w:pPr>
        <w:snapToGrid w:val="0"/>
        <w:spacing w:line="437" w:lineRule="exact"/>
        <w:ind w:left="1503" w:hanging="936"/>
        <w:rPr>
          <w:sz w:val="30"/>
          <w:szCs w:val="30"/>
        </w:rPr>
      </w:pPr>
      <w:r w:rsidRPr="007B5D03">
        <w:rPr>
          <w:rFonts w:hAnsi="標楷體"/>
          <w:sz w:val="30"/>
          <w:szCs w:val="30"/>
        </w:rPr>
        <w:t>（二）惟按「人民之財產權應予保障。」「中華民國人民，無分男女，宗教，種族，階級，黨派，在法律上一律</w:t>
      </w:r>
      <w:r w:rsidRPr="00334B4E">
        <w:rPr>
          <w:rFonts w:hAnsi="標楷體"/>
          <w:spacing w:val="-6"/>
          <w:sz w:val="30"/>
          <w:szCs w:val="30"/>
        </w:rPr>
        <w:t>平等。」「人民有依法律納稅之義務。」「憲法所列舉之自由權利，除為防止妨礙他人自由，避免緊急危難，</w:t>
      </w:r>
      <w:r w:rsidRPr="007B5D03">
        <w:rPr>
          <w:rFonts w:hAnsi="標楷體"/>
          <w:sz w:val="30"/>
          <w:szCs w:val="30"/>
        </w:rPr>
        <w:t>維持社會秩序，或增進公共利</w:t>
      </w:r>
      <w:r w:rsidRPr="007B5D03">
        <w:rPr>
          <w:rFonts w:hAnsi="標楷體" w:hint="eastAsia"/>
          <w:sz w:val="30"/>
          <w:szCs w:val="30"/>
        </w:rPr>
        <w:t>益</w:t>
      </w:r>
      <w:r w:rsidRPr="007B5D03">
        <w:rPr>
          <w:rFonts w:hAnsi="標楷體"/>
          <w:sz w:val="30"/>
          <w:szCs w:val="30"/>
        </w:rPr>
        <w:t>所必要者，不得以法律限制之。」憲法第</w:t>
      </w:r>
      <w:r w:rsidRPr="007B5D03">
        <w:rPr>
          <w:sz w:val="30"/>
          <w:szCs w:val="30"/>
        </w:rPr>
        <w:t>15</w:t>
      </w:r>
      <w:r w:rsidRPr="007B5D03">
        <w:rPr>
          <w:rFonts w:hAnsi="標楷體"/>
          <w:sz w:val="30"/>
          <w:szCs w:val="30"/>
        </w:rPr>
        <w:t>條、第</w:t>
      </w:r>
      <w:r w:rsidRPr="007B5D03">
        <w:rPr>
          <w:sz w:val="30"/>
          <w:szCs w:val="30"/>
        </w:rPr>
        <w:t>7</w:t>
      </w:r>
      <w:r w:rsidRPr="007B5D03">
        <w:rPr>
          <w:rFonts w:hAnsi="標楷體"/>
          <w:sz w:val="30"/>
          <w:szCs w:val="30"/>
        </w:rPr>
        <w:t>條、第</w:t>
      </w:r>
      <w:r w:rsidRPr="007B5D03">
        <w:rPr>
          <w:sz w:val="30"/>
          <w:szCs w:val="30"/>
        </w:rPr>
        <w:t>19</w:t>
      </w:r>
      <w:r w:rsidRPr="007B5D03">
        <w:rPr>
          <w:rFonts w:hAnsi="標楷體"/>
          <w:sz w:val="30"/>
          <w:szCs w:val="30"/>
        </w:rPr>
        <w:t>條與第</w:t>
      </w:r>
      <w:r w:rsidRPr="007B5D03">
        <w:rPr>
          <w:sz w:val="30"/>
          <w:szCs w:val="30"/>
        </w:rPr>
        <w:t>23</w:t>
      </w:r>
      <w:r w:rsidRPr="007B5D03">
        <w:rPr>
          <w:rFonts w:hAnsi="標楷體"/>
          <w:sz w:val="30"/>
          <w:szCs w:val="30"/>
        </w:rPr>
        <w:t>條分別定有明文。</w:t>
      </w:r>
    </w:p>
    <w:p w:rsidR="00514426" w:rsidRPr="007B5D03" w:rsidRDefault="00514426" w:rsidP="00334B4E">
      <w:pPr>
        <w:snapToGrid w:val="0"/>
        <w:spacing w:line="437" w:lineRule="exact"/>
        <w:ind w:left="1503" w:hanging="936"/>
        <w:rPr>
          <w:sz w:val="30"/>
          <w:szCs w:val="30"/>
        </w:rPr>
      </w:pPr>
      <w:r w:rsidRPr="007B5D03">
        <w:rPr>
          <w:rFonts w:hAnsi="標楷體"/>
          <w:sz w:val="30"/>
          <w:szCs w:val="30"/>
        </w:rPr>
        <w:t>（三）聲請人本於證管法令全部銷售完畢方得上市之要求，所從事之自行認購自身發行權證部分，並未因此收受任何價款，</w:t>
      </w:r>
      <w:r w:rsidRPr="007B5D03">
        <w:rPr>
          <w:rFonts w:hAnsi="標楷體" w:hint="eastAsia"/>
          <w:sz w:val="30"/>
          <w:szCs w:val="30"/>
        </w:rPr>
        <w:t>竟</w:t>
      </w:r>
      <w:r w:rsidRPr="007B5D03">
        <w:rPr>
          <w:rFonts w:hAnsi="標楷體"/>
          <w:sz w:val="30"/>
          <w:szCs w:val="30"/>
        </w:rPr>
        <w:t>遭最高行政法院以財政部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w:t>
      </w:r>
      <w:r w:rsidRPr="00334B4E">
        <w:rPr>
          <w:rFonts w:hAnsi="標楷體"/>
          <w:spacing w:val="-6"/>
          <w:sz w:val="30"/>
          <w:szCs w:val="30"/>
        </w:rPr>
        <w:t>為依據，認定自行認購部分（下稱「自留額度部分」）</w:t>
      </w:r>
      <w:r w:rsidRPr="007B5D03">
        <w:rPr>
          <w:rFonts w:hAnsi="標楷體"/>
          <w:sz w:val="30"/>
          <w:szCs w:val="30"/>
        </w:rPr>
        <w:t>外觀仍為發行價款，故有權利金收入產生。且財政部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將所有發行價款，不分是否為證券商自行出資或對外募集所生，而一併認定有權利金收入之產生，使聲請人於自行出資部分負擔其所無產生所得之稅捐負擔，實有違憲法上平等原則所導引之量能課稅原則及實質課稅原則甚明，並不法侵害聲請人憲法上之財產權，有違憲法保障人權之旨。</w:t>
      </w:r>
    </w:p>
    <w:p w:rsidR="00514426" w:rsidRPr="007B5D03" w:rsidRDefault="00514426" w:rsidP="00334B4E">
      <w:pPr>
        <w:snapToGrid w:val="0"/>
        <w:spacing w:line="437" w:lineRule="exact"/>
        <w:ind w:left="1503" w:hanging="936"/>
        <w:rPr>
          <w:sz w:val="30"/>
          <w:szCs w:val="30"/>
        </w:rPr>
      </w:pPr>
      <w:r w:rsidRPr="007B5D03">
        <w:rPr>
          <w:rFonts w:hAnsi="標楷體"/>
          <w:sz w:val="30"/>
          <w:szCs w:val="30"/>
        </w:rPr>
        <w:t>（四）又聲請人本於證管法令之要求，所從事之避險交易，遭最高行政法院以所得稅法第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、財政部</w:t>
      </w:r>
      <w:r w:rsidRPr="007B5D03">
        <w:rPr>
          <w:sz w:val="30"/>
          <w:szCs w:val="30"/>
        </w:rPr>
        <w:t>86</w:t>
      </w:r>
      <w:r w:rsidRPr="007B5D03">
        <w:rPr>
          <w:rFonts w:hAnsi="標楷體"/>
          <w:sz w:val="30"/>
          <w:szCs w:val="30"/>
        </w:rPr>
        <w:t>年</w:t>
      </w:r>
      <w:r w:rsidRPr="00334B4E">
        <w:rPr>
          <w:spacing w:val="12"/>
          <w:sz w:val="30"/>
          <w:szCs w:val="30"/>
        </w:rPr>
        <w:t>7</w:t>
      </w:r>
      <w:r w:rsidRPr="00334B4E">
        <w:rPr>
          <w:rFonts w:hAnsi="標楷體"/>
          <w:spacing w:val="12"/>
          <w:sz w:val="30"/>
          <w:szCs w:val="30"/>
        </w:rPr>
        <w:t>月函及</w:t>
      </w:r>
      <w:r w:rsidRPr="00334B4E">
        <w:rPr>
          <w:spacing w:val="12"/>
          <w:sz w:val="30"/>
          <w:szCs w:val="30"/>
        </w:rPr>
        <w:t>86</w:t>
      </w:r>
      <w:r w:rsidRPr="00334B4E">
        <w:rPr>
          <w:rFonts w:hAnsi="標楷體"/>
          <w:spacing w:val="12"/>
          <w:sz w:val="30"/>
          <w:szCs w:val="30"/>
        </w:rPr>
        <w:t>年</w:t>
      </w:r>
      <w:r w:rsidRPr="00334B4E">
        <w:rPr>
          <w:spacing w:val="12"/>
          <w:sz w:val="30"/>
          <w:szCs w:val="30"/>
        </w:rPr>
        <w:t>12</w:t>
      </w:r>
      <w:r w:rsidRPr="00334B4E">
        <w:rPr>
          <w:rFonts w:hAnsi="標楷體"/>
          <w:spacing w:val="12"/>
          <w:sz w:val="30"/>
          <w:szCs w:val="30"/>
        </w:rPr>
        <w:t>月函逕依形式外觀認定為證券交</w:t>
      </w:r>
      <w:r w:rsidRPr="007B5D03">
        <w:rPr>
          <w:rFonts w:hAnsi="標楷體"/>
          <w:sz w:val="30"/>
          <w:szCs w:val="30"/>
        </w:rPr>
        <w:t>易，致避險損失不得自應稅所得額中減除，使聲請人負</w:t>
      </w:r>
      <w:r w:rsidRPr="007B5D03">
        <w:rPr>
          <w:rFonts w:hAnsi="標楷體"/>
          <w:sz w:val="30"/>
          <w:szCs w:val="30"/>
        </w:rPr>
        <w:lastRenderedPageBreak/>
        <w:t>擔遠超過租稅負擔能力之稅負，是前揭規定違反憲法上實質課稅之公平原則及比例原則至明，並不法侵</w:t>
      </w:r>
      <w:r w:rsidRPr="00334B4E">
        <w:rPr>
          <w:rFonts w:hAnsi="標楷體"/>
          <w:spacing w:val="-6"/>
          <w:sz w:val="30"/>
          <w:szCs w:val="30"/>
        </w:rPr>
        <w:t>害聲請人憲法上之財產權，亦有違憲法保障人權之旨。</w:t>
      </w:r>
    </w:p>
    <w:p w:rsidR="00514426" w:rsidRPr="007B5D03" w:rsidRDefault="00514426" w:rsidP="00334B4E">
      <w:pPr>
        <w:snapToGrid w:val="0"/>
        <w:spacing w:line="437" w:lineRule="exact"/>
        <w:ind w:left="1503" w:hanging="936"/>
        <w:rPr>
          <w:sz w:val="30"/>
          <w:szCs w:val="30"/>
        </w:rPr>
      </w:pPr>
      <w:r w:rsidRPr="007B5D03">
        <w:rPr>
          <w:rFonts w:hAnsi="標楷體"/>
          <w:sz w:val="30"/>
          <w:szCs w:val="30"/>
        </w:rPr>
        <w:t>（五）承上，是聲請人乃依司法院大法官審理案件法第</w:t>
      </w:r>
      <w:r w:rsidRPr="007B5D03">
        <w:rPr>
          <w:sz w:val="30"/>
          <w:szCs w:val="30"/>
        </w:rPr>
        <w:t>5</w:t>
      </w:r>
      <w:r w:rsidRPr="007B5D03">
        <w:rPr>
          <w:rFonts w:hAnsi="標楷體"/>
          <w:sz w:val="30"/>
          <w:szCs w:val="30"/>
        </w:rPr>
        <w:t>條</w:t>
      </w:r>
      <w:r w:rsidRPr="00334B4E">
        <w:rPr>
          <w:rFonts w:hAnsi="標楷體"/>
          <w:spacing w:val="-2"/>
          <w:sz w:val="30"/>
          <w:szCs w:val="30"/>
        </w:rPr>
        <w:t>第</w:t>
      </w:r>
      <w:r w:rsidRPr="00334B4E">
        <w:rPr>
          <w:spacing w:val="-2"/>
          <w:sz w:val="30"/>
          <w:szCs w:val="30"/>
        </w:rPr>
        <w:t>1</w:t>
      </w:r>
      <w:r w:rsidRPr="00334B4E">
        <w:rPr>
          <w:rFonts w:hAnsi="標楷體"/>
          <w:spacing w:val="-2"/>
          <w:sz w:val="30"/>
          <w:szCs w:val="30"/>
        </w:rPr>
        <w:t>項第</w:t>
      </w:r>
      <w:r w:rsidRPr="00334B4E">
        <w:rPr>
          <w:spacing w:val="-2"/>
          <w:sz w:val="30"/>
          <w:szCs w:val="30"/>
        </w:rPr>
        <w:t>2</w:t>
      </w:r>
      <w:r w:rsidRPr="00334B4E">
        <w:rPr>
          <w:rFonts w:hAnsi="標楷體"/>
          <w:spacing w:val="-2"/>
          <w:sz w:val="30"/>
          <w:szCs w:val="30"/>
        </w:rPr>
        <w:t>款：「按人民、法人或政黨於其憲法上所保</w:t>
      </w:r>
      <w:r w:rsidRPr="007B5D03">
        <w:rPr>
          <w:rFonts w:hAnsi="標楷體"/>
          <w:sz w:val="30"/>
          <w:szCs w:val="30"/>
        </w:rPr>
        <w:t>障之權利，遭受不法侵害，經依法定程序提起訴訟，對於確定終局裁判所適用之法律或命令發生有牴觸憲法之疑義者，得聲請解釋憲法」之規定，向　鈞院聲請解釋憲法。</w:t>
      </w:r>
    </w:p>
    <w:p w:rsidR="00514426" w:rsidRPr="007B5D03" w:rsidRDefault="00514426" w:rsidP="00FB2D5A">
      <w:pPr>
        <w:spacing w:line="437" w:lineRule="exact"/>
        <w:ind w:left="641" w:hanging="641"/>
        <w:rPr>
          <w:sz w:val="30"/>
          <w:szCs w:val="30"/>
        </w:rPr>
      </w:pPr>
      <w:r w:rsidRPr="007B5D03">
        <w:rPr>
          <w:rFonts w:hAnsi="標楷體"/>
          <w:sz w:val="30"/>
          <w:szCs w:val="30"/>
        </w:rPr>
        <w:t>叁、聲請解釋憲法之理由及聲請人對本案所持之立場與見解</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一、本件乃涉及認購（售）權證在所得稅法制上如何加以課稅之問題，茲先就認購（售）權證之性質與所得稅法之關</w:t>
      </w:r>
      <w:r w:rsidRPr="007B5D03">
        <w:rPr>
          <w:rFonts w:hAnsi="標楷體" w:hint="eastAsia"/>
          <w:sz w:val="30"/>
          <w:szCs w:val="30"/>
        </w:rPr>
        <w:t>聯</w:t>
      </w:r>
      <w:r w:rsidRPr="007B5D03">
        <w:rPr>
          <w:rFonts w:hAnsi="標楷體"/>
          <w:sz w:val="30"/>
          <w:szCs w:val="30"/>
        </w:rPr>
        <w:t>性加以說明，以作為以下聲請人對本案所持見解之論據：</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（一）</w:t>
      </w:r>
      <w:r w:rsidRPr="007B5D03">
        <w:rPr>
          <w:rFonts w:hAnsi="標楷體"/>
          <w:bCs/>
          <w:sz w:val="30"/>
          <w:szCs w:val="30"/>
        </w:rPr>
        <w:t>認購（售）權證之概念與性質</w:t>
      </w:r>
    </w:p>
    <w:p w:rsidR="00514426" w:rsidRPr="007B5D03" w:rsidRDefault="00514426" w:rsidP="00FB2D5A">
      <w:pPr>
        <w:snapToGrid w:val="0"/>
        <w:spacing w:line="437" w:lineRule="exact"/>
        <w:ind w:left="1304" w:firstLine="318"/>
        <w:rPr>
          <w:sz w:val="30"/>
          <w:szCs w:val="30"/>
        </w:rPr>
      </w:pPr>
      <w:r w:rsidRPr="007B5D03">
        <w:rPr>
          <w:rFonts w:hAnsi="標楷體"/>
          <w:sz w:val="30"/>
          <w:szCs w:val="30"/>
        </w:rPr>
        <w:t>所謂認購（售）權證，指「標的證券發行公司以外之第三者所發行表彰認購（售）權證持有人於履約期間內或特定到期日，有權按約定履約價格向發行人購入或售出標的證券，或以現金結算方式收取差價之有價證券」（發行人申請發行認購（售）權證處理準則第二條）。認購（售）權證業經財政部於該部</w:t>
      </w:r>
      <w:smartTag w:uri="urn:schemas-microsoft-com:office:smarttags" w:element="chsdate">
        <w:smartTagPr>
          <w:attr w:name="IsROCDate" w:val="False"/>
          <w:attr w:name="IsLunarDate" w:val="False"/>
          <w:attr w:name="Day" w:val="23"/>
          <w:attr w:name="Month" w:val="5"/>
          <w:attr w:name="Year" w:val="1986"/>
        </w:smartTagP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23</w:t>
        </w:r>
        <w:r w:rsidRPr="007B5D03">
          <w:rPr>
            <w:rFonts w:hAnsi="標楷體"/>
            <w:sz w:val="30"/>
            <w:szCs w:val="30"/>
          </w:rPr>
          <w:t>日</w:t>
        </w:r>
      </w:smartTag>
      <w:r w:rsidRPr="007B5D03">
        <w:rPr>
          <w:sz w:val="30"/>
          <w:szCs w:val="30"/>
        </w:rPr>
        <w:t>86</w:t>
      </w:r>
      <w:r w:rsidRPr="007B5D03">
        <w:rPr>
          <w:rFonts w:hAnsi="標楷體"/>
          <w:sz w:val="30"/>
          <w:szCs w:val="30"/>
        </w:rPr>
        <w:t>台財證（五）第</w:t>
      </w:r>
      <w:r w:rsidRPr="007B5D03">
        <w:rPr>
          <w:sz w:val="30"/>
          <w:szCs w:val="30"/>
        </w:rPr>
        <w:t>03037</w:t>
      </w:r>
      <w:r w:rsidRPr="007B5D03">
        <w:rPr>
          <w:rFonts w:hAnsi="標楷體"/>
          <w:sz w:val="30"/>
          <w:szCs w:val="30"/>
        </w:rPr>
        <w:t>號公告，核定其屬於證券交易稅條例第一條第二項所定之第三類有價證券：其他有價證券</w:t>
      </w:r>
      <w:r w:rsidRPr="007B5D03">
        <w:rPr>
          <w:rFonts w:hAnsi="標楷體"/>
          <w:sz w:val="20"/>
        </w:rPr>
        <w:t>（註一）</w:t>
      </w:r>
      <w:r w:rsidRPr="007B5D03">
        <w:rPr>
          <w:rFonts w:hAnsi="標楷體"/>
          <w:sz w:val="30"/>
          <w:szCs w:val="30"/>
        </w:rPr>
        <w:t>。</w:t>
      </w:r>
    </w:p>
    <w:p w:rsidR="00514426" w:rsidRPr="007B5D03" w:rsidRDefault="00514426" w:rsidP="00FB2D5A">
      <w:pPr>
        <w:snapToGrid w:val="0"/>
        <w:spacing w:line="437" w:lineRule="exact"/>
        <w:ind w:left="1616" w:hanging="936"/>
        <w:rPr>
          <w:bCs/>
          <w:sz w:val="30"/>
          <w:szCs w:val="30"/>
        </w:rPr>
      </w:pPr>
      <w:r w:rsidRPr="007B5D03">
        <w:rPr>
          <w:rFonts w:hAnsi="標楷體"/>
          <w:sz w:val="30"/>
          <w:szCs w:val="30"/>
        </w:rPr>
        <w:t>（二）</w:t>
      </w:r>
      <w:r w:rsidRPr="007B5D03">
        <w:rPr>
          <w:rFonts w:hAnsi="標楷體"/>
          <w:bCs/>
          <w:sz w:val="30"/>
          <w:szCs w:val="30"/>
        </w:rPr>
        <w:t>有價證券性質在稅法上的意義</w:t>
      </w:r>
    </w:p>
    <w:p w:rsidR="00514426" w:rsidRPr="007B5D03" w:rsidRDefault="00514426" w:rsidP="007E6B32">
      <w:pPr>
        <w:snapToGrid w:val="0"/>
        <w:spacing w:line="437" w:lineRule="exact"/>
        <w:ind w:left="1900" w:hanging="312"/>
        <w:rPr>
          <w:sz w:val="30"/>
          <w:szCs w:val="30"/>
        </w:rPr>
      </w:pPr>
      <w:r w:rsidRPr="007B5D03">
        <w:rPr>
          <w:rFonts w:ascii="標楷體" w:hAnsi="標楷體"/>
          <w:sz w:val="30"/>
          <w:szCs w:val="30"/>
        </w:rPr>
        <w:t>1.</w:t>
      </w:r>
      <w:r w:rsidRPr="007B5D03">
        <w:rPr>
          <w:rFonts w:hAnsi="標楷體"/>
          <w:sz w:val="30"/>
          <w:szCs w:val="30"/>
        </w:rPr>
        <w:t>有價證券為財產的一種，在稅捐法對於有價證券有特別規定時，如一筆財產經定性為有價證券，則與</w:t>
      </w:r>
      <w:r w:rsidRPr="007E6B32">
        <w:rPr>
          <w:rFonts w:hAnsi="標楷體"/>
          <w:spacing w:val="4"/>
          <w:sz w:val="30"/>
          <w:szCs w:val="30"/>
        </w:rPr>
        <w:lastRenderedPageBreak/>
        <w:t>之有關之交易或因其交易產生之所得皆可能因此</w:t>
      </w:r>
      <w:r w:rsidRPr="007B5D03">
        <w:rPr>
          <w:rFonts w:hAnsi="標楷體"/>
          <w:sz w:val="30"/>
          <w:szCs w:val="30"/>
        </w:rPr>
        <w:t>應適用關於有價證券之特別規定。現行法中最為凸顯之情形為：關於有價證券之交易原則上課徵證券交易稅（證券交易稅條例第一條），而不課徵營業稅（營業稅法第八條第一項第二十四款）；關於證券交易所得原則上不課徵所得稅（所得稅法第四條之一）。自有價證券取得孳息者，例如自股票取得股利，自債券取得利息，對之分別依所得稅法關於營利所得及利息所得的規定課徵所得稅。要之，現行稅捐法關於有價證券之稅捐客體主要為：證券交易及證券交易所得。</w:t>
      </w:r>
    </w:p>
    <w:p w:rsidR="00514426" w:rsidRPr="007B5D03" w:rsidRDefault="00514426" w:rsidP="007E6B32">
      <w:pPr>
        <w:snapToGrid w:val="0"/>
        <w:spacing w:line="437" w:lineRule="exact"/>
        <w:ind w:left="1900" w:hanging="312"/>
        <w:rPr>
          <w:sz w:val="30"/>
          <w:szCs w:val="30"/>
        </w:rPr>
      </w:pPr>
      <w:r w:rsidRPr="007B5D03">
        <w:rPr>
          <w:rFonts w:ascii="標楷體" w:hAnsi="標楷體"/>
          <w:sz w:val="30"/>
          <w:szCs w:val="30"/>
        </w:rPr>
        <w:t>2.</w:t>
      </w:r>
      <w:r w:rsidRPr="007B5D03">
        <w:rPr>
          <w:rFonts w:hAnsi="標楷體"/>
          <w:sz w:val="30"/>
          <w:szCs w:val="30"/>
        </w:rPr>
        <w:t>然何謂證券交易？證券之買賣、互易屬之，固不待</w:t>
      </w:r>
      <w:r w:rsidRPr="007E6B32">
        <w:rPr>
          <w:rFonts w:hAnsi="標楷體"/>
          <w:spacing w:val="-6"/>
          <w:sz w:val="30"/>
          <w:szCs w:val="30"/>
        </w:rPr>
        <w:t>言。惟證券交易是否含虛擬之交易？關於認購（售）</w:t>
      </w:r>
      <w:r w:rsidRPr="007B5D03">
        <w:rPr>
          <w:rFonts w:hAnsi="標楷體"/>
          <w:sz w:val="30"/>
          <w:szCs w:val="30"/>
        </w:rPr>
        <w:t>權證之標的股票的交易，在其持有人按約定之履約價格向發行人購入或售出標的股票的情形，其交易</w:t>
      </w:r>
      <w:r w:rsidRPr="007E6B32">
        <w:rPr>
          <w:rFonts w:hAnsi="標楷體"/>
          <w:spacing w:val="-6"/>
          <w:sz w:val="30"/>
          <w:szCs w:val="30"/>
        </w:rPr>
        <w:t>與一般之證券交易無異</w:t>
      </w:r>
      <w:r w:rsidRPr="007E6B32">
        <w:rPr>
          <w:rFonts w:hAnsi="標楷體"/>
          <w:spacing w:val="-6"/>
          <w:sz w:val="20"/>
        </w:rPr>
        <w:t>（註二）</w:t>
      </w:r>
      <w:r w:rsidRPr="007E6B32">
        <w:rPr>
          <w:rFonts w:hAnsi="標楷體"/>
          <w:spacing w:val="-6"/>
          <w:sz w:val="30"/>
          <w:szCs w:val="30"/>
        </w:rPr>
        <w:t>。反之，認購（售）權</w:t>
      </w:r>
      <w:r w:rsidRPr="007B5D03">
        <w:rPr>
          <w:rFonts w:hAnsi="標楷體"/>
          <w:sz w:val="30"/>
          <w:szCs w:val="30"/>
        </w:rPr>
        <w:t>證持有人採以現金方式結算其認購（售）權證之交</w:t>
      </w:r>
      <w:r w:rsidRPr="007E6B32">
        <w:rPr>
          <w:rFonts w:hAnsi="標楷體"/>
          <w:spacing w:val="-8"/>
          <w:sz w:val="30"/>
          <w:szCs w:val="30"/>
        </w:rPr>
        <w:t>易者，財政部按其交易結果，將該交易解析為：（</w:t>
      </w:r>
      <w:r w:rsidRPr="007E6B32">
        <w:rPr>
          <w:spacing w:val="-8"/>
          <w:sz w:val="30"/>
          <w:szCs w:val="30"/>
        </w:rPr>
        <w:t>1</w:t>
      </w:r>
      <w:r w:rsidRPr="007E6B32">
        <w:rPr>
          <w:rFonts w:hAnsi="標楷體"/>
          <w:spacing w:val="-8"/>
          <w:sz w:val="30"/>
          <w:szCs w:val="30"/>
        </w:rPr>
        <w:t>）</w:t>
      </w:r>
      <w:r w:rsidRPr="007E6B32">
        <w:rPr>
          <w:rFonts w:hAnsi="標楷體"/>
          <w:spacing w:val="6"/>
          <w:sz w:val="30"/>
          <w:szCs w:val="30"/>
        </w:rPr>
        <w:t>認購權證之持有人自認購權證之發行人購入認購</w:t>
      </w:r>
      <w:r w:rsidRPr="007B5D03">
        <w:rPr>
          <w:rFonts w:hAnsi="標楷體"/>
          <w:sz w:val="30"/>
          <w:szCs w:val="30"/>
        </w:rPr>
        <w:t>權證之標的股票；或認售權證之持有人對認售權證之發行人售出認售權證之標的股票。（</w:t>
      </w:r>
      <w:r w:rsidRPr="007B5D03">
        <w:rPr>
          <w:sz w:val="30"/>
          <w:szCs w:val="30"/>
        </w:rPr>
        <w:t>2</w:t>
      </w:r>
      <w:r w:rsidRPr="007B5D03">
        <w:rPr>
          <w:rFonts w:hAnsi="標楷體"/>
          <w:sz w:val="30"/>
          <w:szCs w:val="30"/>
        </w:rPr>
        <w:t>）依上述交易履行後，取得標的股票的一方隨即又按標的股票之市場價格將之出售給對方，以達到以現金方式結</w:t>
      </w:r>
      <w:r w:rsidRPr="00612054">
        <w:rPr>
          <w:rFonts w:hAnsi="標楷體"/>
          <w:spacing w:val="6"/>
          <w:sz w:val="30"/>
          <w:szCs w:val="30"/>
        </w:rPr>
        <w:t>算之目的。於是，財政部認為雙方有下述證券交</w:t>
      </w:r>
      <w:r w:rsidRPr="007B5D03">
        <w:rPr>
          <w:rFonts w:hAnsi="標楷體"/>
          <w:sz w:val="30"/>
          <w:szCs w:val="30"/>
        </w:rPr>
        <w:t>易：認購權證之持有人將自認購權證之發行人購入之標的股票出售給發行人；或認售權證之發行人將</w:t>
      </w:r>
      <w:r w:rsidRPr="00612054">
        <w:rPr>
          <w:rFonts w:hAnsi="標楷體"/>
          <w:spacing w:val="6"/>
          <w:sz w:val="30"/>
          <w:szCs w:val="30"/>
        </w:rPr>
        <w:t>自認</w:t>
      </w:r>
      <w:r w:rsidRPr="00612054">
        <w:rPr>
          <w:rFonts w:hAnsi="標楷體"/>
          <w:spacing w:val="6"/>
          <w:sz w:val="30"/>
          <w:szCs w:val="30"/>
        </w:rPr>
        <w:lastRenderedPageBreak/>
        <w:t>售權證之持有人購入之標的股票出售給持有</w:t>
      </w:r>
      <w:r w:rsidRPr="007B5D03">
        <w:rPr>
          <w:rFonts w:hAnsi="標楷體"/>
          <w:sz w:val="30"/>
          <w:szCs w:val="30"/>
        </w:rPr>
        <w:t>人。</w:t>
      </w:r>
    </w:p>
    <w:p w:rsidR="00514426" w:rsidRPr="007B5D03" w:rsidRDefault="00514426" w:rsidP="00612054">
      <w:pPr>
        <w:snapToGrid w:val="0"/>
        <w:spacing w:line="437" w:lineRule="exact"/>
        <w:ind w:left="1900" w:hanging="312"/>
        <w:rPr>
          <w:sz w:val="30"/>
          <w:szCs w:val="30"/>
        </w:rPr>
      </w:pPr>
      <w:r w:rsidRPr="007B5D03">
        <w:rPr>
          <w:rFonts w:ascii="標楷體" w:hAnsi="標楷體"/>
          <w:sz w:val="30"/>
          <w:szCs w:val="30"/>
        </w:rPr>
        <w:t>3.</w:t>
      </w:r>
      <w:r w:rsidRPr="007B5D03">
        <w:rPr>
          <w:rFonts w:hAnsi="標楷體"/>
          <w:sz w:val="30"/>
          <w:szCs w:val="30"/>
        </w:rPr>
        <w:t>在第一種情形，因為上述交易，以約定之履約價格為</w:t>
      </w:r>
      <w:r w:rsidRPr="00612054">
        <w:rPr>
          <w:sz w:val="30"/>
          <w:szCs w:val="30"/>
        </w:rPr>
        <w:t>交易</w:t>
      </w:r>
      <w:r w:rsidRPr="007B5D03">
        <w:rPr>
          <w:rFonts w:hAnsi="標楷體"/>
          <w:sz w:val="30"/>
          <w:szCs w:val="30"/>
        </w:rPr>
        <w:t>價格，所以認為，在這種情形，應對認購權證之發行人或認售權證之持有人，亦即對該證券交易之出賣人，依標的股票之履約價格按千分之三稅</w:t>
      </w:r>
      <w:r w:rsidRPr="00612054">
        <w:rPr>
          <w:rFonts w:hAnsi="標楷體"/>
          <w:spacing w:val="6"/>
          <w:sz w:val="30"/>
          <w:szCs w:val="30"/>
        </w:rPr>
        <w:t>率課徵證券交易稅。在第二種情形，因為上述交</w:t>
      </w:r>
      <w:r w:rsidRPr="007B5D03">
        <w:rPr>
          <w:rFonts w:hAnsi="標楷體"/>
          <w:sz w:val="30"/>
          <w:szCs w:val="30"/>
        </w:rPr>
        <w:t>易，以市場價格為交易價格，所以認為，在這種情形，應對認購權證之持有人或對認售權證之發行人</w:t>
      </w:r>
      <w:r w:rsidRPr="00612054">
        <w:rPr>
          <w:rFonts w:hAnsi="標楷體"/>
          <w:spacing w:val="6"/>
          <w:sz w:val="30"/>
          <w:szCs w:val="30"/>
        </w:rPr>
        <w:t>依標的股票之市場價格按千分之三稅率課徵證券</w:t>
      </w:r>
      <w:r w:rsidRPr="00612054">
        <w:rPr>
          <w:rFonts w:hAnsi="標楷體"/>
          <w:spacing w:val="-4"/>
          <w:sz w:val="30"/>
          <w:szCs w:val="30"/>
        </w:rPr>
        <w:t>交易稅</w:t>
      </w:r>
      <w:r w:rsidRPr="00612054">
        <w:rPr>
          <w:rFonts w:hAnsi="標楷體"/>
          <w:spacing w:val="-4"/>
          <w:sz w:val="20"/>
        </w:rPr>
        <w:t>（註三）</w:t>
      </w:r>
      <w:r w:rsidRPr="00612054">
        <w:rPr>
          <w:rFonts w:hAnsi="標楷體"/>
          <w:spacing w:val="-4"/>
          <w:sz w:val="30"/>
          <w:szCs w:val="30"/>
        </w:rPr>
        <w:t>。在這二種情形，顯然皆以虛擬為存在</w:t>
      </w:r>
      <w:r w:rsidRPr="007B5D03">
        <w:rPr>
          <w:rFonts w:hAnsi="標楷體"/>
          <w:sz w:val="30"/>
          <w:szCs w:val="30"/>
        </w:rPr>
        <w:t>之證券交易為稅捐客體。這是否合法，值得商榷。蓋在以現金結算的情形，雙方真正之交易客體應當</w:t>
      </w:r>
      <w:r w:rsidRPr="00612054">
        <w:rPr>
          <w:rFonts w:hAnsi="標楷體"/>
          <w:spacing w:val="-10"/>
          <w:sz w:val="30"/>
          <w:szCs w:val="30"/>
        </w:rPr>
        <w:t>是該認購（售）權證的買回。是故，只可對認購（售）</w:t>
      </w:r>
      <w:r w:rsidRPr="007B5D03">
        <w:rPr>
          <w:rFonts w:hAnsi="標楷體"/>
          <w:sz w:val="30"/>
          <w:szCs w:val="30"/>
        </w:rPr>
        <w:t>權證持有人就該認購（售）權證的市值按千分之三稅率課徵證券交易稅。該市值也就是其現金結算金額。對此，至目前尚無納稅義務人對之提起行政爭訟。在與之類似，「認購（售）權證發行人所發行之認購（售）權證，因權證標的股票發行公司合併消滅致權證提前到期，發行人以權證結算價格現金結算予未申請履約之權證持有人」的情形，財政部並不將權利金結算論為認購（售）權證之買回，而認為「發行人給付之結算權利金，核非屬證券交易稅條例所稱有價證券之買賣行為，不發生課徵證券交易稅問題」（</w:t>
      </w:r>
      <w:r w:rsidRPr="007B5D03">
        <w:rPr>
          <w:sz w:val="30"/>
          <w:szCs w:val="30"/>
        </w:rPr>
        <w:t>92.12.01.</w:t>
      </w:r>
      <w:r w:rsidRPr="007B5D03">
        <w:rPr>
          <w:rFonts w:hAnsi="標楷體" w:hint="eastAsia"/>
          <w:sz w:val="30"/>
          <w:szCs w:val="30"/>
        </w:rPr>
        <w:t>台</w:t>
      </w:r>
      <w:r w:rsidRPr="007B5D03">
        <w:rPr>
          <w:rFonts w:hAnsi="標楷體"/>
          <w:sz w:val="30"/>
          <w:szCs w:val="30"/>
        </w:rPr>
        <w:t>財稅字第０九二０四五七二二三號函）。</w:t>
      </w:r>
    </w:p>
    <w:p w:rsidR="00514426" w:rsidRPr="007B5D03" w:rsidRDefault="00514426" w:rsidP="00D035C3">
      <w:pPr>
        <w:snapToGrid w:val="0"/>
        <w:spacing w:line="437" w:lineRule="exact"/>
        <w:ind w:left="1900" w:hanging="312"/>
        <w:rPr>
          <w:sz w:val="30"/>
          <w:szCs w:val="30"/>
        </w:rPr>
      </w:pPr>
      <w:r w:rsidRPr="007B5D03">
        <w:rPr>
          <w:rFonts w:ascii="標楷體" w:hAnsi="標楷體"/>
          <w:sz w:val="30"/>
          <w:szCs w:val="30"/>
        </w:rPr>
        <w:t>4.</w:t>
      </w:r>
      <w:r w:rsidRPr="007B5D03">
        <w:rPr>
          <w:rFonts w:hAnsi="標楷體"/>
          <w:sz w:val="30"/>
          <w:szCs w:val="30"/>
        </w:rPr>
        <w:t>尚有疑問的是：認購（售）權證的發行在證券交易</w:t>
      </w:r>
      <w:r w:rsidRPr="007B5D03">
        <w:rPr>
          <w:rFonts w:hAnsi="標楷體"/>
          <w:sz w:val="30"/>
          <w:szCs w:val="30"/>
        </w:rPr>
        <w:lastRenderedPageBreak/>
        <w:t>稅及所得稅上的地位。亦即對其發行是否認定為證</w:t>
      </w:r>
      <w:r w:rsidRPr="00D035C3">
        <w:rPr>
          <w:rFonts w:hAnsi="標楷體"/>
          <w:spacing w:val="6"/>
          <w:sz w:val="30"/>
          <w:szCs w:val="30"/>
        </w:rPr>
        <w:t>券交易並對之課徵證券交易稅？對其發行收入應按證券交易所得或一般所得課徵所得稅？現行實</w:t>
      </w:r>
      <w:r w:rsidRPr="007B5D03">
        <w:rPr>
          <w:rFonts w:hAnsi="標楷體"/>
          <w:sz w:val="30"/>
          <w:szCs w:val="30"/>
        </w:rPr>
        <w:t>務認為：不對其發行，而只對其發行後之交易課徵</w:t>
      </w:r>
      <w:r w:rsidRPr="00D035C3">
        <w:rPr>
          <w:rFonts w:hAnsi="標楷體"/>
          <w:spacing w:val="-6"/>
          <w:sz w:val="30"/>
          <w:szCs w:val="30"/>
        </w:rPr>
        <w:t>證券交易稅</w:t>
      </w:r>
      <w:r w:rsidRPr="00D035C3">
        <w:rPr>
          <w:rFonts w:hAnsi="標楷體"/>
          <w:spacing w:val="-6"/>
          <w:sz w:val="20"/>
        </w:rPr>
        <w:t>（註四）</w:t>
      </w:r>
      <w:r w:rsidRPr="00D035C3">
        <w:rPr>
          <w:rFonts w:hAnsi="標楷體"/>
          <w:spacing w:val="-6"/>
          <w:sz w:val="30"/>
          <w:szCs w:val="30"/>
        </w:rPr>
        <w:t>；不將其發行收入論為證券交易所</w:t>
      </w:r>
      <w:r w:rsidRPr="007B5D03">
        <w:rPr>
          <w:rFonts w:hAnsi="標楷體"/>
          <w:sz w:val="30"/>
          <w:szCs w:val="30"/>
        </w:rPr>
        <w:t>得，從而對其發行收入之最後結算所得，按一般所得稅的規定課徵一般所得稅。然對於認購（售）權證及其標的股票之交易所得依然論為證券交易所得。於是，與認購（售）權證有關的所得稅，產生：在發行階段發生之收入，應依一般所得稅；在發行後的階段發生之收入，應依證券交易所得稅有關規定課徵之分歧的情形。該劃分是否正確？</w:t>
      </w:r>
    </w:p>
    <w:p w:rsidR="00514426" w:rsidRPr="00D035C3" w:rsidRDefault="00514426" w:rsidP="00FB2D5A">
      <w:pPr>
        <w:snapToGrid w:val="0"/>
        <w:spacing w:line="437" w:lineRule="exact"/>
        <w:ind w:left="1616" w:hanging="936"/>
        <w:rPr>
          <w:spacing w:val="4"/>
          <w:sz w:val="30"/>
          <w:szCs w:val="30"/>
        </w:rPr>
      </w:pPr>
      <w:r w:rsidRPr="00D035C3">
        <w:rPr>
          <w:rFonts w:hAnsi="標楷體"/>
          <w:spacing w:val="4"/>
          <w:sz w:val="30"/>
          <w:szCs w:val="30"/>
        </w:rPr>
        <w:t>（三）</w:t>
      </w:r>
      <w:r w:rsidRPr="00D035C3">
        <w:rPr>
          <w:rFonts w:hAnsi="標楷體"/>
          <w:bCs/>
          <w:spacing w:val="4"/>
          <w:sz w:val="30"/>
          <w:szCs w:val="30"/>
        </w:rPr>
        <w:t>認購（售）權證之所得稅的稅制盲點</w:t>
      </w:r>
    </w:p>
    <w:p w:rsidR="00514426" w:rsidRPr="007B5D03" w:rsidRDefault="00514426" w:rsidP="00D035C3">
      <w:pPr>
        <w:snapToGrid w:val="0"/>
        <w:spacing w:line="437" w:lineRule="exact"/>
        <w:ind w:left="1900" w:hanging="312"/>
        <w:rPr>
          <w:sz w:val="30"/>
          <w:szCs w:val="30"/>
        </w:rPr>
      </w:pPr>
      <w:r w:rsidRPr="007B5D03">
        <w:rPr>
          <w:rFonts w:ascii="標楷體" w:hAnsi="標楷體"/>
          <w:sz w:val="30"/>
          <w:szCs w:val="30"/>
        </w:rPr>
        <w:t>1.</w:t>
      </w:r>
      <w:r w:rsidRPr="007B5D03">
        <w:rPr>
          <w:rFonts w:hAnsi="標楷體"/>
          <w:sz w:val="30"/>
          <w:szCs w:val="30"/>
        </w:rPr>
        <w:t>認購（售）權證之發行的所得稅稅制盲點存在於：將認購（售）權證定性為有價證券時，並將其發行類比為股票或債券的發行。</w:t>
      </w:r>
    </w:p>
    <w:p w:rsidR="00514426" w:rsidRPr="007B5D03" w:rsidRDefault="00514426" w:rsidP="00D035C3">
      <w:pPr>
        <w:snapToGrid w:val="0"/>
        <w:spacing w:line="437" w:lineRule="exact"/>
        <w:ind w:left="1900" w:hanging="312"/>
        <w:rPr>
          <w:sz w:val="30"/>
          <w:szCs w:val="30"/>
        </w:rPr>
      </w:pPr>
      <w:r w:rsidRPr="007B5D03">
        <w:rPr>
          <w:rFonts w:ascii="標楷體" w:hAnsi="標楷體"/>
          <w:sz w:val="30"/>
          <w:szCs w:val="30"/>
        </w:rPr>
        <w:t>2.</w:t>
      </w:r>
      <w:r w:rsidRPr="007B5D03">
        <w:rPr>
          <w:rFonts w:hAnsi="標楷體"/>
          <w:sz w:val="30"/>
          <w:szCs w:val="30"/>
        </w:rPr>
        <w:t>按認購（售）權證之發行是選擇權的買賣，而股票或債券的發行為股份或債權之認購。股票或債券交付後之風險純由股票或債券之購買人負擔。反之，在認購（售）權證之發行，其發行後之風險則由發</w:t>
      </w:r>
      <w:r w:rsidRPr="00D035C3">
        <w:rPr>
          <w:rFonts w:hAnsi="標楷體"/>
          <w:spacing w:val="6"/>
          <w:sz w:val="30"/>
          <w:szCs w:val="30"/>
        </w:rPr>
        <w:t>行人負擔。購買人只支付權利金為對價交換選擇</w:t>
      </w:r>
      <w:r w:rsidRPr="007B5D03">
        <w:rPr>
          <w:rFonts w:hAnsi="標楷體"/>
          <w:sz w:val="30"/>
          <w:szCs w:val="30"/>
        </w:rPr>
        <w:t>權，而不負擔風險。由發行人負擔發行後之風險正是認購（售）權證之發行與購買之目的所在。正因為發行人負擔風險，所以購買人願意支付權利金。這當中，該權利金給付與該標的證券（股票）風險</w:t>
      </w:r>
      <w:r w:rsidRPr="00C84B1A">
        <w:rPr>
          <w:rFonts w:hAnsi="標楷體"/>
          <w:spacing w:val="6"/>
          <w:sz w:val="30"/>
          <w:szCs w:val="30"/>
        </w:rPr>
        <w:t>之負擔構成雙務契約之給付與對待給付的對價關</w:t>
      </w:r>
      <w:r w:rsidRPr="007B5D03">
        <w:rPr>
          <w:rFonts w:hAnsi="標楷體"/>
          <w:sz w:val="30"/>
          <w:szCs w:val="30"/>
        </w:rPr>
        <w:lastRenderedPageBreak/>
        <w:t>係。因此，認購（售）權證之發行不應與股票或債券的發行適用相同的所得稅規定。這與認購（售）</w:t>
      </w:r>
      <w:r w:rsidRPr="00C84B1A">
        <w:rPr>
          <w:rFonts w:hAnsi="標楷體"/>
          <w:spacing w:val="6"/>
          <w:sz w:val="30"/>
          <w:szCs w:val="30"/>
        </w:rPr>
        <w:t>權證之交易可適用與股票或債券交易相同之所得</w:t>
      </w:r>
      <w:r w:rsidRPr="007B5D03">
        <w:rPr>
          <w:rFonts w:hAnsi="標楷體"/>
          <w:sz w:val="30"/>
          <w:szCs w:val="30"/>
        </w:rPr>
        <w:t>稅規定者，不同。蓋在認購（售）權證發行後之交易已是單純的證券交易。其標的證券（股票）之漲</w:t>
      </w:r>
      <w:r w:rsidRPr="00C84B1A">
        <w:rPr>
          <w:rFonts w:hAnsi="標楷體"/>
          <w:spacing w:val="-6"/>
          <w:sz w:val="30"/>
          <w:szCs w:val="30"/>
        </w:rPr>
        <w:t>跌的風險在發行時已歸屬於發行人負擔。認購（售）</w:t>
      </w:r>
      <w:r w:rsidRPr="007B5D03">
        <w:rPr>
          <w:rFonts w:hAnsi="標楷體"/>
          <w:sz w:val="30"/>
          <w:szCs w:val="30"/>
        </w:rPr>
        <w:t>權證，亦即選擇權權證之購買人所博取者與一般證券之交易相同。發行後認購（售）權證之流通價格在市場，原則上在原來之發行權利金的基礎上，加減在交易時已可計算出來之標的證券（股票）的漲跌差額利益。這與發行人對於認購（售）權證持有人負擔標的證券（股票）之漲跌風險者不同。</w:t>
      </w:r>
    </w:p>
    <w:p w:rsidR="00514426" w:rsidRPr="007B5D03" w:rsidRDefault="00514426" w:rsidP="00C84B1A">
      <w:pPr>
        <w:snapToGrid w:val="0"/>
        <w:spacing w:line="437" w:lineRule="exact"/>
        <w:ind w:left="1900" w:hanging="312"/>
        <w:rPr>
          <w:sz w:val="30"/>
          <w:szCs w:val="30"/>
        </w:rPr>
      </w:pPr>
      <w:r w:rsidRPr="007B5D03">
        <w:rPr>
          <w:rFonts w:ascii="標楷體" w:hAnsi="標楷體"/>
          <w:sz w:val="30"/>
          <w:szCs w:val="30"/>
        </w:rPr>
        <w:t>3.</w:t>
      </w:r>
      <w:r w:rsidRPr="007B5D03">
        <w:rPr>
          <w:rFonts w:hAnsi="標楷體"/>
          <w:sz w:val="30"/>
          <w:szCs w:val="30"/>
        </w:rPr>
        <w:t>認購（售）權證之發行風險指其標的證券（股票）在發行後之漲跌可能引起之財產上的損失。該可能的財產上損失以標的證券（股票）在約定期日或期</w:t>
      </w:r>
      <w:r w:rsidRPr="00C84B1A">
        <w:rPr>
          <w:rFonts w:hAnsi="標楷體"/>
          <w:spacing w:val="6"/>
          <w:sz w:val="30"/>
          <w:szCs w:val="30"/>
        </w:rPr>
        <w:t>間之市場價格與約定價格之差額乘以約定之證券</w:t>
      </w:r>
      <w:r w:rsidRPr="007B5D03">
        <w:rPr>
          <w:rFonts w:hAnsi="標楷體"/>
          <w:sz w:val="30"/>
          <w:szCs w:val="30"/>
        </w:rPr>
        <w:t>（股票）數量表現出來。由於在市場價格與約定價格有差額時，認購（售）權證之購買人只有按約定價格購買或出售的權利，並無購買或出售的義務，所以稱該購買人所購買者為選擇權，其支付之價金也因此稱為權利金。鑑於發行人因權利金之收受而負擔上述風險，所以因該風險之負擔產生的費用自當容許從該權利金收入減除。實務上，發行人為將該風險控制在其權利金收入能支應之範圍，而有其標的證券（股票）之習稱的避險交易。該避險交易</w:t>
      </w:r>
      <w:r w:rsidRPr="00621CFD">
        <w:rPr>
          <w:rFonts w:hAnsi="標楷體"/>
          <w:spacing w:val="4"/>
          <w:sz w:val="30"/>
          <w:szCs w:val="30"/>
        </w:rPr>
        <w:t>論諸實際是為履行或為準備履行該選擇權義務所</w:t>
      </w:r>
      <w:r w:rsidRPr="00621CFD">
        <w:rPr>
          <w:rFonts w:hAnsi="標楷體"/>
          <w:spacing w:val="6"/>
          <w:sz w:val="30"/>
          <w:szCs w:val="30"/>
        </w:rPr>
        <w:lastRenderedPageBreak/>
        <w:t>從事之交易，以籌措持有人於到期日行使選擇權</w:t>
      </w:r>
      <w:r w:rsidRPr="007B5D03">
        <w:rPr>
          <w:rFonts w:hAnsi="標楷體"/>
          <w:sz w:val="30"/>
          <w:szCs w:val="30"/>
        </w:rPr>
        <w:t>時，在認購權證所需之標的證券（股票），或在認售權證所需之現金。</w:t>
      </w:r>
    </w:p>
    <w:p w:rsidR="00514426" w:rsidRPr="007B5D03" w:rsidRDefault="00514426" w:rsidP="00621CFD">
      <w:pPr>
        <w:snapToGrid w:val="0"/>
        <w:spacing w:line="437" w:lineRule="exact"/>
        <w:ind w:left="1900" w:hanging="312"/>
        <w:rPr>
          <w:sz w:val="30"/>
          <w:szCs w:val="30"/>
        </w:rPr>
      </w:pPr>
      <w:r w:rsidRPr="007B5D03">
        <w:rPr>
          <w:rFonts w:ascii="標楷體" w:hAnsi="標楷體"/>
          <w:sz w:val="30"/>
          <w:szCs w:val="30"/>
        </w:rPr>
        <w:t>4.</w:t>
      </w:r>
      <w:r w:rsidRPr="007B5D03">
        <w:rPr>
          <w:rFonts w:hAnsi="標楷體"/>
          <w:sz w:val="30"/>
          <w:szCs w:val="30"/>
        </w:rPr>
        <w:t>按認購（售）權證發行權利金收入計得之所得為權利金所得。該權利金與選擇權間有對價關係，所以在認購（售）權證之交易所得稅制的規劃上，其發</w:t>
      </w:r>
      <w:r w:rsidRPr="00621CFD">
        <w:rPr>
          <w:rFonts w:hAnsi="標楷體"/>
          <w:spacing w:val="8"/>
          <w:sz w:val="30"/>
          <w:szCs w:val="30"/>
        </w:rPr>
        <w:t>行損益的計算不得以所得稅法第四條之一為依</w:t>
      </w:r>
      <w:r w:rsidRPr="007B5D03">
        <w:rPr>
          <w:rFonts w:hAnsi="標楷體"/>
          <w:sz w:val="30"/>
          <w:szCs w:val="30"/>
        </w:rPr>
        <w:t>據，不准發行人將為履行或為準備履行持有人行使該選擇權可能發生之債務，而從事之標的證券（股票）交易的損益與該權利金收入合併計算（所得稅法第十四條第五類關於權利金所得的計算，亦有減除必要損耗及費用後之餘額為其所得額的規定）。另在將證券交易自其他財產交易分離出來，採證券</w:t>
      </w:r>
      <w:r w:rsidRPr="00621CFD">
        <w:rPr>
          <w:rFonts w:hAnsi="標楷體"/>
          <w:spacing w:val="-6"/>
          <w:sz w:val="30"/>
          <w:szCs w:val="30"/>
        </w:rPr>
        <w:t>交易所得停止課徵所得稅的政策，並從而規定：「證</w:t>
      </w:r>
      <w:r w:rsidRPr="007B5D03">
        <w:rPr>
          <w:rFonts w:hAnsi="標楷體"/>
          <w:sz w:val="30"/>
          <w:szCs w:val="30"/>
        </w:rPr>
        <w:t>券交易損失亦不得自所得額中減除」（所得稅法第四條之一）時，應另有配套規定：如對證券之發行收入課徵一般所得稅，便應容許與之相關</w:t>
      </w:r>
      <w:r w:rsidRPr="007B5D03">
        <w:rPr>
          <w:rFonts w:hAnsi="標楷體" w:hint="eastAsia"/>
          <w:sz w:val="30"/>
          <w:szCs w:val="30"/>
        </w:rPr>
        <w:t>連</w:t>
      </w:r>
      <w:r w:rsidRPr="007B5D03">
        <w:rPr>
          <w:rFonts w:hAnsi="標楷體"/>
          <w:sz w:val="30"/>
          <w:szCs w:val="30"/>
        </w:rPr>
        <w:t>之證券交易損失自該課以一般所得稅之發行收入扣除。是故，如果自始不容許，將與特定認購（售）權證之發行相聯繫之避險證券交易的盈虧與認購（售）權</w:t>
      </w:r>
      <w:r w:rsidRPr="00621CFD">
        <w:rPr>
          <w:rFonts w:hAnsi="標楷體"/>
          <w:spacing w:val="6"/>
          <w:sz w:val="30"/>
          <w:szCs w:val="30"/>
        </w:rPr>
        <w:t>證之發行收入合計其損益，便應該同時免徵認購</w:t>
      </w:r>
      <w:r w:rsidRPr="007B5D03">
        <w:rPr>
          <w:rFonts w:hAnsi="標楷體"/>
          <w:sz w:val="30"/>
          <w:szCs w:val="30"/>
        </w:rPr>
        <w:t>（售）權證之發行收入（權利金）的所得稅。蓋正如自免徵證券交易所得稅，導出證券交易損失不得自所得額中減除一樣，應可反面解釋導出：不准減除標的證券（股票）交易之損失者，應免徵與之密切相關之認購（售）權證發行收入（權利金）之所</w:t>
      </w:r>
      <w:r w:rsidRPr="007B5D03">
        <w:rPr>
          <w:rFonts w:hAnsi="標楷體"/>
          <w:sz w:val="30"/>
          <w:szCs w:val="30"/>
        </w:rPr>
        <w:lastRenderedPageBreak/>
        <w:t>得稅。至少應回歸其為選擇權交易之權利金收入的本質，對之採較為緩和的規定：容許將與特定認購（售）權證之發行相聯繫之避險證券交易的盈虧，與認購（售）權證之發行權利金收入合計其發行損益。</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（四）</w:t>
      </w:r>
      <w:r w:rsidRPr="007B5D03">
        <w:rPr>
          <w:rFonts w:hAnsi="標楷體"/>
          <w:bCs/>
          <w:sz w:val="30"/>
          <w:szCs w:val="30"/>
        </w:rPr>
        <w:t>以「發行」為來自有價證券之所得種類的分界點</w:t>
      </w:r>
    </w:p>
    <w:p w:rsidR="00514426" w:rsidRPr="007B5D03" w:rsidRDefault="00514426" w:rsidP="001D3142">
      <w:pPr>
        <w:snapToGrid w:val="0"/>
        <w:spacing w:line="437" w:lineRule="exact"/>
        <w:ind w:left="1900" w:hanging="312"/>
        <w:rPr>
          <w:sz w:val="30"/>
          <w:szCs w:val="30"/>
        </w:rPr>
      </w:pPr>
      <w:r w:rsidRPr="007B5D03">
        <w:rPr>
          <w:rFonts w:ascii="標楷體" w:hAnsi="標楷體"/>
          <w:sz w:val="30"/>
          <w:szCs w:val="30"/>
        </w:rPr>
        <w:t>1.</w:t>
      </w:r>
      <w:r w:rsidRPr="007B5D03">
        <w:rPr>
          <w:rFonts w:hAnsi="標楷體"/>
          <w:sz w:val="30"/>
          <w:szCs w:val="30"/>
        </w:rPr>
        <w:t>在所得稅制的規劃上常以「發行」為來自有價證券之所得，在類型化上的分界點。例如股票之發行，論為投資，不論為證券交易，公司取得股款也不論為構成所得之計算基礎的收入。來自股票之所得，其由於股利之分配者論為股東之營利所得，其由於股東在市場出售股票者，論為證券交易所得。</w:t>
      </w:r>
    </w:p>
    <w:p w:rsidR="00514426" w:rsidRPr="007B5D03" w:rsidRDefault="00514426" w:rsidP="001D3142">
      <w:pPr>
        <w:snapToGrid w:val="0"/>
        <w:spacing w:line="437" w:lineRule="exact"/>
        <w:ind w:left="1900" w:hanging="312"/>
        <w:rPr>
          <w:sz w:val="30"/>
          <w:szCs w:val="30"/>
        </w:rPr>
      </w:pPr>
      <w:r w:rsidRPr="007B5D03">
        <w:rPr>
          <w:rFonts w:ascii="標楷體" w:hAnsi="標楷體"/>
          <w:sz w:val="30"/>
          <w:szCs w:val="30"/>
        </w:rPr>
        <w:t>2.</w:t>
      </w:r>
      <w:r w:rsidRPr="007B5D03">
        <w:rPr>
          <w:rFonts w:hAnsi="標楷體"/>
          <w:sz w:val="30"/>
          <w:szCs w:val="30"/>
        </w:rPr>
        <w:t>然在認購（售）權證之發行，在發行者與購買者間究應論為投資或交易？按認購（售）權證持有人不因為購買認購（售）權證而對於一定的特別財產取得股份，而只是對於認購（售）權證之發行人取得該權證上所載之選擇權：認購（售）權證持有人於履約期間內或特定到期日，有權，但無義務，按約定履約價格向發行人購入或售出標的證券，或以現金結算方式收取差價（發行人申請發行認購（售）權證處理準則第二條第二項）。是否行使該選擇權</w:t>
      </w:r>
      <w:r w:rsidRPr="001D3142">
        <w:rPr>
          <w:rFonts w:hAnsi="標楷體"/>
          <w:spacing w:val="6"/>
          <w:sz w:val="30"/>
          <w:szCs w:val="30"/>
        </w:rPr>
        <w:t>，認購（售）權證持有人有完全之自由決定權。</w:t>
      </w:r>
      <w:r w:rsidRPr="007B5D03">
        <w:rPr>
          <w:rFonts w:hAnsi="標楷體"/>
          <w:sz w:val="30"/>
          <w:szCs w:val="30"/>
        </w:rPr>
        <w:t>認購（售）權證只是將該選擇權證券化。持有人為取得認購（售）權證對於發行人支付之權利金即是該選擇權之對價。二者之間有給付與對待給付的對價關係。是故，認購（售）權證經證券化的結果，</w:t>
      </w:r>
      <w:r w:rsidRPr="001D3142">
        <w:rPr>
          <w:rFonts w:hAnsi="標楷體"/>
          <w:spacing w:val="6"/>
          <w:sz w:val="30"/>
          <w:szCs w:val="30"/>
        </w:rPr>
        <w:t>固</w:t>
      </w:r>
      <w:r w:rsidRPr="001D3142">
        <w:rPr>
          <w:rFonts w:hAnsi="標楷體"/>
          <w:spacing w:val="6"/>
          <w:sz w:val="30"/>
          <w:szCs w:val="30"/>
        </w:rPr>
        <w:lastRenderedPageBreak/>
        <w:t>使發行後之認購（售）權證的交易成為證券交</w:t>
      </w:r>
      <w:r w:rsidRPr="007B5D03">
        <w:rPr>
          <w:rFonts w:hAnsi="標楷體"/>
          <w:sz w:val="30"/>
          <w:szCs w:val="30"/>
        </w:rPr>
        <w:t>易，應適用證券交易稅及證券交易所得稅有關之規定規範其交易稅及交易所得稅固無疑義。但論諸實際，其發行顯然應論為交易而非投資，由之構成之課稅事實不應與股票之發行同論。</w:t>
      </w:r>
    </w:p>
    <w:p w:rsidR="00514426" w:rsidRPr="007B5D03" w:rsidRDefault="00514426" w:rsidP="001D3142">
      <w:pPr>
        <w:snapToGrid w:val="0"/>
        <w:spacing w:line="437" w:lineRule="exact"/>
        <w:ind w:left="1900" w:hanging="312"/>
        <w:rPr>
          <w:sz w:val="30"/>
          <w:szCs w:val="30"/>
        </w:rPr>
      </w:pPr>
      <w:r w:rsidRPr="007B5D03">
        <w:rPr>
          <w:rFonts w:ascii="標楷體" w:hAnsi="標楷體"/>
          <w:sz w:val="30"/>
          <w:szCs w:val="30"/>
        </w:rPr>
        <w:t>3.</w:t>
      </w:r>
      <w:r w:rsidRPr="007B5D03">
        <w:rPr>
          <w:rFonts w:hAnsi="標楷體"/>
          <w:sz w:val="30"/>
          <w:szCs w:val="30"/>
        </w:rPr>
        <w:t>但目前實務上因為沒有認識到：在發行人與持有人間，認購（售）權證之發行本身內在之交易性質，而非投資性質，以致無視於認購（售）權證之發行</w:t>
      </w:r>
      <w:r w:rsidRPr="001D3142">
        <w:rPr>
          <w:rFonts w:hAnsi="標楷體"/>
          <w:spacing w:val="-6"/>
          <w:sz w:val="30"/>
          <w:szCs w:val="30"/>
        </w:rPr>
        <w:t>本身即是一個以權利金交換</w:t>
      </w:r>
      <w:r w:rsidRPr="001D3142">
        <w:rPr>
          <w:rFonts w:hAnsi="標楷體" w:hint="eastAsia"/>
          <w:spacing w:val="-6"/>
          <w:sz w:val="30"/>
          <w:szCs w:val="30"/>
        </w:rPr>
        <w:t>認</w:t>
      </w:r>
      <w:r w:rsidRPr="001D3142">
        <w:rPr>
          <w:rFonts w:hAnsi="標楷體"/>
          <w:spacing w:val="-6"/>
          <w:sz w:val="30"/>
          <w:szCs w:val="30"/>
        </w:rPr>
        <w:t>購（售）標的證券（股</w:t>
      </w:r>
      <w:r w:rsidRPr="001D3142">
        <w:rPr>
          <w:rFonts w:hAnsi="標楷體"/>
          <w:spacing w:val="-12"/>
          <w:sz w:val="30"/>
          <w:szCs w:val="30"/>
        </w:rPr>
        <w:t>票）之選擇權的雙務契約。是故，並未因將認購（售）</w:t>
      </w:r>
      <w:r w:rsidRPr="001D3142">
        <w:rPr>
          <w:rFonts w:hAnsi="標楷體"/>
          <w:spacing w:val="6"/>
          <w:sz w:val="30"/>
          <w:szCs w:val="30"/>
        </w:rPr>
        <w:t>權證核定為有價證券，而對其發行課徵證券交易</w:t>
      </w:r>
      <w:r w:rsidRPr="007B5D03">
        <w:rPr>
          <w:rFonts w:hAnsi="標楷體"/>
          <w:sz w:val="30"/>
          <w:szCs w:val="30"/>
        </w:rPr>
        <w:t>稅。惟因認購（售）權證結算發生在發行後，且以</w:t>
      </w:r>
      <w:r w:rsidRPr="001D3142">
        <w:rPr>
          <w:rFonts w:hAnsi="標楷體"/>
          <w:spacing w:val="6"/>
          <w:sz w:val="30"/>
          <w:szCs w:val="30"/>
        </w:rPr>
        <w:t>其標的證券之實體的或虛擬的交易為其結算的計</w:t>
      </w:r>
      <w:r w:rsidRPr="007B5D03">
        <w:rPr>
          <w:rFonts w:hAnsi="標楷體"/>
          <w:sz w:val="30"/>
          <w:szCs w:val="30"/>
        </w:rPr>
        <w:t>算基礎，所以，將其後來之結算結果，論為證券交易所得或損失，認為應適用所得稅法第四條之一：「自中華民國七十九年一月一日起，證券交易所得停止課徵所得稅，證券交易損失亦不得自所得額中減除。」由以上的說明可見，並不適合與股票之發行一樣看待認購（售）權證之發行。而應自始將認購（售）權證之發行論為證券交易。從而將其發行所得亦論為證券交易所得。最低限度，這樣才能符合因所得稅法第四條之一停止課徵所得稅於先，不准證券交易損失自所得額中減除於後的意旨。</w:t>
      </w:r>
    </w:p>
    <w:p w:rsidR="00514426" w:rsidRPr="007B5D03" w:rsidRDefault="00514426" w:rsidP="001D3142">
      <w:pPr>
        <w:snapToGrid w:val="0"/>
        <w:spacing w:line="437" w:lineRule="exact"/>
        <w:ind w:left="1900" w:hanging="312"/>
        <w:rPr>
          <w:sz w:val="30"/>
          <w:szCs w:val="30"/>
        </w:rPr>
      </w:pPr>
      <w:r w:rsidRPr="007B5D03">
        <w:rPr>
          <w:rFonts w:ascii="標楷體" w:hAnsi="標楷體"/>
          <w:sz w:val="30"/>
          <w:szCs w:val="30"/>
        </w:rPr>
        <w:t>4.</w:t>
      </w:r>
      <w:r w:rsidRPr="007B5D03">
        <w:rPr>
          <w:rFonts w:hAnsi="標楷體"/>
          <w:sz w:val="30"/>
          <w:szCs w:val="30"/>
        </w:rPr>
        <w:t>然這種規定仍然不是最符合認購（售）權證之發行的事實特徵：以權利金交換在一定期日或期間，以預定價格，買賣一定數量之標的證券的選擇權。</w:t>
      </w:r>
    </w:p>
    <w:p w:rsidR="00514426" w:rsidRPr="007B5D03" w:rsidRDefault="00514426" w:rsidP="00FB2D5A">
      <w:pPr>
        <w:snapToGrid w:val="0"/>
        <w:spacing w:line="437" w:lineRule="exact"/>
        <w:ind w:left="1616" w:hanging="936"/>
        <w:rPr>
          <w:bCs/>
          <w:sz w:val="30"/>
          <w:szCs w:val="30"/>
        </w:rPr>
      </w:pPr>
      <w:r w:rsidRPr="007B5D03">
        <w:rPr>
          <w:rFonts w:hAnsi="標楷體"/>
          <w:sz w:val="30"/>
          <w:szCs w:val="30"/>
        </w:rPr>
        <w:lastRenderedPageBreak/>
        <w:t>（五）選擇權交易之所得稅</w:t>
      </w:r>
    </w:p>
    <w:p w:rsidR="00514426" w:rsidRPr="007B5D03" w:rsidRDefault="00514426" w:rsidP="001D3142">
      <w:pPr>
        <w:snapToGrid w:val="0"/>
        <w:spacing w:line="437" w:lineRule="exact"/>
        <w:ind w:left="1900" w:hanging="312"/>
        <w:rPr>
          <w:b/>
          <w:bCs/>
          <w:sz w:val="30"/>
          <w:szCs w:val="30"/>
        </w:rPr>
      </w:pPr>
      <w:r w:rsidRPr="007B5D03">
        <w:rPr>
          <w:rFonts w:ascii="標楷體" w:hAnsi="標楷體"/>
          <w:sz w:val="30"/>
          <w:szCs w:val="30"/>
        </w:rPr>
        <w:t>1.基</w:t>
      </w:r>
      <w:r w:rsidRPr="007B5D03">
        <w:rPr>
          <w:rFonts w:hAnsi="標楷體"/>
          <w:sz w:val="30"/>
          <w:szCs w:val="30"/>
        </w:rPr>
        <w:t>於該權利金與該選擇權間之對價關係的屬性，選擇權之可能行使構成的或有損失，在大數法則下即是該權利金收入之必然減項。在雙務契約之債權權值的計算上，不能將與之相隨之對待給付的成本分離，孤立觀察。如果基於稅捐稽徵經濟的考量，要像所得稅法第四條之一，因為規定「自中華民國七</w:t>
      </w:r>
      <w:r w:rsidRPr="001D3142">
        <w:rPr>
          <w:rFonts w:hAnsi="標楷體"/>
          <w:spacing w:val="6"/>
          <w:sz w:val="30"/>
          <w:szCs w:val="30"/>
        </w:rPr>
        <w:t>十九年一月一日起，證券交易所得停止課徵所得</w:t>
      </w:r>
      <w:r w:rsidRPr="007B5D03">
        <w:rPr>
          <w:rFonts w:hAnsi="標楷體"/>
          <w:sz w:val="30"/>
          <w:szCs w:val="30"/>
        </w:rPr>
        <w:t>稅」，所以也規定「證券交易損失亦不得自所得額中減除。」則當認為，為準備認購（售）權證之對待給付的履行，而從事之標的股票交易的損失不得認列為認購（售）權證之發行收入的成本時，應從反面解釋的觀點，認為對於「認購（售）權證之發行收入」（權利金收入）亦不得課徵所得稅。蓋正</w:t>
      </w:r>
      <w:r w:rsidRPr="001D3142">
        <w:rPr>
          <w:rFonts w:hAnsi="標楷體"/>
          <w:spacing w:val="-6"/>
          <w:sz w:val="30"/>
          <w:szCs w:val="30"/>
        </w:rPr>
        <w:t>像「就收入不課其所得稅者，不承認其損失」；「不</w:t>
      </w:r>
      <w:r w:rsidRPr="007B5D03">
        <w:rPr>
          <w:rFonts w:hAnsi="標楷體"/>
          <w:sz w:val="30"/>
          <w:szCs w:val="30"/>
        </w:rPr>
        <w:t>承認為獲取收入而發生之取得成本或損失者，自亦不得課徵該收入之所得稅」。這是財政部在規劃稅制時應有的認識與選擇；也是司法機關在對於稅法</w:t>
      </w:r>
      <w:r w:rsidRPr="001D3142">
        <w:rPr>
          <w:rFonts w:hAnsi="標楷體"/>
          <w:spacing w:val="6"/>
          <w:sz w:val="30"/>
          <w:szCs w:val="30"/>
        </w:rPr>
        <w:t>或其解釋從事司法審查時，應當提供之最後的補</w:t>
      </w:r>
      <w:r w:rsidRPr="007B5D03">
        <w:rPr>
          <w:rFonts w:hAnsi="標楷體"/>
          <w:sz w:val="30"/>
          <w:szCs w:val="30"/>
        </w:rPr>
        <w:t>救。上述觀點，不當因為該選擇權是否經證券化而有所不同。</w:t>
      </w:r>
    </w:p>
    <w:p w:rsidR="00514426" w:rsidRPr="007B5D03" w:rsidRDefault="00514426" w:rsidP="003F1321">
      <w:pPr>
        <w:snapToGrid w:val="0"/>
        <w:spacing w:line="437" w:lineRule="exact"/>
        <w:ind w:left="1900" w:hanging="312"/>
        <w:rPr>
          <w:sz w:val="30"/>
          <w:szCs w:val="30"/>
        </w:rPr>
      </w:pPr>
      <w:r w:rsidRPr="007B5D03">
        <w:rPr>
          <w:rFonts w:ascii="標楷體" w:hAnsi="標楷體"/>
          <w:sz w:val="30"/>
          <w:szCs w:val="30"/>
        </w:rPr>
        <w:t>2.基</w:t>
      </w:r>
      <w:r w:rsidRPr="007B5D03">
        <w:rPr>
          <w:rFonts w:hAnsi="標楷體"/>
          <w:sz w:val="30"/>
          <w:szCs w:val="30"/>
        </w:rPr>
        <w:t>於該權利金與該選擇權間之對價關係的屬性，選擇權之可能行使上述問題，如渾沌的從整個證券交易或股票市場的交易觀之，不但一時必然難以見其端覓，而且與股票交易所得之稽徵的疑難一時也會糾纏不清，受到不當有的牽累。</w:t>
      </w:r>
    </w:p>
    <w:p w:rsidR="00514426" w:rsidRPr="007B5D03" w:rsidRDefault="00514426" w:rsidP="003F1321">
      <w:pPr>
        <w:snapToGrid w:val="0"/>
        <w:spacing w:line="437" w:lineRule="exact"/>
        <w:ind w:left="1900" w:hanging="312"/>
        <w:rPr>
          <w:sz w:val="30"/>
          <w:szCs w:val="30"/>
        </w:rPr>
      </w:pPr>
      <w:r w:rsidRPr="007B5D03">
        <w:rPr>
          <w:rFonts w:ascii="標楷體" w:hAnsi="標楷體"/>
          <w:sz w:val="30"/>
          <w:szCs w:val="30"/>
        </w:rPr>
        <w:lastRenderedPageBreak/>
        <w:t>3.按</w:t>
      </w:r>
      <w:r w:rsidRPr="007B5D03">
        <w:rPr>
          <w:rFonts w:hAnsi="標楷體"/>
          <w:sz w:val="30"/>
          <w:szCs w:val="30"/>
        </w:rPr>
        <w:t>與認購（售）權證之發行有關之所得稅的課徵問題，與一個人之一般的股票交易決然不同。首先是與認購（售）權證之發行有關之交易的發展，對於發行人而言有一個清楚的開端：認購（售）權證之發行。其次有一個記錄與該選擇權之履行準備有關之交易關係的明晰帳冊憑證，可以證明與各該認購（售）權證之對待給付的準備有關的股票交易。以該帳冊為基礎，計算各該認購（售）權證之發行的最後盈虧數額時，其準確可謂沒有任何其他行業之交易能夠與之比擬。關於證券交易所得稅，其實主要是股票交易所得稅的課徵，當年所以採所得稅法第四條之一的規範模式，其實是因納稅義務人不能配合稅捐稽徵機關掌握稅基時的不得已次佳選擇。</w:t>
      </w:r>
    </w:p>
    <w:p w:rsidR="00514426" w:rsidRPr="007B5D03" w:rsidRDefault="00514426" w:rsidP="003F1321">
      <w:pPr>
        <w:snapToGrid w:val="0"/>
        <w:spacing w:line="437" w:lineRule="exact"/>
        <w:ind w:left="1900" w:hanging="312"/>
        <w:rPr>
          <w:sz w:val="30"/>
          <w:szCs w:val="30"/>
        </w:rPr>
      </w:pPr>
      <w:r w:rsidRPr="007B5D03">
        <w:rPr>
          <w:rFonts w:ascii="標楷體" w:hAnsi="標楷體"/>
          <w:sz w:val="30"/>
          <w:szCs w:val="30"/>
        </w:rPr>
        <w:t>4.今</w:t>
      </w:r>
      <w:r w:rsidRPr="007B5D03">
        <w:rPr>
          <w:rFonts w:hAnsi="標楷體"/>
          <w:sz w:val="30"/>
          <w:szCs w:val="30"/>
        </w:rPr>
        <w:t>關於認購（售）權證之發行有關的所得稅，既無在其他證券交易所得稅之稽徵所存在的問題，即無捨核實課徵，而就臆測的道理，以符量能課稅原則的要求。或謂不准將證券交易損失自所得額中減除有所得稅法第四條之一為其依據。但必須注意，當稅捐法的規定與量能課稅原則明顯相違時，該稅捐法的規定，即屬違憲之惡法。原審法院如不能拒絕其適用，至少亦應裁定停止訴訟程序，儘速聲請大</w:t>
      </w:r>
      <w:r w:rsidRPr="000E2E77">
        <w:rPr>
          <w:rFonts w:hAnsi="標楷體"/>
          <w:spacing w:val="6"/>
          <w:sz w:val="30"/>
          <w:szCs w:val="30"/>
        </w:rPr>
        <w:t>法官解釋（司法院大法官審理案件法第五條第二項）。同理，如因原審法院誤引違憲法令致「人</w:t>
      </w:r>
      <w:r w:rsidRPr="007B5D03">
        <w:rPr>
          <w:rFonts w:hAnsi="標楷體"/>
          <w:sz w:val="30"/>
          <w:szCs w:val="30"/>
        </w:rPr>
        <w:t>民</w:t>
      </w:r>
      <w:r w:rsidRPr="007B5D03">
        <w:rPr>
          <w:rFonts w:hint="eastAsia"/>
          <w:sz w:val="30"/>
          <w:szCs w:val="30"/>
        </w:rPr>
        <w:t>……</w:t>
      </w:r>
      <w:r w:rsidRPr="007B5D03">
        <w:rPr>
          <w:rFonts w:hAnsi="標楷體"/>
          <w:sz w:val="30"/>
          <w:szCs w:val="30"/>
        </w:rPr>
        <w:t>於其憲法上所保障之權利，遭受不法侵害，經依法定程序提起訴訟，對於確定終局裁判所適用之法律或命令發生有牴觸憲法之疑義」時，人民亦得</w:t>
      </w:r>
      <w:r w:rsidRPr="007B5D03">
        <w:rPr>
          <w:rFonts w:hAnsi="標楷體"/>
          <w:sz w:val="30"/>
          <w:szCs w:val="30"/>
        </w:rPr>
        <w:lastRenderedPageBreak/>
        <w:t>聲請司法院大法官解釋憲法（司法院大法官審理案件法第五條第一項第二款）。在違憲之稅捐法對於人民生活或營業的維繫構成立即之威脅時，司法院大法官應當透過違憲審查宣告其無效。</w:t>
      </w:r>
    </w:p>
    <w:p w:rsidR="00514426" w:rsidRPr="007B5D03" w:rsidRDefault="00514426" w:rsidP="000E2E77">
      <w:pPr>
        <w:snapToGrid w:val="0"/>
        <w:spacing w:line="437" w:lineRule="exact"/>
        <w:ind w:left="1587" w:hanging="907"/>
        <w:rPr>
          <w:sz w:val="30"/>
          <w:szCs w:val="30"/>
        </w:rPr>
      </w:pPr>
      <w:r w:rsidRPr="007B5D03">
        <w:rPr>
          <w:rFonts w:hAnsi="標楷體"/>
          <w:sz w:val="30"/>
          <w:szCs w:val="30"/>
        </w:rPr>
        <w:t>（六）</w:t>
      </w:r>
      <w:r w:rsidRPr="007B5D03">
        <w:rPr>
          <w:rFonts w:hAnsi="標楷體"/>
          <w:bCs/>
          <w:sz w:val="30"/>
          <w:szCs w:val="30"/>
        </w:rPr>
        <w:t>收入成本費用配合原則</w:t>
      </w:r>
      <w:r w:rsidRPr="007B5D03">
        <w:rPr>
          <w:rFonts w:hAnsi="標楷體"/>
          <w:sz w:val="30"/>
          <w:szCs w:val="30"/>
        </w:rPr>
        <w:t>及所得稅法第四條之一的規範事項</w:t>
      </w:r>
    </w:p>
    <w:p w:rsidR="00514426" w:rsidRPr="007B5D03" w:rsidRDefault="00514426" w:rsidP="000E2E77">
      <w:pPr>
        <w:snapToGrid w:val="0"/>
        <w:spacing w:line="437" w:lineRule="exact"/>
        <w:ind w:left="1900" w:hanging="312"/>
        <w:rPr>
          <w:sz w:val="30"/>
          <w:szCs w:val="30"/>
        </w:rPr>
      </w:pPr>
      <w:r w:rsidRPr="007B5D03">
        <w:rPr>
          <w:rFonts w:ascii="標楷體" w:hAnsi="標楷體"/>
          <w:sz w:val="30"/>
          <w:szCs w:val="30"/>
        </w:rPr>
        <w:t>1.按</w:t>
      </w:r>
      <w:r w:rsidRPr="007B5D03">
        <w:rPr>
          <w:rFonts w:hAnsi="標楷體"/>
          <w:sz w:val="30"/>
          <w:szCs w:val="30"/>
        </w:rPr>
        <w:t>在所得的計算上，當將證券交易當成一種特別的財產交易，採分離課徵，而不綜合課徵時，究諸實際，係就個別財產或股票在完成先買後賣或先賣後買之進銷循環後，結算其財產或股票交易所得（盈餘）或損失（虧損），以計算其所得稅稅額。所得稅法第四條之一所規定者，應是所得（盈餘）與損失（虧損）之扣除的問題，而非自收入減除損失以計算其所得的問題。只是在證券交易所得停止課徵所得稅時期，因為粗略的籠統規定「證券交易損失亦不得自所得額中減除」，而使證券交易所得與損失間之盈餘與損失的扣除關係隱而不彰。從而誤以</w:t>
      </w:r>
      <w:r w:rsidRPr="00307E2E">
        <w:rPr>
          <w:rFonts w:hAnsi="標楷體"/>
          <w:spacing w:val="6"/>
          <w:sz w:val="30"/>
          <w:szCs w:val="30"/>
        </w:rPr>
        <w:t>為其間的關係是自收入減除損失以籠統計算其所</w:t>
      </w:r>
      <w:r w:rsidRPr="007B5D03">
        <w:rPr>
          <w:rFonts w:hAnsi="標楷體"/>
          <w:sz w:val="30"/>
          <w:szCs w:val="30"/>
        </w:rPr>
        <w:t>得的關係。是故，所得稅法第四條之一應當不是同</w:t>
      </w:r>
      <w:r w:rsidRPr="00307E2E">
        <w:rPr>
          <w:rFonts w:hAnsi="標楷體"/>
          <w:spacing w:val="6"/>
          <w:sz w:val="30"/>
          <w:szCs w:val="30"/>
        </w:rPr>
        <w:t>法第二十四條關於營利事業所得之計算的特別規</w:t>
      </w:r>
      <w:r w:rsidRPr="007B5D03">
        <w:rPr>
          <w:rFonts w:hAnsi="標楷體"/>
          <w:sz w:val="30"/>
          <w:szCs w:val="30"/>
        </w:rPr>
        <w:t>定。在所得稅法第四條之一的適用，必要時還是應就個別證券交易間之進銷關聯</w:t>
      </w:r>
      <w:r w:rsidRPr="007B5D03">
        <w:rPr>
          <w:rFonts w:hAnsi="標楷體" w:hint="eastAsia"/>
          <w:sz w:val="30"/>
          <w:szCs w:val="30"/>
        </w:rPr>
        <w:t>，</w:t>
      </w:r>
      <w:r w:rsidRPr="007B5D03">
        <w:rPr>
          <w:rFonts w:hAnsi="標楷體"/>
          <w:sz w:val="30"/>
          <w:szCs w:val="30"/>
        </w:rPr>
        <w:t>計算其證券交易所得或損失。而後才在該基礎上，不再具體就證券交易所得及證券交易損失為沖抵的計算。準此，在認購（售）權證發行權利金收入之所得的計算上，以所得稅法第四條之一為依據，限制其發行人自該權</w:t>
      </w:r>
      <w:r w:rsidRPr="006B3367">
        <w:rPr>
          <w:rFonts w:hAnsi="標楷體"/>
          <w:spacing w:val="6"/>
          <w:sz w:val="30"/>
          <w:szCs w:val="30"/>
        </w:rPr>
        <w:lastRenderedPageBreak/>
        <w:t>利金收入減除目的事業主管機關強制其從事之避</w:t>
      </w:r>
      <w:r w:rsidRPr="007B5D03">
        <w:rPr>
          <w:rFonts w:hAnsi="標楷體"/>
          <w:sz w:val="30"/>
          <w:szCs w:val="30"/>
        </w:rPr>
        <w:t>險交易的損失，有適用法律錯誤的情事，違反稅捐法定主義。</w:t>
      </w:r>
    </w:p>
    <w:p w:rsidR="00514426" w:rsidRPr="007B5D03" w:rsidRDefault="00514426" w:rsidP="006B3367">
      <w:pPr>
        <w:snapToGrid w:val="0"/>
        <w:spacing w:line="437" w:lineRule="exact"/>
        <w:ind w:left="1900" w:hanging="312"/>
        <w:rPr>
          <w:sz w:val="30"/>
          <w:szCs w:val="30"/>
        </w:rPr>
      </w:pPr>
      <w:r w:rsidRPr="007B5D03">
        <w:rPr>
          <w:rFonts w:ascii="標楷體" w:hAnsi="標楷體"/>
          <w:sz w:val="30"/>
          <w:szCs w:val="30"/>
        </w:rPr>
        <w:t>2.</w:t>
      </w:r>
      <w:r w:rsidRPr="006B3367">
        <w:rPr>
          <w:rFonts w:ascii="標楷體" w:hAnsi="標楷體"/>
          <w:spacing w:val="6"/>
          <w:sz w:val="30"/>
          <w:szCs w:val="30"/>
        </w:rPr>
        <w:t>當</w:t>
      </w:r>
      <w:r w:rsidRPr="006B3367">
        <w:rPr>
          <w:rFonts w:hAnsi="標楷體"/>
          <w:spacing w:val="6"/>
          <w:sz w:val="30"/>
          <w:szCs w:val="30"/>
        </w:rPr>
        <w:t>在政策上決定對於證券交易所得停止課徵所得</w:t>
      </w:r>
      <w:r w:rsidRPr="007B5D03">
        <w:rPr>
          <w:rFonts w:hAnsi="標楷體"/>
          <w:sz w:val="30"/>
          <w:szCs w:val="30"/>
        </w:rPr>
        <w:t>稅，將所得稅法第四條之一的籠統規定適用於全部的證券交易所得與損失是否有理由？</w:t>
      </w:r>
    </w:p>
    <w:p w:rsidR="00514426" w:rsidRPr="007B5D03" w:rsidRDefault="00514426" w:rsidP="006B3367">
      <w:pPr>
        <w:snapToGrid w:val="0"/>
        <w:spacing w:line="437" w:lineRule="exact"/>
        <w:ind w:left="1900" w:hanging="312"/>
        <w:rPr>
          <w:sz w:val="30"/>
          <w:szCs w:val="30"/>
        </w:rPr>
      </w:pPr>
      <w:r w:rsidRPr="007B5D03">
        <w:rPr>
          <w:rFonts w:ascii="標楷體" w:hAnsi="標楷體"/>
          <w:sz w:val="30"/>
          <w:szCs w:val="30"/>
        </w:rPr>
        <w:t>3.認</w:t>
      </w:r>
      <w:r w:rsidRPr="007B5D03">
        <w:rPr>
          <w:rFonts w:hAnsi="標楷體"/>
          <w:sz w:val="30"/>
          <w:szCs w:val="30"/>
        </w:rPr>
        <w:t>為有理由之肯定說可能認為，既對於全部證券交易所得停止課徵所得稅，在制度設計上無法將一部分之證券交易損失，例外規定其得自證券交易所得以外之所得減除。這是原處分機關所持，並為最高</w:t>
      </w:r>
      <w:r w:rsidRPr="006B3367">
        <w:rPr>
          <w:rFonts w:hAnsi="標楷體"/>
          <w:spacing w:val="6"/>
          <w:sz w:val="30"/>
          <w:szCs w:val="30"/>
        </w:rPr>
        <w:t>行政法院在本案確定終局判決</w:t>
      </w:r>
      <w:r w:rsidRPr="006B3367">
        <w:rPr>
          <w:rFonts w:hint="eastAsia"/>
          <w:spacing w:val="6"/>
          <w:sz w:val="30"/>
          <w:szCs w:val="30"/>
        </w:rPr>
        <w:t>（</w:t>
      </w:r>
      <w:r w:rsidRPr="006B3367">
        <w:rPr>
          <w:rFonts w:hAnsi="標楷體"/>
          <w:spacing w:val="6"/>
          <w:sz w:val="30"/>
          <w:szCs w:val="30"/>
        </w:rPr>
        <w:t>即該院</w:t>
      </w:r>
      <w:r w:rsidRPr="006B3367">
        <w:rPr>
          <w:spacing w:val="6"/>
          <w:sz w:val="30"/>
          <w:szCs w:val="30"/>
        </w:rPr>
        <w:t>98</w:t>
      </w:r>
      <w:r w:rsidRPr="006B3367">
        <w:rPr>
          <w:rFonts w:hAnsi="標楷體"/>
          <w:spacing w:val="6"/>
          <w:sz w:val="30"/>
          <w:szCs w:val="30"/>
        </w:rPr>
        <w:t>年</w:t>
      </w:r>
      <w:r w:rsidRPr="006B3367">
        <w:rPr>
          <w:rFonts w:hAnsi="標楷體" w:hint="eastAsia"/>
          <w:spacing w:val="6"/>
          <w:sz w:val="30"/>
          <w:szCs w:val="30"/>
        </w:rPr>
        <w:t>度</w:t>
      </w:r>
      <w:r w:rsidRPr="006B3367">
        <w:rPr>
          <w:rFonts w:hAnsi="標楷體"/>
          <w:spacing w:val="6"/>
          <w:sz w:val="30"/>
          <w:szCs w:val="30"/>
        </w:rPr>
        <w:t>判</w:t>
      </w:r>
      <w:r w:rsidRPr="007B5D03">
        <w:rPr>
          <w:rFonts w:hAnsi="標楷體"/>
          <w:sz w:val="30"/>
          <w:szCs w:val="30"/>
        </w:rPr>
        <w:t>字第</w:t>
      </w:r>
      <w:r w:rsidRPr="007B5D03">
        <w:rPr>
          <w:sz w:val="30"/>
          <w:szCs w:val="30"/>
        </w:rPr>
        <w:t>563</w:t>
      </w:r>
      <w:r w:rsidRPr="007B5D03">
        <w:rPr>
          <w:rFonts w:hAnsi="標楷體"/>
          <w:sz w:val="30"/>
          <w:szCs w:val="30"/>
        </w:rPr>
        <w:t>號判決</w:t>
      </w:r>
      <w:r w:rsidRPr="007B5D03">
        <w:rPr>
          <w:rFonts w:hint="eastAsia"/>
          <w:sz w:val="30"/>
          <w:szCs w:val="30"/>
        </w:rPr>
        <w:t>）</w:t>
      </w:r>
      <w:r w:rsidRPr="007B5D03">
        <w:rPr>
          <w:rFonts w:hAnsi="標楷體"/>
          <w:sz w:val="30"/>
          <w:szCs w:val="30"/>
        </w:rPr>
        <w:t>所持的見解。</w:t>
      </w:r>
    </w:p>
    <w:p w:rsidR="00514426" w:rsidRPr="007B5D03" w:rsidRDefault="00514426" w:rsidP="006B3367">
      <w:pPr>
        <w:snapToGrid w:val="0"/>
        <w:spacing w:line="437" w:lineRule="exact"/>
        <w:ind w:left="1900" w:hanging="312"/>
        <w:rPr>
          <w:sz w:val="30"/>
          <w:szCs w:val="30"/>
        </w:rPr>
      </w:pPr>
      <w:r w:rsidRPr="007B5D03">
        <w:rPr>
          <w:rFonts w:ascii="標楷體" w:hAnsi="標楷體"/>
          <w:sz w:val="30"/>
          <w:szCs w:val="30"/>
        </w:rPr>
        <w:t>4.惟</w:t>
      </w:r>
      <w:r w:rsidRPr="007B5D03">
        <w:rPr>
          <w:rFonts w:hAnsi="標楷體"/>
          <w:sz w:val="30"/>
          <w:szCs w:val="30"/>
        </w:rPr>
        <w:t>依法令應與認購（售）權證的發行，自成完全進銷循環的避險證券交易損失，是否有所得稅法第四條之一的適用，值得檢討。蓋在認購（售）權證的發行，為防止認購（售）權證之發行的金融風險，其目的事業主管機關命令，其發行人應從事其避險所必要之標的證券的避險交易，然不得從事其避險</w:t>
      </w:r>
      <w:r w:rsidRPr="006B3367">
        <w:rPr>
          <w:rFonts w:hAnsi="標楷體"/>
          <w:spacing w:val="12"/>
          <w:sz w:val="30"/>
          <w:szCs w:val="30"/>
        </w:rPr>
        <w:t>所不必要之標的證券的投資性或投機性交易：</w:t>
      </w:r>
      <w:r w:rsidRPr="007B5D03">
        <w:rPr>
          <w:rFonts w:hAnsi="標楷體"/>
          <w:sz w:val="30"/>
          <w:szCs w:val="30"/>
        </w:rPr>
        <w:t>「</w:t>
      </w:r>
      <w:r w:rsidRPr="007B5D03">
        <w:rPr>
          <w:rFonts w:hint="eastAsia"/>
          <w:sz w:val="30"/>
          <w:szCs w:val="30"/>
        </w:rPr>
        <w:t>……</w:t>
      </w:r>
      <w:r w:rsidRPr="007B5D03">
        <w:rPr>
          <w:rFonts w:hAnsi="標楷體"/>
          <w:sz w:val="30"/>
          <w:szCs w:val="30"/>
        </w:rPr>
        <w:t>證券商因發行認購（售）權證避險需要而持</w:t>
      </w:r>
      <w:r w:rsidRPr="006B3367">
        <w:rPr>
          <w:rFonts w:hAnsi="標楷體"/>
          <w:spacing w:val="6"/>
          <w:sz w:val="30"/>
          <w:szCs w:val="30"/>
        </w:rPr>
        <w:t>有所發行認購（售）權證標的股票之數額限制如</w:t>
      </w:r>
      <w:r w:rsidRPr="007B5D03">
        <w:rPr>
          <w:rFonts w:hAnsi="標楷體"/>
          <w:sz w:val="30"/>
          <w:szCs w:val="30"/>
        </w:rPr>
        <w:t>下：（一）</w:t>
      </w:r>
      <w:r w:rsidRPr="007B5D03">
        <w:rPr>
          <w:rFonts w:hint="eastAsia"/>
          <w:sz w:val="30"/>
          <w:szCs w:val="30"/>
        </w:rPr>
        <w:t>……</w:t>
      </w:r>
      <w:r w:rsidRPr="007B5D03">
        <w:rPr>
          <w:rFonts w:hAnsi="標楷體"/>
          <w:sz w:val="30"/>
          <w:szCs w:val="30"/>
        </w:rPr>
        <w:t>持有數額以風險沖銷策略所需者為限，至多並不得超過認購（售）權證發行單位所代表之標的股票股數。</w:t>
      </w:r>
      <w:r w:rsidRPr="007B5D03">
        <w:rPr>
          <w:rFonts w:hint="eastAsia"/>
          <w:sz w:val="30"/>
          <w:szCs w:val="30"/>
        </w:rPr>
        <w:t>……</w:t>
      </w:r>
      <w:r w:rsidRPr="007B5D03">
        <w:rPr>
          <w:rFonts w:hAnsi="標楷體"/>
          <w:sz w:val="30"/>
          <w:szCs w:val="30"/>
        </w:rPr>
        <w:t>（三）發行認購（售）權證之證券商，於該認購（售）權證存續期間內，除基於風險沖銷之需求而買賣之標的股票外，其自營部門</w:t>
      </w:r>
      <w:r w:rsidRPr="007B5D03">
        <w:rPr>
          <w:rFonts w:hAnsi="標楷體"/>
          <w:sz w:val="30"/>
          <w:szCs w:val="30"/>
        </w:rPr>
        <w:lastRenderedPageBreak/>
        <w:t>不得另外自行買進賣出該標的股票；發行前自營部門已持有之標的股票，亦應轉入風險沖銷策略之持有數額內一併計算」（財政部證券暨期貨管理</w:t>
      </w:r>
      <w:r w:rsidRPr="00682A74">
        <w:rPr>
          <w:rFonts w:hAnsi="標楷體"/>
          <w:spacing w:val="6"/>
          <w:sz w:val="30"/>
          <w:szCs w:val="30"/>
        </w:rPr>
        <w:t>委員會</w:t>
      </w:r>
      <w:r w:rsidRPr="00682A74">
        <w:rPr>
          <w:spacing w:val="6"/>
          <w:sz w:val="30"/>
          <w:szCs w:val="30"/>
        </w:rPr>
        <w:t>86.6.12.</w:t>
      </w:r>
      <w:r w:rsidRPr="00682A74">
        <w:rPr>
          <w:rFonts w:hAnsi="標楷體"/>
          <w:spacing w:val="6"/>
          <w:sz w:val="30"/>
          <w:szCs w:val="30"/>
        </w:rPr>
        <w:t>（</w:t>
      </w:r>
      <w:r w:rsidRPr="00682A74">
        <w:rPr>
          <w:spacing w:val="6"/>
          <w:sz w:val="30"/>
          <w:szCs w:val="30"/>
        </w:rPr>
        <w:t>86</w:t>
      </w:r>
      <w:r w:rsidRPr="00682A74">
        <w:rPr>
          <w:rFonts w:hAnsi="標楷體"/>
          <w:spacing w:val="6"/>
          <w:sz w:val="30"/>
          <w:szCs w:val="30"/>
        </w:rPr>
        <w:t>）</w:t>
      </w:r>
      <w:r w:rsidRPr="00682A74">
        <w:rPr>
          <w:rFonts w:hAnsi="標楷體" w:hint="eastAsia"/>
          <w:spacing w:val="6"/>
          <w:sz w:val="30"/>
          <w:szCs w:val="30"/>
        </w:rPr>
        <w:t>台</w:t>
      </w:r>
      <w:r w:rsidRPr="00682A74">
        <w:rPr>
          <w:rFonts w:hAnsi="標楷體"/>
          <w:spacing w:val="6"/>
          <w:sz w:val="30"/>
          <w:szCs w:val="30"/>
        </w:rPr>
        <w:t>財證（二）字第０三二九</w:t>
      </w:r>
      <w:r w:rsidRPr="00682A74">
        <w:rPr>
          <w:rFonts w:hAnsi="標楷體"/>
          <w:spacing w:val="-6"/>
          <w:sz w:val="30"/>
          <w:szCs w:val="30"/>
        </w:rPr>
        <w:t>四號函）</w:t>
      </w:r>
      <w:r w:rsidRPr="00682A74">
        <w:rPr>
          <w:rFonts w:hAnsi="標楷體"/>
          <w:spacing w:val="-6"/>
          <w:sz w:val="20"/>
        </w:rPr>
        <w:t>（註五）</w:t>
      </w:r>
      <w:r w:rsidRPr="00682A74">
        <w:rPr>
          <w:rFonts w:hAnsi="標楷體"/>
          <w:spacing w:val="-6"/>
          <w:sz w:val="30"/>
          <w:szCs w:val="30"/>
        </w:rPr>
        <w:t>。基於該「避險需要而持有所發行認</w:t>
      </w:r>
      <w:r w:rsidRPr="007B5D03">
        <w:rPr>
          <w:rFonts w:hAnsi="標楷體"/>
          <w:sz w:val="30"/>
          <w:szCs w:val="30"/>
        </w:rPr>
        <w:t>購（售）權證標的股票之數額限制」，發行人從事</w:t>
      </w:r>
      <w:r w:rsidRPr="00682A74">
        <w:rPr>
          <w:rFonts w:hAnsi="標楷體"/>
          <w:spacing w:val="6"/>
          <w:sz w:val="30"/>
          <w:szCs w:val="30"/>
        </w:rPr>
        <w:t>之與權證標的股票有關之股票交易的進銷循環至避險交易所必要的程度即行完成，不再向將來發</w:t>
      </w:r>
      <w:r w:rsidRPr="007B5D03">
        <w:rPr>
          <w:rFonts w:hAnsi="標楷體"/>
          <w:sz w:val="30"/>
          <w:szCs w:val="30"/>
        </w:rPr>
        <w:t>展。是故，其損失不能透過其他股票交易獲得沖銷的機會，從而成為終局之股票交易損失。而所得稅</w:t>
      </w:r>
      <w:r w:rsidRPr="00682A74">
        <w:rPr>
          <w:rFonts w:hAnsi="標楷體"/>
          <w:spacing w:val="6"/>
          <w:sz w:val="30"/>
          <w:szCs w:val="30"/>
        </w:rPr>
        <w:t>法第四條之一的適用是建立在先後證券交易損失與所得有沖銷機會的假設上。其假設既然與認購</w:t>
      </w:r>
      <w:r w:rsidRPr="007B5D03">
        <w:rPr>
          <w:rFonts w:hAnsi="標楷體"/>
          <w:sz w:val="30"/>
          <w:szCs w:val="30"/>
        </w:rPr>
        <w:t>（售）權證避險交易的事實不一致，自然不應將所得稅法第四條之一適用至認購（售）權證的避險交易。</w:t>
      </w:r>
    </w:p>
    <w:p w:rsidR="00514426" w:rsidRPr="007B5D03" w:rsidRDefault="00514426" w:rsidP="00682A74">
      <w:pPr>
        <w:snapToGrid w:val="0"/>
        <w:spacing w:line="437" w:lineRule="exact"/>
        <w:ind w:left="1900" w:hanging="312"/>
        <w:rPr>
          <w:sz w:val="30"/>
          <w:szCs w:val="30"/>
        </w:rPr>
      </w:pPr>
      <w:r w:rsidRPr="007B5D03">
        <w:rPr>
          <w:rFonts w:ascii="標楷體" w:hAnsi="標楷體"/>
          <w:sz w:val="30"/>
          <w:szCs w:val="30"/>
        </w:rPr>
        <w:t>5.所</w:t>
      </w:r>
      <w:r w:rsidRPr="007B5D03">
        <w:rPr>
          <w:rFonts w:hAnsi="標楷體"/>
          <w:sz w:val="30"/>
          <w:szCs w:val="30"/>
        </w:rPr>
        <w:t>得稅法第四條之一未明文排除其對於認購（售）權證之避險交易的適用性，既然與其規定的假設前提不一致，且已引起課稅大於所得之違反量能課稅原則的結果，而原處分機關及最高行政法院並未能適時矯正其缺失，自當由大法官透過憲法解釋，指</w:t>
      </w:r>
      <w:r w:rsidRPr="00682A74">
        <w:rPr>
          <w:rFonts w:hAnsi="標楷體"/>
          <w:spacing w:val="6"/>
          <w:sz w:val="30"/>
          <w:szCs w:val="30"/>
        </w:rPr>
        <w:t>出將所得稅法第四條之一適用於超出其立法定制</w:t>
      </w:r>
      <w:r w:rsidRPr="007B5D03">
        <w:rPr>
          <w:rFonts w:hAnsi="標楷體"/>
          <w:sz w:val="30"/>
          <w:szCs w:val="30"/>
        </w:rPr>
        <w:t>之假設前提的證券交易，不論是證券交易所得或損失，皆屬違憲。</w:t>
      </w:r>
    </w:p>
    <w:p w:rsidR="00514426" w:rsidRPr="007B5D03" w:rsidRDefault="00514426" w:rsidP="00682A74">
      <w:pPr>
        <w:snapToGrid w:val="0"/>
        <w:spacing w:line="437" w:lineRule="exact"/>
        <w:ind w:left="1900" w:hanging="312"/>
        <w:rPr>
          <w:sz w:val="30"/>
          <w:szCs w:val="30"/>
        </w:rPr>
      </w:pPr>
      <w:r w:rsidRPr="007B5D03">
        <w:rPr>
          <w:rFonts w:ascii="標楷體" w:hAnsi="標楷體"/>
          <w:sz w:val="30"/>
          <w:szCs w:val="30"/>
        </w:rPr>
        <w:t>6.至</w:t>
      </w:r>
      <w:r w:rsidRPr="007B5D03">
        <w:rPr>
          <w:rFonts w:hAnsi="標楷體"/>
          <w:sz w:val="30"/>
          <w:szCs w:val="30"/>
        </w:rPr>
        <w:t>於最高行政法院認為，聲請人可以利用其專業知識，調整權利金金額，轉嫁該所得稅風險的看法，與市場的形勢不符，蓋一方面權利金高至一定限度時，認購（售）權證之選擇權將因權利金太高而使</w:t>
      </w:r>
      <w:r w:rsidRPr="007B5D03">
        <w:rPr>
          <w:rFonts w:hAnsi="標楷體"/>
          <w:sz w:val="30"/>
          <w:szCs w:val="30"/>
        </w:rPr>
        <w:lastRenderedPageBreak/>
        <w:t>購買人失去購買意願；另一方面外國證券商並無上述不合理規定之適用，再提高權利金金額，豈不雪上加霜，使本國證券商在認購（售）權證之發行市場更無競爭力。</w:t>
      </w:r>
    </w:p>
    <w:p w:rsidR="00514426" w:rsidRPr="007B5D03" w:rsidRDefault="00514426" w:rsidP="00FB2D5A">
      <w:pPr>
        <w:snapToGrid w:val="0"/>
        <w:spacing w:line="437" w:lineRule="exact"/>
        <w:ind w:left="1616" w:hanging="936"/>
        <w:rPr>
          <w:sz w:val="30"/>
          <w:szCs w:val="30"/>
          <w:u w:val="single"/>
        </w:rPr>
      </w:pPr>
      <w:r w:rsidRPr="007B5D03">
        <w:rPr>
          <w:rFonts w:hAnsi="標楷體"/>
          <w:sz w:val="30"/>
          <w:szCs w:val="30"/>
        </w:rPr>
        <w:t>（七）選擇權權利金之課稅與收入成本費用配合原則</w:t>
      </w:r>
    </w:p>
    <w:p w:rsidR="00514426" w:rsidRPr="007B5D03" w:rsidRDefault="00514426" w:rsidP="00682A74">
      <w:pPr>
        <w:snapToGrid w:val="0"/>
        <w:spacing w:line="437" w:lineRule="exact"/>
        <w:ind w:left="1900" w:hanging="312"/>
        <w:rPr>
          <w:sz w:val="30"/>
          <w:szCs w:val="30"/>
        </w:rPr>
      </w:pPr>
      <w:r w:rsidRPr="007B5D03">
        <w:rPr>
          <w:rFonts w:ascii="標楷體" w:hAnsi="標楷體"/>
          <w:sz w:val="30"/>
          <w:szCs w:val="30"/>
        </w:rPr>
        <w:t>1.關</w:t>
      </w:r>
      <w:r w:rsidRPr="007B5D03">
        <w:rPr>
          <w:rFonts w:hAnsi="標楷體"/>
          <w:sz w:val="30"/>
          <w:szCs w:val="30"/>
        </w:rPr>
        <w:t>於認購（售）權證發行收入之所得稅的課徵，歷來爭議集中在：其發行之權利金收入的定性及其成本費用之扣除的容許。</w:t>
      </w:r>
    </w:p>
    <w:p w:rsidR="00514426" w:rsidRPr="007B5D03" w:rsidRDefault="00514426" w:rsidP="00682A74">
      <w:pPr>
        <w:snapToGrid w:val="0"/>
        <w:spacing w:line="437" w:lineRule="exact"/>
        <w:ind w:left="1900" w:hanging="312"/>
        <w:rPr>
          <w:sz w:val="30"/>
          <w:szCs w:val="30"/>
        </w:rPr>
      </w:pPr>
      <w:r w:rsidRPr="007B5D03">
        <w:rPr>
          <w:rFonts w:ascii="標楷體" w:hAnsi="標楷體"/>
          <w:sz w:val="30"/>
          <w:szCs w:val="30"/>
        </w:rPr>
        <w:t>2.按</w:t>
      </w:r>
      <w:r w:rsidRPr="007B5D03">
        <w:rPr>
          <w:rFonts w:hAnsi="標楷體"/>
          <w:sz w:val="30"/>
          <w:szCs w:val="30"/>
        </w:rPr>
        <w:t>認購（售）權證是衍生性金融商品市場，而其標的證券（股票）則屬於傳統的資本市場。這兩種商品是分屬不同市場之不同商品。認購（售）權證的</w:t>
      </w:r>
      <w:r w:rsidRPr="00682A74">
        <w:rPr>
          <w:rFonts w:hAnsi="標楷體"/>
          <w:spacing w:val="12"/>
          <w:sz w:val="30"/>
          <w:szCs w:val="30"/>
        </w:rPr>
        <w:t>發行與股票的發行在事務的性質上有根本的不</w:t>
      </w:r>
      <w:r w:rsidRPr="007B5D03">
        <w:rPr>
          <w:rFonts w:hAnsi="標楷體"/>
          <w:sz w:val="30"/>
          <w:szCs w:val="30"/>
        </w:rPr>
        <w:t>同。在股票的發行，認股人取得發行該股票之公司的股權。依該股權，認股人有含表決權、股利及公</w:t>
      </w:r>
      <w:r w:rsidRPr="00682A74">
        <w:rPr>
          <w:rFonts w:hAnsi="標楷體"/>
          <w:spacing w:val="6"/>
          <w:sz w:val="30"/>
          <w:szCs w:val="30"/>
        </w:rPr>
        <w:t>司解散時之剩餘財產之受分配權。反之，在認購</w:t>
      </w:r>
      <w:r w:rsidRPr="007B5D03">
        <w:rPr>
          <w:rFonts w:hAnsi="標楷體"/>
          <w:sz w:val="30"/>
          <w:szCs w:val="30"/>
        </w:rPr>
        <w:t>（售）權證的發行，購買認購（售）權證者對其所支付之權利金不再享有權利。其因權利金之支付而取得之權利為以發行人之信用為基礎的選擇權：有權選擇是否在約定期日或期間，以約定價格向發行人購買（或售出）約定數量之標的證券，或請求以現金的方式結算其選擇利益。</w:t>
      </w:r>
    </w:p>
    <w:p w:rsidR="00514426" w:rsidRPr="007B5D03" w:rsidRDefault="00514426" w:rsidP="00441879">
      <w:pPr>
        <w:snapToGrid w:val="0"/>
        <w:spacing w:line="437" w:lineRule="exact"/>
        <w:ind w:left="1900" w:hanging="312"/>
        <w:rPr>
          <w:sz w:val="30"/>
          <w:szCs w:val="30"/>
        </w:rPr>
      </w:pPr>
      <w:r w:rsidRPr="007B5D03">
        <w:rPr>
          <w:rFonts w:ascii="標楷體" w:hAnsi="標楷體"/>
          <w:sz w:val="30"/>
          <w:szCs w:val="30"/>
        </w:rPr>
        <w:t>3.該</w:t>
      </w:r>
      <w:r w:rsidRPr="007B5D03">
        <w:rPr>
          <w:rFonts w:hAnsi="標楷體"/>
          <w:sz w:val="30"/>
          <w:szCs w:val="30"/>
        </w:rPr>
        <w:t>選擇利益的有無及大小取決於標的證券（股票）之市場行情，而不取決於發行人之經營能力。將認購（售）權證之發行與股票的發行混為一談，只是</w:t>
      </w:r>
      <w:r w:rsidRPr="00441879">
        <w:rPr>
          <w:rFonts w:hAnsi="標楷體"/>
          <w:spacing w:val="6"/>
          <w:sz w:val="30"/>
          <w:szCs w:val="30"/>
        </w:rPr>
        <w:t>迷惑於二者皆是有價證券之存在形式的結果。是</w:t>
      </w:r>
      <w:r w:rsidRPr="007B5D03">
        <w:rPr>
          <w:rFonts w:hAnsi="標楷體"/>
          <w:sz w:val="30"/>
          <w:szCs w:val="30"/>
        </w:rPr>
        <w:t>故，以認購（售）權證經核定為其他有價證券為基</w:t>
      </w:r>
      <w:r w:rsidRPr="007B5D03">
        <w:rPr>
          <w:rFonts w:hAnsi="標楷體"/>
          <w:sz w:val="30"/>
          <w:szCs w:val="30"/>
        </w:rPr>
        <w:lastRenderedPageBreak/>
        <w:t>礎，將認購（售）權證之發行與股票之發行同視，有違反平等原則之錯誤類比的情事。</w:t>
      </w:r>
    </w:p>
    <w:p w:rsidR="00514426" w:rsidRPr="007B5D03" w:rsidRDefault="00514426" w:rsidP="00441879">
      <w:pPr>
        <w:snapToGrid w:val="0"/>
        <w:spacing w:line="437" w:lineRule="exact"/>
        <w:ind w:left="1900" w:hanging="312"/>
        <w:rPr>
          <w:sz w:val="30"/>
          <w:szCs w:val="30"/>
        </w:rPr>
      </w:pPr>
      <w:r w:rsidRPr="007B5D03">
        <w:rPr>
          <w:rFonts w:ascii="標楷體" w:hAnsi="標楷體"/>
          <w:sz w:val="30"/>
          <w:szCs w:val="30"/>
        </w:rPr>
        <w:t>4.另</w:t>
      </w:r>
      <w:r w:rsidRPr="007B5D03">
        <w:rPr>
          <w:rFonts w:hAnsi="標楷體"/>
          <w:sz w:val="30"/>
          <w:szCs w:val="30"/>
        </w:rPr>
        <w:t>認購（售）權證之發行屬於初級市場，而發行後之認購（售）權證或股票的買賣屬於次級市場。其交易內容雖然皆與股票之交易有關，但論其業務性質及運轉機制事實上並不相同。其間有事務性質上的差異，因此，有疑義時，也應依循不同的事務法則尋找其適合的規範。</w:t>
      </w:r>
    </w:p>
    <w:p w:rsidR="00514426" w:rsidRPr="007B5D03" w:rsidRDefault="00514426" w:rsidP="00441879">
      <w:pPr>
        <w:snapToGrid w:val="0"/>
        <w:spacing w:line="437" w:lineRule="exact"/>
        <w:ind w:left="1900" w:hanging="312"/>
        <w:rPr>
          <w:sz w:val="30"/>
          <w:szCs w:val="30"/>
        </w:rPr>
      </w:pPr>
      <w:r w:rsidRPr="007B5D03">
        <w:rPr>
          <w:rFonts w:ascii="標楷體" w:hAnsi="標楷體"/>
          <w:sz w:val="30"/>
          <w:szCs w:val="30"/>
        </w:rPr>
        <w:t>5.基</w:t>
      </w:r>
      <w:r w:rsidRPr="007B5D03">
        <w:rPr>
          <w:rFonts w:hAnsi="標楷體"/>
          <w:sz w:val="30"/>
          <w:szCs w:val="30"/>
        </w:rPr>
        <w:t>於上述認識，關於認購（售）權證之發行的課稅問題的規範規劃，應從證券化選擇權之買賣的雙務特徵出發。為正確掌握認購（售）權證之課稅事實及負稅能力，該雙務的對價關係要比其證券化重要許多。其證券化在課稅上的意義，極其量僅止於發行後之認購（售）權證的交易應依證券交易有關規定規範其證券交易稅及證券交易所得稅的課徵，不</w:t>
      </w:r>
      <w:r w:rsidRPr="00441879">
        <w:rPr>
          <w:rFonts w:hAnsi="標楷體"/>
          <w:spacing w:val="6"/>
          <w:sz w:val="30"/>
          <w:szCs w:val="30"/>
        </w:rPr>
        <w:t>應影響到其發行權利金及該選擇權之履行準備有</w:t>
      </w:r>
      <w:r w:rsidRPr="007B5D03">
        <w:rPr>
          <w:rFonts w:hAnsi="標楷體"/>
          <w:sz w:val="30"/>
          <w:szCs w:val="30"/>
        </w:rPr>
        <w:t>關之標的證券（股票）的交易所得稅。蓋該選擇權之履行準備屬於該權利金之對待給付的準備，因此</w:t>
      </w:r>
      <w:r w:rsidRPr="00441879">
        <w:rPr>
          <w:rFonts w:hAnsi="標楷體"/>
          <w:spacing w:val="6"/>
          <w:sz w:val="30"/>
          <w:szCs w:val="30"/>
        </w:rPr>
        <w:t>所發生之費用正是該權利金之最為核心的取得費</w:t>
      </w:r>
      <w:r w:rsidRPr="007B5D03">
        <w:rPr>
          <w:rFonts w:hAnsi="標楷體"/>
          <w:sz w:val="30"/>
          <w:szCs w:val="30"/>
        </w:rPr>
        <w:t>用，當然應容許其自該權利金收入扣除。收入成本費用配合原則在證券化選擇權權利金之課稅的適用，應指限制締約費用及履約費用才可論為選擇權權</w:t>
      </w:r>
      <w:r w:rsidRPr="00441879">
        <w:rPr>
          <w:rFonts w:hAnsi="標楷體"/>
          <w:spacing w:val="6"/>
          <w:sz w:val="30"/>
          <w:szCs w:val="30"/>
        </w:rPr>
        <w:t>利金之取得費用，得自後者扣除之。而不是將發生在先之選擇權權利金論為證券交易所得以外之</w:t>
      </w:r>
      <w:r w:rsidRPr="007B5D03">
        <w:rPr>
          <w:rFonts w:hAnsi="標楷體"/>
          <w:sz w:val="30"/>
          <w:szCs w:val="30"/>
        </w:rPr>
        <w:t>一般所得，而後自認購（售）權證發行後開始，與</w:t>
      </w:r>
      <w:r w:rsidRPr="00441879">
        <w:rPr>
          <w:rFonts w:hAnsi="標楷體"/>
          <w:spacing w:val="-6"/>
          <w:sz w:val="30"/>
          <w:szCs w:val="30"/>
        </w:rPr>
        <w:t>股票一樣，將認購（售）權證及其標的證券（股票）</w:t>
      </w:r>
      <w:r w:rsidRPr="007B5D03">
        <w:rPr>
          <w:rFonts w:hAnsi="標楷體"/>
          <w:sz w:val="30"/>
          <w:szCs w:val="30"/>
        </w:rPr>
        <w:lastRenderedPageBreak/>
        <w:t>之交易結果，視其盈虧，一概論為證券交易所得或損失，籠統適用所得稅法第四條之一，不准自權利金收入扣除為準備履行其對待給付（選擇權債務）而發生之標的證券（股票）交易損失。蓋若對於選擇權交易之權利金課徵所得稅，便應承認，為履行其對待給付所發生之費用是其取得費用，得自該權利金扣除之。為防止濫用只須將得扣除之取得費用</w:t>
      </w:r>
      <w:r w:rsidRPr="00441879">
        <w:rPr>
          <w:rFonts w:hAnsi="標楷體"/>
          <w:spacing w:val="6"/>
          <w:sz w:val="30"/>
          <w:szCs w:val="30"/>
        </w:rPr>
        <w:t>的範圍限制在發行人為準備履行其對待給付所從</w:t>
      </w:r>
      <w:r w:rsidRPr="007B5D03">
        <w:rPr>
          <w:rFonts w:hAnsi="標楷體"/>
          <w:sz w:val="30"/>
          <w:szCs w:val="30"/>
        </w:rPr>
        <w:t>事之標的證券（股票）的交易。這在稽徵技術上並無不能克服的困難。或謂認購（售）權證發行人從事標的證券（股票）的交易取得證券交易所得時，</w:t>
      </w:r>
      <w:r w:rsidRPr="00441879">
        <w:rPr>
          <w:rFonts w:hAnsi="標楷體"/>
          <w:spacing w:val="6"/>
          <w:sz w:val="30"/>
          <w:szCs w:val="30"/>
        </w:rPr>
        <w:t>因為目前並無任何限制其依所得稅法第四條之一</w:t>
      </w:r>
      <w:r w:rsidRPr="007B5D03">
        <w:rPr>
          <w:rFonts w:hAnsi="標楷體"/>
          <w:sz w:val="30"/>
          <w:szCs w:val="30"/>
        </w:rPr>
        <w:t>主張免稅的規定，所以，發行人如因從事標的證券（股票）的交易而有證券交易損失，其扣除自然也不應准許。這是一個似是而非的看法。蓋因沒有限</w:t>
      </w:r>
      <w:r w:rsidRPr="00441879">
        <w:rPr>
          <w:rFonts w:hAnsi="標楷體"/>
          <w:spacing w:val="-6"/>
          <w:sz w:val="30"/>
          <w:szCs w:val="30"/>
        </w:rPr>
        <w:t>制規定而構成的漏洞，在標的證券（股票）的交易，</w:t>
      </w:r>
      <w:r w:rsidRPr="007B5D03">
        <w:rPr>
          <w:rFonts w:hAnsi="標楷體"/>
          <w:sz w:val="30"/>
          <w:szCs w:val="30"/>
        </w:rPr>
        <w:t>縱然可能使稅捐稽徵機關遭受，在有證券交易所得時，不得課稅，而在有證券交易損失時，應准許扣除的不利益。</w:t>
      </w:r>
    </w:p>
    <w:p w:rsidR="00514426" w:rsidRPr="007B5D03" w:rsidRDefault="00514426" w:rsidP="00441879">
      <w:pPr>
        <w:snapToGrid w:val="0"/>
        <w:spacing w:line="437" w:lineRule="exact"/>
        <w:ind w:left="1900" w:hanging="312"/>
        <w:rPr>
          <w:sz w:val="30"/>
          <w:szCs w:val="30"/>
        </w:rPr>
      </w:pPr>
      <w:r w:rsidRPr="007B5D03">
        <w:rPr>
          <w:rFonts w:ascii="標楷體" w:hAnsi="標楷體"/>
          <w:sz w:val="30"/>
          <w:szCs w:val="30"/>
        </w:rPr>
        <w:t>6.但</w:t>
      </w:r>
      <w:r w:rsidRPr="007B5D03">
        <w:rPr>
          <w:rFonts w:hAnsi="標楷體"/>
          <w:sz w:val="30"/>
          <w:szCs w:val="30"/>
        </w:rPr>
        <w:t>因一方面，法律漏洞的不利益不應由納稅義務人負擔，另一方面在認購（售）權證的發行，其標的證券（股票）的交易，發生證券交易損失的或然率大於發生證券交易所得的或然率。其理由為：當基本情勢為：市場行情看漲時，認購權證才有人買；</w:t>
      </w:r>
      <w:r w:rsidRPr="009B68D4">
        <w:rPr>
          <w:rFonts w:hAnsi="標楷體"/>
          <w:spacing w:val="-6"/>
          <w:sz w:val="30"/>
          <w:szCs w:val="30"/>
        </w:rPr>
        <w:t>市場行情看跌時，認售權證才有人買。而認購（售）</w:t>
      </w:r>
      <w:r w:rsidRPr="007B5D03">
        <w:rPr>
          <w:rFonts w:hAnsi="標楷體"/>
          <w:sz w:val="30"/>
          <w:szCs w:val="30"/>
        </w:rPr>
        <w:t>權證權利金即是認購（售）權證發行人為購買人確</w:t>
      </w:r>
      <w:r w:rsidRPr="007B5D03">
        <w:rPr>
          <w:rFonts w:hAnsi="標楷體"/>
          <w:sz w:val="30"/>
          <w:szCs w:val="30"/>
        </w:rPr>
        <w:lastRenderedPageBreak/>
        <w:t>保該情勢之判斷正確時可能獲得之利益的對價。</w:t>
      </w:r>
    </w:p>
    <w:p w:rsidR="00514426" w:rsidRPr="007B5D03" w:rsidRDefault="00514426" w:rsidP="009B68D4">
      <w:pPr>
        <w:snapToGrid w:val="0"/>
        <w:spacing w:line="437" w:lineRule="exact"/>
        <w:ind w:left="1900" w:hanging="312"/>
        <w:rPr>
          <w:sz w:val="30"/>
          <w:szCs w:val="30"/>
        </w:rPr>
      </w:pPr>
      <w:r w:rsidRPr="007B5D03">
        <w:rPr>
          <w:rFonts w:ascii="標楷體" w:hAnsi="標楷體"/>
          <w:sz w:val="30"/>
          <w:szCs w:val="30"/>
        </w:rPr>
        <w:t>7.這</w:t>
      </w:r>
      <w:r w:rsidRPr="007B5D03">
        <w:rPr>
          <w:rFonts w:hAnsi="標楷體"/>
          <w:sz w:val="30"/>
          <w:szCs w:val="30"/>
        </w:rPr>
        <w:t>當中發行人必須在該權利金提供之價差空間，從事避險操作，以確保其履行選擇權義務後，最後還能獲利。其操作機制大致為：在認購權證的發行，在發行後，當標的證券（股票）漲價接近或超過約定之履約價格時，發行人必須（融資）買進取得標的證券（股票）備償；反之，跌價接近或超過約定之履約價格時，可以置之不理，蓋在這種情形，認購權證持有人不會行使選擇權，按約定之履約價格購入約定數量之標的證券（股票）。在認售權證的發行，在發行後，當標的證券（股票）跌價接近或超過約定之履約價格時，發行人必須融券賣出標的證券（股票）取得現金備償；反之，漲價接近或超過約定之履約價格時，可以置之不理，蓋在這種情形，認售權證持有人不會行使選擇權，按約定之履約價格售出約定數量之標的證券（股票）。</w:t>
      </w:r>
    </w:p>
    <w:p w:rsidR="00514426" w:rsidRPr="007B5D03" w:rsidRDefault="00514426" w:rsidP="009B68D4">
      <w:pPr>
        <w:snapToGrid w:val="0"/>
        <w:spacing w:line="437" w:lineRule="exact"/>
        <w:ind w:left="1900" w:hanging="312"/>
        <w:rPr>
          <w:sz w:val="30"/>
          <w:szCs w:val="30"/>
        </w:rPr>
      </w:pPr>
      <w:r w:rsidRPr="007B5D03">
        <w:rPr>
          <w:rFonts w:ascii="標楷體" w:hAnsi="標楷體"/>
          <w:sz w:val="30"/>
          <w:szCs w:val="30"/>
        </w:rPr>
        <w:t>8.</w:t>
      </w:r>
      <w:r w:rsidRPr="009B68D4">
        <w:rPr>
          <w:rFonts w:ascii="標楷體" w:hAnsi="標楷體"/>
          <w:spacing w:val="-6"/>
          <w:sz w:val="30"/>
          <w:szCs w:val="30"/>
        </w:rPr>
        <w:t>為</w:t>
      </w:r>
      <w:r w:rsidRPr="009B68D4">
        <w:rPr>
          <w:rFonts w:hAnsi="標楷體"/>
          <w:spacing w:val="-6"/>
          <w:sz w:val="30"/>
          <w:szCs w:val="30"/>
        </w:rPr>
        <w:t>防止認購（售）權證發行人操縱標的證券（股票）</w:t>
      </w:r>
      <w:r w:rsidRPr="007B5D03">
        <w:rPr>
          <w:rFonts w:hAnsi="標楷體"/>
          <w:sz w:val="30"/>
          <w:szCs w:val="30"/>
        </w:rPr>
        <w:t>的行情，財政部證券暨期貨管理委員會就標的證券（股票），除規定發行人「持有數額以風險沖銷策略所需者為限，至多並不得超過認購（售）權證發</w:t>
      </w:r>
      <w:r w:rsidRPr="00CF4822">
        <w:rPr>
          <w:rFonts w:hAnsi="標楷體"/>
          <w:spacing w:val="-12"/>
          <w:sz w:val="30"/>
          <w:szCs w:val="30"/>
        </w:rPr>
        <w:t>行單位所代表之標的股票股數」外，「發行認購（售）</w:t>
      </w:r>
      <w:r w:rsidRPr="007B5D03">
        <w:rPr>
          <w:rFonts w:hAnsi="標楷體"/>
          <w:sz w:val="30"/>
          <w:szCs w:val="30"/>
        </w:rPr>
        <w:t>權證之證券商，於該認購（售）權證存續期間內，除基於風險沖銷之需求而買賣之標的股票外，其自營部門不得另外自行買進賣出該標的股票；發行前自營部門已持有之標的股票，亦應轉入風險沖銷策</w:t>
      </w:r>
      <w:r w:rsidRPr="00CF4822">
        <w:rPr>
          <w:rFonts w:hAnsi="標楷體"/>
          <w:spacing w:val="-6"/>
          <w:sz w:val="30"/>
          <w:szCs w:val="30"/>
        </w:rPr>
        <w:t>略之持有數額內一併計算</w:t>
      </w:r>
      <w:r w:rsidRPr="00CF4822">
        <w:rPr>
          <w:rFonts w:hAnsi="標楷體"/>
          <w:spacing w:val="-6"/>
          <w:sz w:val="20"/>
        </w:rPr>
        <w:t>（註六）</w:t>
      </w:r>
      <w:r w:rsidRPr="00CF4822">
        <w:rPr>
          <w:rFonts w:hAnsi="標楷體"/>
          <w:spacing w:val="-6"/>
          <w:sz w:val="30"/>
          <w:szCs w:val="30"/>
        </w:rPr>
        <w:t>。」基於該規定，就</w:t>
      </w:r>
      <w:r w:rsidRPr="007B5D03">
        <w:rPr>
          <w:rFonts w:hAnsi="標楷體"/>
          <w:sz w:val="30"/>
          <w:szCs w:val="30"/>
        </w:rPr>
        <w:t>認</w:t>
      </w:r>
      <w:r w:rsidRPr="007B5D03">
        <w:rPr>
          <w:rFonts w:hAnsi="標楷體"/>
          <w:sz w:val="30"/>
          <w:szCs w:val="30"/>
        </w:rPr>
        <w:lastRenderedPageBreak/>
        <w:t>購（售）權證之標的股票，發行人不能從事與準備履行其選擇權債務或避險所需以外的買賣。這在制度上，確保認購（售）權證之發行與發行人買賣</w:t>
      </w:r>
      <w:r w:rsidRPr="00CF4822">
        <w:rPr>
          <w:rFonts w:hAnsi="標楷體"/>
          <w:spacing w:val="-6"/>
          <w:sz w:val="30"/>
          <w:szCs w:val="30"/>
        </w:rPr>
        <w:t>標的證券（股票）間的事務關聯，彰顯標的證券（股</w:t>
      </w:r>
      <w:r w:rsidRPr="007B5D03">
        <w:rPr>
          <w:rFonts w:hAnsi="標楷體"/>
          <w:sz w:val="30"/>
          <w:szCs w:val="30"/>
        </w:rPr>
        <w:t>票）之交易發生損失時，該損失構成認購（售）權證發行權利金之成本或費用的事實。</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（八）受憲法保障之課稅原則</w:t>
      </w:r>
    </w:p>
    <w:p w:rsidR="00514426" w:rsidRPr="007B5D03" w:rsidRDefault="00514426" w:rsidP="00CF4822">
      <w:pPr>
        <w:snapToGrid w:val="0"/>
        <w:spacing w:line="437" w:lineRule="exact"/>
        <w:ind w:left="1900" w:hanging="312"/>
        <w:rPr>
          <w:sz w:val="30"/>
          <w:szCs w:val="30"/>
        </w:rPr>
      </w:pPr>
      <w:r w:rsidRPr="007B5D03">
        <w:rPr>
          <w:rFonts w:ascii="標楷體" w:hAnsi="標楷體"/>
          <w:sz w:val="30"/>
          <w:szCs w:val="30"/>
        </w:rPr>
        <w:t>1.在</w:t>
      </w:r>
      <w:r w:rsidRPr="007B5D03">
        <w:rPr>
          <w:rFonts w:hAnsi="標楷體"/>
          <w:sz w:val="30"/>
          <w:szCs w:val="30"/>
        </w:rPr>
        <w:t>稅捐國家固容許國家在無對待給付的情形下，對人民課徵稅捐。但正因為稅捐之課徵必然侵入人民的基本權利，所以，其課徵除必須有法律為其依據外，所依據之法律亦不得違反量能課稅原則（實質課稅原則）或平等原則。</w:t>
      </w:r>
    </w:p>
    <w:p w:rsidR="00514426" w:rsidRPr="007B5D03" w:rsidRDefault="00514426" w:rsidP="00CF4822">
      <w:pPr>
        <w:snapToGrid w:val="0"/>
        <w:spacing w:line="437" w:lineRule="exact"/>
        <w:ind w:left="1900" w:hanging="312"/>
        <w:rPr>
          <w:sz w:val="30"/>
          <w:szCs w:val="30"/>
        </w:rPr>
      </w:pPr>
      <w:r w:rsidRPr="007B5D03">
        <w:rPr>
          <w:rFonts w:ascii="標楷體" w:hAnsi="標楷體"/>
          <w:sz w:val="30"/>
          <w:szCs w:val="30"/>
        </w:rPr>
        <w:t>2.如</w:t>
      </w:r>
      <w:r w:rsidRPr="007B5D03">
        <w:rPr>
          <w:rFonts w:hAnsi="標楷體"/>
          <w:sz w:val="30"/>
          <w:szCs w:val="30"/>
        </w:rPr>
        <w:t>有違反量能課稅原則及實質課稅原則（司法院釋</w:t>
      </w:r>
      <w:r w:rsidRPr="00C36D5E">
        <w:rPr>
          <w:rFonts w:hAnsi="標楷體"/>
          <w:spacing w:val="6"/>
          <w:sz w:val="30"/>
          <w:szCs w:val="30"/>
        </w:rPr>
        <w:t>字第四二０號、釋字第四三八號、釋字第四六０</w:t>
      </w:r>
      <w:r w:rsidRPr="007B5D03">
        <w:rPr>
          <w:rFonts w:hAnsi="標楷體"/>
          <w:sz w:val="30"/>
          <w:szCs w:val="30"/>
        </w:rPr>
        <w:t>號、釋字第四九三號、釋字第四九六號、釋字第五００號、釋字第六二０號解釋）或平等原則（司法院大法官釋字第四三八號、釋字第四九三號、釋字第五００號、釋字第五０八號、釋字第六０七號</w:t>
      </w:r>
      <w:r w:rsidRPr="007B5D03">
        <w:rPr>
          <w:rFonts w:hAnsi="標楷體" w:hint="eastAsia"/>
          <w:sz w:val="30"/>
          <w:szCs w:val="30"/>
        </w:rPr>
        <w:t>解釋</w:t>
      </w:r>
      <w:r w:rsidRPr="007B5D03">
        <w:rPr>
          <w:rFonts w:hAnsi="標楷體"/>
          <w:sz w:val="30"/>
          <w:szCs w:val="30"/>
        </w:rPr>
        <w:t>），則縱使其課徵有法律為其依據，其課徵亦因所依據者為惡法，而構成違憲。</w:t>
      </w:r>
    </w:p>
    <w:p w:rsidR="00514426" w:rsidRPr="007B5D03" w:rsidRDefault="00514426" w:rsidP="00C36D5E">
      <w:pPr>
        <w:snapToGrid w:val="0"/>
        <w:spacing w:line="437" w:lineRule="exact"/>
        <w:ind w:left="1900" w:hanging="312"/>
        <w:rPr>
          <w:sz w:val="30"/>
          <w:szCs w:val="30"/>
        </w:rPr>
      </w:pPr>
      <w:r w:rsidRPr="007B5D03">
        <w:rPr>
          <w:rFonts w:ascii="標楷體" w:hAnsi="標楷體"/>
          <w:sz w:val="30"/>
          <w:szCs w:val="30"/>
        </w:rPr>
        <w:t>3.</w:t>
      </w:r>
      <w:r w:rsidRPr="00C36D5E">
        <w:rPr>
          <w:rFonts w:ascii="標楷體" w:hAnsi="標楷體"/>
          <w:spacing w:val="6"/>
          <w:sz w:val="30"/>
          <w:szCs w:val="30"/>
        </w:rPr>
        <w:t>這</w:t>
      </w:r>
      <w:r w:rsidRPr="00C36D5E">
        <w:rPr>
          <w:rFonts w:hAnsi="標楷體"/>
          <w:spacing w:val="6"/>
          <w:sz w:val="30"/>
          <w:szCs w:val="30"/>
        </w:rPr>
        <w:t>已是司法院在其上引憲法解釋中一再重申的原</w:t>
      </w:r>
      <w:r w:rsidRPr="007B5D03">
        <w:rPr>
          <w:rFonts w:hAnsi="標楷體"/>
          <w:sz w:val="30"/>
          <w:szCs w:val="30"/>
        </w:rPr>
        <w:t>則。只是職掌稅捐之稽徵的財政部時而不察而有違反該等原則之解釋函令，以致其下級稅捐稽徵機關一再有因此違憲課徵的情事。司法機關時而亦不疑有他誤信財政部函釋的正確性，而進一步誤判，以</w:t>
      </w:r>
      <w:r w:rsidRPr="00C36D5E">
        <w:rPr>
          <w:rFonts w:hAnsi="標楷體"/>
          <w:spacing w:val="6"/>
          <w:sz w:val="30"/>
          <w:szCs w:val="30"/>
        </w:rPr>
        <w:t>致人民的正當權益不能及時在行政訴訟中獲得保</w:t>
      </w:r>
      <w:r w:rsidRPr="007B5D03">
        <w:rPr>
          <w:rFonts w:hAnsi="標楷體"/>
          <w:sz w:val="30"/>
          <w:szCs w:val="30"/>
        </w:rPr>
        <w:lastRenderedPageBreak/>
        <w:t>障。明確者為：司法院釋字第五九七號解釋明白釋示：「憲法第十九條規定，人民有依法律納稅之義務。所謂依法律納稅，係指租稅主體、租稅客體、稅基、稅率等租稅構成要件，均應依法律明定之。各該法律之內容且應符合量能課稅及公平原則。」依該號解釋之意旨，稅捐法之內容不符合量能課稅及公平原則者，自屬違憲。</w:t>
      </w:r>
    </w:p>
    <w:p w:rsidR="00514426" w:rsidRPr="007B5D03" w:rsidRDefault="00514426" w:rsidP="00C36D5E">
      <w:pPr>
        <w:snapToGrid w:val="0"/>
        <w:spacing w:line="437" w:lineRule="exact"/>
        <w:ind w:left="1900" w:hanging="312"/>
        <w:rPr>
          <w:sz w:val="30"/>
          <w:szCs w:val="30"/>
        </w:rPr>
      </w:pPr>
      <w:r w:rsidRPr="007B5D03">
        <w:rPr>
          <w:rFonts w:ascii="標楷體" w:hAnsi="標楷體"/>
          <w:sz w:val="30"/>
          <w:szCs w:val="30"/>
        </w:rPr>
        <w:t>4.</w:t>
      </w:r>
      <w:r w:rsidRPr="00C36D5E">
        <w:rPr>
          <w:rFonts w:ascii="標楷體" w:hAnsi="標楷體"/>
          <w:spacing w:val="6"/>
          <w:sz w:val="30"/>
          <w:szCs w:val="30"/>
        </w:rPr>
        <w:t>是</w:t>
      </w:r>
      <w:r w:rsidRPr="00C36D5E">
        <w:rPr>
          <w:rFonts w:hAnsi="標楷體"/>
          <w:spacing w:val="6"/>
          <w:sz w:val="30"/>
          <w:szCs w:val="30"/>
        </w:rPr>
        <w:t>故，當稅捐法之內容違反量能課稅或公平原則</w:t>
      </w:r>
      <w:r w:rsidRPr="007B5D03">
        <w:rPr>
          <w:rFonts w:hAnsi="標楷體"/>
          <w:sz w:val="30"/>
          <w:szCs w:val="30"/>
        </w:rPr>
        <w:t>時，稅捐稽徵機關即不再得以有法律依據為理由，課徵稅捐。而應經由解釋，在現行稅捐法中另外尋找符合量能課稅及公平原則的規定，</w:t>
      </w:r>
      <w:r w:rsidRPr="007B5D03">
        <w:rPr>
          <w:rFonts w:hAnsi="標楷體" w:hint="eastAsia"/>
          <w:sz w:val="30"/>
          <w:szCs w:val="30"/>
        </w:rPr>
        <w:t>作</w:t>
      </w:r>
      <w:r w:rsidRPr="007B5D03">
        <w:rPr>
          <w:rFonts w:hAnsi="標楷體"/>
          <w:sz w:val="30"/>
          <w:szCs w:val="30"/>
        </w:rPr>
        <w:t>為課徵的依</w:t>
      </w:r>
      <w:r w:rsidRPr="00C36D5E">
        <w:rPr>
          <w:rFonts w:hAnsi="標楷體"/>
          <w:spacing w:val="6"/>
          <w:sz w:val="30"/>
          <w:szCs w:val="30"/>
        </w:rPr>
        <w:t>據。特別是在稅捐法的例外規定由於類型化不充</w:t>
      </w:r>
      <w:r w:rsidRPr="007B5D03">
        <w:rPr>
          <w:rFonts w:hAnsi="標楷體"/>
          <w:sz w:val="30"/>
          <w:szCs w:val="30"/>
        </w:rPr>
        <w:t>分，而有部分違憲的情形，應當回復適用原則的規定課稅。要之，人民雖然有依法律納稅之義務，但</w:t>
      </w:r>
      <w:r w:rsidRPr="00C36D5E">
        <w:rPr>
          <w:rFonts w:hAnsi="標楷體"/>
          <w:spacing w:val="6"/>
          <w:sz w:val="30"/>
          <w:szCs w:val="30"/>
        </w:rPr>
        <w:t>稅捐稽徵機關依據來課徵稅捐之法律必須是符合</w:t>
      </w:r>
      <w:r w:rsidRPr="007B5D03">
        <w:rPr>
          <w:rFonts w:hAnsi="標楷體"/>
          <w:sz w:val="30"/>
          <w:szCs w:val="30"/>
        </w:rPr>
        <w:t>量能課稅及公平原則的法律。違反量能課稅原則及</w:t>
      </w:r>
      <w:r w:rsidRPr="00C36D5E">
        <w:rPr>
          <w:rFonts w:hAnsi="標楷體"/>
          <w:spacing w:val="6"/>
          <w:sz w:val="30"/>
          <w:szCs w:val="30"/>
        </w:rPr>
        <w:t>實質課稅原則之顯著的情形為：納稅義務人無所</w:t>
      </w:r>
      <w:r w:rsidRPr="007B5D03">
        <w:rPr>
          <w:rFonts w:hAnsi="標楷體"/>
          <w:sz w:val="30"/>
          <w:szCs w:val="30"/>
        </w:rPr>
        <w:t>得，而對其課以所得稅。至於違反公平原則當指違反平等原則的情形。</w:t>
      </w:r>
    </w:p>
    <w:p w:rsidR="00514426" w:rsidRPr="007B5D03" w:rsidRDefault="00514426" w:rsidP="00C36D5E">
      <w:pPr>
        <w:snapToGrid w:val="0"/>
        <w:spacing w:line="437" w:lineRule="exact"/>
        <w:ind w:left="1900" w:hanging="312"/>
        <w:rPr>
          <w:sz w:val="30"/>
          <w:szCs w:val="30"/>
        </w:rPr>
      </w:pPr>
      <w:r w:rsidRPr="007B5D03">
        <w:rPr>
          <w:rFonts w:ascii="標楷體" w:hAnsi="標楷體"/>
          <w:sz w:val="30"/>
          <w:szCs w:val="30"/>
        </w:rPr>
        <w:t>5.正</w:t>
      </w:r>
      <w:r w:rsidRPr="007B5D03">
        <w:rPr>
          <w:rFonts w:hAnsi="標楷體"/>
          <w:sz w:val="30"/>
          <w:szCs w:val="30"/>
        </w:rPr>
        <w:t>像「有所得就應課以所得稅」一樣；「無所得就不應課以所得稅」是同等的自明道理或事務法則。任何與所得稅之課徵有關的規定，不論其存在於那一個位階，如有違反該道理或事務法則，當然因為</w:t>
      </w:r>
      <w:r w:rsidRPr="00120765">
        <w:rPr>
          <w:rFonts w:hAnsi="標楷體"/>
          <w:spacing w:val="-6"/>
          <w:sz w:val="30"/>
          <w:szCs w:val="30"/>
        </w:rPr>
        <w:t>違反量能課稅原則（實質課稅原則），而違反憲法。</w:t>
      </w:r>
      <w:r w:rsidRPr="007B5D03">
        <w:rPr>
          <w:rFonts w:hAnsi="標楷體"/>
          <w:sz w:val="30"/>
          <w:szCs w:val="30"/>
        </w:rPr>
        <w:t>其實，這當中也同時違反稅捐法定主義。蓋所得稅的課徵，在綜合所得稅以有中華民國來源之所得；</w:t>
      </w:r>
      <w:r w:rsidRPr="007B5D03">
        <w:rPr>
          <w:rFonts w:hAnsi="標楷體"/>
          <w:sz w:val="30"/>
          <w:szCs w:val="30"/>
        </w:rPr>
        <w:lastRenderedPageBreak/>
        <w:t>在營利事業所得稅，以有境內外之所得為要件。無論如何，皆必須有所得，始得課徵所得稅。</w:t>
      </w:r>
    </w:p>
    <w:p w:rsidR="00514426" w:rsidRPr="007B5D03" w:rsidRDefault="00514426" w:rsidP="00120765">
      <w:pPr>
        <w:snapToGrid w:val="0"/>
        <w:spacing w:line="437" w:lineRule="exact"/>
        <w:ind w:left="1900" w:hanging="312"/>
        <w:rPr>
          <w:b/>
          <w:sz w:val="30"/>
          <w:szCs w:val="30"/>
          <w:u w:val="single"/>
        </w:rPr>
      </w:pPr>
      <w:r w:rsidRPr="007B5D03">
        <w:rPr>
          <w:rFonts w:ascii="標楷體" w:hAnsi="標楷體"/>
          <w:sz w:val="30"/>
          <w:szCs w:val="30"/>
        </w:rPr>
        <w:t>6.在</w:t>
      </w:r>
      <w:r w:rsidRPr="007B5D03">
        <w:rPr>
          <w:rFonts w:hAnsi="標楷體"/>
          <w:sz w:val="30"/>
          <w:szCs w:val="30"/>
        </w:rPr>
        <w:t>營利事業所得稅的課徵，實務上為何會發生，在無所得的情形，還是對於特定人課以所得稅？一般</w:t>
      </w:r>
      <w:r w:rsidRPr="00120765">
        <w:rPr>
          <w:rFonts w:hAnsi="標楷體"/>
          <w:spacing w:val="6"/>
          <w:sz w:val="30"/>
          <w:szCs w:val="30"/>
        </w:rPr>
        <w:t>而言，這當然出自於法律規定之規範規劃上的錯</w:t>
      </w:r>
      <w:r w:rsidRPr="007B5D03">
        <w:rPr>
          <w:rFonts w:hAnsi="標楷體"/>
          <w:sz w:val="30"/>
          <w:szCs w:val="30"/>
        </w:rPr>
        <w:t>誤。例如，進貨與銷貨容因業務之具體情況不同，</w:t>
      </w:r>
      <w:r w:rsidRPr="00120765">
        <w:rPr>
          <w:rFonts w:hAnsi="標楷體"/>
          <w:spacing w:val="6"/>
          <w:sz w:val="30"/>
          <w:szCs w:val="30"/>
        </w:rPr>
        <w:t>而有先進後銷，或先銷後進之別，但按諸事務法</w:t>
      </w:r>
      <w:r w:rsidRPr="007B5D03">
        <w:rPr>
          <w:rFonts w:hAnsi="標楷體"/>
          <w:sz w:val="30"/>
          <w:szCs w:val="30"/>
        </w:rPr>
        <w:t>則，永恆不變者為：有進無銷，或有銷無進者，不成商。是故，要對於任何交易課以所得稅，特別是營利事業所得稅，應該從進銷的完整流程觀察，不得有片面或割裂論斷的情事。否則，其法律上之形式論斷必然違反當為要求所應立基之存在基礎。</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7.這</w:t>
      </w:r>
      <w:r w:rsidRPr="007B5D03">
        <w:rPr>
          <w:rFonts w:hAnsi="標楷體"/>
          <w:sz w:val="30"/>
          <w:szCs w:val="30"/>
        </w:rPr>
        <w:t>在稅捐之課徵上的表現為：在課徵上，違反憲法所保障之實質課稅原則（憲法第二十三條）；在課徵之結果上，不當侵害憲法保障之財產權（憲法第十五條），對於無負稅能力者，課以稅捐。當有此種錯誤，特別是在所得稅之稽徵，不得以惡法亦法視之，要納稅義務人期待來年之所得稅法的修正。要之，有稅捐法為依據，只是稅捐法定主義（租稅法律主義）所要求之課稅的必要條件，而非充分條件。當所依據之法律違反量能課稅原則或平等原則時，不得不顧人民的基本權利，盲目課徵，造成苛政。</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二、聲請人對自留額度部分所持見解：</w:t>
      </w:r>
    </w:p>
    <w:p w:rsidR="00514426" w:rsidRPr="007B5D03" w:rsidRDefault="00514426" w:rsidP="00120765">
      <w:pPr>
        <w:snapToGrid w:val="0"/>
        <w:spacing w:line="437" w:lineRule="exact"/>
        <w:ind w:left="567" w:firstLine="318"/>
        <w:rPr>
          <w:sz w:val="30"/>
          <w:szCs w:val="30"/>
        </w:rPr>
      </w:pPr>
      <w:r w:rsidRPr="00120765">
        <w:rPr>
          <w:rFonts w:hAnsi="標楷體"/>
          <w:spacing w:val="6"/>
          <w:sz w:val="30"/>
          <w:szCs w:val="30"/>
        </w:rPr>
        <w:t>依聲請人所受之最高行政法院</w:t>
      </w:r>
      <w:r w:rsidRPr="00120765">
        <w:rPr>
          <w:spacing w:val="6"/>
          <w:sz w:val="30"/>
          <w:szCs w:val="30"/>
        </w:rPr>
        <w:t>98</w:t>
      </w:r>
      <w:r w:rsidRPr="00120765">
        <w:rPr>
          <w:rFonts w:hAnsi="標楷體"/>
          <w:spacing w:val="6"/>
          <w:sz w:val="30"/>
          <w:szCs w:val="30"/>
        </w:rPr>
        <w:t>年度判字第</w:t>
      </w:r>
      <w:r w:rsidRPr="00120765">
        <w:rPr>
          <w:spacing w:val="6"/>
          <w:sz w:val="30"/>
          <w:szCs w:val="30"/>
        </w:rPr>
        <w:t>563</w:t>
      </w:r>
      <w:r w:rsidRPr="00120765">
        <w:rPr>
          <w:rFonts w:hAnsi="標楷體"/>
          <w:spacing w:val="6"/>
          <w:sz w:val="30"/>
          <w:szCs w:val="30"/>
        </w:rPr>
        <w:t>號判決</w:t>
      </w:r>
      <w:r w:rsidRPr="007B5D03">
        <w:rPr>
          <w:rFonts w:hAnsi="標楷體"/>
          <w:sz w:val="30"/>
          <w:szCs w:val="30"/>
        </w:rPr>
        <w:t>之見解，聲請人發行金鼎</w:t>
      </w:r>
      <w:r w:rsidRPr="007B5D03">
        <w:rPr>
          <w:sz w:val="30"/>
          <w:szCs w:val="30"/>
        </w:rPr>
        <w:t>08</w:t>
      </w:r>
      <w:r w:rsidRPr="007B5D03">
        <w:rPr>
          <w:rFonts w:hAnsi="標楷體"/>
          <w:sz w:val="30"/>
          <w:szCs w:val="30"/>
        </w:rPr>
        <w:t>、</w:t>
      </w:r>
      <w:r w:rsidRPr="007B5D03">
        <w:rPr>
          <w:sz w:val="30"/>
          <w:szCs w:val="30"/>
        </w:rPr>
        <w:t>09</w:t>
      </w:r>
      <w:r w:rsidRPr="007B5D03">
        <w:rPr>
          <w:rFonts w:hAnsi="標楷體"/>
          <w:sz w:val="30"/>
          <w:szCs w:val="30"/>
        </w:rPr>
        <w:t>及</w:t>
      </w:r>
      <w:r w:rsidRPr="007B5D03">
        <w:rPr>
          <w:sz w:val="30"/>
          <w:szCs w:val="30"/>
        </w:rPr>
        <w:t>10</w:t>
      </w:r>
      <w:r w:rsidRPr="007B5D03">
        <w:rPr>
          <w:rFonts w:hAnsi="標楷體"/>
          <w:sz w:val="30"/>
          <w:szCs w:val="30"/>
        </w:rPr>
        <w:t>共三檔認購（售）權證</w:t>
      </w:r>
      <w:r w:rsidRPr="007B5D03">
        <w:rPr>
          <w:rFonts w:hAnsi="標楷體"/>
          <w:sz w:val="30"/>
          <w:szCs w:val="30"/>
        </w:rPr>
        <w:lastRenderedPageBreak/>
        <w:t>，以自有資金支應發行價款之部分（即自留額度部分），其「所取得之發行價款性質，依財政部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屬應稅之權利金收入。」且認為「聲請人與其他持有人得自由處分該認購權證之權利，並無二致，亦證聲請人認購自留額度部分，其相對之收入業已實現。」顯見其認為自留額度部分外觀上仍為發行價款，故有權利金收入產生。</w:t>
      </w:r>
    </w:p>
    <w:p w:rsidR="00514426" w:rsidRPr="007B5D03" w:rsidRDefault="00514426" w:rsidP="00120765">
      <w:pPr>
        <w:snapToGrid w:val="0"/>
        <w:spacing w:line="437" w:lineRule="exact"/>
        <w:ind w:left="567" w:firstLine="318"/>
        <w:rPr>
          <w:sz w:val="30"/>
          <w:szCs w:val="30"/>
        </w:rPr>
      </w:pPr>
      <w:r w:rsidRPr="007B5D03">
        <w:rPr>
          <w:rFonts w:hAnsi="標楷體"/>
          <w:sz w:val="30"/>
          <w:szCs w:val="30"/>
        </w:rPr>
        <w:t>惟財政部</w:t>
      </w:r>
      <w:r w:rsidRPr="00120765">
        <w:rPr>
          <w:rFonts w:hAnsi="標楷體"/>
          <w:sz w:val="30"/>
          <w:szCs w:val="30"/>
        </w:rPr>
        <w:t>86</w:t>
      </w:r>
      <w:r w:rsidRPr="007B5D03">
        <w:rPr>
          <w:rFonts w:hAnsi="標楷體"/>
          <w:sz w:val="30"/>
          <w:szCs w:val="30"/>
        </w:rPr>
        <w:t>年</w:t>
      </w:r>
      <w:r w:rsidRPr="007B5D03">
        <w:rPr>
          <w:sz w:val="30"/>
          <w:szCs w:val="30"/>
        </w:rPr>
        <w:t>12</w:t>
      </w:r>
      <w:r w:rsidRPr="007B5D03">
        <w:rPr>
          <w:rFonts w:hAnsi="標楷體"/>
          <w:sz w:val="30"/>
          <w:szCs w:val="30"/>
        </w:rPr>
        <w:t>月函，不分發行價款是否為證券商自行出資或對外募集所生，而一併認定有權利金收入之產生，使聲請人於自行出資部分負擔其所未產生所得之稅捐負擔，是</w:t>
      </w:r>
      <w:r w:rsidRPr="00120765">
        <w:rPr>
          <w:rFonts w:hAnsi="標楷體"/>
          <w:spacing w:val="6"/>
          <w:sz w:val="30"/>
          <w:szCs w:val="30"/>
        </w:rPr>
        <w:t>否有違憲法上量能課稅原則與實質課稅原則？聲請人茲詳</w:t>
      </w:r>
      <w:r w:rsidRPr="007B5D03">
        <w:rPr>
          <w:rFonts w:hAnsi="標楷體"/>
          <w:sz w:val="30"/>
          <w:szCs w:val="30"/>
        </w:rPr>
        <w:t>述理由如下：</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（一）財政部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月函有違量能課稅原則</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1.按</w:t>
      </w:r>
      <w:r w:rsidRPr="007B5D03">
        <w:rPr>
          <w:rFonts w:hAnsi="標楷體"/>
          <w:sz w:val="30"/>
          <w:szCs w:val="30"/>
        </w:rPr>
        <w:t>「憲法第七條平等原則並非指絕對、機械之形式上平等，而係保障人民在法律上地位實質平等。依</w:t>
      </w:r>
      <w:r w:rsidRPr="00120765">
        <w:rPr>
          <w:rFonts w:hAnsi="標楷體"/>
          <w:spacing w:val="8"/>
          <w:sz w:val="30"/>
          <w:szCs w:val="30"/>
        </w:rPr>
        <w:t>租稅平等原則納稅義務人固應按其實質稅負能</w:t>
      </w:r>
      <w:r w:rsidRPr="007B5D03">
        <w:rPr>
          <w:rFonts w:hAnsi="標楷體"/>
          <w:sz w:val="30"/>
          <w:szCs w:val="30"/>
        </w:rPr>
        <w:t>力，負擔應負之稅捐。」</w:t>
      </w:r>
      <w:r w:rsidRPr="007B5D03">
        <w:rPr>
          <w:rFonts w:hAnsi="標楷體" w:hint="eastAsia"/>
          <w:sz w:val="30"/>
          <w:szCs w:val="30"/>
        </w:rPr>
        <w:t>司法院</w:t>
      </w:r>
      <w:r w:rsidRPr="007B5D03">
        <w:rPr>
          <w:rFonts w:hAnsi="標楷體"/>
          <w:sz w:val="30"/>
          <w:szCs w:val="30"/>
        </w:rPr>
        <w:t>釋字第</w:t>
      </w:r>
      <w:r w:rsidRPr="007B5D03">
        <w:rPr>
          <w:sz w:val="30"/>
          <w:szCs w:val="30"/>
        </w:rPr>
        <w:t>565</w:t>
      </w:r>
      <w:r w:rsidRPr="007B5D03">
        <w:rPr>
          <w:rFonts w:hAnsi="標楷體"/>
          <w:sz w:val="30"/>
          <w:szCs w:val="30"/>
        </w:rPr>
        <w:t>號解釋理由書，揭示量能課稅原則之內涵，亦即納稅義務人應按其實質稅負能力，負擔應負之稅捐。故如使</w:t>
      </w:r>
      <w:r w:rsidRPr="00120765">
        <w:rPr>
          <w:rFonts w:hAnsi="標楷體"/>
          <w:spacing w:val="6"/>
          <w:sz w:val="30"/>
          <w:szCs w:val="30"/>
        </w:rPr>
        <w:t>納稅義務人負擔超過其實質稅負能力應負擔之稅</w:t>
      </w:r>
      <w:r w:rsidRPr="007B5D03">
        <w:rPr>
          <w:rFonts w:hAnsi="標楷體"/>
          <w:sz w:val="30"/>
          <w:szCs w:val="30"/>
        </w:rPr>
        <w:t>捐，即有違量能課稅原則。</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2.</w:t>
      </w:r>
      <w:r w:rsidRPr="00F41F93">
        <w:rPr>
          <w:rFonts w:ascii="標楷體" w:hAnsi="標楷體"/>
          <w:spacing w:val="-4"/>
          <w:sz w:val="30"/>
          <w:szCs w:val="30"/>
        </w:rPr>
        <w:t>次</w:t>
      </w:r>
      <w:r w:rsidRPr="00F41F93">
        <w:rPr>
          <w:rFonts w:hAnsi="標楷體"/>
          <w:spacing w:val="-4"/>
          <w:sz w:val="30"/>
          <w:szCs w:val="30"/>
        </w:rPr>
        <w:t>按，只有透過市場交易而使財產有所增益</w:t>
      </w:r>
      <w:r w:rsidRPr="00F41F93">
        <w:rPr>
          <w:rFonts w:hint="eastAsia"/>
          <w:spacing w:val="-4"/>
          <w:sz w:val="30"/>
          <w:szCs w:val="30"/>
        </w:rPr>
        <w:t>（</w:t>
      </w:r>
      <w:r w:rsidRPr="00F41F93">
        <w:rPr>
          <w:rFonts w:hAnsi="標楷體"/>
          <w:spacing w:val="-4"/>
          <w:sz w:val="30"/>
          <w:szCs w:val="30"/>
        </w:rPr>
        <w:t>孳息</w:t>
      </w:r>
      <w:r w:rsidRPr="00F41F93">
        <w:rPr>
          <w:rFonts w:hint="eastAsia"/>
          <w:spacing w:val="-4"/>
          <w:sz w:val="30"/>
          <w:szCs w:val="30"/>
        </w:rPr>
        <w:t>）</w:t>
      </w:r>
      <w:r w:rsidRPr="007B5D03">
        <w:rPr>
          <w:rFonts w:hAnsi="標楷體"/>
          <w:sz w:val="30"/>
          <w:szCs w:val="30"/>
        </w:rPr>
        <w:t>部分，始為所得稅課稅對象，此為純資產增加說輔</w:t>
      </w:r>
      <w:r w:rsidRPr="00F41F93">
        <w:rPr>
          <w:rFonts w:hAnsi="標楷體"/>
          <w:spacing w:val="6"/>
          <w:sz w:val="30"/>
          <w:szCs w:val="30"/>
        </w:rPr>
        <w:t>以市場所得理論下對所得概念之界定（參見附件</w:t>
      </w:r>
      <w:r w:rsidRPr="007B5D03">
        <w:rPr>
          <w:sz w:val="30"/>
          <w:szCs w:val="30"/>
        </w:rPr>
        <w:t>4</w:t>
      </w:r>
      <w:r w:rsidRPr="007B5D03">
        <w:rPr>
          <w:rFonts w:hAnsi="標楷體"/>
          <w:sz w:val="30"/>
          <w:szCs w:val="30"/>
        </w:rPr>
        <w:t>，頁</w:t>
      </w:r>
      <w:r w:rsidRPr="007B5D03">
        <w:rPr>
          <w:sz w:val="30"/>
          <w:szCs w:val="30"/>
        </w:rPr>
        <w:t>65</w:t>
      </w:r>
      <w:r w:rsidRPr="007B5D03">
        <w:rPr>
          <w:rFonts w:hAnsi="標楷體"/>
          <w:sz w:val="30"/>
          <w:szCs w:val="30"/>
        </w:rPr>
        <w:t>以下）。換言之，所得須符合「財產有所增益」且「透過市場交易」之要件。符合以上兩要</w:t>
      </w:r>
      <w:r w:rsidRPr="00F41F93">
        <w:rPr>
          <w:rFonts w:hAnsi="標楷體"/>
          <w:spacing w:val="6"/>
          <w:sz w:val="30"/>
          <w:szCs w:val="30"/>
        </w:rPr>
        <w:t>件之所得，方可謂納稅義務人因參與市場而有收</w:t>
      </w:r>
      <w:r w:rsidRPr="00F41F93">
        <w:rPr>
          <w:rFonts w:hAnsi="標楷體"/>
          <w:spacing w:val="-4"/>
          <w:sz w:val="30"/>
          <w:szCs w:val="30"/>
        </w:rPr>
        <w:lastRenderedPageBreak/>
        <w:t>益；又所謂「財產有所增益」且「透過市場交易」，</w:t>
      </w:r>
      <w:r w:rsidRPr="007B5D03">
        <w:rPr>
          <w:rFonts w:hAnsi="標楷體"/>
          <w:sz w:val="30"/>
          <w:szCs w:val="30"/>
        </w:rPr>
        <w:t>必然須有二個主體間之財產流動，始得構成。</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3.本</w:t>
      </w:r>
      <w:r w:rsidRPr="007B5D03">
        <w:rPr>
          <w:rFonts w:hAnsi="標楷體"/>
          <w:sz w:val="30"/>
          <w:szCs w:val="30"/>
        </w:rPr>
        <w:t>件聲請人因發行認購權證時「臺灣證券交易所股</w:t>
      </w:r>
      <w:r w:rsidRPr="00F41F93">
        <w:rPr>
          <w:rFonts w:hAnsi="標楷體"/>
          <w:spacing w:val="-6"/>
          <w:sz w:val="30"/>
          <w:szCs w:val="30"/>
        </w:rPr>
        <w:t>份有限公司審查認購（售）權證上市作業程序」（下</w:t>
      </w:r>
      <w:r w:rsidRPr="007B5D03">
        <w:rPr>
          <w:rFonts w:hAnsi="標楷體"/>
          <w:sz w:val="30"/>
          <w:szCs w:val="30"/>
        </w:rPr>
        <w:t>稱「</w:t>
      </w:r>
      <w:r w:rsidRPr="00120765">
        <w:rPr>
          <w:rFonts w:hAnsi="標楷體"/>
          <w:spacing w:val="6"/>
          <w:sz w:val="30"/>
          <w:szCs w:val="30"/>
        </w:rPr>
        <w:t>上市</w:t>
      </w:r>
      <w:r w:rsidRPr="007B5D03">
        <w:rPr>
          <w:rFonts w:hAnsi="標楷體"/>
          <w:sz w:val="30"/>
          <w:szCs w:val="30"/>
        </w:rPr>
        <w:t>作業程序」</w:t>
      </w:r>
      <w:r w:rsidRPr="007B5D03">
        <w:rPr>
          <w:rFonts w:hAnsi="標楷體" w:hint="eastAsia"/>
          <w:sz w:val="30"/>
          <w:szCs w:val="30"/>
        </w:rPr>
        <w:t>，</w:t>
      </w:r>
      <w:r w:rsidRPr="007B5D03">
        <w:rPr>
          <w:rFonts w:hAnsi="標楷體"/>
          <w:sz w:val="30"/>
          <w:szCs w:val="30"/>
        </w:rPr>
        <w:t>附件</w:t>
      </w:r>
      <w:r w:rsidRPr="007B5D03">
        <w:rPr>
          <w:sz w:val="30"/>
          <w:szCs w:val="30"/>
        </w:rPr>
        <w:t>5</w:t>
      </w:r>
      <w:r w:rsidRPr="007B5D03">
        <w:rPr>
          <w:rFonts w:hAnsi="標楷體"/>
          <w:sz w:val="30"/>
          <w:szCs w:val="30"/>
        </w:rPr>
        <w:t>）第</w:t>
      </w:r>
      <w:r w:rsidRPr="007B5D03">
        <w:rPr>
          <w:sz w:val="30"/>
          <w:szCs w:val="30"/>
        </w:rPr>
        <w:t>6</w:t>
      </w:r>
      <w:r w:rsidRPr="007B5D03">
        <w:rPr>
          <w:rFonts w:hAnsi="標楷體"/>
          <w:sz w:val="30"/>
          <w:szCs w:val="30"/>
        </w:rPr>
        <w:t>條第</w:t>
      </w:r>
      <w:r w:rsidRPr="007B5D03">
        <w:rPr>
          <w:sz w:val="30"/>
          <w:szCs w:val="30"/>
        </w:rPr>
        <w:t>2</w:t>
      </w:r>
      <w:r w:rsidRPr="007B5D03">
        <w:rPr>
          <w:rFonts w:hAnsi="標楷體"/>
          <w:sz w:val="30"/>
          <w:szCs w:val="30"/>
        </w:rPr>
        <w:t>款第</w:t>
      </w:r>
      <w:r w:rsidRPr="007B5D03">
        <w:rPr>
          <w:sz w:val="30"/>
          <w:szCs w:val="30"/>
        </w:rPr>
        <w:t>6</w:t>
      </w:r>
      <w:r w:rsidRPr="007B5D03">
        <w:rPr>
          <w:rFonts w:hAnsi="標楷體"/>
          <w:sz w:val="30"/>
          <w:szCs w:val="30"/>
        </w:rPr>
        <w:t>目及第</w:t>
      </w:r>
      <w:r w:rsidRPr="007B5D03">
        <w:rPr>
          <w:sz w:val="30"/>
          <w:szCs w:val="30"/>
        </w:rPr>
        <w:t>7</w:t>
      </w:r>
      <w:r w:rsidRPr="007B5D03">
        <w:rPr>
          <w:rFonts w:hAnsi="標楷體"/>
          <w:sz w:val="30"/>
          <w:szCs w:val="30"/>
        </w:rPr>
        <w:t>條第</w:t>
      </w:r>
      <w:r w:rsidRPr="007B5D03">
        <w:rPr>
          <w:sz w:val="30"/>
          <w:szCs w:val="30"/>
        </w:rPr>
        <w:t>1</w:t>
      </w:r>
      <w:r w:rsidRPr="007B5D03">
        <w:rPr>
          <w:rFonts w:hAnsi="標楷體"/>
          <w:sz w:val="30"/>
          <w:szCs w:val="30"/>
        </w:rPr>
        <w:t>款，皆規定須全部銷售完成方得核准上市，因而於無法對外銷售之認購權證部分，依「臺灣證券交易所股份有限公司認購（售）權證上市審查準則」</w:t>
      </w:r>
      <w:r w:rsidRPr="007B5D03">
        <w:rPr>
          <w:rFonts w:hint="eastAsia"/>
          <w:sz w:val="30"/>
          <w:szCs w:val="30"/>
        </w:rPr>
        <w:t>（</w:t>
      </w:r>
      <w:r w:rsidRPr="007B5D03">
        <w:rPr>
          <w:rFonts w:hAnsi="標楷體"/>
          <w:sz w:val="30"/>
          <w:szCs w:val="30"/>
        </w:rPr>
        <w:t>附件</w:t>
      </w:r>
      <w:r w:rsidRPr="007B5D03">
        <w:rPr>
          <w:sz w:val="30"/>
          <w:szCs w:val="30"/>
        </w:rPr>
        <w:t>6</w:t>
      </w:r>
      <w:r w:rsidRPr="007B5D03">
        <w:rPr>
          <w:rFonts w:hint="eastAsia"/>
          <w:sz w:val="30"/>
          <w:szCs w:val="30"/>
        </w:rPr>
        <w:t>）</w:t>
      </w:r>
      <w:r w:rsidRPr="007B5D03">
        <w:rPr>
          <w:rFonts w:hAnsi="標楷體"/>
          <w:sz w:val="30"/>
          <w:szCs w:val="30"/>
        </w:rPr>
        <w:t>第</w:t>
      </w:r>
      <w:r w:rsidRPr="007B5D03">
        <w:rPr>
          <w:sz w:val="30"/>
          <w:szCs w:val="30"/>
        </w:rPr>
        <w:t>10</w:t>
      </w:r>
      <w:r w:rsidRPr="007B5D03">
        <w:rPr>
          <w:rFonts w:hAnsi="標楷體"/>
          <w:sz w:val="30"/>
          <w:szCs w:val="30"/>
        </w:rPr>
        <w:t>條第</w:t>
      </w:r>
      <w:r w:rsidRPr="007B5D03">
        <w:rPr>
          <w:sz w:val="30"/>
          <w:szCs w:val="30"/>
        </w:rPr>
        <w:t>2</w:t>
      </w:r>
      <w:r w:rsidRPr="007B5D03">
        <w:rPr>
          <w:rFonts w:hAnsi="標楷體"/>
          <w:sz w:val="30"/>
          <w:szCs w:val="30"/>
        </w:rPr>
        <w:t>款第</w:t>
      </w:r>
      <w:r w:rsidRPr="007B5D03">
        <w:rPr>
          <w:sz w:val="30"/>
          <w:szCs w:val="30"/>
        </w:rPr>
        <w:t>2</w:t>
      </w:r>
      <w:r w:rsidRPr="007B5D03">
        <w:rPr>
          <w:rFonts w:hAnsi="標楷體"/>
          <w:sz w:val="30"/>
          <w:szCs w:val="30"/>
        </w:rPr>
        <w:t>目，於不超過上市單位</w:t>
      </w:r>
      <w:r w:rsidRPr="007B5D03">
        <w:rPr>
          <w:sz w:val="30"/>
          <w:szCs w:val="30"/>
        </w:rPr>
        <w:t>30%</w:t>
      </w:r>
      <w:r w:rsidRPr="007B5D03">
        <w:rPr>
          <w:rFonts w:hAnsi="標楷體"/>
          <w:sz w:val="30"/>
          <w:szCs w:val="30"/>
        </w:rPr>
        <w:t>部分，以自有帳戶先行撥付相應金額至權利金專戶，使權利金專戶之餘額與權證發行總價款之金額相等，以符臺灣證交所稽核部年度查核對於上市之認購權證所為「權利金專戶之帳戶餘額必須與核准上市時權證發行價款總額相等」之要求，故自留部分實源自聲請人之自有資金，並非自外部取得資金而有經濟效益之流入，更未有不同主體間之財產流動。</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4.</w:t>
      </w:r>
      <w:r w:rsidRPr="007B5D03">
        <w:rPr>
          <w:rStyle w:val="140"/>
          <w:color w:val="auto"/>
          <w:sz w:val="30"/>
          <w:szCs w:val="30"/>
        </w:rPr>
        <w:t>承上所述，聲請人於自留額度部分，係以自身資金支應發行價款，並未由外部留入資金，自無財產之增益，不符合所得須「財產有所增益」之要件。縱然自留額度部分會產生「</w:t>
      </w:r>
      <w:r w:rsidRPr="007B5D03">
        <w:rPr>
          <w:rFonts w:hAnsi="標楷體"/>
          <w:sz w:val="30"/>
          <w:szCs w:val="30"/>
        </w:rPr>
        <w:t>發行認購權證再買回</w:t>
      </w:r>
      <w:r w:rsidRPr="007B5D03">
        <w:rPr>
          <w:rStyle w:val="140"/>
          <w:color w:val="auto"/>
          <w:sz w:val="30"/>
          <w:szCs w:val="30"/>
        </w:rPr>
        <w:t>」之</w:t>
      </w:r>
      <w:r w:rsidRPr="00F41F93">
        <w:rPr>
          <w:rStyle w:val="140"/>
          <w:color w:val="auto"/>
          <w:spacing w:val="6"/>
          <w:sz w:val="30"/>
          <w:szCs w:val="30"/>
        </w:rPr>
        <w:t>會計科目，然此科目依</w:t>
      </w:r>
      <w:r w:rsidRPr="00F41F93">
        <w:rPr>
          <w:rFonts w:hAnsi="標楷體"/>
          <w:spacing w:val="6"/>
          <w:sz w:val="30"/>
          <w:szCs w:val="30"/>
          <w:lang w:val="de-DE"/>
        </w:rPr>
        <w:t>證券商財務報告編製準則</w:t>
      </w:r>
      <w:r w:rsidRPr="007B5D03">
        <w:rPr>
          <w:rFonts w:hAnsi="標楷體"/>
          <w:sz w:val="30"/>
          <w:szCs w:val="30"/>
          <w:lang w:val="de-DE"/>
        </w:rPr>
        <w:t>（下稱「編</w:t>
      </w:r>
      <w:r w:rsidRPr="007B5D03">
        <w:rPr>
          <w:rFonts w:hAnsi="標楷體" w:hint="eastAsia"/>
          <w:sz w:val="30"/>
          <w:szCs w:val="30"/>
          <w:lang w:val="de-DE"/>
        </w:rPr>
        <w:t>製</w:t>
      </w:r>
      <w:r w:rsidRPr="007B5D03">
        <w:rPr>
          <w:rFonts w:hAnsi="標楷體"/>
          <w:sz w:val="30"/>
          <w:szCs w:val="30"/>
          <w:lang w:val="de-DE"/>
        </w:rPr>
        <w:t>準則」，附件</w:t>
      </w:r>
      <w:r w:rsidRPr="007B5D03">
        <w:rPr>
          <w:sz w:val="30"/>
          <w:szCs w:val="30"/>
          <w:lang w:val="de-DE"/>
        </w:rPr>
        <w:t>7</w:t>
      </w:r>
      <w:r w:rsidRPr="007B5D03">
        <w:rPr>
          <w:rFonts w:hAnsi="標楷體"/>
          <w:sz w:val="30"/>
          <w:szCs w:val="30"/>
          <w:lang w:val="de-DE"/>
        </w:rPr>
        <w:t>）第</w:t>
      </w:r>
      <w:r w:rsidRPr="007B5D03">
        <w:rPr>
          <w:sz w:val="30"/>
          <w:szCs w:val="30"/>
          <w:lang w:val="de-DE"/>
        </w:rPr>
        <w:t>15</w:t>
      </w:r>
      <w:r w:rsidRPr="007B5D03">
        <w:rPr>
          <w:rFonts w:hAnsi="標楷體"/>
          <w:sz w:val="30"/>
          <w:szCs w:val="30"/>
          <w:lang w:val="de-DE"/>
        </w:rPr>
        <w:t>條第</w:t>
      </w:r>
      <w:r w:rsidRPr="007B5D03">
        <w:rPr>
          <w:sz w:val="30"/>
          <w:szCs w:val="30"/>
          <w:lang w:val="de-DE"/>
        </w:rPr>
        <w:t>1</w:t>
      </w:r>
      <w:r w:rsidRPr="007B5D03">
        <w:rPr>
          <w:rFonts w:hAnsi="標楷體"/>
          <w:sz w:val="30"/>
          <w:szCs w:val="30"/>
          <w:lang w:val="de-DE"/>
        </w:rPr>
        <w:t>項第</w:t>
      </w:r>
      <w:r w:rsidRPr="007B5D03">
        <w:rPr>
          <w:sz w:val="30"/>
          <w:szCs w:val="30"/>
          <w:lang w:val="de-DE"/>
        </w:rPr>
        <w:t>4</w:t>
      </w:r>
      <w:r w:rsidRPr="007B5D03">
        <w:rPr>
          <w:rFonts w:hAnsi="標楷體"/>
          <w:sz w:val="30"/>
          <w:szCs w:val="30"/>
          <w:lang w:val="de-DE"/>
        </w:rPr>
        <w:t>款之規定，該科目為負債之減項，意義為減少未來應履行之義務，而非有經濟收益之流入，實無資產增加之事實。</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lastRenderedPageBreak/>
        <w:t>5.</w:t>
      </w:r>
      <w:r w:rsidRPr="007B5D03">
        <w:rPr>
          <w:rFonts w:ascii="標楷體" w:hAnsi="標楷體"/>
          <w:sz w:val="30"/>
          <w:szCs w:val="30"/>
          <w:lang w:val="de-DE"/>
        </w:rPr>
        <w:t>再</w:t>
      </w:r>
      <w:r w:rsidRPr="007B5D03">
        <w:rPr>
          <w:rFonts w:hAnsi="標楷體"/>
          <w:sz w:val="30"/>
          <w:szCs w:val="30"/>
          <w:lang w:val="de-DE"/>
        </w:rPr>
        <w:t>者，縱認聲請人於自留額度部分有資產之增益，</w:t>
      </w:r>
      <w:r w:rsidRPr="00F41F93">
        <w:rPr>
          <w:rFonts w:hAnsi="標楷體"/>
          <w:spacing w:val="-4"/>
          <w:sz w:val="30"/>
          <w:szCs w:val="30"/>
          <w:lang w:val="de-DE"/>
        </w:rPr>
        <w:t>然自留</w:t>
      </w:r>
      <w:r w:rsidRPr="00F41F93">
        <w:rPr>
          <w:rFonts w:hAnsi="標楷體"/>
          <w:spacing w:val="-4"/>
          <w:sz w:val="30"/>
          <w:szCs w:val="30"/>
        </w:rPr>
        <w:t>額度</w:t>
      </w:r>
      <w:r w:rsidRPr="00F41F93">
        <w:rPr>
          <w:rFonts w:hAnsi="標楷體"/>
          <w:spacing w:val="-4"/>
          <w:sz w:val="30"/>
          <w:szCs w:val="30"/>
          <w:lang w:val="de-DE"/>
        </w:rPr>
        <w:t>部分之資產增益，亦僅係由聲請人自身</w:t>
      </w:r>
      <w:r w:rsidRPr="007B5D03">
        <w:rPr>
          <w:rFonts w:hAnsi="標楷體"/>
          <w:sz w:val="30"/>
          <w:szCs w:val="30"/>
          <w:lang w:val="de-DE"/>
        </w:rPr>
        <w:t>所</w:t>
      </w:r>
      <w:r w:rsidRPr="007B5D03">
        <w:rPr>
          <w:rFonts w:hAnsi="標楷體"/>
          <w:sz w:val="30"/>
          <w:szCs w:val="30"/>
        </w:rPr>
        <w:t>支出</w:t>
      </w:r>
      <w:r w:rsidRPr="007B5D03">
        <w:rPr>
          <w:rFonts w:hAnsi="標楷體"/>
          <w:sz w:val="30"/>
          <w:szCs w:val="30"/>
          <w:lang w:val="de-DE"/>
        </w:rPr>
        <w:t>之資金所換取，並未透過營業組織對外收取資金為對價而取得，更未有不同主體間之流動，係屬未透過市場交易所取得之所得，並非量能課稅原則下應課稅之對象。</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6.綜</w:t>
      </w:r>
      <w:r w:rsidRPr="007B5D03">
        <w:rPr>
          <w:rFonts w:hAnsi="標楷體"/>
          <w:sz w:val="30"/>
          <w:szCs w:val="30"/>
        </w:rPr>
        <w:t>上所述，聲請人自留額度部分，既不符合財產增益之要件，亦非透過市場交易所取得，是非屬量能課稅原則下具有負稅能力之對象。因此，財政部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月函竟僅因此部分形式上有匯入</w:t>
      </w:r>
      <w:r w:rsidRPr="007B5D03">
        <w:rPr>
          <w:rFonts w:hAnsi="標楷體" w:hint="eastAsia"/>
          <w:sz w:val="30"/>
          <w:szCs w:val="30"/>
        </w:rPr>
        <w:t>權</w:t>
      </w:r>
      <w:r w:rsidRPr="007B5D03">
        <w:rPr>
          <w:rFonts w:hAnsi="標楷體"/>
          <w:sz w:val="30"/>
          <w:szCs w:val="30"/>
        </w:rPr>
        <w:t>利金專戶，外觀上屬發行價款之一部</w:t>
      </w:r>
      <w:r w:rsidRPr="007B5D03">
        <w:rPr>
          <w:rFonts w:hAnsi="標楷體" w:hint="eastAsia"/>
          <w:sz w:val="30"/>
          <w:szCs w:val="30"/>
        </w:rPr>
        <w:t>分</w:t>
      </w:r>
      <w:r w:rsidRPr="007B5D03">
        <w:rPr>
          <w:rFonts w:hAnsi="標楷體"/>
          <w:sz w:val="30"/>
          <w:szCs w:val="30"/>
        </w:rPr>
        <w:t>，即認聲請人有權利金收入之產生，使聲請人負擔超出其實質負稅能力之租稅負擔，顯違反憲法上量能課稅原則即明。</w:t>
      </w:r>
    </w:p>
    <w:p w:rsidR="00514426" w:rsidRPr="007B5D03" w:rsidRDefault="00514426" w:rsidP="00FB2D5A">
      <w:pPr>
        <w:snapToGrid w:val="0"/>
        <w:spacing w:line="437" w:lineRule="exact"/>
        <w:ind w:left="1616" w:hanging="936"/>
        <w:rPr>
          <w:sz w:val="30"/>
          <w:szCs w:val="30"/>
        </w:rPr>
      </w:pPr>
      <w:r w:rsidRPr="007B5D03">
        <w:rPr>
          <w:rFonts w:hAnsi="標楷體"/>
          <w:sz w:val="30"/>
          <w:szCs w:val="30"/>
        </w:rPr>
        <w:t>（二）財政部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月函有違實質課稅原則</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1.</w:t>
      </w:r>
      <w:r w:rsidRPr="00F41F93">
        <w:rPr>
          <w:rFonts w:ascii="標楷體" w:hAnsi="標楷體"/>
          <w:spacing w:val="6"/>
          <w:sz w:val="30"/>
          <w:szCs w:val="30"/>
        </w:rPr>
        <w:t>按</w:t>
      </w:r>
      <w:r w:rsidRPr="00F41F93">
        <w:rPr>
          <w:rFonts w:hAnsi="標楷體"/>
          <w:spacing w:val="6"/>
          <w:sz w:val="30"/>
          <w:szCs w:val="30"/>
        </w:rPr>
        <w:t>「憲法第十九條規定，人民有依法律納稅之義</w:t>
      </w:r>
      <w:r w:rsidRPr="007B5D03">
        <w:rPr>
          <w:rFonts w:hAnsi="標楷體"/>
          <w:sz w:val="30"/>
          <w:szCs w:val="30"/>
        </w:rPr>
        <w:t>務。所謂依法律納稅，係指租稅主體、租稅客體、稅基、稅率等租稅構成要件，均應依法律明定之。各該法律之內容且應符合量能課稅及公平原則。惟法律之規定不能鉅細靡遺，有關課稅之技術性及細節性事項，尚非不得以行政命令為必要之釋示。故</w:t>
      </w:r>
      <w:r w:rsidRPr="00F41F93">
        <w:rPr>
          <w:rFonts w:hAnsi="標楷體"/>
          <w:spacing w:val="6"/>
          <w:sz w:val="30"/>
          <w:szCs w:val="30"/>
        </w:rPr>
        <w:t>主管機關於適用職權範圍內之法律條文發生疑義</w:t>
      </w:r>
      <w:r w:rsidRPr="007B5D03">
        <w:rPr>
          <w:rFonts w:hAnsi="標楷體"/>
          <w:sz w:val="30"/>
          <w:szCs w:val="30"/>
        </w:rPr>
        <w:t>者，本於法定職權就相關規定為闡釋，如其解釋符合各該法律之立法目的、租稅之經濟意義及實質課稅之公平原則，即與租稅法律主義尚無違背」此有　鈞院釋字第</w:t>
      </w:r>
      <w:r w:rsidRPr="007B5D03">
        <w:rPr>
          <w:sz w:val="30"/>
          <w:szCs w:val="30"/>
        </w:rPr>
        <w:t>420</w:t>
      </w:r>
      <w:r w:rsidRPr="007B5D03">
        <w:rPr>
          <w:rFonts w:hAnsi="標楷體"/>
          <w:sz w:val="30"/>
          <w:szCs w:val="30"/>
        </w:rPr>
        <w:t>號、第</w:t>
      </w:r>
      <w:r w:rsidRPr="007B5D03">
        <w:rPr>
          <w:sz w:val="30"/>
          <w:szCs w:val="30"/>
        </w:rPr>
        <w:t>460</w:t>
      </w:r>
      <w:r w:rsidRPr="007B5D03">
        <w:rPr>
          <w:rFonts w:hAnsi="標楷體"/>
          <w:sz w:val="30"/>
          <w:szCs w:val="30"/>
        </w:rPr>
        <w:t>號、第</w:t>
      </w:r>
      <w:r w:rsidRPr="007B5D03">
        <w:rPr>
          <w:sz w:val="30"/>
          <w:szCs w:val="30"/>
        </w:rPr>
        <w:t>519</w:t>
      </w:r>
      <w:r w:rsidRPr="007B5D03">
        <w:rPr>
          <w:rFonts w:hAnsi="標楷體"/>
          <w:sz w:val="30"/>
          <w:szCs w:val="30"/>
        </w:rPr>
        <w:t>號及第</w:t>
      </w:r>
      <w:r w:rsidRPr="007B5D03">
        <w:rPr>
          <w:sz w:val="30"/>
          <w:szCs w:val="30"/>
        </w:rPr>
        <w:t>597</w:t>
      </w:r>
      <w:r w:rsidRPr="007B5D03">
        <w:rPr>
          <w:rFonts w:hAnsi="標楷體"/>
          <w:sz w:val="30"/>
          <w:szCs w:val="30"/>
        </w:rPr>
        <w:t>號解釋可資參照。實質課稅原則於稅制上之運用方</w:t>
      </w:r>
      <w:r w:rsidRPr="007B5D03">
        <w:rPr>
          <w:rFonts w:hAnsi="標楷體"/>
          <w:sz w:val="30"/>
          <w:szCs w:val="30"/>
        </w:rPr>
        <w:lastRenderedPageBreak/>
        <w:t>法為經濟觀察法，此係指在稅捐法之解釋或課稅事實之認定，應以經濟的觀點或方法觀察、認定及判斷，以根據經濟過程或狀態的實質，平等掌握經濟上的給付能力，實現稅捐之課徵的平等性（參見附件</w:t>
      </w:r>
      <w:r w:rsidRPr="007B5D03">
        <w:rPr>
          <w:sz w:val="30"/>
          <w:szCs w:val="30"/>
        </w:rPr>
        <w:t>8</w:t>
      </w:r>
      <w:r w:rsidRPr="007B5D03">
        <w:rPr>
          <w:rFonts w:hAnsi="標楷體"/>
          <w:sz w:val="30"/>
          <w:szCs w:val="30"/>
        </w:rPr>
        <w:t>，頁</w:t>
      </w:r>
      <w:r w:rsidRPr="007B5D03">
        <w:rPr>
          <w:sz w:val="30"/>
          <w:szCs w:val="30"/>
        </w:rPr>
        <w:t>397</w:t>
      </w:r>
      <w:r w:rsidRPr="007B5D03">
        <w:rPr>
          <w:rFonts w:hAnsi="標楷體"/>
          <w:sz w:val="30"/>
          <w:szCs w:val="30"/>
        </w:rPr>
        <w:t>）。</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2.次</w:t>
      </w:r>
      <w:r w:rsidRPr="007B5D03">
        <w:rPr>
          <w:rFonts w:hAnsi="標楷體"/>
          <w:sz w:val="30"/>
          <w:szCs w:val="30"/>
        </w:rPr>
        <w:t>按「稱買賣者，謂當事人約定一方移轉財產權於他方，他方支付價金之契約。當事人就標的物及其價金互相同意時，買賣契約即為成立。」民法第</w:t>
      </w:r>
      <w:r w:rsidRPr="007B5D03">
        <w:rPr>
          <w:sz w:val="30"/>
          <w:szCs w:val="30"/>
        </w:rPr>
        <w:t>345</w:t>
      </w:r>
      <w:r w:rsidRPr="007B5D03">
        <w:rPr>
          <w:rFonts w:hAnsi="標楷體"/>
          <w:sz w:val="30"/>
          <w:szCs w:val="30"/>
        </w:rPr>
        <w:t>條定有明文。是以，如欲以買賣為課稅之原因事實，應就是否有實際為買賣之經濟活動判斷，亦即須具備買賣雙方當事人，且雙方就價金與標的物</w:t>
      </w:r>
      <w:r w:rsidRPr="00F41F93">
        <w:rPr>
          <w:rFonts w:hAnsi="標楷體"/>
          <w:spacing w:val="6"/>
          <w:sz w:val="30"/>
          <w:szCs w:val="30"/>
        </w:rPr>
        <w:t>有合意之意思表示，不應僅以形式上有金錢之流</w:t>
      </w:r>
      <w:r w:rsidRPr="007B5D03">
        <w:rPr>
          <w:rFonts w:hAnsi="標楷體"/>
          <w:sz w:val="30"/>
          <w:szCs w:val="30"/>
        </w:rPr>
        <w:t>動，即謂已有買賣之事實。</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3.本件</w:t>
      </w:r>
      <w:r w:rsidRPr="007B5D03">
        <w:rPr>
          <w:rFonts w:hAnsi="標楷體"/>
          <w:sz w:val="30"/>
          <w:szCs w:val="30"/>
        </w:rPr>
        <w:t>聲請人在認購（售）權證之發行階段，出售與一般投資人時，係將未來特定期限得以特定價格認購（售）特定股票之權利移轉予買方，並取得買方支付之對價；買方因此而取得請求賣方於未來特定期限交付特定價格股票之權利，故有買賣之經濟實質。相較於此，於自留額度部分，聲請人僅係將其</w:t>
      </w:r>
      <w:r w:rsidRPr="00F41F93">
        <w:rPr>
          <w:rFonts w:hAnsi="標楷體"/>
          <w:spacing w:val="6"/>
          <w:sz w:val="30"/>
          <w:szCs w:val="30"/>
        </w:rPr>
        <w:t>自有資金從聲請人其他帳戶轉至聲請人權利金專</w:t>
      </w:r>
      <w:r w:rsidRPr="007B5D03">
        <w:rPr>
          <w:rFonts w:hAnsi="標楷體"/>
          <w:sz w:val="30"/>
          <w:szCs w:val="30"/>
        </w:rPr>
        <w:t>戶，以符合上市審查準則之規定，然實際上並未有交易相對人，亦未自他人取得任何相當之對價，從而根本無銷售之經濟實質可言。</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4.是</w:t>
      </w:r>
      <w:r w:rsidRPr="007B5D03">
        <w:rPr>
          <w:rFonts w:hAnsi="標楷體"/>
          <w:sz w:val="30"/>
          <w:szCs w:val="30"/>
        </w:rPr>
        <w:t>以，於自留額度部分，雖有價金之流動，然此僅</w:t>
      </w:r>
      <w:r w:rsidRPr="006F2978">
        <w:rPr>
          <w:rFonts w:hAnsi="標楷體"/>
          <w:spacing w:val="-6"/>
          <w:sz w:val="30"/>
          <w:szCs w:val="30"/>
        </w:rPr>
        <w:t>為聲請人資金內部之流轉。然從經濟實質觀察，買</w:t>
      </w:r>
      <w:r w:rsidRPr="00120765">
        <w:rPr>
          <w:rFonts w:hAnsi="標楷體"/>
          <w:spacing w:val="6"/>
          <w:sz w:val="30"/>
          <w:szCs w:val="30"/>
        </w:rPr>
        <w:t>賣為一</w:t>
      </w:r>
      <w:r w:rsidRPr="007B5D03">
        <w:rPr>
          <w:rFonts w:hAnsi="標楷體"/>
          <w:sz w:val="30"/>
          <w:szCs w:val="30"/>
        </w:rPr>
        <w:t>契約行為，須買賣雙方意思表示合致方成立，</w:t>
      </w:r>
      <w:r w:rsidRPr="007B5D03">
        <w:rPr>
          <w:rFonts w:hAnsi="標楷體"/>
          <w:sz w:val="30"/>
          <w:szCs w:val="30"/>
        </w:rPr>
        <w:lastRenderedPageBreak/>
        <w:t>自不可能存在買賣雙方為同一人之情形，否則何以為意思表示合致</w:t>
      </w:r>
      <w:r w:rsidRPr="007B5D03">
        <w:rPr>
          <w:rFonts w:hint="eastAsia"/>
          <w:sz w:val="30"/>
          <w:szCs w:val="30"/>
        </w:rPr>
        <w:t>？</w:t>
      </w:r>
      <w:r w:rsidRPr="007B5D03">
        <w:rPr>
          <w:rFonts w:hAnsi="標楷體"/>
          <w:sz w:val="30"/>
          <w:szCs w:val="30"/>
        </w:rPr>
        <w:t>因此，聲請人於自留額度部分實無銷售之實質，既無銷售之交易實質，聲請人更無從因此產生所得。</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5.再</w:t>
      </w:r>
      <w:r w:rsidRPr="007B5D03">
        <w:rPr>
          <w:rFonts w:hAnsi="標楷體"/>
          <w:sz w:val="30"/>
          <w:szCs w:val="30"/>
        </w:rPr>
        <w:t>者，聲請人雖於自留額度部分縱屬持有人身</w:t>
      </w:r>
      <w:r w:rsidRPr="007B5D03">
        <w:rPr>
          <w:rFonts w:hAnsi="標楷體" w:hint="eastAsia"/>
          <w:sz w:val="30"/>
          <w:szCs w:val="30"/>
        </w:rPr>
        <w:t>分</w:t>
      </w:r>
      <w:r w:rsidRPr="007B5D03">
        <w:rPr>
          <w:rFonts w:hAnsi="標楷體"/>
          <w:sz w:val="30"/>
          <w:szCs w:val="30"/>
        </w:rPr>
        <w:t>，然因自身即為發行人，實與其他買方購得到期得以</w:t>
      </w:r>
      <w:r w:rsidRPr="006F2978">
        <w:rPr>
          <w:rFonts w:hAnsi="標楷體"/>
          <w:spacing w:val="-6"/>
          <w:sz w:val="30"/>
          <w:szCs w:val="30"/>
        </w:rPr>
        <w:t>特定價格請求發行人移轉特定股票之權利不同，亦</w:t>
      </w:r>
      <w:r w:rsidRPr="006F2978">
        <w:rPr>
          <w:rFonts w:hAnsi="標楷體"/>
          <w:spacing w:val="6"/>
          <w:sz w:val="30"/>
          <w:szCs w:val="30"/>
        </w:rPr>
        <w:t>與其他買方得藉由到期履約之獲利目的及方式有</w:t>
      </w:r>
      <w:r w:rsidRPr="007B5D03">
        <w:rPr>
          <w:rFonts w:hAnsi="標楷體"/>
          <w:sz w:val="30"/>
          <w:szCs w:val="30"/>
        </w:rPr>
        <w:t>別，難謂與一般持有人之權利相同。</w:t>
      </w:r>
    </w:p>
    <w:p w:rsidR="00514426" w:rsidRPr="007B5D03" w:rsidRDefault="00514426" w:rsidP="00120765">
      <w:pPr>
        <w:snapToGrid w:val="0"/>
        <w:spacing w:line="437" w:lineRule="exact"/>
        <w:ind w:left="1900" w:hanging="312"/>
        <w:rPr>
          <w:sz w:val="30"/>
          <w:szCs w:val="30"/>
        </w:rPr>
      </w:pPr>
      <w:r w:rsidRPr="007B5D03">
        <w:rPr>
          <w:rFonts w:ascii="標楷體" w:hAnsi="標楷體"/>
          <w:sz w:val="30"/>
          <w:szCs w:val="30"/>
        </w:rPr>
        <w:t>6.綜</w:t>
      </w:r>
      <w:r w:rsidRPr="007B5D03">
        <w:rPr>
          <w:rFonts w:hAnsi="標楷體"/>
          <w:sz w:val="30"/>
          <w:szCs w:val="30"/>
        </w:rPr>
        <w:t>上所述，聲請人於自留額度部分並無銷售之經濟實質，且無取得與一般投資人相同之權利，依實質課稅原則，應無所得產生。惟財政部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w:t>
      </w:r>
      <w:r w:rsidRPr="006F2978">
        <w:rPr>
          <w:rFonts w:hAnsi="標楷體"/>
          <w:spacing w:val="6"/>
          <w:sz w:val="30"/>
          <w:szCs w:val="30"/>
        </w:rPr>
        <w:t>卻將無銷售實質之自留額度部分包含在發行價款</w:t>
      </w:r>
      <w:r w:rsidRPr="007B5D03">
        <w:rPr>
          <w:rFonts w:hAnsi="標楷體"/>
          <w:sz w:val="30"/>
          <w:szCs w:val="30"/>
        </w:rPr>
        <w:t>內，併同認定有權利金收入產生，顯牴觸實質課稅原則無疑。</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三、聲請人對避險交易部分所持見解：</w:t>
      </w:r>
    </w:p>
    <w:p w:rsidR="00514426" w:rsidRPr="007B5D03" w:rsidRDefault="00514426" w:rsidP="006F2978">
      <w:pPr>
        <w:snapToGrid w:val="0"/>
        <w:spacing w:line="437" w:lineRule="exact"/>
        <w:ind w:left="567" w:firstLine="318"/>
        <w:rPr>
          <w:sz w:val="30"/>
          <w:szCs w:val="30"/>
        </w:rPr>
      </w:pPr>
      <w:r w:rsidRPr="007B5D03">
        <w:rPr>
          <w:rFonts w:hAnsi="標楷體"/>
          <w:sz w:val="30"/>
          <w:szCs w:val="30"/>
        </w:rPr>
        <w:t>按「自</w:t>
      </w:r>
      <w:smartTag w:uri="urn:schemas-microsoft-com:office:smarttags" w:element="chsdate">
        <w:smartTagPr>
          <w:attr w:name="IsROCDate" w:val="True"/>
          <w:attr w:name="IsLunarDate" w:val="False"/>
          <w:attr w:name="Day" w:val="1"/>
          <w:attr w:name="Month" w:val="1"/>
          <w:attr w:name="Year" w:val="1990"/>
        </w:smartTagPr>
        <w:r w:rsidRPr="007B5D03">
          <w:rPr>
            <w:rFonts w:hAnsi="標楷體"/>
            <w:sz w:val="30"/>
            <w:szCs w:val="30"/>
          </w:rPr>
          <w:t>中華民國七十九年一月一日</w:t>
        </w:r>
      </w:smartTag>
      <w:r w:rsidRPr="007B5D03">
        <w:rPr>
          <w:rFonts w:hAnsi="標楷體"/>
          <w:sz w:val="30"/>
          <w:szCs w:val="30"/>
        </w:rPr>
        <w:t>起，證券交易所得稅停止課徵所得稅，證券交易損失亦不得自所得額中減除」，所得稅法第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定有明文。至所謂「證券交易」之定義，</w:t>
      </w:r>
      <w:r w:rsidRPr="006F2978">
        <w:rPr>
          <w:rFonts w:hAnsi="標楷體"/>
          <w:spacing w:val="6"/>
          <w:sz w:val="30"/>
          <w:szCs w:val="30"/>
        </w:rPr>
        <w:t>依聲請人所受之最高行政法院</w:t>
      </w:r>
      <w:r w:rsidRPr="006F2978">
        <w:rPr>
          <w:spacing w:val="6"/>
          <w:sz w:val="30"/>
          <w:szCs w:val="30"/>
        </w:rPr>
        <w:t>98</w:t>
      </w:r>
      <w:r w:rsidRPr="006F2978">
        <w:rPr>
          <w:rFonts w:hAnsi="標楷體"/>
          <w:spacing w:val="6"/>
          <w:sz w:val="30"/>
          <w:szCs w:val="30"/>
        </w:rPr>
        <w:t>年度判字第</w:t>
      </w:r>
      <w:r w:rsidRPr="006F2978">
        <w:rPr>
          <w:spacing w:val="6"/>
          <w:sz w:val="30"/>
          <w:szCs w:val="30"/>
        </w:rPr>
        <w:t>563</w:t>
      </w:r>
      <w:r w:rsidRPr="006F2978">
        <w:rPr>
          <w:rFonts w:hAnsi="標楷體"/>
          <w:spacing w:val="6"/>
          <w:sz w:val="30"/>
          <w:szCs w:val="30"/>
        </w:rPr>
        <w:t>號判決之</w:t>
      </w:r>
      <w:r w:rsidRPr="00417F12">
        <w:rPr>
          <w:rFonts w:hAnsi="標楷體"/>
          <w:spacing w:val="6"/>
          <w:sz w:val="30"/>
          <w:szCs w:val="30"/>
        </w:rPr>
        <w:t>見解，僅泛認原審（即臺北高等行政法院）</w:t>
      </w:r>
      <w:r w:rsidRPr="00417F12">
        <w:rPr>
          <w:spacing w:val="6"/>
          <w:sz w:val="30"/>
          <w:szCs w:val="30"/>
        </w:rPr>
        <w:t>97</w:t>
      </w:r>
      <w:r w:rsidRPr="00417F12">
        <w:rPr>
          <w:rFonts w:hAnsi="標楷體"/>
          <w:spacing w:val="6"/>
          <w:sz w:val="30"/>
          <w:szCs w:val="30"/>
        </w:rPr>
        <w:t>年度訴字第</w:t>
      </w:r>
      <w:r w:rsidRPr="007B5D03">
        <w:rPr>
          <w:sz w:val="30"/>
          <w:szCs w:val="30"/>
        </w:rPr>
        <w:t>2129</w:t>
      </w:r>
      <w:r w:rsidRPr="007B5D03">
        <w:rPr>
          <w:rFonts w:hAnsi="標楷體"/>
          <w:sz w:val="30"/>
          <w:szCs w:val="30"/>
        </w:rPr>
        <w:t>號判決，已對聲請人就避險交易損失所為主張詳述其得心證之理由，尚無判決不適用法規、適用不當及判決不備理由之情形，等同肯認原審法院（即臺北高等行政法院）「符合證券交易之形式外觀即屬之，並不問買賣雙方對該證券交易其動機及內在主觀意思為何」之見解可採，顯見其亦認該</w:t>
      </w:r>
      <w:r w:rsidRPr="00417F12">
        <w:rPr>
          <w:rFonts w:hAnsi="標楷體"/>
          <w:spacing w:val="6"/>
          <w:sz w:val="30"/>
          <w:szCs w:val="30"/>
        </w:rPr>
        <w:t>條客觀上之</w:t>
      </w:r>
      <w:r w:rsidRPr="00417F12">
        <w:rPr>
          <w:rFonts w:hAnsi="標楷體"/>
          <w:spacing w:val="6"/>
          <w:sz w:val="30"/>
          <w:szCs w:val="30"/>
        </w:rPr>
        <w:lastRenderedPageBreak/>
        <w:t>適用範圍，係及於一切具有證券形式外觀之交</w:t>
      </w:r>
      <w:r w:rsidRPr="007B5D03">
        <w:rPr>
          <w:rFonts w:hAnsi="標楷體"/>
          <w:sz w:val="30"/>
          <w:szCs w:val="30"/>
        </w:rPr>
        <w:t>易。</w:t>
      </w:r>
    </w:p>
    <w:p w:rsidR="00514426" w:rsidRPr="007B5D03" w:rsidRDefault="00514426" w:rsidP="00417F12">
      <w:pPr>
        <w:snapToGrid w:val="0"/>
        <w:spacing w:line="437" w:lineRule="exact"/>
        <w:ind w:left="567" w:firstLine="318"/>
        <w:rPr>
          <w:sz w:val="30"/>
          <w:szCs w:val="30"/>
        </w:rPr>
      </w:pPr>
      <w:r w:rsidRPr="00417F12">
        <w:rPr>
          <w:rFonts w:hAnsi="標楷體"/>
          <w:spacing w:val="6"/>
          <w:sz w:val="30"/>
          <w:szCs w:val="30"/>
        </w:rPr>
        <w:t>惟所得稅法第</w:t>
      </w:r>
      <w:r w:rsidRPr="00417F12">
        <w:rPr>
          <w:spacing w:val="6"/>
          <w:sz w:val="30"/>
          <w:szCs w:val="30"/>
        </w:rPr>
        <w:t>4</w:t>
      </w:r>
      <w:r w:rsidRPr="00417F12">
        <w:rPr>
          <w:rFonts w:hAnsi="標楷體"/>
          <w:spacing w:val="6"/>
          <w:sz w:val="30"/>
          <w:szCs w:val="30"/>
        </w:rPr>
        <w:t>條之</w:t>
      </w:r>
      <w:r w:rsidRPr="00417F12">
        <w:rPr>
          <w:spacing w:val="6"/>
          <w:sz w:val="30"/>
          <w:szCs w:val="30"/>
        </w:rPr>
        <w:t>1</w:t>
      </w:r>
      <w:r w:rsidRPr="00417F12">
        <w:rPr>
          <w:rFonts w:hAnsi="標楷體"/>
          <w:spacing w:val="6"/>
          <w:sz w:val="30"/>
          <w:szCs w:val="30"/>
        </w:rPr>
        <w:t>及據以發</w:t>
      </w:r>
      <w:r w:rsidRPr="00417F12">
        <w:rPr>
          <w:rFonts w:hAnsi="標楷體" w:hint="eastAsia"/>
          <w:spacing w:val="6"/>
          <w:sz w:val="30"/>
          <w:szCs w:val="30"/>
        </w:rPr>
        <w:t>布</w:t>
      </w:r>
      <w:r w:rsidRPr="00417F12">
        <w:rPr>
          <w:rFonts w:hAnsi="標楷體"/>
          <w:spacing w:val="6"/>
          <w:sz w:val="30"/>
          <w:szCs w:val="30"/>
        </w:rPr>
        <w:t>之財政部</w:t>
      </w:r>
      <w:r w:rsidRPr="00417F12">
        <w:rPr>
          <w:spacing w:val="6"/>
          <w:sz w:val="30"/>
          <w:szCs w:val="30"/>
        </w:rPr>
        <w:t>86</w:t>
      </w:r>
      <w:r w:rsidRPr="00417F12">
        <w:rPr>
          <w:rFonts w:hAnsi="標楷體"/>
          <w:spacing w:val="6"/>
          <w:sz w:val="30"/>
          <w:szCs w:val="30"/>
        </w:rPr>
        <w:t>年</w:t>
      </w:r>
      <w:r w:rsidRPr="00417F12">
        <w:rPr>
          <w:spacing w:val="6"/>
          <w:sz w:val="30"/>
          <w:szCs w:val="30"/>
        </w:rPr>
        <w:t>7</w:t>
      </w:r>
      <w:r w:rsidRPr="00417F12">
        <w:rPr>
          <w:rFonts w:hAnsi="標楷體"/>
          <w:spacing w:val="6"/>
          <w:sz w:val="30"/>
          <w:szCs w:val="30"/>
        </w:rPr>
        <w:t>月函</w:t>
      </w:r>
      <w:r w:rsidRPr="007B5D03">
        <w:rPr>
          <w:rFonts w:hAnsi="標楷體"/>
          <w:sz w:val="30"/>
          <w:szCs w:val="30"/>
        </w:rPr>
        <w:t>及</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月函，純以形式外觀認定「證券交易」，而不問各種證券交易之經濟實態，是否有違　鈞院再三肯認之量能課稅原則（實質課稅原則</w:t>
      </w:r>
      <w:r w:rsidRPr="007B5D03">
        <w:rPr>
          <w:rFonts w:hAnsi="標楷體" w:hint="eastAsia"/>
          <w:sz w:val="30"/>
          <w:szCs w:val="30"/>
        </w:rPr>
        <w:t>）</w:t>
      </w:r>
      <w:r w:rsidRPr="007B5D03">
        <w:rPr>
          <w:rFonts w:hint="eastAsia"/>
          <w:sz w:val="30"/>
          <w:szCs w:val="30"/>
        </w:rPr>
        <w:t>？</w:t>
      </w:r>
      <w:r w:rsidRPr="007B5D03">
        <w:rPr>
          <w:rFonts w:hAnsi="標楷體"/>
          <w:sz w:val="30"/>
          <w:szCs w:val="30"/>
        </w:rPr>
        <w:t>其純以形式外觀認定「證券交易」，使依法從事避險交易如證券商者一概不得扣除避險交易損失，而須承擔顯然過高之稅負，是否有違比例原則</w:t>
      </w:r>
      <w:r w:rsidRPr="007B5D03">
        <w:rPr>
          <w:rFonts w:hint="eastAsia"/>
          <w:sz w:val="30"/>
          <w:szCs w:val="30"/>
        </w:rPr>
        <w:t>？</w:t>
      </w:r>
      <w:r w:rsidRPr="007B5D03">
        <w:rPr>
          <w:rFonts w:hAnsi="標楷體"/>
          <w:sz w:val="30"/>
          <w:szCs w:val="30"/>
        </w:rPr>
        <w:t>聲請人茲詳述理由如下：</w:t>
      </w:r>
    </w:p>
    <w:p w:rsidR="00514426" w:rsidRPr="007B5D03" w:rsidRDefault="00514426" w:rsidP="00296142">
      <w:pPr>
        <w:snapToGrid w:val="0"/>
        <w:spacing w:line="437" w:lineRule="exact"/>
        <w:ind w:left="1503" w:hanging="936"/>
        <w:rPr>
          <w:sz w:val="30"/>
          <w:szCs w:val="30"/>
        </w:rPr>
      </w:pPr>
      <w:r w:rsidRPr="007B5D03">
        <w:rPr>
          <w:rFonts w:hAnsi="標楷體"/>
          <w:sz w:val="30"/>
          <w:szCs w:val="30"/>
        </w:rPr>
        <w:t>（一）所得稅法第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及財政部二函釋違反實質課稅原則</w:t>
      </w:r>
    </w:p>
    <w:p w:rsidR="00514426" w:rsidRPr="007B5D03" w:rsidRDefault="00514426" w:rsidP="00296142">
      <w:pPr>
        <w:snapToGrid w:val="0"/>
        <w:spacing w:line="437" w:lineRule="exact"/>
        <w:ind w:left="1786" w:hanging="312"/>
        <w:rPr>
          <w:sz w:val="30"/>
          <w:szCs w:val="30"/>
        </w:rPr>
      </w:pPr>
      <w:r w:rsidRPr="007B5D03">
        <w:rPr>
          <w:rFonts w:ascii="標楷體" w:hAnsi="標楷體"/>
          <w:sz w:val="30"/>
          <w:szCs w:val="30"/>
        </w:rPr>
        <w:t>1.</w:t>
      </w:r>
      <w:r w:rsidRPr="007B5D03">
        <w:rPr>
          <w:rFonts w:hAnsi="標楷體"/>
          <w:sz w:val="30"/>
          <w:szCs w:val="30"/>
        </w:rPr>
        <w:t>聲請人申請發行認購權證，依法有進行避險交易之法律義務</w:t>
      </w:r>
    </w:p>
    <w:p w:rsidR="00514426" w:rsidRPr="007B5D03" w:rsidRDefault="00514426" w:rsidP="00296142">
      <w:pPr>
        <w:snapToGrid w:val="0"/>
        <w:spacing w:line="437" w:lineRule="exact"/>
        <w:ind w:left="2155" w:hanging="397"/>
        <w:rPr>
          <w:sz w:val="30"/>
          <w:szCs w:val="30"/>
        </w:rPr>
      </w:pPr>
      <w:r w:rsidRPr="007B5D03">
        <w:rPr>
          <w:rFonts w:hAnsi="標楷體" w:hint="eastAsia"/>
          <w:sz w:val="30"/>
          <w:szCs w:val="30"/>
        </w:rPr>
        <w:t>(1)</w:t>
      </w:r>
      <w:r w:rsidRPr="007B5D03">
        <w:rPr>
          <w:rFonts w:hAnsi="標楷體"/>
          <w:sz w:val="30"/>
          <w:szCs w:val="30"/>
        </w:rPr>
        <w:t>本件聲請人發行權證之主要相關法令為「發行人申請發行認購（售）權證處理要點」（下稱「處理要點」，附件</w:t>
      </w:r>
      <w:r w:rsidRPr="007B5D03">
        <w:rPr>
          <w:sz w:val="30"/>
          <w:szCs w:val="30"/>
        </w:rPr>
        <w:t>9</w:t>
      </w:r>
      <w:r w:rsidRPr="007B5D03">
        <w:rPr>
          <w:rFonts w:hAnsi="標楷體"/>
          <w:sz w:val="30"/>
          <w:szCs w:val="30"/>
        </w:rPr>
        <w:t>）及「臺灣證券交易所股份有</w:t>
      </w:r>
      <w:r w:rsidRPr="007E0EDA">
        <w:rPr>
          <w:rFonts w:hAnsi="標楷體"/>
          <w:spacing w:val="-6"/>
          <w:sz w:val="30"/>
          <w:szCs w:val="30"/>
        </w:rPr>
        <w:t>限公司認購（售）權證上市審查準則」（下稱「審查準則」，附件</w:t>
      </w:r>
      <w:r w:rsidRPr="007E0EDA">
        <w:rPr>
          <w:spacing w:val="-6"/>
          <w:sz w:val="30"/>
          <w:szCs w:val="30"/>
        </w:rPr>
        <w:t>6</w:t>
      </w:r>
      <w:r w:rsidRPr="007E0EDA">
        <w:rPr>
          <w:rFonts w:hAnsi="標楷體"/>
          <w:spacing w:val="-6"/>
          <w:sz w:val="30"/>
          <w:szCs w:val="30"/>
        </w:rPr>
        <w:t>）。聲請人於取得主管機關認購</w:t>
      </w:r>
      <w:r w:rsidRPr="007B5D03">
        <w:rPr>
          <w:rFonts w:hAnsi="標楷體"/>
          <w:sz w:val="30"/>
          <w:szCs w:val="30"/>
        </w:rPr>
        <w:t>（售）權證發行人資格後，申請擬發行之認購權證，應檢附發行計畫等相</w:t>
      </w:r>
      <w:r w:rsidRPr="007B5D03">
        <w:rPr>
          <w:rFonts w:hAnsi="標楷體" w:hint="eastAsia"/>
          <w:sz w:val="30"/>
          <w:szCs w:val="30"/>
        </w:rPr>
        <w:t>關</w:t>
      </w:r>
      <w:r w:rsidRPr="007B5D03">
        <w:rPr>
          <w:rFonts w:hAnsi="標楷體"/>
          <w:sz w:val="30"/>
          <w:szCs w:val="30"/>
        </w:rPr>
        <w:t>文件（審查準則第</w:t>
      </w:r>
      <w:r w:rsidRPr="007B5D03">
        <w:rPr>
          <w:sz w:val="30"/>
          <w:szCs w:val="30"/>
        </w:rPr>
        <w:t>4</w:t>
      </w:r>
      <w:r w:rsidRPr="007B5D03">
        <w:rPr>
          <w:rFonts w:hAnsi="標楷體"/>
          <w:sz w:val="30"/>
          <w:szCs w:val="30"/>
        </w:rPr>
        <w:t>條參照），其中發行計畫應載明「預定之風險沖</w:t>
      </w:r>
      <w:r w:rsidRPr="007E0EDA">
        <w:rPr>
          <w:rFonts w:hAnsi="標楷體"/>
          <w:spacing w:val="6"/>
          <w:sz w:val="30"/>
          <w:szCs w:val="30"/>
        </w:rPr>
        <w:t>銷策略」等應記載事項（處理要點</w:t>
      </w:r>
      <w:r w:rsidRPr="007E0EDA">
        <w:rPr>
          <w:spacing w:val="6"/>
          <w:sz w:val="30"/>
          <w:szCs w:val="30"/>
        </w:rPr>
        <w:t>14</w:t>
      </w:r>
      <w:r w:rsidRPr="007E0EDA">
        <w:rPr>
          <w:rFonts w:hAnsi="標楷體"/>
          <w:spacing w:val="6"/>
          <w:sz w:val="30"/>
          <w:szCs w:val="30"/>
        </w:rPr>
        <w:t>、審查準</w:t>
      </w:r>
      <w:r w:rsidRPr="007B5D03">
        <w:rPr>
          <w:rFonts w:hAnsi="標楷體"/>
          <w:sz w:val="30"/>
          <w:szCs w:val="30"/>
        </w:rPr>
        <w:t>則第</w:t>
      </w:r>
      <w:r w:rsidRPr="007B5D03">
        <w:rPr>
          <w:sz w:val="30"/>
          <w:szCs w:val="30"/>
        </w:rPr>
        <w:t>6</w:t>
      </w:r>
      <w:r w:rsidRPr="007B5D03">
        <w:rPr>
          <w:rFonts w:hAnsi="標楷體"/>
          <w:sz w:val="30"/>
          <w:szCs w:val="30"/>
        </w:rPr>
        <w:t>條），供主管機關審查證券商是否具備發行人資格及臺灣證券交易所股份有限公司（下稱臺灣證交所）審查是否同意認購權證上市，合先敘明。</w:t>
      </w:r>
    </w:p>
    <w:p w:rsidR="00514426" w:rsidRPr="007B5D03" w:rsidRDefault="00514426" w:rsidP="007E0EDA">
      <w:pPr>
        <w:snapToGrid w:val="0"/>
        <w:spacing w:line="437" w:lineRule="exact"/>
        <w:ind w:left="2155" w:hanging="397"/>
        <w:rPr>
          <w:sz w:val="30"/>
          <w:szCs w:val="30"/>
        </w:rPr>
      </w:pPr>
      <w:r w:rsidRPr="007B5D03">
        <w:rPr>
          <w:rFonts w:hAnsi="標楷體" w:hint="eastAsia"/>
          <w:sz w:val="30"/>
          <w:szCs w:val="30"/>
        </w:rPr>
        <w:t>(2)</w:t>
      </w:r>
      <w:r w:rsidRPr="007B5D03">
        <w:rPr>
          <w:rFonts w:hAnsi="標楷體"/>
          <w:sz w:val="30"/>
          <w:szCs w:val="30"/>
        </w:rPr>
        <w:t>而按「發行人申請發行認購（售）權證之資格認可者，如有下列情形之一者，本會（證期會）得</w:t>
      </w:r>
      <w:r w:rsidRPr="006412D8">
        <w:rPr>
          <w:rFonts w:hAnsi="標楷體"/>
          <w:spacing w:val="6"/>
          <w:sz w:val="30"/>
          <w:szCs w:val="30"/>
        </w:rPr>
        <w:t>不予</w:t>
      </w:r>
      <w:r w:rsidRPr="006412D8">
        <w:rPr>
          <w:rFonts w:hAnsi="標楷體"/>
          <w:spacing w:val="6"/>
          <w:sz w:val="30"/>
          <w:szCs w:val="30"/>
        </w:rPr>
        <w:lastRenderedPageBreak/>
        <w:t>認可：七、發行人無適當之風險管理措施</w:t>
      </w:r>
      <w:r w:rsidRPr="006412D8">
        <w:rPr>
          <w:rFonts w:hAnsi="標楷體"/>
          <w:spacing w:val="-6"/>
          <w:sz w:val="30"/>
          <w:szCs w:val="30"/>
        </w:rPr>
        <w:t>者。」「申請本公司同意上市之認購（售）權證，</w:t>
      </w:r>
      <w:r w:rsidRPr="007B5D03">
        <w:rPr>
          <w:rFonts w:hAnsi="標楷體"/>
          <w:sz w:val="30"/>
          <w:szCs w:val="30"/>
        </w:rPr>
        <w:t>應符合下列各款規定：</w:t>
      </w:r>
      <w:r w:rsidRPr="007B5D03">
        <w:rPr>
          <w:rFonts w:hint="eastAsia"/>
          <w:sz w:val="30"/>
          <w:szCs w:val="30"/>
        </w:rPr>
        <w:t>……</w:t>
      </w:r>
      <w:r w:rsidRPr="007B5D03">
        <w:rPr>
          <w:rFonts w:hAnsi="標楷體"/>
          <w:sz w:val="30"/>
          <w:szCs w:val="30"/>
        </w:rPr>
        <w:t>五</w:t>
      </w:r>
      <w:r w:rsidRPr="007B5D03">
        <w:rPr>
          <w:sz w:val="30"/>
          <w:szCs w:val="30"/>
        </w:rPr>
        <w:t xml:space="preserve">　</w:t>
      </w:r>
      <w:r w:rsidRPr="007B5D03">
        <w:rPr>
          <w:rFonts w:hAnsi="標楷體"/>
          <w:sz w:val="30"/>
          <w:szCs w:val="30"/>
        </w:rPr>
        <w:t>發行內容須包括</w:t>
      </w:r>
      <w:r w:rsidRPr="006412D8">
        <w:rPr>
          <w:rFonts w:hAnsi="標楷體"/>
          <w:spacing w:val="-10"/>
          <w:sz w:val="30"/>
          <w:szCs w:val="30"/>
        </w:rPr>
        <w:t>下列條款：</w:t>
      </w:r>
      <w:r w:rsidRPr="006412D8">
        <w:rPr>
          <w:rFonts w:hint="eastAsia"/>
          <w:spacing w:val="-10"/>
          <w:sz w:val="30"/>
          <w:szCs w:val="30"/>
        </w:rPr>
        <w:t>……</w:t>
      </w:r>
      <w:r w:rsidRPr="006412D8">
        <w:rPr>
          <w:rFonts w:hAnsi="標楷體"/>
          <w:spacing w:val="-10"/>
          <w:sz w:val="30"/>
          <w:szCs w:val="30"/>
        </w:rPr>
        <w:t>（七）預定之風險沖銷策略。</w:t>
      </w:r>
      <w:r w:rsidRPr="006412D8">
        <w:rPr>
          <w:rFonts w:hint="eastAsia"/>
          <w:spacing w:val="-10"/>
          <w:sz w:val="30"/>
          <w:szCs w:val="30"/>
        </w:rPr>
        <w:t>……</w:t>
      </w:r>
      <w:r w:rsidRPr="006412D8">
        <w:rPr>
          <w:rFonts w:hAnsi="標楷體"/>
          <w:spacing w:val="-10"/>
          <w:sz w:val="30"/>
          <w:szCs w:val="30"/>
        </w:rPr>
        <w:t>」</w:t>
      </w:r>
      <w:r w:rsidRPr="006412D8">
        <w:rPr>
          <w:rFonts w:hAnsi="標楷體"/>
          <w:spacing w:val="6"/>
          <w:sz w:val="30"/>
          <w:szCs w:val="30"/>
        </w:rPr>
        <w:t>處理要點</w:t>
      </w:r>
      <w:r w:rsidRPr="006412D8">
        <w:rPr>
          <w:spacing w:val="6"/>
          <w:sz w:val="30"/>
          <w:szCs w:val="30"/>
        </w:rPr>
        <w:t>14</w:t>
      </w:r>
      <w:r w:rsidRPr="006412D8">
        <w:rPr>
          <w:rFonts w:hAnsi="標楷體"/>
          <w:spacing w:val="6"/>
          <w:sz w:val="30"/>
          <w:szCs w:val="30"/>
        </w:rPr>
        <w:t>與審查準則第</w:t>
      </w:r>
      <w:r w:rsidRPr="006412D8">
        <w:rPr>
          <w:spacing w:val="6"/>
          <w:sz w:val="30"/>
          <w:szCs w:val="30"/>
        </w:rPr>
        <w:t>6</w:t>
      </w:r>
      <w:r w:rsidRPr="006412D8">
        <w:rPr>
          <w:rFonts w:hAnsi="標楷體"/>
          <w:spacing w:val="6"/>
          <w:sz w:val="30"/>
          <w:szCs w:val="30"/>
        </w:rPr>
        <w:t>條第</w:t>
      </w:r>
      <w:r w:rsidRPr="006412D8">
        <w:rPr>
          <w:spacing w:val="6"/>
          <w:sz w:val="30"/>
          <w:szCs w:val="30"/>
        </w:rPr>
        <w:t>5</w:t>
      </w:r>
      <w:r w:rsidRPr="006412D8">
        <w:rPr>
          <w:rFonts w:hAnsi="標楷體"/>
          <w:spacing w:val="6"/>
          <w:sz w:val="30"/>
          <w:szCs w:val="30"/>
        </w:rPr>
        <w:t>款第</w:t>
      </w:r>
      <w:r w:rsidRPr="006412D8">
        <w:rPr>
          <w:spacing w:val="6"/>
          <w:sz w:val="30"/>
          <w:szCs w:val="30"/>
        </w:rPr>
        <w:t>7</w:t>
      </w:r>
      <w:r w:rsidRPr="006412D8">
        <w:rPr>
          <w:rFonts w:hAnsi="標楷體"/>
          <w:spacing w:val="6"/>
          <w:sz w:val="30"/>
          <w:szCs w:val="30"/>
        </w:rPr>
        <w:t>目，</w:t>
      </w:r>
      <w:r w:rsidRPr="007B5D03">
        <w:rPr>
          <w:rFonts w:hAnsi="標楷體"/>
          <w:sz w:val="30"/>
          <w:szCs w:val="30"/>
        </w:rPr>
        <w:t>分別定有明文。綜觀上揭法令規定，聲請人申請發行認購權證時，即有配套附隨進行避險交易之義務。</w:t>
      </w:r>
    </w:p>
    <w:p w:rsidR="00514426" w:rsidRPr="007B5D03" w:rsidRDefault="00514426" w:rsidP="007E0EDA">
      <w:pPr>
        <w:snapToGrid w:val="0"/>
        <w:spacing w:line="437" w:lineRule="exact"/>
        <w:ind w:left="2155" w:hanging="397"/>
        <w:rPr>
          <w:sz w:val="30"/>
          <w:szCs w:val="30"/>
        </w:rPr>
      </w:pPr>
      <w:r w:rsidRPr="007B5D03">
        <w:rPr>
          <w:rFonts w:hAnsi="標楷體" w:hint="eastAsia"/>
          <w:sz w:val="30"/>
          <w:szCs w:val="30"/>
        </w:rPr>
        <w:t>(3)</w:t>
      </w:r>
      <w:r w:rsidRPr="007B5D03">
        <w:rPr>
          <w:rFonts w:hAnsi="標楷體"/>
          <w:sz w:val="30"/>
          <w:szCs w:val="30"/>
        </w:rPr>
        <w:t>次按「發行人如為自行避險或部分自行避險，該專戶應作為發行認購（售）權證之後建立避險部</w:t>
      </w:r>
      <w:r w:rsidRPr="006412D8">
        <w:rPr>
          <w:rFonts w:hAnsi="標楷體"/>
          <w:spacing w:val="6"/>
          <w:sz w:val="30"/>
          <w:szCs w:val="30"/>
        </w:rPr>
        <w:t>位及將來投資人要求履約時提供作為履約專戶</w:t>
      </w:r>
      <w:r w:rsidRPr="007B5D03">
        <w:rPr>
          <w:rFonts w:hAnsi="標楷體"/>
          <w:sz w:val="30"/>
          <w:szCs w:val="30"/>
        </w:rPr>
        <w:t>之用，並只得買賣其所發行之認購權證及標的證券，帳戶中之股票不得申請領回。」「發行人如全數委託其他機構避險，發行人亦須另設專戶，</w:t>
      </w:r>
      <w:r w:rsidRPr="006412D8">
        <w:rPr>
          <w:rFonts w:hAnsi="標楷體"/>
          <w:spacing w:val="6"/>
          <w:sz w:val="30"/>
          <w:szCs w:val="30"/>
        </w:rPr>
        <w:t>作為將來投資人要求履約時提供作為履約專戶</w:t>
      </w:r>
      <w:r w:rsidRPr="007B5D03">
        <w:rPr>
          <w:rFonts w:hAnsi="標楷體"/>
          <w:sz w:val="30"/>
          <w:szCs w:val="30"/>
        </w:rPr>
        <w:t>之用，另其委託之風險管理機構亦須於發行人處開設帳戶，作為其發行認購（售）權證之後建立避險部位之用。」此亦有臺灣證交所</w:t>
      </w:r>
      <w:smartTag w:uri="urn:schemas-microsoft-com:office:smarttags" w:element="chsdate">
        <w:smartTagPr>
          <w:attr w:name="IsROCDate" w:val="False"/>
          <w:attr w:name="IsLunarDate" w:val="False"/>
          <w:attr w:name="Day" w:val="18"/>
          <w:attr w:name="Month" w:val="9"/>
          <w:attr w:name="Year" w:val="1986"/>
        </w:smartTagPr>
        <w:r w:rsidRPr="007B5D03">
          <w:rPr>
            <w:sz w:val="30"/>
            <w:szCs w:val="30"/>
          </w:rPr>
          <w:t>86</w:t>
        </w:r>
        <w:r w:rsidRPr="007B5D03">
          <w:rPr>
            <w:rFonts w:hAnsi="標楷體"/>
            <w:sz w:val="30"/>
            <w:szCs w:val="30"/>
          </w:rPr>
          <w:t>年</w:t>
        </w:r>
        <w:r w:rsidRPr="007B5D03">
          <w:rPr>
            <w:sz w:val="30"/>
            <w:szCs w:val="30"/>
          </w:rPr>
          <w:t>9</w:t>
        </w:r>
        <w:r w:rsidRPr="007B5D03">
          <w:rPr>
            <w:rFonts w:hAnsi="標楷體"/>
            <w:sz w:val="30"/>
            <w:szCs w:val="30"/>
          </w:rPr>
          <w:t>月</w:t>
        </w:r>
        <w:r w:rsidRPr="006412D8">
          <w:rPr>
            <w:spacing w:val="6"/>
            <w:sz w:val="30"/>
            <w:szCs w:val="30"/>
          </w:rPr>
          <w:t>18</w:t>
        </w:r>
        <w:r w:rsidRPr="006412D8">
          <w:rPr>
            <w:rFonts w:hAnsi="標楷體"/>
            <w:spacing w:val="6"/>
            <w:sz w:val="30"/>
            <w:szCs w:val="30"/>
          </w:rPr>
          <w:t>日</w:t>
        </w:r>
      </w:smartTag>
      <w:r w:rsidRPr="006412D8">
        <w:rPr>
          <w:rFonts w:hAnsi="標楷體"/>
          <w:spacing w:val="6"/>
          <w:sz w:val="30"/>
          <w:szCs w:val="30"/>
        </w:rPr>
        <w:t>台證上字第</w:t>
      </w:r>
      <w:r w:rsidRPr="006412D8">
        <w:rPr>
          <w:spacing w:val="6"/>
          <w:sz w:val="30"/>
          <w:szCs w:val="30"/>
        </w:rPr>
        <w:t>29888</w:t>
      </w:r>
      <w:r w:rsidRPr="006412D8">
        <w:rPr>
          <w:rFonts w:hAnsi="標楷體"/>
          <w:spacing w:val="6"/>
          <w:sz w:val="30"/>
          <w:szCs w:val="30"/>
        </w:rPr>
        <w:t>號函（附件</w:t>
      </w:r>
      <w:r w:rsidRPr="006412D8">
        <w:rPr>
          <w:spacing w:val="6"/>
          <w:sz w:val="30"/>
          <w:szCs w:val="30"/>
        </w:rPr>
        <w:t>10</w:t>
      </w:r>
      <w:r w:rsidRPr="006412D8">
        <w:rPr>
          <w:rFonts w:hAnsi="標楷體"/>
          <w:spacing w:val="6"/>
          <w:sz w:val="30"/>
          <w:szCs w:val="30"/>
        </w:rPr>
        <w:t>）足資參</w:t>
      </w:r>
      <w:r w:rsidRPr="007B5D03">
        <w:rPr>
          <w:rFonts w:hAnsi="標楷體"/>
          <w:sz w:val="30"/>
          <w:szCs w:val="30"/>
        </w:rPr>
        <w:t>照。</w:t>
      </w:r>
    </w:p>
    <w:p w:rsidR="00514426" w:rsidRPr="007B5D03" w:rsidRDefault="00514426" w:rsidP="007E0EDA">
      <w:pPr>
        <w:snapToGrid w:val="0"/>
        <w:spacing w:line="437" w:lineRule="exact"/>
        <w:ind w:left="2155" w:hanging="397"/>
        <w:rPr>
          <w:rFonts w:hint="eastAsia"/>
          <w:sz w:val="30"/>
          <w:szCs w:val="30"/>
        </w:rPr>
      </w:pPr>
      <w:r w:rsidRPr="007B5D03">
        <w:rPr>
          <w:rFonts w:hAnsi="標楷體" w:hint="eastAsia"/>
          <w:sz w:val="30"/>
          <w:szCs w:val="30"/>
        </w:rPr>
        <w:t>(4)</w:t>
      </w:r>
      <w:r w:rsidRPr="007B5D03">
        <w:rPr>
          <w:rFonts w:hAnsi="標楷體"/>
          <w:sz w:val="30"/>
          <w:szCs w:val="30"/>
        </w:rPr>
        <w:t>再按「證券商發行認購（售）權證並自行從事風險管理者，得依風險沖銷策略之需求持有所發行認購（售）權證之標的股票</w:t>
      </w:r>
      <w:r w:rsidRPr="007B5D03">
        <w:rPr>
          <w:rFonts w:hint="eastAsia"/>
          <w:sz w:val="30"/>
          <w:szCs w:val="30"/>
        </w:rPr>
        <w:t>……</w:t>
      </w:r>
      <w:r w:rsidRPr="007B5D03">
        <w:rPr>
          <w:rFonts w:hAnsi="標楷體"/>
          <w:sz w:val="30"/>
          <w:szCs w:val="30"/>
        </w:rPr>
        <w:t>。惟其持有數額以風險沖銷策略所需者為限，至多並不得超過認</w:t>
      </w:r>
      <w:r w:rsidRPr="006412D8">
        <w:rPr>
          <w:rFonts w:hAnsi="標楷體"/>
          <w:spacing w:val="-6"/>
          <w:sz w:val="30"/>
          <w:szCs w:val="30"/>
        </w:rPr>
        <w:t>購（售）權證發行單位所代表之標的股票股數。」</w:t>
      </w:r>
      <w:r w:rsidRPr="007B5D03">
        <w:rPr>
          <w:rFonts w:hAnsi="標楷體"/>
          <w:sz w:val="30"/>
          <w:szCs w:val="30"/>
        </w:rPr>
        <w:t>（臺灣證交所</w:t>
      </w:r>
      <w:smartTag w:uri="urn:schemas-microsoft-com:office:smarttags" w:element="chsdate">
        <w:smartTagPr>
          <w:attr w:name="IsROCDate" w:val="False"/>
          <w:attr w:name="IsLunarDate" w:val="False"/>
          <w:attr w:name="Day" w:val="12"/>
          <w:attr w:name="Month" w:val="6"/>
          <w:attr w:name="Year" w:val="1986"/>
        </w:smartTagPr>
        <w:r w:rsidRPr="007B5D03">
          <w:rPr>
            <w:sz w:val="30"/>
            <w:szCs w:val="30"/>
          </w:rPr>
          <w:t>86</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sz w:val="30"/>
          <w:szCs w:val="30"/>
        </w:rPr>
        <w:t>台財證（二）字第</w:t>
      </w:r>
      <w:r w:rsidRPr="007B5D03">
        <w:rPr>
          <w:sz w:val="30"/>
          <w:szCs w:val="30"/>
        </w:rPr>
        <w:t>3294</w:t>
      </w:r>
      <w:r w:rsidRPr="007B5D03">
        <w:rPr>
          <w:rFonts w:hAnsi="標楷體"/>
          <w:sz w:val="30"/>
          <w:szCs w:val="30"/>
        </w:rPr>
        <w:t>號函，附件</w:t>
      </w:r>
      <w:r w:rsidRPr="007B5D03">
        <w:rPr>
          <w:sz w:val="30"/>
          <w:szCs w:val="30"/>
        </w:rPr>
        <w:t>11</w:t>
      </w:r>
      <w:r w:rsidRPr="007B5D03">
        <w:rPr>
          <w:rFonts w:hAnsi="標楷體"/>
          <w:sz w:val="30"/>
          <w:szCs w:val="30"/>
        </w:rPr>
        <w:t>）、「證券商發行認購權證，如係全部自行避險操作者，其避險持有之部位，</w:t>
      </w:r>
      <w:r w:rsidRPr="006412D8">
        <w:rPr>
          <w:rFonts w:hAnsi="標楷體"/>
          <w:spacing w:val="6"/>
          <w:sz w:val="30"/>
          <w:szCs w:val="30"/>
        </w:rPr>
        <w:t>不得超</w:t>
      </w:r>
      <w:r w:rsidRPr="006412D8">
        <w:rPr>
          <w:rFonts w:hAnsi="標楷體"/>
          <w:spacing w:val="6"/>
          <w:sz w:val="30"/>
          <w:szCs w:val="30"/>
        </w:rPr>
        <w:lastRenderedPageBreak/>
        <w:t>過認購權證發行數量所表彰之標的股票</w:t>
      </w:r>
      <w:r w:rsidRPr="007B5D03">
        <w:rPr>
          <w:rFonts w:hAnsi="標楷體"/>
          <w:sz w:val="30"/>
          <w:szCs w:val="30"/>
        </w:rPr>
        <w:t>股數；如係部分自行避險、部分委外避險者，其避險持有之部位，不得超過自行避險部分所表彰之標的股票股數；又如係全部委外避險者，發行</w:t>
      </w:r>
      <w:r w:rsidRPr="006412D8">
        <w:rPr>
          <w:rFonts w:hAnsi="標楷體"/>
          <w:spacing w:val="6"/>
          <w:sz w:val="30"/>
          <w:szCs w:val="30"/>
        </w:rPr>
        <w:t>人依規定仍須向本公司及主管機關申報委外風</w:t>
      </w:r>
      <w:r w:rsidRPr="007B5D03">
        <w:rPr>
          <w:rFonts w:hAnsi="標楷體"/>
          <w:sz w:val="30"/>
          <w:szCs w:val="30"/>
        </w:rPr>
        <w:t>險管理機構之避險相關資料。」（臺灣證交所</w:t>
      </w:r>
      <w:smartTag w:uri="urn:schemas-microsoft-com:office:smarttags" w:element="chsdate">
        <w:smartTagPr>
          <w:attr w:name="IsROCDate" w:val="False"/>
          <w:attr w:name="IsLunarDate" w:val="False"/>
          <w:attr w:name="Day" w:val="12"/>
          <w:attr w:name="Month" w:val="6"/>
          <w:attr w:name="Year" w:val="1986"/>
        </w:smartTagPr>
        <w:r w:rsidRPr="007B5D03">
          <w:rPr>
            <w:sz w:val="30"/>
            <w:szCs w:val="30"/>
          </w:rPr>
          <w:t>86</w:t>
        </w:r>
        <w:r w:rsidRPr="006412D8">
          <w:rPr>
            <w:rFonts w:hAnsi="標楷體"/>
            <w:spacing w:val="-6"/>
            <w:sz w:val="30"/>
            <w:szCs w:val="30"/>
          </w:rPr>
          <w:t>年</w:t>
        </w:r>
        <w:r w:rsidRPr="006412D8">
          <w:rPr>
            <w:spacing w:val="-6"/>
            <w:sz w:val="30"/>
            <w:szCs w:val="30"/>
          </w:rPr>
          <w:t>6</w:t>
        </w:r>
        <w:r w:rsidRPr="006412D8">
          <w:rPr>
            <w:rFonts w:hAnsi="標楷體"/>
            <w:spacing w:val="-6"/>
            <w:sz w:val="30"/>
            <w:szCs w:val="30"/>
          </w:rPr>
          <w:t>月</w:t>
        </w:r>
        <w:r w:rsidRPr="006412D8">
          <w:rPr>
            <w:spacing w:val="-6"/>
            <w:sz w:val="30"/>
            <w:szCs w:val="30"/>
          </w:rPr>
          <w:t>12</w:t>
        </w:r>
        <w:r w:rsidRPr="006412D8">
          <w:rPr>
            <w:rFonts w:hAnsi="標楷體"/>
            <w:spacing w:val="-6"/>
            <w:sz w:val="30"/>
            <w:szCs w:val="30"/>
          </w:rPr>
          <w:t>日</w:t>
        </w:r>
      </w:smartTag>
      <w:r w:rsidRPr="006412D8">
        <w:rPr>
          <w:rFonts w:hAnsi="標楷體"/>
          <w:spacing w:val="-6"/>
          <w:sz w:val="30"/>
          <w:szCs w:val="30"/>
        </w:rPr>
        <w:t>台證上字第</w:t>
      </w:r>
      <w:r w:rsidRPr="006412D8">
        <w:rPr>
          <w:spacing w:val="-6"/>
          <w:sz w:val="30"/>
          <w:szCs w:val="30"/>
        </w:rPr>
        <w:t>23090</w:t>
      </w:r>
      <w:r w:rsidRPr="006412D8">
        <w:rPr>
          <w:rFonts w:hAnsi="標楷體"/>
          <w:spacing w:val="-6"/>
          <w:sz w:val="30"/>
          <w:szCs w:val="30"/>
        </w:rPr>
        <w:t>號函，附件</w:t>
      </w:r>
      <w:r w:rsidRPr="006412D8">
        <w:rPr>
          <w:spacing w:val="-6"/>
          <w:sz w:val="30"/>
          <w:szCs w:val="30"/>
        </w:rPr>
        <w:t>12</w:t>
      </w:r>
      <w:r w:rsidRPr="006412D8">
        <w:rPr>
          <w:rFonts w:hAnsi="標楷體"/>
          <w:spacing w:val="-6"/>
          <w:sz w:val="30"/>
          <w:szCs w:val="30"/>
        </w:rPr>
        <w:t>）</w:t>
      </w:r>
      <w:r w:rsidRPr="006412D8">
        <w:rPr>
          <w:rFonts w:hAnsi="標楷體" w:hint="eastAsia"/>
          <w:spacing w:val="-6"/>
          <w:sz w:val="30"/>
          <w:szCs w:val="30"/>
        </w:rPr>
        <w:t>。</w:t>
      </w:r>
    </w:p>
    <w:p w:rsidR="00514426" w:rsidRPr="007B5D03" w:rsidRDefault="00514426" w:rsidP="006412D8">
      <w:pPr>
        <w:snapToGrid w:val="0"/>
        <w:spacing w:line="437" w:lineRule="exact"/>
        <w:ind w:left="2098" w:hanging="340"/>
        <w:rPr>
          <w:sz w:val="30"/>
          <w:szCs w:val="30"/>
        </w:rPr>
      </w:pPr>
      <w:r w:rsidRPr="007B5D03">
        <w:rPr>
          <w:rFonts w:hAnsi="標楷體" w:hint="eastAsia"/>
          <w:sz w:val="30"/>
          <w:szCs w:val="30"/>
        </w:rPr>
        <w:t>(5)</w:t>
      </w:r>
      <w:r w:rsidRPr="007B5D03">
        <w:rPr>
          <w:rFonts w:hAnsi="標楷體"/>
          <w:sz w:val="30"/>
          <w:szCs w:val="30"/>
        </w:rPr>
        <w:t>參諸前揭法令及主管機關解釋函令意旨，聲請人進行避險交易確係基於證管法令要求之義務，如無進行避險交易，聲請人即不得發行認購（售）權證，此一義務如同扣繳義務般皆為公法上之義務，亦即，聲請人進行避險交易，乃履行公法上之義務。</w:t>
      </w:r>
    </w:p>
    <w:p w:rsidR="00514426" w:rsidRPr="007B5D03" w:rsidRDefault="00514426" w:rsidP="007E0EDA">
      <w:pPr>
        <w:snapToGrid w:val="0"/>
        <w:spacing w:line="437" w:lineRule="exact"/>
        <w:ind w:left="1786" w:hanging="312"/>
        <w:rPr>
          <w:sz w:val="30"/>
          <w:szCs w:val="30"/>
        </w:rPr>
      </w:pPr>
      <w:r w:rsidRPr="007B5D03">
        <w:rPr>
          <w:rFonts w:ascii="標楷體" w:hAnsi="標楷體"/>
          <w:sz w:val="30"/>
          <w:szCs w:val="30"/>
        </w:rPr>
        <w:t>2.為</w:t>
      </w:r>
      <w:r w:rsidRPr="007B5D03">
        <w:rPr>
          <w:rFonts w:hAnsi="標楷體"/>
          <w:sz w:val="30"/>
          <w:szCs w:val="30"/>
        </w:rPr>
        <w:t>應相關證管法令所進行之避險交易，與一般證券交易在經濟實質上迥然有別</w:t>
      </w:r>
    </w:p>
    <w:p w:rsidR="00514426" w:rsidRPr="007B5D03" w:rsidRDefault="00514426" w:rsidP="006412D8">
      <w:pPr>
        <w:snapToGrid w:val="0"/>
        <w:spacing w:line="437" w:lineRule="exact"/>
        <w:ind w:left="1814" w:firstLine="318"/>
        <w:rPr>
          <w:sz w:val="30"/>
          <w:szCs w:val="30"/>
        </w:rPr>
      </w:pPr>
      <w:r w:rsidRPr="007B5D03">
        <w:rPr>
          <w:rFonts w:hAnsi="標楷體"/>
          <w:sz w:val="30"/>
          <w:szCs w:val="30"/>
        </w:rPr>
        <w:t>承上所述，聲請人係本於證管法令要求，而以買賣標的股票或系爭權證之方式進行避險交易。此等交易雖具有證券交易之形式外觀，然若與一般證券交易行為相較，其經濟實質有相當差異</w:t>
      </w:r>
      <w:r w:rsidRPr="007B5D03">
        <w:rPr>
          <w:rFonts w:hint="eastAsia"/>
          <w:sz w:val="30"/>
          <w:szCs w:val="30"/>
        </w:rPr>
        <w:t>（</w:t>
      </w:r>
      <w:r w:rsidRPr="007B5D03">
        <w:rPr>
          <w:rFonts w:hAnsi="標楷體"/>
          <w:sz w:val="30"/>
          <w:szCs w:val="30"/>
        </w:rPr>
        <w:t>按：關於</w:t>
      </w:r>
      <w:r w:rsidRPr="006412D8">
        <w:rPr>
          <w:rFonts w:hAnsi="標楷體"/>
          <w:spacing w:val="6"/>
          <w:sz w:val="30"/>
          <w:szCs w:val="30"/>
        </w:rPr>
        <w:t>一般證券交易與避險交易之本質差異，詳參附件</w:t>
      </w:r>
      <w:r w:rsidRPr="007B5D03">
        <w:rPr>
          <w:sz w:val="30"/>
          <w:szCs w:val="30"/>
        </w:rPr>
        <w:t>13</w:t>
      </w:r>
      <w:r w:rsidRPr="007B5D03">
        <w:rPr>
          <w:rFonts w:hAnsi="標楷體" w:hint="eastAsia"/>
          <w:sz w:val="30"/>
          <w:szCs w:val="30"/>
        </w:rPr>
        <w:t>）</w:t>
      </w:r>
      <w:r w:rsidRPr="007B5D03">
        <w:rPr>
          <w:rFonts w:hAnsi="標楷體"/>
          <w:sz w:val="30"/>
          <w:szCs w:val="30"/>
        </w:rPr>
        <w:t>。茲一一敘明如下：</w:t>
      </w:r>
    </w:p>
    <w:p w:rsidR="00514426" w:rsidRPr="007B5D03" w:rsidRDefault="00514426" w:rsidP="006412D8">
      <w:pPr>
        <w:snapToGrid w:val="0"/>
        <w:spacing w:line="437" w:lineRule="exact"/>
        <w:ind w:left="2127" w:hanging="369"/>
        <w:rPr>
          <w:rFonts w:hint="eastAsia"/>
          <w:sz w:val="30"/>
          <w:szCs w:val="30"/>
        </w:rPr>
      </w:pPr>
      <w:r w:rsidRPr="007B5D03">
        <w:rPr>
          <w:rFonts w:hAnsi="標楷體" w:hint="eastAsia"/>
          <w:sz w:val="30"/>
          <w:szCs w:val="30"/>
        </w:rPr>
        <w:t>(1)</w:t>
      </w:r>
      <w:r w:rsidRPr="007B5D03">
        <w:rPr>
          <w:rFonts w:hAnsi="標楷體"/>
          <w:sz w:val="30"/>
          <w:szCs w:val="30"/>
        </w:rPr>
        <w:t>聲請人因避險所進行之證券交易行為，乃為履行證券主管機關核准發行權證所附之公法負擔，並非為從證券市場獲利</w:t>
      </w:r>
      <w:r w:rsidRPr="007B5D03">
        <w:rPr>
          <w:rFonts w:hAnsi="標楷體" w:hint="eastAsia"/>
          <w:sz w:val="30"/>
          <w:szCs w:val="30"/>
        </w:rPr>
        <w:t>。</w:t>
      </w:r>
    </w:p>
    <w:p w:rsidR="00514426" w:rsidRPr="007B5D03" w:rsidRDefault="00514426" w:rsidP="006412D8">
      <w:pPr>
        <w:snapToGrid w:val="0"/>
        <w:spacing w:line="437" w:lineRule="exact"/>
        <w:ind w:left="2127" w:hanging="369"/>
        <w:rPr>
          <w:sz w:val="30"/>
          <w:szCs w:val="30"/>
        </w:rPr>
      </w:pPr>
      <w:r w:rsidRPr="007B5D03">
        <w:rPr>
          <w:rFonts w:hAnsi="標楷體" w:hint="eastAsia"/>
          <w:sz w:val="30"/>
          <w:szCs w:val="30"/>
        </w:rPr>
        <w:t>(2)</w:t>
      </w:r>
      <w:r w:rsidRPr="007B5D03">
        <w:rPr>
          <w:rFonts w:hAnsi="標楷體"/>
          <w:sz w:val="30"/>
          <w:szCs w:val="30"/>
        </w:rPr>
        <w:t>對聲請人而言，標的股票漲價時，不能出售手中持股獲利了結，反而須加碼購入，增加手中標的股票</w:t>
      </w:r>
      <w:r w:rsidRPr="007B5D03">
        <w:rPr>
          <w:rFonts w:hAnsi="標楷體"/>
          <w:sz w:val="30"/>
          <w:szCs w:val="30"/>
        </w:rPr>
        <w:lastRenderedPageBreak/>
        <w:t>持股數量，以免履約時負擔太重，並確保收</w:t>
      </w:r>
      <w:r w:rsidRPr="006412D8">
        <w:rPr>
          <w:rFonts w:hAnsi="標楷體"/>
          <w:spacing w:val="6"/>
          <w:sz w:val="30"/>
          <w:szCs w:val="30"/>
        </w:rPr>
        <w:t>盤時實際避險部位與預定避險沖銷策略之差額</w:t>
      </w:r>
      <w:r w:rsidRPr="007B5D03">
        <w:rPr>
          <w:rFonts w:hAnsi="標楷體"/>
          <w:sz w:val="30"/>
          <w:szCs w:val="30"/>
        </w:rPr>
        <w:t>在法令容許範圍之內；標的股票跌價時，不能加碼買入標的股票，反須認賠殺出，以確保收盤時</w:t>
      </w:r>
      <w:r w:rsidRPr="006412D8">
        <w:rPr>
          <w:rFonts w:hAnsi="標楷體"/>
          <w:spacing w:val="6"/>
          <w:sz w:val="30"/>
          <w:szCs w:val="30"/>
        </w:rPr>
        <w:t>實際避險部位與預定避險沖銷策略之差額在法</w:t>
      </w:r>
      <w:r w:rsidRPr="007B5D03">
        <w:rPr>
          <w:rFonts w:hAnsi="標楷體"/>
          <w:sz w:val="30"/>
          <w:szCs w:val="30"/>
        </w:rPr>
        <w:t>令容許範圍之內，其避險操作策略須受證券商依</w:t>
      </w:r>
      <w:r w:rsidRPr="006412D8">
        <w:rPr>
          <w:rFonts w:hAnsi="標楷體"/>
          <w:spacing w:val="6"/>
          <w:sz w:val="30"/>
          <w:szCs w:val="30"/>
        </w:rPr>
        <w:t>國際通用標準模式預擬且受證管會證期局監控</w:t>
      </w:r>
      <w:r w:rsidRPr="007B5D03">
        <w:rPr>
          <w:rFonts w:hAnsi="標楷體"/>
          <w:sz w:val="30"/>
          <w:szCs w:val="30"/>
        </w:rPr>
        <w:t>之避險策略公式之限制，僅於</w:t>
      </w:r>
      <w:r w:rsidRPr="007B5D03">
        <w:rPr>
          <w:sz w:val="30"/>
          <w:szCs w:val="30"/>
        </w:rPr>
        <w:t>20%</w:t>
      </w:r>
      <w:r w:rsidRPr="007B5D03">
        <w:rPr>
          <w:rFonts w:hAnsi="標楷體"/>
          <w:sz w:val="30"/>
          <w:szCs w:val="30"/>
        </w:rPr>
        <w:t>範圍內享有決策自由。換言之，聲請人以買賣標的股票或系爭權證之方式進行避險者，</w:t>
      </w:r>
      <w:r w:rsidRPr="007B5D03">
        <w:rPr>
          <w:rFonts w:hAnsi="標楷體"/>
          <w:bCs/>
          <w:sz w:val="30"/>
          <w:szCs w:val="30"/>
        </w:rPr>
        <w:t>與一般「低買高賣」之市場投資決策有明顯差異</w:t>
      </w:r>
      <w:r w:rsidRPr="007B5D03">
        <w:rPr>
          <w:rFonts w:hAnsi="標楷體"/>
          <w:sz w:val="30"/>
          <w:szCs w:val="30"/>
        </w:rPr>
        <w:t>。</w:t>
      </w:r>
    </w:p>
    <w:p w:rsidR="00514426" w:rsidRPr="007B5D03" w:rsidRDefault="00514426" w:rsidP="006412D8">
      <w:pPr>
        <w:snapToGrid w:val="0"/>
        <w:spacing w:line="437" w:lineRule="exact"/>
        <w:ind w:left="2127" w:hanging="369"/>
        <w:rPr>
          <w:sz w:val="30"/>
          <w:szCs w:val="30"/>
        </w:rPr>
      </w:pPr>
      <w:r w:rsidRPr="007B5D03">
        <w:rPr>
          <w:rFonts w:hAnsi="標楷體" w:hint="eastAsia"/>
          <w:sz w:val="30"/>
          <w:szCs w:val="30"/>
        </w:rPr>
        <w:t>(3)</w:t>
      </w:r>
      <w:r w:rsidRPr="007B5D03">
        <w:rPr>
          <w:rFonts w:hAnsi="標楷體"/>
          <w:sz w:val="30"/>
          <w:szCs w:val="30"/>
        </w:rPr>
        <w:t>自權證履約日觀察，亦可發現其避險交易操作策略之不同：</w:t>
      </w:r>
      <w:r w:rsidRPr="007B5D03">
        <w:rPr>
          <w:sz w:val="30"/>
          <w:szCs w:val="30"/>
        </w:rPr>
        <w:t>1.</w:t>
      </w:r>
      <w:r w:rsidRPr="007B5D03">
        <w:rPr>
          <w:rFonts w:hAnsi="標楷體"/>
          <w:sz w:val="30"/>
          <w:szCs w:val="30"/>
        </w:rPr>
        <w:t>當履約日時，標的股票市價超過約定之履約價，聲請人為履約之故，必須以低於公開市場出售標的股票予持有權證之投資人，其間之差額可能會於結算後，高於其權利金數額，即可能產生虧損；</w:t>
      </w:r>
      <w:r w:rsidRPr="007B5D03">
        <w:rPr>
          <w:sz w:val="30"/>
          <w:szCs w:val="30"/>
        </w:rPr>
        <w:t>2.</w:t>
      </w:r>
      <w:r w:rsidRPr="007B5D03">
        <w:rPr>
          <w:rFonts w:hAnsi="標楷體"/>
          <w:sz w:val="30"/>
          <w:szCs w:val="30"/>
        </w:rPr>
        <w:t>當履約日時，標的股票市價低於約定之履約價，持有權證之投資人不會行使認</w:t>
      </w:r>
      <w:r w:rsidRPr="001527E1">
        <w:rPr>
          <w:rFonts w:hAnsi="標楷體"/>
          <w:spacing w:val="6"/>
          <w:sz w:val="30"/>
          <w:szCs w:val="30"/>
        </w:rPr>
        <w:t>購權而買入標的股票，聲請人即有可能於結算</w:t>
      </w:r>
      <w:r w:rsidRPr="007B5D03">
        <w:rPr>
          <w:rFonts w:hAnsi="標楷體"/>
          <w:sz w:val="30"/>
          <w:szCs w:val="30"/>
        </w:rPr>
        <w:t>後，就發行權證取得獲利。簡言之，於權證避險交易下，標的股票市價越低，聲請人越易獲利；相反地，一般證券買賣，股價越低，則虧損隨之擴大，兩者正好相反。</w:t>
      </w:r>
    </w:p>
    <w:p w:rsidR="00514426" w:rsidRPr="007B5D03" w:rsidRDefault="00514426" w:rsidP="001527E1">
      <w:pPr>
        <w:snapToGrid w:val="0"/>
        <w:spacing w:line="437" w:lineRule="exact"/>
        <w:ind w:left="2127" w:hanging="369"/>
        <w:rPr>
          <w:sz w:val="30"/>
          <w:szCs w:val="30"/>
        </w:rPr>
      </w:pPr>
      <w:r w:rsidRPr="007B5D03">
        <w:rPr>
          <w:rFonts w:hAnsi="標楷體" w:hint="eastAsia"/>
          <w:sz w:val="30"/>
          <w:szCs w:val="30"/>
        </w:rPr>
        <w:t>(4)</w:t>
      </w:r>
      <w:r w:rsidRPr="001527E1">
        <w:rPr>
          <w:rFonts w:hAnsi="標楷體"/>
          <w:spacing w:val="6"/>
          <w:sz w:val="30"/>
          <w:szCs w:val="30"/>
        </w:rPr>
        <w:t>避險交易權證發行與權證存續期間之必要配套</w:t>
      </w:r>
      <w:r w:rsidRPr="007B5D03">
        <w:rPr>
          <w:rFonts w:hAnsi="標楷體"/>
          <w:sz w:val="30"/>
          <w:szCs w:val="30"/>
        </w:rPr>
        <w:t>措施，其目的在於確保將來之履約能力，亦即，</w:t>
      </w:r>
      <w:r w:rsidRPr="001527E1">
        <w:rPr>
          <w:rFonts w:hAnsi="標楷體"/>
          <w:spacing w:val="6"/>
          <w:sz w:val="30"/>
          <w:szCs w:val="30"/>
        </w:rPr>
        <w:t>避險交易是認購權證發行整體行為中不可或缺</w:t>
      </w:r>
      <w:r w:rsidRPr="007B5D03">
        <w:rPr>
          <w:rFonts w:hAnsi="標楷體"/>
          <w:sz w:val="30"/>
          <w:szCs w:val="30"/>
        </w:rPr>
        <w:t>之</w:t>
      </w:r>
      <w:r w:rsidRPr="007B5D03">
        <w:rPr>
          <w:rFonts w:hAnsi="標楷體"/>
          <w:sz w:val="30"/>
          <w:szCs w:val="30"/>
        </w:rPr>
        <w:lastRenderedPageBreak/>
        <w:t>一環，不具獨立存在之經濟目的。</w:t>
      </w:r>
    </w:p>
    <w:p w:rsidR="00514426" w:rsidRPr="007B5D03" w:rsidRDefault="00514426" w:rsidP="007E0EDA">
      <w:pPr>
        <w:snapToGrid w:val="0"/>
        <w:spacing w:line="437" w:lineRule="exact"/>
        <w:ind w:left="1786" w:hanging="312"/>
        <w:rPr>
          <w:sz w:val="30"/>
          <w:szCs w:val="30"/>
        </w:rPr>
      </w:pPr>
      <w:r w:rsidRPr="007B5D03">
        <w:rPr>
          <w:rFonts w:ascii="標楷體" w:hAnsi="標楷體"/>
          <w:sz w:val="30"/>
          <w:szCs w:val="30"/>
        </w:rPr>
        <w:t>3.</w:t>
      </w:r>
      <w:r w:rsidRPr="00E3062C">
        <w:rPr>
          <w:rFonts w:ascii="標楷體" w:hAnsi="標楷體"/>
          <w:spacing w:val="6"/>
          <w:sz w:val="30"/>
          <w:szCs w:val="30"/>
        </w:rPr>
        <w:t>所</w:t>
      </w:r>
      <w:r w:rsidRPr="00E3062C">
        <w:rPr>
          <w:rFonts w:hAnsi="標楷體"/>
          <w:spacing w:val="6"/>
          <w:sz w:val="30"/>
          <w:szCs w:val="30"/>
        </w:rPr>
        <w:t>得稅法第</w:t>
      </w:r>
      <w:r w:rsidRPr="00E3062C">
        <w:rPr>
          <w:spacing w:val="6"/>
          <w:sz w:val="30"/>
          <w:szCs w:val="30"/>
        </w:rPr>
        <w:t>4</w:t>
      </w:r>
      <w:r w:rsidRPr="00E3062C">
        <w:rPr>
          <w:rFonts w:hAnsi="標楷體"/>
          <w:spacing w:val="6"/>
          <w:sz w:val="30"/>
          <w:szCs w:val="30"/>
        </w:rPr>
        <w:t>條之</w:t>
      </w:r>
      <w:r w:rsidRPr="00E3062C">
        <w:rPr>
          <w:spacing w:val="6"/>
          <w:sz w:val="30"/>
          <w:szCs w:val="30"/>
        </w:rPr>
        <w:t>1</w:t>
      </w:r>
      <w:r w:rsidRPr="00E3062C">
        <w:rPr>
          <w:rFonts w:hAnsi="標楷體"/>
          <w:spacing w:val="6"/>
          <w:sz w:val="30"/>
          <w:szCs w:val="30"/>
        </w:rPr>
        <w:t>及上揭財政部</w:t>
      </w:r>
      <w:r w:rsidRPr="00E3062C">
        <w:rPr>
          <w:spacing w:val="6"/>
          <w:sz w:val="30"/>
          <w:szCs w:val="30"/>
        </w:rPr>
        <w:t>86</w:t>
      </w:r>
      <w:r w:rsidRPr="00E3062C">
        <w:rPr>
          <w:rFonts w:hAnsi="標楷體"/>
          <w:spacing w:val="6"/>
          <w:sz w:val="30"/>
          <w:szCs w:val="30"/>
        </w:rPr>
        <w:t>年</w:t>
      </w:r>
      <w:r w:rsidRPr="00E3062C">
        <w:rPr>
          <w:rFonts w:hint="eastAsia"/>
          <w:spacing w:val="6"/>
          <w:sz w:val="30"/>
          <w:szCs w:val="30"/>
        </w:rPr>
        <w:t>二</w:t>
      </w:r>
      <w:r w:rsidRPr="00E3062C">
        <w:rPr>
          <w:rFonts w:hAnsi="標楷體"/>
          <w:spacing w:val="6"/>
          <w:sz w:val="30"/>
          <w:szCs w:val="30"/>
        </w:rPr>
        <w:t>函釋不</w:t>
      </w:r>
      <w:r w:rsidRPr="007B5D03">
        <w:rPr>
          <w:rFonts w:hAnsi="標楷體"/>
          <w:sz w:val="30"/>
          <w:szCs w:val="30"/>
        </w:rPr>
        <w:t>問避險交易之經濟實質，而給予避險交易及一般證券交易相同課稅待遇，有違實質課稅原則</w:t>
      </w:r>
    </w:p>
    <w:p w:rsidR="00514426" w:rsidRPr="007B5D03" w:rsidRDefault="00514426" w:rsidP="00E3062C">
      <w:pPr>
        <w:snapToGrid w:val="0"/>
        <w:spacing w:line="437" w:lineRule="exact"/>
        <w:ind w:left="1786" w:firstLine="318"/>
        <w:rPr>
          <w:sz w:val="30"/>
          <w:szCs w:val="30"/>
        </w:rPr>
      </w:pPr>
      <w:r w:rsidRPr="007B5D03">
        <w:rPr>
          <w:rFonts w:hAnsi="標楷體"/>
          <w:sz w:val="30"/>
          <w:szCs w:val="30"/>
        </w:rPr>
        <w:t>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給予證券交易所得免稅優惠之同時，亦否准證券交易損失之認列，此對於一般「低買高賣」之證券交易並無不妥。</w:t>
      </w:r>
    </w:p>
    <w:p w:rsidR="00514426" w:rsidRPr="007B5D03" w:rsidRDefault="00514426" w:rsidP="00E3062C">
      <w:pPr>
        <w:snapToGrid w:val="0"/>
        <w:spacing w:line="437" w:lineRule="exact"/>
        <w:ind w:left="1786" w:firstLine="318"/>
        <w:rPr>
          <w:sz w:val="30"/>
          <w:szCs w:val="30"/>
        </w:rPr>
      </w:pPr>
      <w:r w:rsidRPr="00E3062C">
        <w:rPr>
          <w:rFonts w:hAnsi="標楷體"/>
          <w:spacing w:val="6"/>
          <w:sz w:val="30"/>
          <w:szCs w:val="30"/>
        </w:rPr>
        <w:t>然聲請人從事避險交易所生之損失有一相對應</w:t>
      </w:r>
      <w:r w:rsidRPr="007B5D03">
        <w:rPr>
          <w:rFonts w:hAnsi="標楷體"/>
          <w:sz w:val="30"/>
          <w:szCs w:val="30"/>
        </w:rPr>
        <w:t>之應稅收入，即發行權證權利金收入，兩者間有密不可分之連動關係，亦即，避險交易是認購權證發行整體行為中不可或缺之一環，兩者於經濟意義上具有緊密關聯，本質上即為「單一」事件。從而，避險交易本身不具獨立經濟目的，自應與一般具獨立經濟目的之證券交易為不同對待。本件最高行政法院判決據為判決基礎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w:t>
      </w:r>
      <w:r w:rsidRPr="00DA0402">
        <w:rPr>
          <w:rFonts w:hAnsi="標楷體"/>
          <w:spacing w:val="6"/>
          <w:sz w:val="30"/>
          <w:szCs w:val="30"/>
        </w:rPr>
        <w:t>揭財政部</w:t>
      </w:r>
      <w:r w:rsidRPr="00DA0402">
        <w:rPr>
          <w:spacing w:val="6"/>
          <w:sz w:val="30"/>
          <w:szCs w:val="30"/>
        </w:rPr>
        <w:t>86</w:t>
      </w:r>
      <w:r w:rsidRPr="00DA0402">
        <w:rPr>
          <w:rFonts w:hAnsi="標楷體"/>
          <w:spacing w:val="6"/>
          <w:sz w:val="30"/>
          <w:szCs w:val="30"/>
        </w:rPr>
        <w:t>年二函釋，竟一概以形式外觀為準，</w:t>
      </w:r>
      <w:r w:rsidRPr="007B5D03">
        <w:rPr>
          <w:rFonts w:hAnsi="標楷體"/>
          <w:sz w:val="30"/>
          <w:szCs w:val="30"/>
        </w:rPr>
        <w:t>認由於認購權證與標的股票均屬有價證券，故聲請人從事避險交易而買賣認購權證與標的股票，依所得稅法第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規定，停課證券交易所得稅，證券交易損失自不得從所得額中減除，此顯與　鈞院</w:t>
      </w:r>
      <w:r w:rsidRPr="00DA0402">
        <w:rPr>
          <w:rFonts w:hAnsi="標楷體"/>
          <w:spacing w:val="6"/>
          <w:sz w:val="30"/>
          <w:szCs w:val="30"/>
        </w:rPr>
        <w:t>釋字第</w:t>
      </w:r>
      <w:r w:rsidRPr="00DA0402">
        <w:rPr>
          <w:spacing w:val="6"/>
          <w:sz w:val="30"/>
          <w:szCs w:val="30"/>
        </w:rPr>
        <w:t>420</w:t>
      </w:r>
      <w:r w:rsidRPr="00DA0402">
        <w:rPr>
          <w:rFonts w:hAnsi="標楷體"/>
          <w:spacing w:val="6"/>
          <w:sz w:val="30"/>
          <w:szCs w:val="30"/>
        </w:rPr>
        <w:t>號等解釋揭櫫之實質課稅公平原則相</w:t>
      </w:r>
      <w:r w:rsidRPr="007B5D03">
        <w:rPr>
          <w:rFonts w:hAnsi="標楷體"/>
          <w:sz w:val="30"/>
          <w:szCs w:val="30"/>
        </w:rPr>
        <w:t>違（附件</w:t>
      </w:r>
      <w:r w:rsidRPr="007B5D03">
        <w:rPr>
          <w:sz w:val="30"/>
          <w:szCs w:val="30"/>
        </w:rPr>
        <w:t>14</w:t>
      </w:r>
      <w:r w:rsidRPr="007B5D03">
        <w:rPr>
          <w:rFonts w:hAnsi="標楷體"/>
          <w:sz w:val="30"/>
          <w:szCs w:val="30"/>
        </w:rPr>
        <w:t>，頁</w:t>
      </w:r>
      <w:r w:rsidRPr="007B5D03">
        <w:rPr>
          <w:sz w:val="30"/>
          <w:szCs w:val="30"/>
        </w:rPr>
        <w:t>13</w:t>
      </w:r>
      <w:r w:rsidRPr="007B5D03">
        <w:rPr>
          <w:rFonts w:hAnsi="標楷體"/>
          <w:sz w:val="30"/>
          <w:szCs w:val="30"/>
        </w:rPr>
        <w:t>）。</w:t>
      </w:r>
    </w:p>
    <w:p w:rsidR="00514426" w:rsidRPr="007B5D03" w:rsidRDefault="00514426" w:rsidP="00360F6F">
      <w:pPr>
        <w:snapToGrid w:val="0"/>
        <w:spacing w:line="437" w:lineRule="exact"/>
        <w:ind w:left="1474" w:hanging="907"/>
        <w:rPr>
          <w:sz w:val="30"/>
          <w:szCs w:val="30"/>
        </w:rPr>
      </w:pPr>
      <w:r w:rsidRPr="007B5D03">
        <w:rPr>
          <w:rFonts w:hAnsi="標楷體"/>
          <w:sz w:val="30"/>
          <w:szCs w:val="30"/>
        </w:rPr>
        <w:t>（二）所得稅法第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及上揭財政部二則函釋違反比例原則</w:t>
      </w:r>
    </w:p>
    <w:p w:rsidR="00514426" w:rsidRPr="007B5D03" w:rsidRDefault="00514426" w:rsidP="007E0EDA">
      <w:pPr>
        <w:snapToGrid w:val="0"/>
        <w:spacing w:line="437" w:lineRule="exact"/>
        <w:ind w:left="1786" w:hanging="312"/>
        <w:rPr>
          <w:sz w:val="30"/>
          <w:szCs w:val="30"/>
        </w:rPr>
      </w:pPr>
      <w:r w:rsidRPr="007B5D03">
        <w:rPr>
          <w:rFonts w:ascii="標楷體" w:hAnsi="標楷體"/>
          <w:sz w:val="30"/>
          <w:szCs w:val="30"/>
        </w:rPr>
        <w:t>1.所</w:t>
      </w:r>
      <w:r w:rsidRPr="007B5D03">
        <w:rPr>
          <w:rFonts w:hAnsi="標楷體"/>
          <w:sz w:val="30"/>
          <w:szCs w:val="30"/>
        </w:rPr>
        <w:t>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及上揭財政部二則函釋手段與目的間顯失均衡</w:t>
      </w:r>
    </w:p>
    <w:p w:rsidR="00514426" w:rsidRPr="007B5D03" w:rsidRDefault="00514426" w:rsidP="00360F6F">
      <w:pPr>
        <w:snapToGrid w:val="0"/>
        <w:spacing w:line="437" w:lineRule="exact"/>
        <w:ind w:left="2127" w:hanging="369"/>
        <w:rPr>
          <w:sz w:val="30"/>
          <w:szCs w:val="30"/>
        </w:rPr>
      </w:pPr>
      <w:r w:rsidRPr="007B5D03">
        <w:rPr>
          <w:rFonts w:hAnsi="標楷體" w:hint="eastAsia"/>
          <w:sz w:val="30"/>
          <w:szCs w:val="30"/>
        </w:rPr>
        <w:lastRenderedPageBreak/>
        <w:t>(1)</w:t>
      </w:r>
      <w:r w:rsidRPr="007B5D03">
        <w:rPr>
          <w:rFonts w:hAnsi="標楷體"/>
          <w:sz w:val="30"/>
          <w:szCs w:val="30"/>
        </w:rPr>
        <w:t>按限制人民權利須符合憲法第</w:t>
      </w:r>
      <w:r w:rsidRPr="007B5D03">
        <w:rPr>
          <w:sz w:val="30"/>
          <w:szCs w:val="30"/>
        </w:rPr>
        <w:t>23</w:t>
      </w:r>
      <w:r w:rsidRPr="007B5D03">
        <w:rPr>
          <w:rFonts w:hAnsi="標楷體"/>
          <w:sz w:val="30"/>
          <w:szCs w:val="30"/>
        </w:rPr>
        <w:t>條「比例原則」之精神，　鈞院釋字第</w:t>
      </w:r>
      <w:r w:rsidRPr="007B5D03">
        <w:rPr>
          <w:sz w:val="30"/>
          <w:szCs w:val="30"/>
        </w:rPr>
        <w:t>551</w:t>
      </w:r>
      <w:r w:rsidRPr="007B5D03">
        <w:rPr>
          <w:rFonts w:hAnsi="標楷體"/>
          <w:sz w:val="30"/>
          <w:szCs w:val="30"/>
        </w:rPr>
        <w:t>、</w:t>
      </w:r>
      <w:r w:rsidRPr="007B5D03">
        <w:rPr>
          <w:sz w:val="30"/>
          <w:szCs w:val="30"/>
        </w:rPr>
        <w:t>545</w:t>
      </w:r>
      <w:r w:rsidRPr="007B5D03">
        <w:rPr>
          <w:rFonts w:hAnsi="標楷體"/>
          <w:sz w:val="30"/>
          <w:szCs w:val="30"/>
        </w:rPr>
        <w:t>、</w:t>
      </w:r>
      <w:r w:rsidRPr="007B5D03">
        <w:rPr>
          <w:sz w:val="30"/>
          <w:szCs w:val="30"/>
        </w:rPr>
        <w:t>448</w:t>
      </w:r>
      <w:r w:rsidRPr="007B5D03">
        <w:rPr>
          <w:rFonts w:hAnsi="標楷體"/>
          <w:sz w:val="30"/>
          <w:szCs w:val="30"/>
        </w:rPr>
        <w:t>及</w:t>
      </w:r>
      <w:r w:rsidRPr="007B5D03">
        <w:rPr>
          <w:sz w:val="30"/>
          <w:szCs w:val="30"/>
        </w:rPr>
        <w:t>436</w:t>
      </w:r>
      <w:r w:rsidRPr="007B5D03">
        <w:rPr>
          <w:rFonts w:hAnsi="標楷體"/>
          <w:sz w:val="30"/>
          <w:szCs w:val="30"/>
        </w:rPr>
        <w:t>號等多則解釋闡釋在案，即國家惟有在「必要」之前提下，方得以法律限制人民之權利。鈞院釋字第</w:t>
      </w:r>
      <w:r w:rsidRPr="007B5D03">
        <w:rPr>
          <w:sz w:val="30"/>
          <w:szCs w:val="30"/>
        </w:rPr>
        <w:t>448</w:t>
      </w:r>
      <w:r w:rsidRPr="007B5D03">
        <w:rPr>
          <w:rFonts w:hAnsi="標楷體"/>
          <w:sz w:val="30"/>
          <w:szCs w:val="30"/>
        </w:rPr>
        <w:t>號解釋即謂：「憲法第</w:t>
      </w:r>
      <w:r w:rsidRPr="007B5D03">
        <w:rPr>
          <w:sz w:val="30"/>
          <w:szCs w:val="30"/>
        </w:rPr>
        <w:t>15</w:t>
      </w:r>
      <w:r w:rsidRPr="007B5D03">
        <w:rPr>
          <w:rFonts w:hAnsi="標楷體"/>
          <w:sz w:val="30"/>
          <w:szCs w:val="30"/>
        </w:rPr>
        <w:t>條規定，人民財產權應予保障。對人民財產權之限制，必須合於</w:t>
      </w:r>
      <w:r w:rsidRPr="00360F6F">
        <w:rPr>
          <w:rFonts w:hAnsi="標楷體"/>
          <w:spacing w:val="6"/>
          <w:sz w:val="30"/>
          <w:szCs w:val="30"/>
        </w:rPr>
        <w:t>憲法第</w:t>
      </w:r>
      <w:r w:rsidRPr="00360F6F">
        <w:rPr>
          <w:spacing w:val="6"/>
          <w:sz w:val="30"/>
          <w:szCs w:val="30"/>
        </w:rPr>
        <w:t>23</w:t>
      </w:r>
      <w:r w:rsidRPr="00360F6F">
        <w:rPr>
          <w:rFonts w:hAnsi="標楷體"/>
          <w:spacing w:val="6"/>
          <w:sz w:val="30"/>
          <w:szCs w:val="30"/>
        </w:rPr>
        <w:t>條所定必要程度，並以法律定之，其</w:t>
      </w:r>
      <w:r w:rsidRPr="007B5D03">
        <w:rPr>
          <w:rFonts w:hAnsi="標楷體"/>
          <w:sz w:val="30"/>
          <w:szCs w:val="30"/>
        </w:rPr>
        <w:t>由立法機關明確授權行政機關以命令訂定者，須</w:t>
      </w:r>
      <w:r w:rsidRPr="00360F6F">
        <w:rPr>
          <w:rFonts w:hAnsi="標楷體"/>
          <w:spacing w:val="6"/>
          <w:sz w:val="30"/>
          <w:szCs w:val="30"/>
        </w:rPr>
        <w:t>據以發布之命令符合立法意旨且未逾越授權範</w:t>
      </w:r>
      <w:r w:rsidRPr="007B5D03">
        <w:rPr>
          <w:rFonts w:hAnsi="標楷體"/>
          <w:sz w:val="30"/>
          <w:szCs w:val="30"/>
        </w:rPr>
        <w:t>圍時，始為憲法之所許，迭經本院解釋在案。」是以，由國家所發動之租稅課徵權力，涉及財產權利之拘束限制，應以比例原則作為合憲性之界限加以審查無疑。</w:t>
      </w:r>
    </w:p>
    <w:p w:rsidR="00514426" w:rsidRPr="007B5D03" w:rsidRDefault="00514426" w:rsidP="00360F6F">
      <w:pPr>
        <w:snapToGrid w:val="0"/>
        <w:spacing w:line="437" w:lineRule="exact"/>
        <w:ind w:left="2127" w:hanging="369"/>
        <w:rPr>
          <w:sz w:val="30"/>
          <w:szCs w:val="30"/>
        </w:rPr>
      </w:pPr>
      <w:r w:rsidRPr="007B5D03">
        <w:rPr>
          <w:rFonts w:hAnsi="標楷體" w:hint="eastAsia"/>
          <w:sz w:val="30"/>
          <w:szCs w:val="30"/>
        </w:rPr>
        <w:t>(2)</w:t>
      </w:r>
      <w:r w:rsidRPr="00360F6F">
        <w:rPr>
          <w:rFonts w:hAnsi="標楷體"/>
          <w:spacing w:val="-10"/>
          <w:sz w:val="30"/>
          <w:szCs w:val="30"/>
        </w:rPr>
        <w:t>比例原則係由「適當性」、「必要性」及「衡平性」</w:t>
      </w:r>
      <w:r w:rsidRPr="007B5D03">
        <w:rPr>
          <w:rFonts w:hAnsi="標楷體"/>
          <w:sz w:val="30"/>
          <w:szCs w:val="30"/>
        </w:rPr>
        <w:t>三項子原則所共同建構，其中「衡平性」係指公權力行為侵害之利益，不得與所欲達成之目的顯失均衡。依所得稅法第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月函及</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月函規定，認購</w:t>
      </w:r>
      <w:r w:rsidRPr="007B5D03">
        <w:rPr>
          <w:sz w:val="30"/>
          <w:szCs w:val="30"/>
        </w:rPr>
        <w:t>（售）</w:t>
      </w:r>
      <w:r w:rsidRPr="007B5D03">
        <w:rPr>
          <w:rFonts w:hAnsi="標楷體"/>
          <w:sz w:val="30"/>
          <w:szCs w:val="30"/>
        </w:rPr>
        <w:t>權證發行人依證管法令從事避險交易所生之損失，不得自所得額中減除，其目的係為達成證券交易行為於客觀上適用法律之公平一致，否則即有違證券交易之安定性及國家稅收之一致性。然其為達此目</w:t>
      </w:r>
      <w:r w:rsidRPr="001C3F9B">
        <w:rPr>
          <w:rFonts w:hAnsi="標楷體"/>
          <w:spacing w:val="-6"/>
          <w:sz w:val="30"/>
          <w:szCs w:val="30"/>
        </w:rPr>
        <w:t>的，而令避險交易損失不得扣除，導致認購</w:t>
      </w:r>
      <w:r w:rsidRPr="001C3F9B">
        <w:rPr>
          <w:spacing w:val="-6"/>
          <w:sz w:val="30"/>
          <w:szCs w:val="30"/>
        </w:rPr>
        <w:t>（售）</w:t>
      </w:r>
      <w:r w:rsidRPr="001C3F9B">
        <w:rPr>
          <w:rFonts w:hAnsi="標楷體"/>
          <w:spacing w:val="6"/>
          <w:sz w:val="30"/>
          <w:szCs w:val="30"/>
        </w:rPr>
        <w:t>權證發行人之應納稅額遠大於實際發行權證之</w:t>
      </w:r>
      <w:r w:rsidRPr="007B5D03">
        <w:rPr>
          <w:rFonts w:hAnsi="標楷體"/>
          <w:sz w:val="30"/>
          <w:szCs w:val="30"/>
        </w:rPr>
        <w:t>淨收益，造成侵害納稅人固有財產權之結果，手段與目的間已失均衡，故所得稅法第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及財政部</w:t>
      </w:r>
      <w:r w:rsidRPr="007B5D03">
        <w:rPr>
          <w:rFonts w:hAnsi="標楷體"/>
          <w:sz w:val="30"/>
          <w:szCs w:val="30"/>
        </w:rPr>
        <w:lastRenderedPageBreak/>
        <w:t>二則函釋違反比例原則甚為灼然。</w:t>
      </w:r>
    </w:p>
    <w:p w:rsidR="00514426" w:rsidRPr="007B5D03" w:rsidRDefault="00514426" w:rsidP="007E0EDA">
      <w:pPr>
        <w:snapToGrid w:val="0"/>
        <w:spacing w:line="437" w:lineRule="exact"/>
        <w:ind w:left="1786" w:hanging="312"/>
        <w:rPr>
          <w:sz w:val="30"/>
          <w:szCs w:val="30"/>
        </w:rPr>
      </w:pPr>
      <w:r w:rsidRPr="007B5D03">
        <w:rPr>
          <w:rFonts w:ascii="標楷體" w:hAnsi="標楷體"/>
          <w:sz w:val="30"/>
          <w:szCs w:val="30"/>
        </w:rPr>
        <w:t>2.</w:t>
      </w:r>
      <w:r w:rsidRPr="001C3F9B">
        <w:rPr>
          <w:rFonts w:ascii="標楷體" w:hAnsi="標楷體"/>
          <w:spacing w:val="12"/>
          <w:sz w:val="30"/>
          <w:szCs w:val="30"/>
        </w:rPr>
        <w:t>避</w:t>
      </w:r>
      <w:r w:rsidRPr="001C3F9B">
        <w:rPr>
          <w:rFonts w:hAnsi="標楷體"/>
          <w:spacing w:val="12"/>
          <w:sz w:val="30"/>
          <w:szCs w:val="30"/>
        </w:rPr>
        <w:t>險交易損失如依形式外觀認定為證券交易損</w:t>
      </w:r>
      <w:r w:rsidRPr="001C3F9B">
        <w:rPr>
          <w:rFonts w:hAnsi="標楷體"/>
          <w:sz w:val="30"/>
          <w:szCs w:val="30"/>
        </w:rPr>
        <w:t>失，將導致聲請人負擔過重稅負，造成絞殺性租稅</w:t>
      </w:r>
      <w:r w:rsidRPr="001C3F9B">
        <w:rPr>
          <w:rFonts w:hAnsi="標楷體"/>
          <w:spacing w:val="8"/>
          <w:sz w:val="30"/>
          <w:szCs w:val="30"/>
        </w:rPr>
        <w:t>之違憲侵害</w:t>
      </w:r>
    </w:p>
    <w:p w:rsidR="00514426" w:rsidRPr="007B5D03" w:rsidRDefault="00514426" w:rsidP="001C3F9B">
      <w:pPr>
        <w:snapToGrid w:val="0"/>
        <w:spacing w:line="437" w:lineRule="exact"/>
        <w:ind w:left="2127" w:hanging="369"/>
        <w:rPr>
          <w:sz w:val="30"/>
          <w:szCs w:val="30"/>
        </w:rPr>
      </w:pPr>
      <w:r w:rsidRPr="007B5D03">
        <w:rPr>
          <w:rFonts w:hAnsi="標楷體" w:hint="eastAsia"/>
          <w:sz w:val="30"/>
          <w:szCs w:val="30"/>
        </w:rPr>
        <w:t>(1)</w:t>
      </w:r>
      <w:r w:rsidRPr="007B5D03">
        <w:rPr>
          <w:rFonts w:hAnsi="標楷體"/>
          <w:sz w:val="30"/>
          <w:szCs w:val="30"/>
        </w:rPr>
        <w:t>復從德國司法實務運作以觀，其經由比例原則之檢查導引出「絞殺性租稅禁止」（</w:t>
      </w:r>
      <w:r w:rsidRPr="007B5D03">
        <w:rPr>
          <w:sz w:val="30"/>
          <w:szCs w:val="30"/>
        </w:rPr>
        <w:t xml:space="preserve">Verbot der </w:t>
      </w:r>
      <w:r w:rsidRPr="001C3F9B">
        <w:rPr>
          <w:spacing w:val="6"/>
          <w:sz w:val="30"/>
          <w:szCs w:val="30"/>
        </w:rPr>
        <w:t>Erdrosselungssteuer</w:t>
      </w:r>
      <w:r w:rsidRPr="001C3F9B">
        <w:rPr>
          <w:rFonts w:hAnsi="標楷體"/>
          <w:spacing w:val="6"/>
          <w:sz w:val="30"/>
          <w:szCs w:val="30"/>
        </w:rPr>
        <w:t>），亦即租稅課徵權力之行</w:t>
      </w:r>
      <w:r w:rsidRPr="007B5D03">
        <w:rPr>
          <w:rFonts w:hAnsi="標楷體"/>
          <w:sz w:val="30"/>
          <w:szCs w:val="30"/>
        </w:rPr>
        <w:t>使，不得造成絞殺之效果。所謂「絞殺效果」，特別著重者為其在經濟上之意義，當租稅課徵所造成之效果，足以扼殺市場生機、使私領域中之經濟活動陷於停滯之時，即屬違反適當性及必要</w:t>
      </w:r>
      <w:r w:rsidRPr="001C3F9B">
        <w:rPr>
          <w:rFonts w:hAnsi="標楷體"/>
          <w:spacing w:val="-6"/>
          <w:sz w:val="30"/>
          <w:szCs w:val="30"/>
        </w:rPr>
        <w:t>性之要求，構成對財產權利之絞殺。標準「絞殺」</w:t>
      </w:r>
      <w:r w:rsidRPr="007B5D03">
        <w:rPr>
          <w:rFonts w:hAnsi="標楷體"/>
          <w:sz w:val="30"/>
          <w:szCs w:val="30"/>
        </w:rPr>
        <w:t>之典型，如：租稅制度過度干預市場，致使納稅人在私法上之營業狀態已無法持續，或者課徵過</w:t>
      </w:r>
      <w:r w:rsidRPr="001C3F9B">
        <w:rPr>
          <w:rFonts w:hAnsi="標楷體"/>
          <w:spacing w:val="6"/>
          <w:sz w:val="30"/>
          <w:szCs w:val="30"/>
        </w:rPr>
        <w:t>重之稅賦使得納稅人對於租稅之義務履行陷於</w:t>
      </w:r>
      <w:r w:rsidRPr="007B5D03">
        <w:rPr>
          <w:rFonts w:hAnsi="標楷體"/>
          <w:sz w:val="30"/>
          <w:szCs w:val="30"/>
        </w:rPr>
        <w:t>客觀上不可能等</w:t>
      </w:r>
      <w:r w:rsidRPr="007B5D03">
        <w:rPr>
          <w:rFonts w:hint="eastAsia"/>
          <w:sz w:val="30"/>
          <w:szCs w:val="30"/>
        </w:rPr>
        <w:t>（</w:t>
      </w:r>
      <w:r w:rsidRPr="007B5D03">
        <w:rPr>
          <w:rFonts w:hAnsi="標楷體"/>
          <w:sz w:val="30"/>
          <w:szCs w:val="30"/>
        </w:rPr>
        <w:t>附件</w:t>
      </w:r>
      <w:r w:rsidRPr="007B5D03">
        <w:rPr>
          <w:sz w:val="30"/>
          <w:szCs w:val="30"/>
        </w:rPr>
        <w:t>15</w:t>
      </w:r>
      <w:r w:rsidRPr="007B5D03">
        <w:rPr>
          <w:rFonts w:hAnsi="標楷體"/>
          <w:sz w:val="30"/>
          <w:szCs w:val="30"/>
        </w:rPr>
        <w:t>，頁</w:t>
      </w:r>
      <w:r w:rsidRPr="007B5D03">
        <w:rPr>
          <w:sz w:val="30"/>
          <w:szCs w:val="30"/>
        </w:rPr>
        <w:t>157</w:t>
      </w:r>
      <w:r w:rsidRPr="007B5D03">
        <w:rPr>
          <w:rFonts w:hint="eastAsia"/>
          <w:sz w:val="30"/>
          <w:szCs w:val="30"/>
        </w:rPr>
        <w:t>）</w:t>
      </w:r>
      <w:r w:rsidRPr="007B5D03">
        <w:rPr>
          <w:rFonts w:hAnsi="標楷體"/>
          <w:sz w:val="30"/>
          <w:szCs w:val="30"/>
        </w:rPr>
        <w:t>。於我國租稅法制實務上，亦以絞殺性租稅之禁止為比例原</w:t>
      </w:r>
      <w:r w:rsidRPr="00305647">
        <w:rPr>
          <w:rFonts w:hAnsi="標楷體"/>
          <w:spacing w:val="6"/>
          <w:sz w:val="30"/>
          <w:szCs w:val="30"/>
        </w:rPr>
        <w:t>則表現之型態：如</w:t>
      </w:r>
      <w:r w:rsidRPr="00305647">
        <w:rPr>
          <w:spacing w:val="6"/>
          <w:sz w:val="30"/>
          <w:szCs w:val="30"/>
        </w:rPr>
        <w:t xml:space="preserve">　</w:t>
      </w:r>
      <w:r w:rsidRPr="00305647">
        <w:rPr>
          <w:rFonts w:hAnsi="標楷體"/>
          <w:spacing w:val="6"/>
          <w:sz w:val="30"/>
          <w:szCs w:val="30"/>
        </w:rPr>
        <w:t>鈞院釋字第</w:t>
      </w:r>
      <w:r w:rsidRPr="00305647">
        <w:rPr>
          <w:spacing w:val="6"/>
          <w:sz w:val="30"/>
          <w:szCs w:val="30"/>
        </w:rPr>
        <w:t>286</w:t>
      </w:r>
      <w:r w:rsidRPr="00305647">
        <w:rPr>
          <w:rFonts w:hAnsi="標楷體"/>
          <w:spacing w:val="6"/>
          <w:sz w:val="30"/>
          <w:szCs w:val="30"/>
        </w:rPr>
        <w:t>號</w:t>
      </w:r>
      <w:r w:rsidRPr="00305647">
        <w:rPr>
          <w:rFonts w:hAnsi="標楷體" w:hint="eastAsia"/>
          <w:spacing w:val="6"/>
          <w:sz w:val="30"/>
          <w:szCs w:val="30"/>
        </w:rPr>
        <w:t>解釋</w:t>
      </w:r>
      <w:r w:rsidRPr="00305647">
        <w:rPr>
          <w:rFonts w:hAnsi="標楷體"/>
          <w:spacing w:val="6"/>
          <w:sz w:val="30"/>
          <w:szCs w:val="30"/>
        </w:rPr>
        <w:t>指</w:t>
      </w:r>
      <w:r w:rsidRPr="007B5D03">
        <w:rPr>
          <w:rFonts w:hAnsi="標楷體"/>
          <w:sz w:val="30"/>
          <w:szCs w:val="30"/>
        </w:rPr>
        <w:t>出，「土地增值稅並未就漲價部分全額徵收，已足以兼顧其利益」，即可導出憲法秩序不容土</w:t>
      </w:r>
      <w:r w:rsidRPr="007B5D03">
        <w:rPr>
          <w:rFonts w:hAnsi="標楷體" w:hint="eastAsia"/>
          <w:sz w:val="30"/>
          <w:szCs w:val="30"/>
        </w:rPr>
        <w:t>地</w:t>
      </w:r>
      <w:r w:rsidRPr="007B5D03">
        <w:rPr>
          <w:rFonts w:hAnsi="標楷體"/>
          <w:sz w:val="30"/>
          <w:szCs w:val="30"/>
        </w:rPr>
        <w:t>增</w:t>
      </w:r>
      <w:r w:rsidRPr="007B5D03">
        <w:rPr>
          <w:rFonts w:hAnsi="標楷體" w:hint="eastAsia"/>
          <w:sz w:val="30"/>
          <w:szCs w:val="30"/>
        </w:rPr>
        <w:t>值</w:t>
      </w:r>
      <w:r w:rsidRPr="007B5D03">
        <w:rPr>
          <w:rFonts w:hAnsi="標楷體"/>
          <w:sz w:val="30"/>
          <w:szCs w:val="30"/>
        </w:rPr>
        <w:t>稅就增值全額徵收、趨近於絞殺之情形；另於遺產</w:t>
      </w:r>
      <w:r w:rsidRPr="007B5D03">
        <w:rPr>
          <w:rFonts w:hAnsi="標楷體" w:hint="eastAsia"/>
          <w:sz w:val="30"/>
          <w:szCs w:val="30"/>
        </w:rPr>
        <w:t>及</w:t>
      </w:r>
      <w:r w:rsidRPr="007B5D03">
        <w:rPr>
          <w:rFonts w:hAnsi="標楷體"/>
          <w:sz w:val="30"/>
          <w:szCs w:val="30"/>
        </w:rPr>
        <w:t>贈與稅</w:t>
      </w:r>
      <w:r w:rsidRPr="007B5D03">
        <w:rPr>
          <w:rFonts w:hAnsi="標楷體" w:hint="eastAsia"/>
          <w:sz w:val="30"/>
          <w:szCs w:val="30"/>
        </w:rPr>
        <w:t>法</w:t>
      </w:r>
      <w:r w:rsidRPr="007B5D03">
        <w:rPr>
          <w:rFonts w:hAnsi="標楷體"/>
          <w:sz w:val="30"/>
          <w:szCs w:val="30"/>
        </w:rPr>
        <w:t>第</w:t>
      </w:r>
      <w:r w:rsidRPr="007B5D03">
        <w:rPr>
          <w:sz w:val="30"/>
          <w:szCs w:val="30"/>
        </w:rPr>
        <w:t>47</w:t>
      </w:r>
      <w:r w:rsidRPr="007B5D03">
        <w:rPr>
          <w:rFonts w:hAnsi="標楷體"/>
          <w:sz w:val="30"/>
          <w:szCs w:val="30"/>
        </w:rPr>
        <w:t>條規定：「前三條規定之罰鍰，連同應徵之稅額，最多不得超過遺產總額或贈與總額」，即罰鍰加計本稅不得超過納稅人原可取得之遺產或贈與總額，亦徵絞殺性租稅禁止已存在於我國法秩序中（附件</w:t>
      </w:r>
      <w:r w:rsidRPr="007B5D03">
        <w:rPr>
          <w:sz w:val="30"/>
          <w:szCs w:val="30"/>
        </w:rPr>
        <w:t>15</w:t>
      </w:r>
      <w:r w:rsidRPr="007B5D03">
        <w:rPr>
          <w:rFonts w:hAnsi="標楷體"/>
          <w:sz w:val="30"/>
          <w:szCs w:val="30"/>
        </w:rPr>
        <w:t>，頁</w:t>
      </w:r>
      <w:r w:rsidRPr="007B5D03">
        <w:rPr>
          <w:sz w:val="30"/>
          <w:szCs w:val="30"/>
        </w:rPr>
        <w:t>169</w:t>
      </w:r>
      <w:r w:rsidRPr="007B5D03">
        <w:rPr>
          <w:rFonts w:hAnsi="標楷體"/>
          <w:sz w:val="30"/>
          <w:szCs w:val="30"/>
        </w:rPr>
        <w:t>）。</w:t>
      </w:r>
    </w:p>
    <w:p w:rsidR="00514426" w:rsidRPr="007B5D03" w:rsidRDefault="00514426" w:rsidP="00305647">
      <w:pPr>
        <w:snapToGrid w:val="0"/>
        <w:spacing w:line="437" w:lineRule="exact"/>
        <w:ind w:left="2127" w:hanging="369"/>
        <w:rPr>
          <w:sz w:val="30"/>
          <w:szCs w:val="30"/>
        </w:rPr>
      </w:pPr>
      <w:r w:rsidRPr="007B5D03">
        <w:rPr>
          <w:rFonts w:hAnsi="標楷體" w:hint="eastAsia"/>
          <w:sz w:val="30"/>
          <w:szCs w:val="30"/>
        </w:rPr>
        <w:lastRenderedPageBreak/>
        <w:t>(2)</w:t>
      </w:r>
      <w:r w:rsidRPr="00305647">
        <w:rPr>
          <w:rFonts w:hAnsi="標楷體"/>
          <w:spacing w:val="6"/>
          <w:sz w:val="30"/>
          <w:szCs w:val="30"/>
        </w:rPr>
        <w:t>查權證發行實務上，據證券商統計數據，至</w:t>
      </w:r>
      <w:r w:rsidRPr="00305647">
        <w:rPr>
          <w:spacing w:val="6"/>
          <w:sz w:val="30"/>
          <w:szCs w:val="30"/>
        </w:rPr>
        <w:t>93</w:t>
      </w:r>
      <w:r w:rsidRPr="007B5D03">
        <w:rPr>
          <w:rFonts w:hAnsi="標楷體"/>
          <w:sz w:val="30"/>
          <w:szCs w:val="30"/>
        </w:rPr>
        <w:t>年</w:t>
      </w:r>
      <w:r w:rsidRPr="007B5D03">
        <w:rPr>
          <w:sz w:val="30"/>
          <w:szCs w:val="30"/>
        </w:rPr>
        <w:t>7</w:t>
      </w:r>
      <w:r w:rsidRPr="007B5D03">
        <w:rPr>
          <w:rFonts w:hAnsi="標楷體"/>
          <w:sz w:val="30"/>
          <w:szCs w:val="30"/>
        </w:rPr>
        <w:t>月底之前到期的所有權證，全部權證發行收入累計已達新臺幣（下同）</w:t>
      </w:r>
      <w:r w:rsidRPr="007B5D03">
        <w:rPr>
          <w:sz w:val="30"/>
          <w:szCs w:val="30"/>
        </w:rPr>
        <w:t>742.25</w:t>
      </w:r>
      <w:r w:rsidRPr="007B5D03">
        <w:rPr>
          <w:rFonts w:hAnsi="標楷體"/>
          <w:sz w:val="30"/>
          <w:szCs w:val="30"/>
        </w:rPr>
        <w:t>億元，如依上</w:t>
      </w:r>
      <w:r w:rsidRPr="00305647">
        <w:rPr>
          <w:rFonts w:hAnsi="標楷體"/>
          <w:spacing w:val="6"/>
          <w:sz w:val="30"/>
          <w:szCs w:val="30"/>
        </w:rPr>
        <w:t>開財政部二則函釋計算之應納稅額即達</w:t>
      </w:r>
      <w:r w:rsidRPr="00305647">
        <w:rPr>
          <w:spacing w:val="6"/>
          <w:sz w:val="30"/>
          <w:szCs w:val="30"/>
        </w:rPr>
        <w:t>185.56</w:t>
      </w:r>
      <w:r w:rsidRPr="007B5D03">
        <w:rPr>
          <w:rFonts w:hAnsi="標楷體"/>
          <w:sz w:val="30"/>
          <w:szCs w:val="30"/>
        </w:rPr>
        <w:t>億元（</w:t>
      </w:r>
      <w:r w:rsidRPr="007B5D03">
        <w:rPr>
          <w:sz w:val="30"/>
          <w:szCs w:val="30"/>
        </w:rPr>
        <w:t>742.25</w:t>
      </w:r>
      <w:r w:rsidRPr="007B5D03">
        <w:rPr>
          <w:rFonts w:hAnsi="標楷體"/>
          <w:sz w:val="30"/>
          <w:szCs w:val="30"/>
        </w:rPr>
        <w:t>億元</w:t>
      </w:r>
      <w:r w:rsidRPr="007B5D03">
        <w:rPr>
          <w:sz w:val="30"/>
          <w:szCs w:val="30"/>
        </w:rPr>
        <w:t>x25%</w:t>
      </w:r>
      <w:r w:rsidRPr="007B5D03">
        <w:rPr>
          <w:rFonts w:hAnsi="標楷體"/>
          <w:sz w:val="30"/>
          <w:szCs w:val="30"/>
        </w:rPr>
        <w:t>），惟如將發行收入扣除避險交易損失及其他費用之後，券商發行權證的</w:t>
      </w:r>
      <w:r w:rsidRPr="00305647">
        <w:rPr>
          <w:rFonts w:hAnsi="標楷體"/>
          <w:spacing w:val="6"/>
          <w:sz w:val="30"/>
          <w:szCs w:val="30"/>
        </w:rPr>
        <w:t>淨收益僅為</w:t>
      </w:r>
      <w:r w:rsidRPr="00305647">
        <w:rPr>
          <w:spacing w:val="6"/>
          <w:sz w:val="30"/>
          <w:szCs w:val="30"/>
        </w:rPr>
        <w:t>121.52</w:t>
      </w:r>
      <w:r w:rsidRPr="00305647">
        <w:rPr>
          <w:rFonts w:hAnsi="標楷體"/>
          <w:spacing w:val="6"/>
          <w:sz w:val="30"/>
          <w:szCs w:val="30"/>
        </w:rPr>
        <w:t>億元。換言之，券商發行權證不僅毫無利得，更須額外負擔約計</w:t>
      </w:r>
      <w:r w:rsidRPr="00305647">
        <w:rPr>
          <w:spacing w:val="6"/>
          <w:sz w:val="30"/>
          <w:szCs w:val="30"/>
        </w:rPr>
        <w:t>64</w:t>
      </w:r>
      <w:r w:rsidRPr="00305647">
        <w:rPr>
          <w:rFonts w:hAnsi="標楷體"/>
          <w:spacing w:val="6"/>
          <w:sz w:val="30"/>
          <w:szCs w:val="30"/>
        </w:rPr>
        <w:t>億餘元</w:t>
      </w:r>
      <w:r w:rsidRPr="007B5D03">
        <w:rPr>
          <w:rFonts w:hAnsi="標楷體"/>
          <w:sz w:val="30"/>
          <w:szCs w:val="30"/>
        </w:rPr>
        <w:t>的所得稅（</w:t>
      </w:r>
      <w:r w:rsidRPr="007B5D03">
        <w:rPr>
          <w:sz w:val="30"/>
          <w:szCs w:val="30"/>
        </w:rPr>
        <w:t>121.52</w:t>
      </w:r>
      <w:r w:rsidRPr="007B5D03">
        <w:rPr>
          <w:rFonts w:hAnsi="標楷體"/>
          <w:sz w:val="30"/>
          <w:szCs w:val="30"/>
        </w:rPr>
        <w:t>億元</w:t>
      </w:r>
      <w:r w:rsidRPr="007B5D03">
        <w:rPr>
          <w:sz w:val="30"/>
          <w:szCs w:val="30"/>
        </w:rPr>
        <w:t>-185.56</w:t>
      </w:r>
      <w:r w:rsidRPr="007B5D03">
        <w:rPr>
          <w:rFonts w:hAnsi="標楷體"/>
          <w:sz w:val="30"/>
          <w:szCs w:val="30"/>
        </w:rPr>
        <w:t>億元</w:t>
      </w:r>
      <w:r w:rsidRPr="007B5D03">
        <w:rPr>
          <w:sz w:val="30"/>
          <w:szCs w:val="30"/>
        </w:rPr>
        <w:t>=-64</w:t>
      </w:r>
      <w:r w:rsidRPr="007B5D03">
        <w:rPr>
          <w:rFonts w:hAnsi="標楷體"/>
          <w:sz w:val="30"/>
          <w:szCs w:val="30"/>
        </w:rPr>
        <w:t>億元）。如以憲法保障證券商得自由選擇、形成營業活動之角度以查，適用所得稅法第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財政部二則函釋課稅之結果，形同對權證發行收入課徵毛額型所得稅，導致實際淨所得低於應納稅額，券商越作越賠的窘境，逼使認購（售）權證此種衍生性金融商品，因無利可圖而於證券市場上消失，形成以稅捐干預國內券商權證業務之自由，根本背離所得稅法第</w:t>
      </w:r>
      <w:r w:rsidRPr="007B5D03">
        <w:rPr>
          <w:rFonts w:hAnsi="標楷體" w:hint="eastAsia"/>
          <w:sz w:val="30"/>
          <w:szCs w:val="30"/>
        </w:rPr>
        <w:t>4</w:t>
      </w:r>
      <w:r w:rsidRPr="007B5D03">
        <w:rPr>
          <w:rFonts w:hAnsi="標楷體"/>
          <w:sz w:val="30"/>
          <w:szCs w:val="30"/>
        </w:rPr>
        <w:t>條之</w:t>
      </w:r>
      <w:r w:rsidRPr="007B5D03">
        <w:rPr>
          <w:rFonts w:hAnsi="標楷體" w:hint="eastAsia"/>
          <w:sz w:val="30"/>
          <w:szCs w:val="30"/>
        </w:rPr>
        <w:t>1</w:t>
      </w:r>
      <w:r w:rsidRPr="007B5D03">
        <w:rPr>
          <w:rFonts w:hAnsi="標楷體"/>
          <w:sz w:val="30"/>
          <w:szCs w:val="30"/>
        </w:rPr>
        <w:t>獎勵證券交易、促進資本市場形成的立法原意，對於權證發行產生「寓禁於徵」的效果。亦即，如避險交易損益不得併計權證發行收入之減項，無異等同藉由稅捐手段禁止一個合法的經濟活動，構成違憲之「絞殺」行為（附件</w:t>
      </w:r>
      <w:r w:rsidRPr="007B5D03">
        <w:rPr>
          <w:sz w:val="30"/>
          <w:szCs w:val="30"/>
        </w:rPr>
        <w:t>16</w:t>
      </w:r>
      <w:r w:rsidRPr="007B5D03">
        <w:rPr>
          <w:rFonts w:hAnsi="標楷體"/>
          <w:sz w:val="30"/>
          <w:szCs w:val="30"/>
        </w:rPr>
        <w:t>，頁</w:t>
      </w:r>
      <w:r w:rsidRPr="007B5D03">
        <w:rPr>
          <w:sz w:val="30"/>
          <w:szCs w:val="30"/>
        </w:rPr>
        <w:t>10</w:t>
      </w:r>
      <w:r w:rsidRPr="007B5D03">
        <w:rPr>
          <w:rFonts w:hAnsi="標楷體"/>
          <w:sz w:val="30"/>
          <w:szCs w:val="30"/>
        </w:rPr>
        <w:t>）。</w:t>
      </w:r>
    </w:p>
    <w:p w:rsidR="00514426" w:rsidRPr="007B5D03" w:rsidRDefault="00514426" w:rsidP="00305647">
      <w:pPr>
        <w:snapToGrid w:val="0"/>
        <w:spacing w:line="437" w:lineRule="exact"/>
        <w:ind w:left="2127" w:hanging="369"/>
        <w:rPr>
          <w:sz w:val="30"/>
          <w:szCs w:val="30"/>
        </w:rPr>
      </w:pPr>
      <w:r w:rsidRPr="007B5D03">
        <w:rPr>
          <w:rFonts w:hAnsi="標楷體" w:hint="eastAsia"/>
          <w:sz w:val="30"/>
          <w:szCs w:val="30"/>
        </w:rPr>
        <w:t>(3)</w:t>
      </w:r>
      <w:r w:rsidRPr="007B5D03">
        <w:rPr>
          <w:rFonts w:hAnsi="標楷體"/>
          <w:sz w:val="30"/>
          <w:szCs w:val="30"/>
        </w:rPr>
        <w:t>是以，所得稅法第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及上揭財政部二函釋</w:t>
      </w:r>
      <w:r w:rsidRPr="00305647">
        <w:rPr>
          <w:rFonts w:hAnsi="標楷體"/>
          <w:spacing w:val="6"/>
          <w:sz w:val="30"/>
          <w:szCs w:val="30"/>
        </w:rPr>
        <w:t>違反憲法第</w:t>
      </w:r>
      <w:r w:rsidRPr="00305647">
        <w:rPr>
          <w:spacing w:val="6"/>
          <w:sz w:val="30"/>
          <w:szCs w:val="30"/>
        </w:rPr>
        <w:t>23</w:t>
      </w:r>
      <w:r w:rsidRPr="00305647">
        <w:rPr>
          <w:rFonts w:hAnsi="標楷體"/>
          <w:spacing w:val="6"/>
          <w:sz w:val="30"/>
          <w:szCs w:val="30"/>
        </w:rPr>
        <w:t>條所要求之衡平性，有違比例原</w:t>
      </w:r>
      <w:r w:rsidRPr="007B5D03">
        <w:rPr>
          <w:rFonts w:hAnsi="標楷體"/>
          <w:sz w:val="30"/>
          <w:szCs w:val="30"/>
        </w:rPr>
        <w:t>則。</w:t>
      </w:r>
    </w:p>
    <w:p w:rsidR="00514426" w:rsidRPr="007B5D03" w:rsidRDefault="00514426" w:rsidP="00305647">
      <w:pPr>
        <w:snapToGrid w:val="0"/>
        <w:spacing w:line="437" w:lineRule="exact"/>
        <w:ind w:left="567" w:firstLine="318"/>
        <w:rPr>
          <w:sz w:val="30"/>
          <w:szCs w:val="30"/>
        </w:rPr>
      </w:pPr>
      <w:r w:rsidRPr="00305647">
        <w:rPr>
          <w:rFonts w:hAnsi="標楷體"/>
          <w:spacing w:val="6"/>
          <w:sz w:val="30"/>
          <w:szCs w:val="30"/>
        </w:rPr>
        <w:t>綜上所陳，最高行政法院</w:t>
      </w:r>
      <w:r w:rsidRPr="00305647">
        <w:rPr>
          <w:spacing w:val="6"/>
          <w:sz w:val="30"/>
          <w:szCs w:val="30"/>
        </w:rPr>
        <w:t>98</w:t>
      </w:r>
      <w:r w:rsidRPr="00305647">
        <w:rPr>
          <w:rFonts w:hAnsi="標楷體"/>
          <w:spacing w:val="6"/>
          <w:sz w:val="30"/>
          <w:szCs w:val="30"/>
        </w:rPr>
        <w:t>年度判字第</w:t>
      </w:r>
      <w:r w:rsidRPr="00305647">
        <w:rPr>
          <w:spacing w:val="6"/>
          <w:sz w:val="30"/>
          <w:szCs w:val="30"/>
        </w:rPr>
        <w:t>563</w:t>
      </w:r>
      <w:r w:rsidRPr="00305647">
        <w:rPr>
          <w:rFonts w:hAnsi="標楷體"/>
          <w:spacing w:val="6"/>
          <w:sz w:val="30"/>
          <w:szCs w:val="30"/>
        </w:rPr>
        <w:t>號判決所適</w:t>
      </w:r>
      <w:r w:rsidRPr="007B5D03">
        <w:rPr>
          <w:rFonts w:hAnsi="標楷體"/>
          <w:sz w:val="30"/>
          <w:szCs w:val="30"/>
        </w:rPr>
        <w:lastRenderedPageBreak/>
        <w:t>用之所得稅法第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台財稅第</w:t>
      </w:r>
      <w:r w:rsidRPr="007B5D03">
        <w:rPr>
          <w:sz w:val="30"/>
          <w:szCs w:val="30"/>
        </w:rPr>
        <w:t>861909311</w:t>
      </w:r>
      <w:r w:rsidRPr="007B5D03">
        <w:rPr>
          <w:rFonts w:hAnsi="標楷體"/>
          <w:sz w:val="30"/>
          <w:szCs w:val="30"/>
        </w:rPr>
        <w:t>號函及同年</w:t>
      </w:r>
      <w:smartTag w:uri="urn:schemas-microsoft-com:office:smarttags" w:element="chsdate">
        <w:smartTagPr>
          <w:attr w:name="IsROCDate" w:val="False"/>
          <w:attr w:name="IsLunarDate" w:val="False"/>
          <w:attr w:name="Day" w:val="11"/>
          <w:attr w:name="Month" w:val="12"/>
          <w:attr w:name="Year" w:val="2012"/>
        </w:smartTagPr>
        <w:r w:rsidRPr="007B5D03">
          <w:rPr>
            <w:sz w:val="30"/>
            <w:szCs w:val="30"/>
          </w:rPr>
          <w:t>12</w:t>
        </w:r>
        <w:r w:rsidRPr="007B5D03">
          <w:rPr>
            <w:rFonts w:hAnsi="標楷體"/>
            <w:sz w:val="30"/>
            <w:szCs w:val="30"/>
          </w:rPr>
          <w:t>月</w:t>
        </w:r>
        <w:r w:rsidRPr="007B5D03">
          <w:rPr>
            <w:sz w:val="30"/>
            <w:szCs w:val="30"/>
          </w:rPr>
          <w:t>11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w:t>
      </w:r>
      <w:r w:rsidRPr="00305647">
        <w:rPr>
          <w:rFonts w:hAnsi="標楷體"/>
          <w:spacing w:val="-6"/>
          <w:sz w:val="30"/>
          <w:szCs w:val="30"/>
        </w:rPr>
        <w:t>違反憲法上「量能課稅原則」、「實質課稅之公平原則」及「比</w:t>
      </w:r>
      <w:r w:rsidRPr="007B5D03">
        <w:rPr>
          <w:rFonts w:hAnsi="標楷體"/>
          <w:sz w:val="30"/>
          <w:szCs w:val="30"/>
        </w:rPr>
        <w:t>例原則」，懇請　鈞院惠予宣告所得稅法第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及上揭財政部二則函釋牴觸憲法而無效。</w:t>
      </w:r>
    </w:p>
    <w:p w:rsidR="00514426" w:rsidRPr="007B5D03" w:rsidRDefault="00514426" w:rsidP="00FB2D5A">
      <w:pPr>
        <w:spacing w:line="437" w:lineRule="exact"/>
        <w:ind w:left="641" w:hanging="641"/>
        <w:rPr>
          <w:sz w:val="30"/>
          <w:szCs w:val="30"/>
        </w:rPr>
      </w:pPr>
      <w:r w:rsidRPr="007B5D03">
        <w:rPr>
          <w:rFonts w:hAnsi="標楷體"/>
          <w:sz w:val="30"/>
          <w:szCs w:val="30"/>
        </w:rPr>
        <w:t>肆、關係文件</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　　委任書正本乙份。</w:t>
      </w:r>
    </w:p>
    <w:p w:rsidR="00514426" w:rsidRPr="007B5D03" w:rsidRDefault="00514426" w:rsidP="00FB2D5A">
      <w:pPr>
        <w:snapToGrid w:val="0"/>
        <w:spacing w:line="437" w:lineRule="exact"/>
        <w:ind w:leftChars="100" w:left="960" w:hanging="680"/>
        <w:rPr>
          <w:sz w:val="30"/>
          <w:szCs w:val="30"/>
        </w:rPr>
      </w:pPr>
      <w:r w:rsidRPr="007B5D03">
        <w:rPr>
          <w:rFonts w:hAnsi="標楷體"/>
          <w:sz w:val="30"/>
          <w:szCs w:val="30"/>
        </w:rPr>
        <w:t>附件</w:t>
      </w:r>
      <w:r w:rsidRPr="007B5D03">
        <w:rPr>
          <w:sz w:val="30"/>
          <w:szCs w:val="30"/>
        </w:rPr>
        <w:t>1</w:t>
      </w:r>
      <w:r w:rsidRPr="007B5D03">
        <w:rPr>
          <w:rFonts w:hAnsi="標楷體"/>
          <w:sz w:val="30"/>
          <w:szCs w:val="30"/>
        </w:rPr>
        <w:t xml:space="preserve">　最高行政法院</w:t>
      </w:r>
      <w:r w:rsidRPr="007B5D03">
        <w:rPr>
          <w:sz w:val="30"/>
          <w:szCs w:val="30"/>
        </w:rPr>
        <w:t>98</w:t>
      </w:r>
      <w:r w:rsidRPr="007B5D03">
        <w:rPr>
          <w:rFonts w:hAnsi="標楷體"/>
          <w:sz w:val="30"/>
          <w:szCs w:val="30"/>
        </w:rPr>
        <w:t>年度判字第</w:t>
      </w:r>
      <w:r w:rsidRPr="007B5D03">
        <w:rPr>
          <w:sz w:val="30"/>
          <w:szCs w:val="30"/>
        </w:rPr>
        <w:t>563</w:t>
      </w:r>
      <w:r w:rsidRPr="007B5D03">
        <w:rPr>
          <w:rFonts w:hAnsi="標楷體"/>
          <w:sz w:val="30"/>
          <w:szCs w:val="30"/>
        </w:rPr>
        <w:t>號判決影本乙份。</w:t>
      </w:r>
    </w:p>
    <w:p w:rsidR="00514426" w:rsidRPr="007B5D03" w:rsidRDefault="00514426" w:rsidP="00305647">
      <w:pPr>
        <w:snapToGrid w:val="0"/>
        <w:spacing w:line="437" w:lineRule="exact"/>
        <w:ind w:leftChars="100" w:left="1414" w:hanging="1134"/>
        <w:rPr>
          <w:sz w:val="30"/>
          <w:szCs w:val="30"/>
        </w:rPr>
      </w:pPr>
      <w:r w:rsidRPr="007B5D03">
        <w:rPr>
          <w:rFonts w:hAnsi="標楷體"/>
          <w:sz w:val="30"/>
          <w:szCs w:val="30"/>
        </w:rPr>
        <w:t>附件</w:t>
      </w:r>
      <w:r w:rsidRPr="007B5D03">
        <w:rPr>
          <w:sz w:val="30"/>
          <w:szCs w:val="30"/>
        </w:rPr>
        <w:t>2</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台財稅第</w:t>
      </w:r>
      <w:r w:rsidRPr="007B5D03">
        <w:rPr>
          <w:sz w:val="30"/>
          <w:szCs w:val="30"/>
        </w:rPr>
        <w:t>861909311</w:t>
      </w:r>
      <w:r w:rsidRPr="007B5D03">
        <w:rPr>
          <w:rFonts w:hAnsi="標楷體"/>
          <w:sz w:val="30"/>
          <w:szCs w:val="30"/>
        </w:rPr>
        <w:t>號函影本乙份。</w:t>
      </w:r>
    </w:p>
    <w:p w:rsidR="00514426" w:rsidRPr="007B5D03" w:rsidRDefault="00514426" w:rsidP="00305647">
      <w:pPr>
        <w:snapToGrid w:val="0"/>
        <w:spacing w:line="437" w:lineRule="exact"/>
        <w:ind w:leftChars="100" w:left="1414" w:hanging="1134"/>
        <w:rPr>
          <w:sz w:val="30"/>
          <w:szCs w:val="30"/>
        </w:rPr>
      </w:pPr>
      <w:r w:rsidRPr="007B5D03">
        <w:rPr>
          <w:rFonts w:hAnsi="標楷體"/>
          <w:sz w:val="30"/>
          <w:szCs w:val="30"/>
        </w:rPr>
        <w:t>附件</w:t>
      </w:r>
      <w:r w:rsidRPr="007B5D03">
        <w:rPr>
          <w:sz w:val="30"/>
          <w:szCs w:val="30"/>
        </w:rPr>
        <w:t>3</w:t>
      </w:r>
      <w:r w:rsidRPr="007B5D03">
        <w:rPr>
          <w:rFonts w:hAnsi="標楷體"/>
          <w:sz w:val="30"/>
          <w:szCs w:val="30"/>
        </w:rPr>
        <w:t xml:space="preserve">　財政部</w:t>
      </w:r>
      <w:smartTag w:uri="urn:schemas-microsoft-com:office:smarttags" w:element="chsdate">
        <w:smartTagPr>
          <w:attr w:name="IsROCDate" w:val="False"/>
          <w:attr w:name="IsLunarDate" w:val="False"/>
          <w:attr w:name="Day" w:val="11"/>
          <w:attr w:name="Month" w:val="12"/>
          <w:attr w:name="Year" w:val="1986"/>
        </w:smartTagP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w:t>
        </w:r>
        <w:r w:rsidRPr="007B5D03">
          <w:rPr>
            <w:rFonts w:hAnsi="標楷體" w:hint="eastAsia"/>
            <w:sz w:val="30"/>
            <w:szCs w:val="30"/>
          </w:rPr>
          <w:t>1</w:t>
        </w:r>
        <w:r w:rsidRPr="007B5D03">
          <w:rPr>
            <w:sz w:val="30"/>
            <w:szCs w:val="30"/>
          </w:rPr>
          <w:t>1</w:t>
        </w:r>
        <w:r w:rsidRPr="007B5D03">
          <w:rPr>
            <w:rFonts w:hAnsi="標楷體"/>
            <w:sz w:val="30"/>
            <w:szCs w:val="30"/>
          </w:rPr>
          <w:t>日</w:t>
        </w:r>
      </w:smartTag>
      <w:r w:rsidRPr="007B5D03">
        <w:rPr>
          <w:rFonts w:hAnsi="標楷體"/>
          <w:sz w:val="30"/>
          <w:szCs w:val="30"/>
        </w:rPr>
        <w:t>台財稅第</w:t>
      </w:r>
      <w:r w:rsidRPr="007B5D03">
        <w:rPr>
          <w:sz w:val="30"/>
          <w:szCs w:val="30"/>
        </w:rPr>
        <w:t>861922464</w:t>
      </w:r>
      <w:r w:rsidRPr="007B5D03">
        <w:rPr>
          <w:rFonts w:hAnsi="標楷體"/>
          <w:sz w:val="30"/>
          <w:szCs w:val="30"/>
        </w:rPr>
        <w:t>號函影本乙份。</w:t>
      </w:r>
    </w:p>
    <w:p w:rsidR="00514426" w:rsidRPr="007B5D03" w:rsidRDefault="00514426" w:rsidP="00305647">
      <w:pPr>
        <w:snapToGrid w:val="0"/>
        <w:spacing w:line="437" w:lineRule="exact"/>
        <w:ind w:leftChars="100" w:left="1414" w:hanging="1134"/>
        <w:rPr>
          <w:sz w:val="30"/>
          <w:szCs w:val="30"/>
        </w:rPr>
      </w:pPr>
      <w:r w:rsidRPr="007B5D03">
        <w:rPr>
          <w:rFonts w:hAnsi="標楷體"/>
          <w:sz w:val="30"/>
          <w:szCs w:val="30"/>
        </w:rPr>
        <w:t>附件</w:t>
      </w:r>
      <w:r w:rsidRPr="007B5D03">
        <w:rPr>
          <w:sz w:val="30"/>
          <w:szCs w:val="30"/>
        </w:rPr>
        <w:t>4</w:t>
      </w:r>
      <w:r w:rsidRPr="007B5D03">
        <w:rPr>
          <w:rFonts w:hAnsi="標楷體"/>
          <w:sz w:val="30"/>
          <w:szCs w:val="30"/>
        </w:rPr>
        <w:t xml:space="preserve">　葛克昌，綜合所得稅與憲法，所得稅與憲法（三版），翰廬出版，</w:t>
      </w:r>
      <w:r w:rsidRPr="007B5D03">
        <w:rPr>
          <w:sz w:val="30"/>
          <w:szCs w:val="30"/>
        </w:rPr>
        <w:t>2009</w:t>
      </w:r>
      <w:r w:rsidRPr="007B5D03">
        <w:rPr>
          <w:rFonts w:hAnsi="標楷體"/>
          <w:sz w:val="30"/>
          <w:szCs w:val="30"/>
        </w:rPr>
        <w:t>年</w:t>
      </w:r>
      <w:r w:rsidRPr="007B5D03">
        <w:rPr>
          <w:sz w:val="30"/>
          <w:szCs w:val="30"/>
        </w:rPr>
        <w:t>2</w:t>
      </w:r>
      <w:r w:rsidRPr="007B5D03">
        <w:rPr>
          <w:rFonts w:hAnsi="標楷體"/>
          <w:sz w:val="30"/>
          <w:szCs w:val="30"/>
        </w:rPr>
        <w:t>月，頁</w:t>
      </w:r>
      <w:r w:rsidRPr="007B5D03">
        <w:rPr>
          <w:sz w:val="30"/>
          <w:szCs w:val="30"/>
        </w:rPr>
        <w:t>91</w:t>
      </w:r>
      <w:r w:rsidRPr="007B5D03">
        <w:rPr>
          <w:rFonts w:hAnsi="標楷體"/>
          <w:sz w:val="30"/>
          <w:szCs w:val="30"/>
        </w:rPr>
        <w:t>至頁</w:t>
      </w:r>
      <w:r w:rsidRPr="007B5D03">
        <w:rPr>
          <w:sz w:val="30"/>
          <w:szCs w:val="30"/>
        </w:rPr>
        <w:t>95</w:t>
      </w:r>
      <w:r w:rsidRPr="007B5D03">
        <w:rPr>
          <w:rFonts w:hAnsi="標楷體"/>
          <w:sz w:val="30"/>
          <w:szCs w:val="30"/>
        </w:rPr>
        <w:t>、頁</w:t>
      </w:r>
      <w:r w:rsidRPr="007B5D03">
        <w:rPr>
          <w:sz w:val="30"/>
          <w:szCs w:val="30"/>
        </w:rPr>
        <w:t>99</w:t>
      </w:r>
      <w:r w:rsidRPr="007B5D03">
        <w:rPr>
          <w:rFonts w:hAnsi="標楷體"/>
          <w:sz w:val="30"/>
          <w:szCs w:val="30"/>
        </w:rPr>
        <w:t>至頁</w:t>
      </w:r>
      <w:r w:rsidRPr="007B5D03">
        <w:rPr>
          <w:sz w:val="30"/>
          <w:szCs w:val="30"/>
        </w:rPr>
        <w:t>100</w:t>
      </w:r>
      <w:r w:rsidRPr="007B5D03">
        <w:rPr>
          <w:rFonts w:hAnsi="標楷體"/>
          <w:sz w:val="30"/>
          <w:szCs w:val="30"/>
        </w:rPr>
        <w:t>影本乙份。</w:t>
      </w:r>
    </w:p>
    <w:p w:rsidR="00514426" w:rsidRPr="007B5D03" w:rsidRDefault="00514426" w:rsidP="00305647">
      <w:pPr>
        <w:snapToGrid w:val="0"/>
        <w:spacing w:line="437" w:lineRule="exact"/>
        <w:ind w:leftChars="100" w:left="1414" w:hanging="1134"/>
        <w:rPr>
          <w:rFonts w:hAnsi="標楷體"/>
          <w:sz w:val="30"/>
          <w:szCs w:val="30"/>
        </w:rPr>
      </w:pPr>
      <w:r w:rsidRPr="007B5D03">
        <w:rPr>
          <w:rFonts w:hAnsi="標楷體"/>
          <w:sz w:val="30"/>
          <w:szCs w:val="30"/>
        </w:rPr>
        <w:t>附件</w:t>
      </w:r>
      <w:r w:rsidRPr="007B5D03">
        <w:rPr>
          <w:sz w:val="30"/>
          <w:szCs w:val="30"/>
        </w:rPr>
        <w:t>5</w:t>
      </w:r>
      <w:r w:rsidRPr="007B5D03">
        <w:rPr>
          <w:rFonts w:hAnsi="標楷體"/>
          <w:sz w:val="30"/>
          <w:szCs w:val="30"/>
        </w:rPr>
        <w:t xml:space="preserve">　</w:t>
      </w:r>
      <w:r w:rsidRPr="007B5D03">
        <w:rPr>
          <w:sz w:val="30"/>
          <w:szCs w:val="30"/>
        </w:rPr>
        <w:t>臺灣</w:t>
      </w:r>
      <w:r w:rsidRPr="00305647">
        <w:rPr>
          <w:rFonts w:hAnsi="標楷體"/>
          <w:sz w:val="30"/>
          <w:szCs w:val="30"/>
        </w:rPr>
        <w:t>證券交易所</w:t>
      </w:r>
      <w:r w:rsidRPr="007B5D03">
        <w:rPr>
          <w:sz w:val="30"/>
          <w:szCs w:val="30"/>
        </w:rPr>
        <w:t>股份有限公司審查認購（售）權證上市作業程序影本乙份。</w:t>
      </w:r>
    </w:p>
    <w:p w:rsidR="00514426" w:rsidRPr="007B5D03" w:rsidRDefault="00514426" w:rsidP="00305647">
      <w:pPr>
        <w:snapToGrid w:val="0"/>
        <w:spacing w:line="437" w:lineRule="exact"/>
        <w:ind w:leftChars="100" w:left="1414" w:hanging="1134"/>
        <w:rPr>
          <w:rFonts w:hAnsi="標楷體"/>
          <w:sz w:val="30"/>
          <w:szCs w:val="30"/>
        </w:rPr>
      </w:pPr>
      <w:r w:rsidRPr="007B5D03">
        <w:rPr>
          <w:rFonts w:hAnsi="標楷體"/>
          <w:sz w:val="30"/>
          <w:szCs w:val="30"/>
        </w:rPr>
        <w:t>附件</w:t>
      </w:r>
      <w:r w:rsidRPr="007B5D03">
        <w:rPr>
          <w:rFonts w:hAnsi="標楷體"/>
          <w:sz w:val="30"/>
          <w:szCs w:val="30"/>
        </w:rPr>
        <w:t>6</w:t>
      </w:r>
      <w:r w:rsidRPr="007B5D03">
        <w:rPr>
          <w:rFonts w:hAnsi="標楷體"/>
          <w:sz w:val="30"/>
          <w:szCs w:val="30"/>
        </w:rPr>
        <w:t xml:space="preserve">　</w:t>
      </w:r>
      <w:r w:rsidRPr="007B5D03">
        <w:rPr>
          <w:sz w:val="30"/>
          <w:szCs w:val="30"/>
        </w:rPr>
        <w:t>臺灣</w:t>
      </w:r>
      <w:r w:rsidRPr="007B5D03">
        <w:rPr>
          <w:rFonts w:hAnsi="標楷體"/>
          <w:sz w:val="30"/>
          <w:szCs w:val="30"/>
        </w:rPr>
        <w:t>證券交易所</w:t>
      </w:r>
      <w:r w:rsidRPr="007B5D03">
        <w:rPr>
          <w:sz w:val="30"/>
          <w:szCs w:val="30"/>
        </w:rPr>
        <w:t>股份有限公司認購（售）權證上市審查準則影本乙份。</w:t>
      </w:r>
    </w:p>
    <w:p w:rsidR="00514426" w:rsidRPr="007B5D03" w:rsidRDefault="00514426" w:rsidP="00FB2D5A">
      <w:pPr>
        <w:snapToGrid w:val="0"/>
        <w:spacing w:line="437" w:lineRule="exact"/>
        <w:ind w:leftChars="100" w:left="1527" w:hanging="1247"/>
        <w:rPr>
          <w:sz w:val="30"/>
          <w:szCs w:val="30"/>
        </w:rPr>
      </w:pPr>
      <w:r w:rsidRPr="007B5D03">
        <w:rPr>
          <w:rFonts w:hAnsi="標楷體"/>
          <w:sz w:val="30"/>
          <w:szCs w:val="30"/>
        </w:rPr>
        <w:t>附件</w:t>
      </w:r>
      <w:r w:rsidRPr="007B5D03">
        <w:rPr>
          <w:sz w:val="30"/>
          <w:szCs w:val="30"/>
        </w:rPr>
        <w:t>7</w:t>
      </w:r>
      <w:r w:rsidRPr="007B5D03">
        <w:rPr>
          <w:rFonts w:hAnsi="標楷體"/>
          <w:sz w:val="30"/>
          <w:szCs w:val="30"/>
        </w:rPr>
        <w:t xml:space="preserve">　</w:t>
      </w:r>
      <w:r w:rsidRPr="007B5D03">
        <w:rPr>
          <w:rFonts w:hAnsi="標楷體"/>
          <w:sz w:val="30"/>
          <w:szCs w:val="30"/>
          <w:lang w:val="de-DE"/>
        </w:rPr>
        <w:t>證券商財務報告編製準則影本乙份。</w:t>
      </w:r>
    </w:p>
    <w:p w:rsidR="00514426" w:rsidRPr="007B5D03" w:rsidRDefault="00514426" w:rsidP="00305647">
      <w:pPr>
        <w:snapToGrid w:val="0"/>
        <w:spacing w:line="437" w:lineRule="exact"/>
        <w:ind w:leftChars="100" w:left="1414" w:hanging="1134"/>
        <w:rPr>
          <w:sz w:val="30"/>
          <w:szCs w:val="30"/>
        </w:rPr>
      </w:pPr>
      <w:r w:rsidRPr="007B5D03">
        <w:rPr>
          <w:rFonts w:hAnsi="標楷體"/>
          <w:sz w:val="30"/>
          <w:szCs w:val="30"/>
        </w:rPr>
        <w:t>附</w:t>
      </w:r>
      <w:r w:rsidRPr="007B5D03">
        <w:rPr>
          <w:rFonts w:hAnsi="標楷體"/>
          <w:spacing w:val="-20"/>
          <w:sz w:val="30"/>
          <w:szCs w:val="30"/>
        </w:rPr>
        <w:t>件</w:t>
      </w:r>
      <w:r w:rsidRPr="007B5D03">
        <w:rPr>
          <w:spacing w:val="-20"/>
          <w:sz w:val="30"/>
          <w:szCs w:val="30"/>
        </w:rPr>
        <w:t>8</w:t>
      </w:r>
      <w:r w:rsidRPr="007B5D03">
        <w:rPr>
          <w:rFonts w:hAnsi="標楷體"/>
          <w:sz w:val="30"/>
          <w:szCs w:val="30"/>
        </w:rPr>
        <w:t xml:space="preserve">　黃茂榮，實質課稅原則，稅法總論－法學方法與現代稅法（第一冊增訂二版），植根出版，</w:t>
      </w:r>
      <w:r w:rsidRPr="007B5D03">
        <w:rPr>
          <w:sz w:val="30"/>
          <w:szCs w:val="30"/>
        </w:rPr>
        <w:t>2005</w:t>
      </w:r>
      <w:r w:rsidRPr="007B5D03">
        <w:rPr>
          <w:rFonts w:hAnsi="標楷體"/>
          <w:sz w:val="30"/>
          <w:szCs w:val="30"/>
        </w:rPr>
        <w:t>年</w:t>
      </w:r>
      <w:r w:rsidRPr="007B5D03">
        <w:rPr>
          <w:sz w:val="30"/>
          <w:szCs w:val="30"/>
        </w:rPr>
        <w:t>9</w:t>
      </w:r>
      <w:r w:rsidRPr="007B5D03">
        <w:rPr>
          <w:rFonts w:hAnsi="標楷體"/>
          <w:sz w:val="30"/>
          <w:szCs w:val="30"/>
        </w:rPr>
        <w:t>月，頁</w:t>
      </w:r>
      <w:r w:rsidRPr="007B5D03">
        <w:rPr>
          <w:sz w:val="30"/>
          <w:szCs w:val="30"/>
        </w:rPr>
        <w:t>397</w:t>
      </w:r>
      <w:r w:rsidRPr="007B5D03">
        <w:rPr>
          <w:rFonts w:hAnsi="標楷體"/>
          <w:sz w:val="30"/>
          <w:szCs w:val="30"/>
        </w:rPr>
        <w:t>影本乙份。</w:t>
      </w:r>
    </w:p>
    <w:p w:rsidR="00514426" w:rsidRPr="007B5D03" w:rsidRDefault="00514426" w:rsidP="00FB2D5A">
      <w:pPr>
        <w:snapToGrid w:val="0"/>
        <w:spacing w:line="437" w:lineRule="exact"/>
        <w:ind w:leftChars="100" w:left="1527" w:hanging="1247"/>
        <w:rPr>
          <w:sz w:val="30"/>
          <w:szCs w:val="30"/>
        </w:rPr>
      </w:pPr>
      <w:r w:rsidRPr="007B5D03">
        <w:rPr>
          <w:rFonts w:hAnsi="標楷體"/>
          <w:sz w:val="30"/>
          <w:szCs w:val="30"/>
        </w:rPr>
        <w:t>附件</w:t>
      </w:r>
      <w:r w:rsidRPr="007B5D03">
        <w:rPr>
          <w:sz w:val="30"/>
          <w:szCs w:val="30"/>
        </w:rPr>
        <w:t>9</w:t>
      </w:r>
      <w:r w:rsidRPr="007B5D03">
        <w:rPr>
          <w:rFonts w:hAnsi="標楷體"/>
          <w:sz w:val="30"/>
          <w:szCs w:val="30"/>
        </w:rPr>
        <w:t xml:space="preserve">　發行人申請發行認購（售）權證處理要點影本乙份。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附件</w:t>
      </w:r>
      <w:r w:rsidRPr="007B5D03">
        <w:rPr>
          <w:sz w:val="30"/>
          <w:szCs w:val="30"/>
        </w:rPr>
        <w:t>10</w:t>
      </w:r>
      <w:r w:rsidRPr="007B5D03">
        <w:rPr>
          <w:rFonts w:hAnsi="標楷體"/>
          <w:sz w:val="30"/>
          <w:szCs w:val="30"/>
        </w:rPr>
        <w:t xml:space="preserve">　臺灣證交所</w:t>
      </w:r>
      <w:smartTag w:uri="urn:schemas-microsoft-com:office:smarttags" w:element="chsdate">
        <w:smartTagPr>
          <w:attr w:name="IsROCDate" w:val="False"/>
          <w:attr w:name="IsLunarDate" w:val="False"/>
          <w:attr w:name="Day" w:val="18"/>
          <w:attr w:name="Month" w:val="9"/>
          <w:attr w:name="Year" w:val="1986"/>
        </w:smartTagPr>
        <w:r w:rsidRPr="007B5D03">
          <w:rPr>
            <w:sz w:val="30"/>
            <w:szCs w:val="30"/>
          </w:rPr>
          <w:t>86</w:t>
        </w:r>
        <w:r w:rsidRPr="007B5D03">
          <w:rPr>
            <w:rFonts w:hAnsi="標楷體"/>
            <w:sz w:val="30"/>
            <w:szCs w:val="30"/>
          </w:rPr>
          <w:t>年</w:t>
        </w:r>
        <w:r w:rsidRPr="007B5D03">
          <w:rPr>
            <w:sz w:val="30"/>
            <w:szCs w:val="30"/>
          </w:rPr>
          <w:t>9</w:t>
        </w:r>
        <w:r w:rsidRPr="007B5D03">
          <w:rPr>
            <w:rFonts w:hAnsi="標楷體"/>
            <w:sz w:val="30"/>
            <w:szCs w:val="30"/>
          </w:rPr>
          <w:t>月</w:t>
        </w:r>
        <w:r w:rsidRPr="007B5D03">
          <w:rPr>
            <w:sz w:val="30"/>
            <w:szCs w:val="30"/>
          </w:rPr>
          <w:t>18</w:t>
        </w:r>
        <w:r w:rsidRPr="007B5D03">
          <w:rPr>
            <w:rFonts w:hAnsi="標楷體"/>
            <w:sz w:val="30"/>
            <w:szCs w:val="30"/>
          </w:rPr>
          <w:t>日</w:t>
        </w:r>
      </w:smartTag>
      <w:r w:rsidRPr="007B5D03">
        <w:rPr>
          <w:rFonts w:hAnsi="標楷體"/>
          <w:sz w:val="30"/>
          <w:szCs w:val="30"/>
        </w:rPr>
        <w:t>台證上字第</w:t>
      </w:r>
      <w:r w:rsidRPr="007B5D03">
        <w:rPr>
          <w:sz w:val="30"/>
          <w:szCs w:val="30"/>
        </w:rPr>
        <w:t>29888</w:t>
      </w:r>
      <w:r w:rsidRPr="007B5D03">
        <w:rPr>
          <w:rFonts w:hAnsi="標楷體"/>
          <w:sz w:val="30"/>
          <w:szCs w:val="30"/>
        </w:rPr>
        <w:t>號函影本乙份。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lastRenderedPageBreak/>
        <w:t>附件</w:t>
      </w:r>
      <w:r w:rsidRPr="007B5D03">
        <w:rPr>
          <w:sz w:val="30"/>
          <w:szCs w:val="30"/>
        </w:rPr>
        <w:t>11</w:t>
      </w:r>
      <w:r w:rsidRPr="007B5D03">
        <w:rPr>
          <w:rFonts w:hAnsi="標楷體"/>
          <w:sz w:val="30"/>
          <w:szCs w:val="30"/>
        </w:rPr>
        <w:t xml:space="preserve">　臺灣證交所</w:t>
      </w:r>
      <w:smartTag w:uri="urn:schemas-microsoft-com:office:smarttags" w:element="chsdate">
        <w:smartTagPr>
          <w:attr w:name="IsROCDate" w:val="False"/>
          <w:attr w:name="IsLunarDate" w:val="False"/>
          <w:attr w:name="Day" w:val="12"/>
          <w:attr w:name="Month" w:val="6"/>
          <w:attr w:name="Year" w:val="1986"/>
        </w:smartTagPr>
        <w:r w:rsidRPr="007B5D03">
          <w:rPr>
            <w:sz w:val="30"/>
            <w:szCs w:val="30"/>
          </w:rPr>
          <w:t>86</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sz w:val="30"/>
          <w:szCs w:val="30"/>
        </w:rPr>
        <w:t>台財證（二）字第</w:t>
      </w:r>
      <w:r w:rsidRPr="007B5D03">
        <w:rPr>
          <w:sz w:val="30"/>
          <w:szCs w:val="30"/>
        </w:rPr>
        <w:t>3294</w:t>
      </w:r>
      <w:r w:rsidRPr="007B5D03">
        <w:rPr>
          <w:rFonts w:hAnsi="標楷體"/>
          <w:sz w:val="30"/>
          <w:szCs w:val="30"/>
        </w:rPr>
        <w:t>號函影本乙份。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附件</w:t>
      </w:r>
      <w:r w:rsidRPr="007B5D03">
        <w:rPr>
          <w:sz w:val="30"/>
          <w:szCs w:val="30"/>
        </w:rPr>
        <w:t>12</w:t>
      </w:r>
      <w:r w:rsidRPr="007B5D03">
        <w:rPr>
          <w:rFonts w:hAnsi="標楷體"/>
          <w:sz w:val="30"/>
          <w:szCs w:val="30"/>
        </w:rPr>
        <w:t xml:space="preserve">　臺灣證交所</w:t>
      </w:r>
      <w:smartTag w:uri="urn:schemas-microsoft-com:office:smarttags" w:element="chsdate">
        <w:smartTagPr>
          <w:attr w:name="IsROCDate" w:val="False"/>
          <w:attr w:name="IsLunarDate" w:val="False"/>
          <w:attr w:name="Day" w:val="12"/>
          <w:attr w:name="Month" w:val="6"/>
          <w:attr w:name="Year" w:val="1986"/>
        </w:smartTagPr>
        <w:r w:rsidRPr="007B5D03">
          <w:rPr>
            <w:sz w:val="30"/>
            <w:szCs w:val="30"/>
          </w:rPr>
          <w:t>86</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sz w:val="30"/>
          <w:szCs w:val="30"/>
        </w:rPr>
        <w:t>台證上字第</w:t>
      </w:r>
      <w:r w:rsidRPr="007B5D03">
        <w:rPr>
          <w:sz w:val="30"/>
          <w:szCs w:val="30"/>
        </w:rPr>
        <w:t>23090</w:t>
      </w:r>
      <w:r w:rsidRPr="007B5D03">
        <w:rPr>
          <w:rFonts w:hAnsi="標楷體"/>
          <w:sz w:val="30"/>
          <w:szCs w:val="30"/>
        </w:rPr>
        <w:t>號函影本乙份。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附件</w:t>
      </w:r>
      <w:r w:rsidRPr="007B5D03">
        <w:rPr>
          <w:sz w:val="30"/>
          <w:szCs w:val="30"/>
        </w:rPr>
        <w:t>13</w:t>
      </w:r>
      <w:r w:rsidRPr="007B5D03">
        <w:rPr>
          <w:rFonts w:hAnsi="標楷體"/>
          <w:sz w:val="30"/>
          <w:szCs w:val="30"/>
        </w:rPr>
        <w:t xml:space="preserve">　關於所得稅法第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與避險交易之本質之差異參照表乙份。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w:t>
      </w:r>
      <w:r w:rsidRPr="007B5D03">
        <w:rPr>
          <w:rFonts w:hAnsi="標楷體"/>
          <w:spacing w:val="-20"/>
          <w:sz w:val="30"/>
          <w:szCs w:val="30"/>
        </w:rPr>
        <w:t>件</w:t>
      </w:r>
      <w:r w:rsidRPr="007B5D03">
        <w:rPr>
          <w:spacing w:val="-20"/>
          <w:sz w:val="30"/>
          <w:szCs w:val="30"/>
        </w:rPr>
        <w:t>14</w:t>
      </w:r>
      <w:r w:rsidRPr="007B5D03">
        <w:rPr>
          <w:rFonts w:hAnsi="標楷體"/>
          <w:sz w:val="30"/>
          <w:szCs w:val="30"/>
        </w:rPr>
        <w:t xml:space="preserve">　黃士洲，權證官司二審敗訴簡評－最高行政法院</w:t>
      </w:r>
      <w:r w:rsidRPr="007B5D03">
        <w:rPr>
          <w:sz w:val="30"/>
          <w:szCs w:val="30"/>
        </w:rPr>
        <w:t>95</w:t>
      </w:r>
      <w:r w:rsidRPr="007B5D03">
        <w:rPr>
          <w:rFonts w:hAnsi="標楷體"/>
          <w:sz w:val="30"/>
          <w:szCs w:val="30"/>
        </w:rPr>
        <w:t>年</w:t>
      </w:r>
      <w:r w:rsidRPr="007B5D03">
        <w:rPr>
          <w:rFonts w:hAnsi="標楷體" w:hint="eastAsia"/>
          <w:sz w:val="30"/>
          <w:szCs w:val="30"/>
        </w:rPr>
        <w:t>度</w:t>
      </w:r>
      <w:r w:rsidRPr="007B5D03">
        <w:rPr>
          <w:rFonts w:hAnsi="標楷體"/>
          <w:sz w:val="30"/>
          <w:szCs w:val="30"/>
        </w:rPr>
        <w:t>判字</w:t>
      </w:r>
      <w:r w:rsidRPr="007B5D03">
        <w:rPr>
          <w:sz w:val="30"/>
          <w:szCs w:val="30"/>
        </w:rPr>
        <w:t>2206</w:t>
      </w:r>
      <w:r w:rsidRPr="007B5D03">
        <w:rPr>
          <w:rFonts w:hAnsi="標楷體"/>
          <w:sz w:val="30"/>
          <w:szCs w:val="30"/>
        </w:rPr>
        <w:t>號判決評析，稅務旬刊第</w:t>
      </w:r>
      <w:r w:rsidRPr="007B5D03">
        <w:rPr>
          <w:sz w:val="30"/>
          <w:szCs w:val="30"/>
        </w:rPr>
        <w:t>1994</w:t>
      </w:r>
      <w:r w:rsidRPr="007B5D03">
        <w:rPr>
          <w:rFonts w:hAnsi="標楷體"/>
          <w:sz w:val="30"/>
          <w:szCs w:val="30"/>
        </w:rPr>
        <w:t>期，</w:t>
      </w:r>
      <w:r w:rsidRPr="007B5D03">
        <w:rPr>
          <w:sz w:val="30"/>
          <w:szCs w:val="30"/>
        </w:rPr>
        <w:t>96</w:t>
      </w:r>
      <w:r w:rsidRPr="007B5D03">
        <w:rPr>
          <w:rFonts w:hAnsi="標楷體"/>
          <w:sz w:val="30"/>
          <w:szCs w:val="30"/>
        </w:rPr>
        <w:t>年</w:t>
      </w:r>
      <w:r w:rsidRPr="007B5D03">
        <w:rPr>
          <w:sz w:val="30"/>
          <w:szCs w:val="30"/>
        </w:rPr>
        <w:t>2</w:t>
      </w:r>
      <w:r w:rsidRPr="007B5D03">
        <w:rPr>
          <w:rFonts w:hAnsi="標楷體"/>
          <w:sz w:val="30"/>
          <w:szCs w:val="30"/>
        </w:rPr>
        <w:t>月</w:t>
      </w:r>
      <w:r w:rsidRPr="007B5D03">
        <w:rPr>
          <w:sz w:val="30"/>
          <w:szCs w:val="30"/>
        </w:rPr>
        <w:t>20</w:t>
      </w:r>
      <w:r w:rsidRPr="007B5D03">
        <w:rPr>
          <w:rFonts w:hAnsi="標楷體"/>
          <w:sz w:val="30"/>
          <w:szCs w:val="30"/>
        </w:rPr>
        <w:t>日影本乙份。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附件</w:t>
      </w:r>
      <w:r w:rsidRPr="007B5D03">
        <w:rPr>
          <w:sz w:val="30"/>
          <w:szCs w:val="30"/>
        </w:rPr>
        <w:t>15</w:t>
      </w:r>
      <w:r w:rsidRPr="007B5D03">
        <w:rPr>
          <w:rFonts w:hAnsi="標楷體"/>
          <w:sz w:val="30"/>
          <w:szCs w:val="30"/>
        </w:rPr>
        <w:t xml:space="preserve">　黃源浩，從「絞殺禁止」到「半數原則」－比例原則在稅法領域之適用，財稅研究第</w:t>
      </w:r>
      <w:r w:rsidRPr="007B5D03">
        <w:rPr>
          <w:sz w:val="30"/>
          <w:szCs w:val="30"/>
        </w:rPr>
        <w:t>36</w:t>
      </w:r>
      <w:r w:rsidRPr="007B5D03">
        <w:rPr>
          <w:rFonts w:hAnsi="標楷體"/>
          <w:sz w:val="30"/>
          <w:szCs w:val="30"/>
        </w:rPr>
        <w:t>卷第</w:t>
      </w:r>
      <w:r w:rsidRPr="007B5D03">
        <w:rPr>
          <w:sz w:val="30"/>
          <w:szCs w:val="30"/>
        </w:rPr>
        <w:t>1</w:t>
      </w:r>
      <w:r w:rsidRPr="007B5D03">
        <w:rPr>
          <w:rFonts w:hAnsi="標楷體"/>
          <w:sz w:val="30"/>
          <w:szCs w:val="30"/>
        </w:rPr>
        <w:t>期，</w:t>
      </w:r>
      <w:r w:rsidRPr="007B5D03">
        <w:rPr>
          <w:sz w:val="30"/>
          <w:szCs w:val="30"/>
        </w:rPr>
        <w:t>93</w:t>
      </w:r>
      <w:r w:rsidRPr="007B5D03">
        <w:rPr>
          <w:rFonts w:hAnsi="標楷體"/>
          <w:sz w:val="30"/>
          <w:szCs w:val="30"/>
        </w:rPr>
        <w:t>年</w:t>
      </w:r>
      <w:r w:rsidRPr="007B5D03">
        <w:rPr>
          <w:sz w:val="30"/>
          <w:szCs w:val="30"/>
        </w:rPr>
        <w:t>1</w:t>
      </w:r>
      <w:r w:rsidRPr="007B5D03">
        <w:rPr>
          <w:rFonts w:hAnsi="標楷體"/>
          <w:sz w:val="30"/>
          <w:szCs w:val="30"/>
        </w:rPr>
        <w:t>月影本乙份。</w:t>
      </w:r>
    </w:p>
    <w:p w:rsidR="00514426" w:rsidRPr="007B5D03" w:rsidRDefault="00514426" w:rsidP="00305647">
      <w:pPr>
        <w:snapToGrid w:val="0"/>
        <w:spacing w:line="437" w:lineRule="exact"/>
        <w:ind w:leftChars="100" w:left="1584" w:hanging="1304"/>
        <w:rPr>
          <w:sz w:val="30"/>
          <w:szCs w:val="30"/>
        </w:rPr>
      </w:pPr>
      <w:r w:rsidRPr="007B5D03">
        <w:rPr>
          <w:rFonts w:hAnsi="標楷體"/>
          <w:sz w:val="30"/>
          <w:szCs w:val="30"/>
        </w:rPr>
        <w:t>附件</w:t>
      </w:r>
      <w:r w:rsidRPr="007B5D03">
        <w:rPr>
          <w:sz w:val="30"/>
          <w:szCs w:val="30"/>
        </w:rPr>
        <w:t>16</w:t>
      </w:r>
      <w:r w:rsidRPr="007B5D03">
        <w:rPr>
          <w:rFonts w:hAnsi="標楷體"/>
          <w:sz w:val="30"/>
          <w:szCs w:val="30"/>
        </w:rPr>
        <w:t xml:space="preserve">　黃士洲，從憲法角度談權證課稅修法應否溯及既往，稅務旬刊第</w:t>
      </w:r>
      <w:r w:rsidRPr="007B5D03">
        <w:rPr>
          <w:sz w:val="30"/>
          <w:szCs w:val="30"/>
        </w:rPr>
        <w:t>1954</w:t>
      </w:r>
      <w:r w:rsidRPr="007B5D03">
        <w:rPr>
          <w:rFonts w:hAnsi="標楷體"/>
          <w:sz w:val="30"/>
          <w:szCs w:val="30"/>
        </w:rPr>
        <w:t>期，</w:t>
      </w:r>
      <w:r w:rsidRPr="007B5D03">
        <w:rPr>
          <w:sz w:val="30"/>
          <w:szCs w:val="30"/>
        </w:rPr>
        <w:t>95</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10</w:t>
      </w:r>
      <w:r w:rsidRPr="007B5D03">
        <w:rPr>
          <w:rFonts w:hAnsi="標楷體"/>
          <w:sz w:val="30"/>
          <w:szCs w:val="30"/>
        </w:rPr>
        <w:t>日。</w:t>
      </w:r>
    </w:p>
    <w:p w:rsidR="00514426" w:rsidRPr="007B5D03" w:rsidRDefault="00514426" w:rsidP="00FB2D5A">
      <w:pPr>
        <w:spacing w:line="437" w:lineRule="exact"/>
        <w:ind w:left="641" w:hanging="641"/>
        <w:rPr>
          <w:sz w:val="30"/>
          <w:szCs w:val="30"/>
        </w:rPr>
      </w:pPr>
      <w:r w:rsidRPr="007B5D03">
        <w:rPr>
          <w:rFonts w:hAnsi="標楷體" w:hint="eastAsia"/>
          <w:sz w:val="30"/>
          <w:szCs w:val="30"/>
        </w:rPr>
        <w:t>伍</w:t>
      </w:r>
      <w:r w:rsidRPr="007B5D03">
        <w:rPr>
          <w:rFonts w:hAnsi="標楷體"/>
          <w:sz w:val="30"/>
          <w:szCs w:val="30"/>
        </w:rPr>
        <w:t>、註解</w:t>
      </w:r>
    </w:p>
    <w:p w:rsidR="00514426" w:rsidRPr="007B5D03" w:rsidRDefault="00514426" w:rsidP="00305647">
      <w:pPr>
        <w:spacing w:line="437" w:lineRule="exact"/>
        <w:ind w:left="1112" w:hanging="794"/>
        <w:rPr>
          <w:sz w:val="26"/>
          <w:szCs w:val="26"/>
        </w:rPr>
      </w:pPr>
      <w:r w:rsidRPr="007B5D03">
        <w:rPr>
          <w:rFonts w:hAnsi="標楷體"/>
          <w:sz w:val="26"/>
          <w:szCs w:val="26"/>
        </w:rPr>
        <w:t>註一：財政部</w:t>
      </w:r>
      <w:r w:rsidRPr="007B5D03">
        <w:rPr>
          <w:sz w:val="26"/>
          <w:szCs w:val="26"/>
        </w:rPr>
        <w:t>86.7.31.</w:t>
      </w:r>
      <w:r w:rsidRPr="007B5D03">
        <w:rPr>
          <w:rFonts w:hAnsi="標楷體" w:hint="eastAsia"/>
          <w:sz w:val="26"/>
          <w:szCs w:val="26"/>
        </w:rPr>
        <w:t>台</w:t>
      </w:r>
      <w:r w:rsidRPr="007B5D03">
        <w:rPr>
          <w:rFonts w:hAnsi="標楷體"/>
          <w:sz w:val="26"/>
          <w:szCs w:val="26"/>
        </w:rPr>
        <w:t>財稅第八六一九０九三一一號函「（一）財政部</w:t>
      </w:r>
      <w:r w:rsidRPr="007B5D03">
        <w:rPr>
          <w:sz w:val="26"/>
          <w:szCs w:val="26"/>
        </w:rPr>
        <w:t>86.5.23.</w:t>
      </w:r>
      <w:r w:rsidRPr="007B5D03">
        <w:rPr>
          <w:rFonts w:hAnsi="標楷體" w:hint="eastAsia"/>
          <w:sz w:val="26"/>
          <w:szCs w:val="26"/>
        </w:rPr>
        <w:t>台</w:t>
      </w:r>
      <w:r w:rsidRPr="007B5D03">
        <w:rPr>
          <w:rFonts w:hAnsi="標楷體"/>
          <w:sz w:val="26"/>
          <w:szCs w:val="26"/>
        </w:rPr>
        <w:t>財證（五）第０三０三七號公告，已依證券交易法第六條規定，核定認購（售）權證為其他有價證券，則發行後買賣該認購（售）權證，應依證券交易稅條例第二條第二款規定，按買賣經政府核准之其他有價證券，依每次交易成交價格課徵千分之一證券交易稅，並依現行所得稅法第四條之一規定，停止課徵證券交易所得稅。」</w:t>
      </w:r>
    </w:p>
    <w:p w:rsidR="00514426" w:rsidRPr="007B5D03" w:rsidRDefault="00514426" w:rsidP="00305647">
      <w:pPr>
        <w:spacing w:line="437" w:lineRule="exact"/>
        <w:ind w:left="1112" w:hanging="794"/>
        <w:rPr>
          <w:sz w:val="26"/>
          <w:szCs w:val="26"/>
        </w:rPr>
      </w:pPr>
      <w:r w:rsidRPr="007B5D03">
        <w:rPr>
          <w:rFonts w:hAnsi="標楷體"/>
          <w:sz w:val="26"/>
          <w:szCs w:val="26"/>
        </w:rPr>
        <w:t>註二：財政部</w:t>
      </w:r>
      <w:r w:rsidRPr="007B5D03">
        <w:rPr>
          <w:sz w:val="26"/>
          <w:szCs w:val="26"/>
        </w:rPr>
        <w:t>86.7.31.</w:t>
      </w:r>
      <w:r w:rsidRPr="007B5D03">
        <w:rPr>
          <w:rFonts w:hAnsi="標楷體" w:hint="eastAsia"/>
          <w:sz w:val="26"/>
          <w:szCs w:val="26"/>
        </w:rPr>
        <w:t>台</w:t>
      </w:r>
      <w:r w:rsidRPr="007B5D03">
        <w:rPr>
          <w:rFonts w:hAnsi="標楷體"/>
          <w:sz w:val="26"/>
          <w:szCs w:val="26"/>
        </w:rPr>
        <w:t>財稅第八六一九０九三一一號函「（二）認購（售）權證持有人如於某一時間或特定到期日，按約定行使價格向發行人購入（售出）標的股票者，係屬發行人（持有人）出賣標的股票之行為，應就所出售之標的股票，依證券交易稅條例第二條規定</w:t>
      </w:r>
      <w:r w:rsidRPr="007B5D03">
        <w:rPr>
          <w:rFonts w:hAnsi="標楷體"/>
          <w:sz w:val="26"/>
          <w:szCs w:val="26"/>
        </w:rPr>
        <w:lastRenderedPageBreak/>
        <w:t>，按履約價格課徵千分之三證券交易稅。」然在認購（售）權證之發行人藉助風險轉嫁機構避險的情形，財政部</w:t>
      </w:r>
      <w:r w:rsidRPr="007B5D03">
        <w:rPr>
          <w:sz w:val="26"/>
          <w:szCs w:val="26"/>
        </w:rPr>
        <w:t>86.10.16.</w:t>
      </w:r>
      <w:r w:rsidRPr="007B5D03">
        <w:rPr>
          <w:rFonts w:hAnsi="標楷體" w:hint="eastAsia"/>
          <w:sz w:val="26"/>
          <w:szCs w:val="26"/>
        </w:rPr>
        <w:t>台</w:t>
      </w:r>
      <w:r w:rsidRPr="007B5D03">
        <w:rPr>
          <w:rFonts w:hAnsi="標楷體"/>
          <w:sz w:val="26"/>
          <w:szCs w:val="26"/>
        </w:rPr>
        <w:t>財稅第八六一九二０四０二號函認為，認購（售）權證如為證券給付之履約方式，在其「認購（售）權證投資人要求履約時，接受發行人風險轉嫁之機構（投資人）將履約標的有價證券轉讓予發行人後，再由發行人轉讓予投資人（受託之風險轉嫁機構），二階段皆屬買賣有價證券之行為，均應依法課徵證券交易稅。」該函顯示，為避險之目的，會增加一個證券交易。該增加出來之證券交易，在認購權證其實也就是發行人為準備履行必須從事在先的交易；在認售權證是在履行後，必須出清在後的交易，以了結各該認購（售）權證的業務。</w:t>
      </w:r>
    </w:p>
    <w:p w:rsidR="00514426" w:rsidRPr="007B5D03" w:rsidRDefault="00514426" w:rsidP="00305647">
      <w:pPr>
        <w:spacing w:line="437" w:lineRule="exact"/>
        <w:ind w:left="1112" w:hanging="794"/>
        <w:rPr>
          <w:sz w:val="26"/>
          <w:szCs w:val="26"/>
        </w:rPr>
      </w:pPr>
      <w:r w:rsidRPr="007B5D03">
        <w:rPr>
          <w:rFonts w:hAnsi="標楷體"/>
          <w:sz w:val="26"/>
          <w:szCs w:val="26"/>
        </w:rPr>
        <w:t>註三：財政部</w:t>
      </w:r>
      <w:r w:rsidRPr="007B5D03">
        <w:rPr>
          <w:sz w:val="26"/>
          <w:szCs w:val="26"/>
        </w:rPr>
        <w:t>86.7.31.</w:t>
      </w:r>
      <w:r w:rsidRPr="007B5D03">
        <w:rPr>
          <w:rFonts w:hAnsi="標楷體" w:hint="eastAsia"/>
          <w:sz w:val="26"/>
          <w:szCs w:val="26"/>
        </w:rPr>
        <w:t>台</w:t>
      </w:r>
      <w:r w:rsidRPr="007B5D03">
        <w:rPr>
          <w:rFonts w:hAnsi="標楷體"/>
          <w:sz w:val="26"/>
          <w:szCs w:val="26"/>
        </w:rPr>
        <w:t>財稅第八六一九０九三一一號函「（三）至認購（售）權證持有人如於某一時間或特定到期日，以現金方式結算者，係屬認購（售）權證之標的股票之交易，應對認購（售）權證之發行人（持有人）依標的股票之履約價格按千分之三稅率課徵證券交易稅，及對認購（售）權證持有人（發行人）依標的股票之市場價格按千分之三稅率課徵證券交易稅，並依前開所得稅法規定停止課徵所得稅。」</w:t>
      </w:r>
    </w:p>
    <w:p w:rsidR="00514426" w:rsidRPr="007B5D03" w:rsidRDefault="00514426" w:rsidP="00305647">
      <w:pPr>
        <w:spacing w:line="437" w:lineRule="exact"/>
        <w:ind w:left="1112" w:hanging="794"/>
        <w:rPr>
          <w:sz w:val="26"/>
          <w:szCs w:val="26"/>
        </w:rPr>
      </w:pPr>
      <w:r w:rsidRPr="007B5D03">
        <w:rPr>
          <w:rFonts w:hAnsi="標楷體"/>
          <w:sz w:val="26"/>
          <w:szCs w:val="26"/>
        </w:rPr>
        <w:t>註四：財政部</w:t>
      </w:r>
      <w:r w:rsidRPr="007B5D03">
        <w:rPr>
          <w:sz w:val="26"/>
          <w:szCs w:val="26"/>
        </w:rPr>
        <w:t>86.7.31.</w:t>
      </w:r>
      <w:r w:rsidRPr="007B5D03">
        <w:rPr>
          <w:rFonts w:hAnsi="標楷體" w:hint="eastAsia"/>
          <w:sz w:val="26"/>
          <w:szCs w:val="26"/>
        </w:rPr>
        <w:t>台</w:t>
      </w:r>
      <w:r w:rsidRPr="007B5D03">
        <w:rPr>
          <w:rFonts w:hAnsi="標楷體"/>
          <w:sz w:val="26"/>
          <w:szCs w:val="26"/>
        </w:rPr>
        <w:t>財稅第八六一九０九三一一號函「（一）本部八十六年五月二十三日（</w:t>
      </w:r>
      <w:r w:rsidRPr="007B5D03">
        <w:rPr>
          <w:sz w:val="26"/>
          <w:szCs w:val="26"/>
        </w:rPr>
        <w:t>86</w:t>
      </w:r>
      <w:r w:rsidRPr="007B5D03">
        <w:rPr>
          <w:rFonts w:hAnsi="標楷體"/>
          <w:sz w:val="26"/>
          <w:szCs w:val="26"/>
        </w:rPr>
        <w:t>）</w:t>
      </w:r>
      <w:r w:rsidRPr="007B5D03">
        <w:rPr>
          <w:rFonts w:hAnsi="標楷體" w:hint="eastAsia"/>
          <w:sz w:val="26"/>
          <w:szCs w:val="26"/>
        </w:rPr>
        <w:t>台</w:t>
      </w:r>
      <w:r w:rsidRPr="007B5D03">
        <w:rPr>
          <w:rFonts w:hAnsi="標楷體"/>
          <w:sz w:val="26"/>
          <w:szCs w:val="26"/>
        </w:rPr>
        <w:t>財證（五）</w:t>
      </w:r>
      <w:r w:rsidRPr="007B5D03">
        <w:rPr>
          <w:rFonts w:hAnsi="標楷體" w:hint="eastAsia"/>
          <w:sz w:val="26"/>
          <w:szCs w:val="26"/>
        </w:rPr>
        <w:t>第</w:t>
      </w:r>
      <w:r w:rsidRPr="007B5D03">
        <w:rPr>
          <w:rFonts w:hAnsi="標楷體"/>
          <w:sz w:val="26"/>
          <w:szCs w:val="26"/>
        </w:rPr>
        <w:t>０三０三七號公告，已依證券交易法第六條規定，核定認購（售）權證為其他有價證券，則發行後買賣該認購（售）權證，應依證券交易稅條例第二條第二款規定，按買賣經政府核准之其他有價證券，依每次交易成交價格課徵</w:t>
      </w:r>
      <w:r w:rsidRPr="007B5D03">
        <w:rPr>
          <w:rFonts w:hAnsi="標楷體" w:hint="eastAsia"/>
          <w:sz w:val="26"/>
          <w:szCs w:val="26"/>
        </w:rPr>
        <w:t>千</w:t>
      </w:r>
      <w:r w:rsidRPr="007B5D03">
        <w:rPr>
          <w:rFonts w:hAnsi="標楷體"/>
          <w:sz w:val="26"/>
          <w:szCs w:val="26"/>
        </w:rPr>
        <w:t>分之一證券交易稅，並依現行所得稅法第四條之一規定，停止課徵證券交易所得稅。」</w:t>
      </w:r>
    </w:p>
    <w:p w:rsidR="00514426" w:rsidRPr="007B5D03" w:rsidRDefault="00514426" w:rsidP="00305647">
      <w:pPr>
        <w:spacing w:line="437" w:lineRule="exact"/>
        <w:ind w:left="1112" w:hanging="794"/>
        <w:rPr>
          <w:sz w:val="26"/>
          <w:szCs w:val="26"/>
        </w:rPr>
      </w:pPr>
      <w:r w:rsidRPr="007B5D03">
        <w:rPr>
          <w:rFonts w:hAnsi="標楷體"/>
          <w:sz w:val="26"/>
          <w:szCs w:val="26"/>
        </w:rPr>
        <w:t>註五：針對上述避險或履約準備的操作，財政部證券暨期貨管理委員會於</w:t>
      </w:r>
      <w:r w:rsidRPr="007B5D03">
        <w:rPr>
          <w:sz w:val="26"/>
          <w:szCs w:val="26"/>
        </w:rPr>
        <w:lastRenderedPageBreak/>
        <w:t>86.6.12.</w:t>
      </w:r>
      <w:r w:rsidRPr="007B5D03">
        <w:rPr>
          <w:rFonts w:hAnsi="標楷體"/>
          <w:sz w:val="26"/>
          <w:szCs w:val="26"/>
        </w:rPr>
        <w:t>曾以（</w:t>
      </w:r>
      <w:r w:rsidRPr="007B5D03">
        <w:rPr>
          <w:sz w:val="26"/>
          <w:szCs w:val="26"/>
        </w:rPr>
        <w:t>86</w:t>
      </w:r>
      <w:r w:rsidRPr="007B5D03">
        <w:rPr>
          <w:rFonts w:hAnsi="標楷體"/>
          <w:sz w:val="26"/>
          <w:szCs w:val="26"/>
        </w:rPr>
        <w:t>）</w:t>
      </w:r>
      <w:r w:rsidRPr="007B5D03">
        <w:rPr>
          <w:rFonts w:hAnsi="標楷體" w:hint="eastAsia"/>
          <w:sz w:val="26"/>
          <w:szCs w:val="26"/>
        </w:rPr>
        <w:t>台</w:t>
      </w:r>
      <w:r w:rsidRPr="007B5D03">
        <w:rPr>
          <w:rFonts w:hAnsi="標楷體"/>
          <w:sz w:val="26"/>
          <w:szCs w:val="26"/>
        </w:rPr>
        <w:t>財證（二）字第０三二九四號函規定：「二、茲依『證券商管理規則』第十九條第一項但書規定，訂定證券商因發行認購（售）權證避險需要而持有所發行認購（售）權證標的股票之數額限制如下：（一）證券商發行認購（售）權證並自行從事風險管理者，得依風險沖銷策略之需求持有所發行認購（售）權證之標的股票，不受『證券商管理規則』第十九條第一項後段『其持有任一公司所發行有價證券之成本總額，並不得超過其資本淨值之百分之二十』限制。惟其持有數額以風險沖銷策略所需者為限，至多並不得超過認購（售）權證發行單位所代表之標的股票股數。（二）前述證券商因發行認購（售）權證持有之標的股票，仍應受證券商管理規則第十九條第一項前段『證券商除由金融機構兼營者依銀行法規定外，其經營自行買賣有價證券業務者，持有任一公司股份之總額不得超過該公司已發行股份總額之百分之十』限制。（三）發行認購（售）權證之證券商，於該認購（售）權證存續期間內，除基於風險沖銷之需求而買賣之標的股票外，其自營部門不得另外自行買進賣出該標的股票；發行前自營部門已持有之標的股票，亦應轉入風險沖銷策略之持有數額內一併計算。」「證券商因發行認購</w:t>
      </w:r>
      <w:r w:rsidRPr="007B5D03">
        <w:rPr>
          <w:sz w:val="26"/>
          <w:szCs w:val="26"/>
        </w:rPr>
        <w:t xml:space="preserve"> </w:t>
      </w:r>
      <w:r w:rsidRPr="007B5D03">
        <w:rPr>
          <w:sz w:val="26"/>
          <w:szCs w:val="26"/>
        </w:rPr>
        <w:t>（售）</w:t>
      </w:r>
      <w:r w:rsidRPr="007B5D03">
        <w:rPr>
          <w:sz w:val="26"/>
          <w:szCs w:val="26"/>
        </w:rPr>
        <w:t xml:space="preserve"> </w:t>
      </w:r>
      <w:r w:rsidRPr="007B5D03">
        <w:rPr>
          <w:rFonts w:hAnsi="標楷體"/>
          <w:sz w:val="26"/>
          <w:szCs w:val="26"/>
        </w:rPr>
        <w:t>權證避險需要而持有所發行認購</w:t>
      </w:r>
      <w:r w:rsidRPr="007B5D03">
        <w:rPr>
          <w:sz w:val="26"/>
          <w:szCs w:val="26"/>
        </w:rPr>
        <w:t xml:space="preserve"> </w:t>
      </w:r>
      <w:r w:rsidRPr="007B5D03">
        <w:rPr>
          <w:sz w:val="26"/>
          <w:szCs w:val="26"/>
        </w:rPr>
        <w:t>（售）</w:t>
      </w:r>
      <w:r w:rsidRPr="007B5D03">
        <w:rPr>
          <w:sz w:val="26"/>
          <w:szCs w:val="26"/>
        </w:rPr>
        <w:t xml:space="preserve"> </w:t>
      </w:r>
      <w:r w:rsidRPr="007B5D03">
        <w:rPr>
          <w:rFonts w:hAnsi="標楷體"/>
          <w:sz w:val="26"/>
          <w:szCs w:val="26"/>
        </w:rPr>
        <w:t>權證標的股票之數額限制，仍應依本會八十六年六月十二日（八六）台財證</w:t>
      </w:r>
      <w:r w:rsidRPr="007B5D03">
        <w:rPr>
          <w:rFonts w:hint="eastAsia"/>
          <w:sz w:val="26"/>
          <w:szCs w:val="26"/>
        </w:rPr>
        <w:t>（</w:t>
      </w:r>
      <w:r w:rsidRPr="007B5D03">
        <w:rPr>
          <w:rFonts w:hAnsi="標楷體"/>
          <w:sz w:val="26"/>
          <w:szCs w:val="26"/>
        </w:rPr>
        <w:t>二</w:t>
      </w:r>
      <w:r w:rsidRPr="007B5D03">
        <w:rPr>
          <w:rFonts w:hint="eastAsia"/>
          <w:sz w:val="26"/>
          <w:szCs w:val="26"/>
        </w:rPr>
        <w:t>）</w:t>
      </w:r>
      <w:r w:rsidRPr="007B5D03">
        <w:rPr>
          <w:rFonts w:hAnsi="標楷體"/>
          <w:sz w:val="26"/>
          <w:szCs w:val="26"/>
        </w:rPr>
        <w:t>第０三二九四號函辦理」（財政部證券暨期貨管理委員會</w:t>
      </w:r>
      <w:r w:rsidRPr="007B5D03">
        <w:rPr>
          <w:sz w:val="26"/>
          <w:szCs w:val="26"/>
        </w:rPr>
        <w:t xml:space="preserve"> 92.06.03.</w:t>
      </w:r>
      <w:r w:rsidRPr="007B5D03">
        <w:rPr>
          <w:rFonts w:hAnsi="標楷體" w:hint="eastAsia"/>
          <w:sz w:val="26"/>
          <w:szCs w:val="26"/>
        </w:rPr>
        <w:t>台</w:t>
      </w:r>
      <w:r w:rsidRPr="007B5D03">
        <w:rPr>
          <w:rFonts w:hAnsi="標楷體"/>
          <w:sz w:val="26"/>
          <w:szCs w:val="26"/>
        </w:rPr>
        <w:t>財證二字第０九二０一二四二七四號函）。</w:t>
      </w:r>
    </w:p>
    <w:p w:rsidR="00514426" w:rsidRPr="007B5D03" w:rsidRDefault="00514426" w:rsidP="00305647">
      <w:pPr>
        <w:spacing w:line="437" w:lineRule="exact"/>
        <w:ind w:left="1112" w:hanging="794"/>
        <w:rPr>
          <w:sz w:val="26"/>
          <w:szCs w:val="26"/>
        </w:rPr>
      </w:pPr>
      <w:r w:rsidRPr="007B5D03">
        <w:rPr>
          <w:rFonts w:hAnsi="標楷體"/>
          <w:sz w:val="26"/>
          <w:szCs w:val="26"/>
        </w:rPr>
        <w:t>註六：針對上述避險或履約準備的操作，財政部證券暨期貨管理委員會於</w:t>
      </w:r>
      <w:r w:rsidRPr="007B5D03">
        <w:rPr>
          <w:sz w:val="26"/>
          <w:szCs w:val="26"/>
        </w:rPr>
        <w:t>86.6.</w:t>
      </w:r>
      <w:r w:rsidRPr="00305647">
        <w:rPr>
          <w:rFonts w:hAnsi="標楷體"/>
          <w:sz w:val="26"/>
          <w:szCs w:val="26"/>
        </w:rPr>
        <w:t>12</w:t>
      </w:r>
      <w:r w:rsidRPr="007B5D03">
        <w:rPr>
          <w:sz w:val="26"/>
          <w:szCs w:val="26"/>
        </w:rPr>
        <w:t>.</w:t>
      </w:r>
      <w:r w:rsidRPr="007B5D03">
        <w:rPr>
          <w:rFonts w:hAnsi="標楷體"/>
          <w:sz w:val="26"/>
          <w:szCs w:val="26"/>
        </w:rPr>
        <w:t>曾以</w:t>
      </w:r>
      <w:r w:rsidRPr="007B5D03">
        <w:rPr>
          <w:rFonts w:hAnsi="標楷體" w:hint="eastAsia"/>
          <w:sz w:val="26"/>
          <w:szCs w:val="26"/>
        </w:rPr>
        <w:t>（</w:t>
      </w:r>
      <w:r w:rsidRPr="007B5D03">
        <w:rPr>
          <w:sz w:val="26"/>
          <w:szCs w:val="26"/>
        </w:rPr>
        <w:t>86</w:t>
      </w:r>
      <w:r w:rsidRPr="007B5D03">
        <w:rPr>
          <w:rFonts w:hAnsi="標楷體" w:hint="eastAsia"/>
          <w:sz w:val="26"/>
          <w:szCs w:val="26"/>
        </w:rPr>
        <w:t>）台</w:t>
      </w:r>
      <w:r w:rsidRPr="007B5D03">
        <w:rPr>
          <w:rFonts w:hAnsi="標楷體"/>
          <w:sz w:val="26"/>
          <w:szCs w:val="26"/>
        </w:rPr>
        <w:t>財證（二）字第０三二九四號函規定：「二、茲依『證券商管理規則』第十九條第一項但書規定，訂定證券商因發行認購（售）權證避險需要而持有所發行認購（售）權證標的股票之數額限制如下：（一）證券商發行認購（售）權證並自行從事</w:t>
      </w:r>
      <w:r w:rsidRPr="007B5D03">
        <w:rPr>
          <w:rFonts w:hAnsi="標楷體"/>
          <w:sz w:val="26"/>
          <w:szCs w:val="26"/>
        </w:rPr>
        <w:lastRenderedPageBreak/>
        <w:t>風險管理者，得依風險沖銷策略之需求持有所發行認購（售）權證之標的股票，不受『證券商管理規則』第十九條第一項後段『其持有任一公司所發行有價證券之成本總額，並不得超過其資本淨值之百分之二十』限制。惟其持有數額以風險沖銷策略所需者為限，至多並不得超過認購（售）權證發行單位所代表之標的股票股數。（二）前述證券商因發行認購（售）權證持有之標的股票，仍應受證券商管理規則第十九條第一項前段『證券商除由金融機構兼營者依銀行法規定外，其經營自行買賣有價證券業務者，持有任一公司股份之總額不得超過該公司已發行股份總額之百分之十』限制。（三）發行認購（售）權證之證券商，於該認購（售）權證存續期間內，除基於風險沖銷之需求而買賣之標的股票外，其自營部門不得另外自行買進賣出該標的股票；發行前自營部門已持有之標的股票，亦應轉入風險沖銷策略之持有數額內一併計算。」</w:t>
      </w:r>
    </w:p>
    <w:p w:rsidR="00514426" w:rsidRPr="007B5D03" w:rsidRDefault="00514426" w:rsidP="00FB2D5A">
      <w:pPr>
        <w:spacing w:line="437" w:lineRule="exact"/>
        <w:ind w:left="958" w:hanging="633"/>
        <w:rPr>
          <w:sz w:val="30"/>
          <w:szCs w:val="30"/>
        </w:rPr>
      </w:pPr>
      <w:r w:rsidRPr="007B5D03">
        <w:rPr>
          <w:rFonts w:hAnsi="標楷體"/>
          <w:sz w:val="30"/>
          <w:szCs w:val="30"/>
        </w:rPr>
        <w:t>謹　狀</w:t>
      </w:r>
    </w:p>
    <w:p w:rsidR="00514426" w:rsidRPr="007B5D03" w:rsidRDefault="00514426" w:rsidP="00FB2D5A">
      <w:pPr>
        <w:spacing w:line="437" w:lineRule="exact"/>
        <w:ind w:left="958" w:hanging="958"/>
        <w:rPr>
          <w:sz w:val="30"/>
          <w:szCs w:val="30"/>
        </w:rPr>
      </w:pPr>
      <w:r w:rsidRPr="007B5D03">
        <w:rPr>
          <w:rFonts w:hAnsi="標楷體"/>
          <w:sz w:val="30"/>
          <w:szCs w:val="30"/>
        </w:rPr>
        <w:t>司法院　公鑒</w:t>
      </w:r>
    </w:p>
    <w:p w:rsidR="00514426" w:rsidRPr="007B5D03" w:rsidRDefault="00514426" w:rsidP="00305647">
      <w:pPr>
        <w:spacing w:line="437" w:lineRule="exact"/>
        <w:ind w:firstLine="3062"/>
        <w:rPr>
          <w:sz w:val="30"/>
          <w:szCs w:val="30"/>
        </w:rPr>
      </w:pPr>
      <w:r w:rsidRPr="007B5D03">
        <w:rPr>
          <w:rFonts w:hAnsi="標楷體"/>
          <w:sz w:val="30"/>
          <w:szCs w:val="30"/>
        </w:rPr>
        <w:t>聲　請　人：金鼎綜合證券股份有限公司</w:t>
      </w:r>
    </w:p>
    <w:p w:rsidR="00514426" w:rsidRPr="007B5D03" w:rsidRDefault="00514426" w:rsidP="00305647">
      <w:pPr>
        <w:spacing w:line="437" w:lineRule="exact"/>
        <w:ind w:firstLine="3062"/>
        <w:rPr>
          <w:sz w:val="30"/>
          <w:szCs w:val="30"/>
        </w:rPr>
      </w:pPr>
      <w:r w:rsidRPr="007B5D03">
        <w:rPr>
          <w:rFonts w:hAnsi="標楷體"/>
          <w:sz w:val="30"/>
          <w:szCs w:val="30"/>
        </w:rPr>
        <w:t>代　表　人：張　元　銘</w:t>
      </w:r>
    </w:p>
    <w:p w:rsidR="00514426" w:rsidRPr="007B5D03" w:rsidRDefault="00514426" w:rsidP="00305647">
      <w:pPr>
        <w:spacing w:line="437" w:lineRule="exact"/>
        <w:ind w:firstLine="3062"/>
        <w:rPr>
          <w:sz w:val="30"/>
          <w:szCs w:val="30"/>
        </w:rPr>
      </w:pPr>
      <w:r w:rsidRPr="007B5D03">
        <w:rPr>
          <w:rFonts w:hAnsi="標楷體"/>
          <w:sz w:val="30"/>
          <w:szCs w:val="30"/>
        </w:rPr>
        <w:t>代　理　人：蔡　朝　安　律　師</w:t>
      </w:r>
    </w:p>
    <w:p w:rsidR="00514426" w:rsidRPr="007B5D03" w:rsidRDefault="00514426" w:rsidP="00FB2D5A">
      <w:pPr>
        <w:spacing w:line="437" w:lineRule="exact"/>
        <w:jc w:val="distribute"/>
        <w:rPr>
          <w:sz w:val="30"/>
          <w:szCs w:val="30"/>
        </w:rPr>
      </w:pPr>
      <w:smartTag w:uri="urn:schemas-microsoft-com:office:smarttags" w:element="chsdate">
        <w:smartTagPr>
          <w:attr w:name="IsROCDate" w:val="True"/>
          <w:attr w:name="IsLunarDate" w:val="False"/>
          <w:attr w:name="Day" w:val="13"/>
          <w:attr w:name="Month" w:val="7"/>
          <w:attr w:name="Year" w:val="2009"/>
        </w:smartTagPr>
        <w:r w:rsidRPr="007B5D03">
          <w:rPr>
            <w:rFonts w:hAnsi="標楷體"/>
            <w:sz w:val="30"/>
            <w:szCs w:val="30"/>
          </w:rPr>
          <w:t>中華民國九十八年七月十三日</w:t>
        </w:r>
      </w:smartTag>
    </w:p>
    <w:p w:rsidR="00514426" w:rsidRPr="007B5D03" w:rsidRDefault="00514426" w:rsidP="00FB2D5A">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37" w:lineRule="exact"/>
        <w:ind w:firstLine="280"/>
        <w:jc w:val="both"/>
        <w:rPr>
          <w:rFonts w:ascii="Times New Roman" w:eastAsia="標楷體" w:hAnsi="Times New Roman" w:cs="Times New Roman"/>
          <w:sz w:val="30"/>
          <w:szCs w:val="30"/>
        </w:rPr>
      </w:pPr>
    </w:p>
    <w:p w:rsidR="00514426" w:rsidRPr="007B5D03" w:rsidRDefault="00514426" w:rsidP="00FB2D5A">
      <w:pPr>
        <w:spacing w:line="437" w:lineRule="exact"/>
        <w:rPr>
          <w:sz w:val="30"/>
          <w:szCs w:val="30"/>
        </w:rPr>
      </w:pPr>
      <w:r w:rsidRPr="007B5D03">
        <w:rPr>
          <w:rFonts w:hAnsi="標楷體"/>
          <w:sz w:val="30"/>
          <w:szCs w:val="30"/>
        </w:rPr>
        <w:t>（附件一）</w:t>
      </w:r>
    </w:p>
    <w:p w:rsidR="00514426" w:rsidRPr="007B5D03" w:rsidRDefault="00514426" w:rsidP="00FB2D5A">
      <w:pPr>
        <w:spacing w:line="437" w:lineRule="exact"/>
        <w:jc w:val="distribute"/>
        <w:rPr>
          <w:sz w:val="30"/>
          <w:szCs w:val="30"/>
        </w:rPr>
      </w:pPr>
      <w:r w:rsidRPr="007B5D03">
        <w:rPr>
          <w:rFonts w:hAnsi="標楷體"/>
          <w:sz w:val="30"/>
          <w:szCs w:val="30"/>
        </w:rPr>
        <w:t xml:space="preserve">最高行政法院判決　　　　</w:t>
      </w:r>
      <w:r w:rsidRPr="007B5D03">
        <w:rPr>
          <w:sz w:val="30"/>
          <w:szCs w:val="30"/>
        </w:rPr>
        <w:t>98</w:t>
      </w:r>
      <w:r w:rsidRPr="007B5D03">
        <w:rPr>
          <w:rFonts w:hAnsi="標楷體"/>
          <w:sz w:val="30"/>
          <w:szCs w:val="30"/>
        </w:rPr>
        <w:t>年度判字第</w:t>
      </w:r>
      <w:r w:rsidRPr="007B5D03">
        <w:rPr>
          <w:sz w:val="30"/>
          <w:szCs w:val="30"/>
        </w:rPr>
        <w:t>563</w:t>
      </w:r>
      <w:r w:rsidRPr="007B5D03">
        <w:rPr>
          <w:rFonts w:hAnsi="標楷體"/>
          <w:sz w:val="30"/>
          <w:szCs w:val="30"/>
        </w:rPr>
        <w:t>號</w:t>
      </w:r>
    </w:p>
    <w:p w:rsidR="00514426" w:rsidRPr="007B5D03" w:rsidRDefault="00514426" w:rsidP="00FB2D5A">
      <w:pPr>
        <w:spacing w:line="437" w:lineRule="exact"/>
        <w:rPr>
          <w:sz w:val="30"/>
          <w:szCs w:val="30"/>
        </w:rPr>
      </w:pPr>
      <w:r w:rsidRPr="007B5D03">
        <w:rPr>
          <w:rFonts w:hAnsi="標楷體"/>
          <w:sz w:val="30"/>
          <w:szCs w:val="30"/>
        </w:rPr>
        <w:t>上　訴　人　金鼎</w:t>
      </w:r>
      <w:r w:rsidRPr="007B5D03">
        <w:rPr>
          <w:rFonts w:hAnsi="標楷體" w:hint="eastAsia"/>
          <w:sz w:val="30"/>
          <w:szCs w:val="30"/>
        </w:rPr>
        <w:t>綜合</w:t>
      </w:r>
      <w:r w:rsidRPr="007B5D03">
        <w:rPr>
          <w:rFonts w:hAnsi="標楷體"/>
          <w:sz w:val="30"/>
          <w:szCs w:val="30"/>
        </w:rPr>
        <w:t>證券股份有限公司</w:t>
      </w:r>
    </w:p>
    <w:p w:rsidR="00514426" w:rsidRPr="007B5D03" w:rsidRDefault="00514426" w:rsidP="00FB2D5A">
      <w:pPr>
        <w:spacing w:line="437" w:lineRule="exact"/>
        <w:rPr>
          <w:sz w:val="30"/>
          <w:szCs w:val="30"/>
        </w:rPr>
      </w:pPr>
      <w:r w:rsidRPr="007B5D03">
        <w:rPr>
          <w:rFonts w:hAnsi="標楷體"/>
          <w:sz w:val="30"/>
          <w:szCs w:val="30"/>
        </w:rPr>
        <w:t>代　表　人　張　元　銘</w:t>
      </w:r>
    </w:p>
    <w:p w:rsidR="00514426" w:rsidRPr="007B5D03" w:rsidRDefault="00514426" w:rsidP="00FB2D5A">
      <w:pPr>
        <w:spacing w:line="437" w:lineRule="exact"/>
        <w:rPr>
          <w:sz w:val="30"/>
          <w:szCs w:val="30"/>
        </w:rPr>
      </w:pPr>
      <w:r w:rsidRPr="007B5D03">
        <w:rPr>
          <w:rFonts w:hAnsi="標楷體"/>
          <w:sz w:val="30"/>
          <w:szCs w:val="30"/>
        </w:rPr>
        <w:t>訴訟代理人　蔡　朝　安　律　師</w:t>
      </w:r>
    </w:p>
    <w:p w:rsidR="00514426" w:rsidRPr="007B5D03" w:rsidRDefault="00514426" w:rsidP="00FB2D5A">
      <w:pPr>
        <w:spacing w:line="437" w:lineRule="exact"/>
        <w:rPr>
          <w:sz w:val="30"/>
          <w:szCs w:val="30"/>
        </w:rPr>
      </w:pPr>
      <w:r w:rsidRPr="007B5D03">
        <w:rPr>
          <w:rFonts w:hAnsi="標楷體"/>
          <w:sz w:val="30"/>
          <w:szCs w:val="30"/>
        </w:rPr>
        <w:t>送達代收人　陳　心　儀　律　師</w:t>
      </w:r>
    </w:p>
    <w:p w:rsidR="00514426" w:rsidRPr="007B5D03" w:rsidRDefault="00514426" w:rsidP="00FB2D5A">
      <w:pPr>
        <w:spacing w:line="437" w:lineRule="exact"/>
        <w:ind w:left="2400" w:hangingChars="600" w:hanging="2400"/>
        <w:rPr>
          <w:sz w:val="30"/>
          <w:szCs w:val="30"/>
        </w:rPr>
      </w:pPr>
      <w:r w:rsidRPr="007B5D03">
        <w:rPr>
          <w:rFonts w:hAnsi="標楷體"/>
          <w:spacing w:val="50"/>
          <w:sz w:val="30"/>
          <w:szCs w:val="30"/>
        </w:rPr>
        <w:lastRenderedPageBreak/>
        <w:t>被</w:t>
      </w:r>
      <w:r w:rsidRPr="007B5D03">
        <w:rPr>
          <w:rFonts w:hAnsi="標楷體" w:hint="eastAsia"/>
          <w:spacing w:val="50"/>
          <w:sz w:val="30"/>
          <w:szCs w:val="30"/>
        </w:rPr>
        <w:t>上訴</w:t>
      </w:r>
      <w:r w:rsidRPr="007B5D03">
        <w:rPr>
          <w:rFonts w:hAnsi="標楷體" w:hint="eastAsia"/>
          <w:spacing w:val="-2"/>
          <w:sz w:val="30"/>
          <w:szCs w:val="30"/>
        </w:rPr>
        <w:t>人</w:t>
      </w:r>
      <w:r w:rsidRPr="007B5D03">
        <w:rPr>
          <w:rFonts w:hAnsi="標楷體"/>
          <w:spacing w:val="-2"/>
          <w:sz w:val="30"/>
          <w:szCs w:val="30"/>
        </w:rPr>
        <w:t xml:space="preserve">　</w:t>
      </w:r>
      <w:r w:rsidRPr="007B5D03">
        <w:rPr>
          <w:rFonts w:hAnsi="標楷體"/>
          <w:sz w:val="30"/>
          <w:szCs w:val="30"/>
        </w:rPr>
        <w:t>財政部臺北市國稅局</w:t>
      </w:r>
    </w:p>
    <w:p w:rsidR="00514426" w:rsidRPr="007B5D03" w:rsidRDefault="00514426" w:rsidP="00FB2D5A">
      <w:pPr>
        <w:spacing w:line="437" w:lineRule="exact"/>
        <w:ind w:left="1800" w:hangingChars="600" w:hanging="1800"/>
        <w:rPr>
          <w:rFonts w:hint="eastAsia"/>
          <w:sz w:val="30"/>
          <w:szCs w:val="30"/>
        </w:rPr>
      </w:pPr>
      <w:r w:rsidRPr="007B5D03">
        <w:rPr>
          <w:rFonts w:hAnsi="標楷體"/>
          <w:sz w:val="30"/>
          <w:szCs w:val="30"/>
        </w:rPr>
        <w:t>代　表　人　凌　忠　嫄</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上列當事人間營利事業所得稅事件，上訴人對於</w:t>
      </w:r>
      <w:smartTag w:uri="urn:schemas-microsoft-com:office:smarttags" w:element="chsdate">
        <w:smartTagPr>
          <w:attr w:name="IsROCDate" w:val="True"/>
          <w:attr w:name="IsLunarDate" w:val="False"/>
          <w:attr w:name="Day" w:val="4"/>
          <w:attr w:name="Month" w:val="12"/>
          <w:attr w:name="Year" w:val="2008"/>
        </w:smartTagPr>
        <w:r w:rsidRPr="007B5D03">
          <w:rPr>
            <w:rFonts w:hAnsi="標楷體"/>
            <w:sz w:val="30"/>
            <w:szCs w:val="30"/>
          </w:rPr>
          <w:t>中華民國</w:t>
        </w:r>
        <w:r w:rsidRPr="007B5D03">
          <w:rPr>
            <w:sz w:val="30"/>
            <w:szCs w:val="30"/>
          </w:rPr>
          <w:t>97</w:t>
        </w:r>
        <w:r w:rsidRPr="007B5D03">
          <w:rPr>
            <w:rFonts w:hAnsi="標楷體"/>
            <w:sz w:val="30"/>
            <w:szCs w:val="30"/>
          </w:rPr>
          <w:t>年</w:t>
        </w:r>
        <w:r w:rsidRPr="007B5D03">
          <w:rPr>
            <w:sz w:val="30"/>
            <w:szCs w:val="30"/>
          </w:rPr>
          <w:t>12</w:t>
        </w:r>
        <w:r w:rsidRPr="007B5D03">
          <w:rPr>
            <w:rFonts w:hAnsi="標楷體"/>
            <w:sz w:val="30"/>
            <w:szCs w:val="30"/>
          </w:rPr>
          <w:t>月</w:t>
        </w:r>
        <w:r w:rsidRPr="007B5D03">
          <w:rPr>
            <w:sz w:val="30"/>
            <w:szCs w:val="30"/>
          </w:rPr>
          <w:t>4</w:t>
        </w:r>
        <w:r w:rsidRPr="007B5D03">
          <w:rPr>
            <w:rFonts w:hAnsi="標楷體"/>
            <w:sz w:val="30"/>
            <w:szCs w:val="30"/>
          </w:rPr>
          <w:t>日</w:t>
        </w:r>
      </w:smartTag>
      <w:r w:rsidRPr="007B5D03">
        <w:rPr>
          <w:rFonts w:hAnsi="標楷體"/>
          <w:sz w:val="30"/>
          <w:szCs w:val="30"/>
        </w:rPr>
        <w:t>臺北高等行政法院</w:t>
      </w:r>
      <w:r w:rsidRPr="007B5D03">
        <w:rPr>
          <w:sz w:val="30"/>
          <w:szCs w:val="30"/>
        </w:rPr>
        <w:t>97</w:t>
      </w:r>
      <w:r w:rsidRPr="007B5D03">
        <w:rPr>
          <w:rFonts w:hAnsi="標楷體"/>
          <w:sz w:val="30"/>
          <w:szCs w:val="30"/>
        </w:rPr>
        <w:t>年度訴字第</w:t>
      </w:r>
      <w:r w:rsidRPr="007B5D03">
        <w:rPr>
          <w:sz w:val="30"/>
          <w:szCs w:val="30"/>
        </w:rPr>
        <w:t>2129</w:t>
      </w:r>
      <w:r w:rsidRPr="007B5D03">
        <w:rPr>
          <w:rFonts w:hAnsi="標楷體"/>
          <w:sz w:val="30"/>
          <w:szCs w:val="30"/>
        </w:rPr>
        <w:t>號判決，提起上訴，本院判決如下：</w:t>
      </w:r>
    </w:p>
    <w:p w:rsidR="00514426" w:rsidRPr="007B5D03" w:rsidRDefault="00514426" w:rsidP="00FB2D5A">
      <w:pPr>
        <w:spacing w:line="437" w:lineRule="exact"/>
        <w:rPr>
          <w:sz w:val="30"/>
          <w:szCs w:val="30"/>
        </w:rPr>
      </w:pPr>
      <w:r w:rsidRPr="007B5D03">
        <w:rPr>
          <w:rFonts w:hAnsi="標楷體"/>
          <w:sz w:val="30"/>
          <w:szCs w:val="30"/>
        </w:rPr>
        <w:t xml:space="preserve">　　主　文</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上訴駁回。</w:t>
      </w:r>
    </w:p>
    <w:p w:rsidR="00514426" w:rsidRPr="007B5D03" w:rsidRDefault="00514426" w:rsidP="00FB2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7" w:lineRule="exact"/>
        <w:rPr>
          <w:sz w:val="30"/>
          <w:szCs w:val="30"/>
        </w:rPr>
      </w:pPr>
      <w:r w:rsidRPr="007B5D03">
        <w:rPr>
          <w:rFonts w:hAnsi="標楷體"/>
          <w:sz w:val="30"/>
          <w:szCs w:val="30"/>
        </w:rPr>
        <w:t>上訴審訴訟費用由上訴人負擔。</w:t>
      </w:r>
    </w:p>
    <w:p w:rsidR="00514426" w:rsidRPr="007B5D03" w:rsidRDefault="00514426" w:rsidP="00FB2D5A">
      <w:pPr>
        <w:spacing w:line="437" w:lineRule="exact"/>
        <w:rPr>
          <w:sz w:val="30"/>
          <w:szCs w:val="30"/>
        </w:rPr>
      </w:pPr>
      <w:r w:rsidRPr="007B5D03">
        <w:rPr>
          <w:rFonts w:hAnsi="標楷體"/>
          <w:sz w:val="30"/>
          <w:szCs w:val="30"/>
        </w:rPr>
        <w:t xml:space="preserve">　　理</w:t>
      </w:r>
      <w:r w:rsidRPr="007B5D03">
        <w:rPr>
          <w:rFonts w:hAnsi="標楷體" w:hint="eastAsia"/>
          <w:sz w:val="30"/>
          <w:szCs w:val="30"/>
        </w:rPr>
        <w:t xml:space="preserve">　</w:t>
      </w:r>
      <w:r w:rsidRPr="007B5D03">
        <w:rPr>
          <w:rFonts w:hAnsi="標楷體"/>
          <w:sz w:val="30"/>
          <w:szCs w:val="30"/>
        </w:rPr>
        <w:t>由</w:t>
      </w:r>
    </w:p>
    <w:p w:rsidR="00514426" w:rsidRPr="007B5D03" w:rsidRDefault="00514426" w:rsidP="00305647">
      <w:pPr>
        <w:snapToGrid w:val="0"/>
        <w:spacing w:line="437" w:lineRule="exact"/>
        <w:ind w:left="624" w:hanging="624"/>
        <w:rPr>
          <w:sz w:val="30"/>
          <w:szCs w:val="30"/>
        </w:rPr>
      </w:pPr>
      <w:r w:rsidRPr="007B5D03">
        <w:rPr>
          <w:rFonts w:hAnsi="標楷體"/>
          <w:spacing w:val="8"/>
          <w:sz w:val="30"/>
          <w:szCs w:val="30"/>
        </w:rPr>
        <w:t>一、</w:t>
      </w:r>
      <w:r w:rsidRPr="00305647">
        <w:rPr>
          <w:rFonts w:hAnsi="標楷體"/>
          <w:spacing w:val="4"/>
          <w:sz w:val="30"/>
          <w:szCs w:val="30"/>
        </w:rPr>
        <w:t>上訴人辦理</w:t>
      </w:r>
      <w:r w:rsidRPr="00305647">
        <w:rPr>
          <w:spacing w:val="4"/>
          <w:sz w:val="30"/>
          <w:szCs w:val="30"/>
        </w:rPr>
        <w:t>92</w:t>
      </w:r>
      <w:r w:rsidRPr="00305647">
        <w:rPr>
          <w:rFonts w:hAnsi="標楷體"/>
          <w:spacing w:val="4"/>
          <w:sz w:val="30"/>
          <w:szCs w:val="30"/>
        </w:rPr>
        <w:t>年度營利事業所得稅結算申報，列報營業收</w:t>
      </w:r>
      <w:r w:rsidRPr="007B5D03">
        <w:rPr>
          <w:rFonts w:hAnsi="標楷體"/>
          <w:sz w:val="30"/>
          <w:szCs w:val="30"/>
        </w:rPr>
        <w:t>入新臺幣（下同）</w:t>
      </w:r>
      <w:r w:rsidRPr="007B5D03">
        <w:rPr>
          <w:sz w:val="30"/>
          <w:szCs w:val="30"/>
        </w:rPr>
        <w:t>438,146,058,260</w:t>
      </w:r>
      <w:r w:rsidRPr="007B5D03">
        <w:rPr>
          <w:rFonts w:hAnsi="標楷體"/>
          <w:sz w:val="30"/>
          <w:szCs w:val="30"/>
        </w:rPr>
        <w:t>元，被上訴人初查以其按「發行之認購權證負債」減「買回之未實現價值變動損益」</w:t>
      </w:r>
      <w:r w:rsidRPr="00305647">
        <w:rPr>
          <w:rFonts w:hAnsi="標楷體"/>
          <w:spacing w:val="4"/>
          <w:sz w:val="30"/>
          <w:szCs w:val="30"/>
        </w:rPr>
        <w:t>及「已實現之發行損益」等之淨額</w:t>
      </w:r>
      <w:r w:rsidRPr="00305647">
        <w:rPr>
          <w:spacing w:val="4"/>
          <w:sz w:val="30"/>
          <w:szCs w:val="30"/>
        </w:rPr>
        <w:t>227,563,075</w:t>
      </w:r>
      <w:r w:rsidRPr="00305647">
        <w:rPr>
          <w:rFonts w:hAnsi="標楷體"/>
          <w:spacing w:val="4"/>
          <w:sz w:val="30"/>
          <w:szCs w:val="30"/>
        </w:rPr>
        <w:t>元，列報為認購權證發行利益，未列報</w:t>
      </w:r>
      <w:r w:rsidRPr="00305647">
        <w:rPr>
          <w:spacing w:val="4"/>
          <w:sz w:val="30"/>
          <w:szCs w:val="30"/>
        </w:rPr>
        <w:t>92</w:t>
      </w:r>
      <w:r w:rsidRPr="00305647">
        <w:rPr>
          <w:rFonts w:hAnsi="標楷體"/>
          <w:spacing w:val="4"/>
          <w:sz w:val="30"/>
          <w:szCs w:val="30"/>
        </w:rPr>
        <w:t>年度到期</w:t>
      </w:r>
      <w:r w:rsidRPr="00305647">
        <w:rPr>
          <w:spacing w:val="4"/>
          <w:sz w:val="30"/>
          <w:szCs w:val="30"/>
        </w:rPr>
        <w:t>3</w:t>
      </w:r>
      <w:r w:rsidRPr="00305647">
        <w:rPr>
          <w:rFonts w:hAnsi="標楷體"/>
          <w:spacing w:val="4"/>
          <w:sz w:val="30"/>
          <w:szCs w:val="30"/>
        </w:rPr>
        <w:t>檔認購權證所收取之權利金價款合計</w:t>
      </w:r>
      <w:r w:rsidRPr="00305647">
        <w:rPr>
          <w:spacing w:val="4"/>
          <w:sz w:val="30"/>
          <w:szCs w:val="30"/>
        </w:rPr>
        <w:t>806,750,000</w:t>
      </w:r>
      <w:r w:rsidRPr="00305647">
        <w:rPr>
          <w:rFonts w:hAnsi="標楷體"/>
          <w:spacing w:val="4"/>
          <w:sz w:val="30"/>
          <w:szCs w:val="30"/>
        </w:rPr>
        <w:t>元，核定發行價款係屬應</w:t>
      </w:r>
      <w:r w:rsidRPr="007B5D03">
        <w:rPr>
          <w:rFonts w:hAnsi="標楷體"/>
          <w:sz w:val="30"/>
          <w:szCs w:val="30"/>
        </w:rPr>
        <w:t>稅之權利金收入，核定營業收入</w:t>
      </w:r>
      <w:r w:rsidRPr="007B5D03">
        <w:rPr>
          <w:sz w:val="30"/>
          <w:szCs w:val="30"/>
        </w:rPr>
        <w:t>438,952,808,260</w:t>
      </w:r>
      <w:r w:rsidRPr="007B5D03">
        <w:rPr>
          <w:rFonts w:hAnsi="標楷體"/>
          <w:sz w:val="30"/>
          <w:szCs w:val="30"/>
        </w:rPr>
        <w:t>元，應補稅</w:t>
      </w:r>
      <w:r w:rsidRPr="00305647">
        <w:rPr>
          <w:rFonts w:hAnsi="標楷體"/>
          <w:spacing w:val="4"/>
          <w:sz w:val="30"/>
          <w:szCs w:val="30"/>
        </w:rPr>
        <w:t>額</w:t>
      </w:r>
      <w:r w:rsidRPr="00305647">
        <w:rPr>
          <w:spacing w:val="4"/>
          <w:sz w:val="30"/>
          <w:szCs w:val="30"/>
        </w:rPr>
        <w:t>211,691,259</w:t>
      </w:r>
      <w:r w:rsidRPr="00305647">
        <w:rPr>
          <w:rFonts w:hAnsi="標楷體"/>
          <w:spacing w:val="4"/>
          <w:sz w:val="30"/>
          <w:szCs w:val="30"/>
        </w:rPr>
        <w:t>元。上訴人不服，申請復查，經被上訴人於</w:t>
      </w:r>
      <w:r w:rsidRPr="007B5D03">
        <w:rPr>
          <w:rFonts w:hAnsi="標楷體"/>
          <w:sz w:val="30"/>
          <w:szCs w:val="30"/>
        </w:rPr>
        <w:t>民國（下同）</w:t>
      </w:r>
      <w:smartTag w:uri="urn:schemas-microsoft-com:office:smarttags" w:element="chsdate">
        <w:smartTagPr>
          <w:attr w:name="IsROCDate" w:val="False"/>
          <w:attr w:name="IsLunarDate" w:val="False"/>
          <w:attr w:name="Day" w:val="12"/>
          <w:attr w:name="Month" w:val="3"/>
          <w:attr w:name="Year" w:val="1997"/>
        </w:smartTagPr>
        <w:r w:rsidRPr="007B5D03">
          <w:rPr>
            <w:sz w:val="30"/>
            <w:szCs w:val="30"/>
          </w:rPr>
          <w:t>97</w:t>
        </w:r>
        <w:r w:rsidRPr="007B5D03">
          <w:rPr>
            <w:rFonts w:hAnsi="標楷體"/>
            <w:sz w:val="30"/>
            <w:szCs w:val="30"/>
          </w:rPr>
          <w:t>年</w:t>
        </w:r>
        <w:r w:rsidRPr="007B5D03">
          <w:rPr>
            <w:sz w:val="30"/>
            <w:szCs w:val="30"/>
          </w:rPr>
          <w:t>3</w:t>
        </w:r>
        <w:r w:rsidRPr="007B5D03">
          <w:rPr>
            <w:rFonts w:hAnsi="標楷體"/>
            <w:sz w:val="30"/>
            <w:szCs w:val="30"/>
          </w:rPr>
          <w:t>月</w:t>
        </w:r>
        <w:r w:rsidRPr="007B5D03">
          <w:rPr>
            <w:sz w:val="30"/>
            <w:szCs w:val="30"/>
          </w:rPr>
          <w:t>12</w:t>
        </w:r>
        <w:r w:rsidRPr="007B5D03">
          <w:rPr>
            <w:rFonts w:hAnsi="標楷體"/>
            <w:sz w:val="30"/>
            <w:szCs w:val="30"/>
          </w:rPr>
          <w:t>日</w:t>
        </w:r>
      </w:smartTag>
      <w:r w:rsidRPr="007B5D03">
        <w:rPr>
          <w:rFonts w:hAnsi="標楷體"/>
          <w:sz w:val="30"/>
          <w:szCs w:val="30"/>
        </w:rPr>
        <w:t>以財北國稅法一字第</w:t>
      </w:r>
      <w:r w:rsidRPr="007B5D03">
        <w:rPr>
          <w:sz w:val="30"/>
          <w:szCs w:val="30"/>
        </w:rPr>
        <w:t>0970203145</w:t>
      </w:r>
      <w:r w:rsidRPr="007B5D03">
        <w:rPr>
          <w:rFonts w:hAnsi="標楷體"/>
          <w:sz w:val="30"/>
          <w:szCs w:val="30"/>
        </w:rPr>
        <w:t>號復查決定（下稱原處分）駁回其復查之申請。上訴人仍不服，提起訴願，亦遭決定駁回，遂提起行政訴訟。</w:t>
      </w:r>
    </w:p>
    <w:p w:rsidR="00514426" w:rsidRPr="007B5D03" w:rsidRDefault="00514426" w:rsidP="00305647">
      <w:pPr>
        <w:snapToGrid w:val="0"/>
        <w:spacing w:line="437" w:lineRule="exact"/>
        <w:ind w:left="624" w:hanging="624"/>
        <w:rPr>
          <w:sz w:val="30"/>
          <w:szCs w:val="30"/>
        </w:rPr>
      </w:pPr>
      <w:r w:rsidRPr="007B5D03">
        <w:rPr>
          <w:rFonts w:hAnsi="標楷體"/>
          <w:sz w:val="30"/>
          <w:szCs w:val="30"/>
        </w:rPr>
        <w:t>二、上訴人起訴主張：現行證券商基於權責發生制，於發行認購</w:t>
      </w:r>
      <w:r w:rsidRPr="00305647">
        <w:rPr>
          <w:rFonts w:hAnsi="標楷體"/>
          <w:spacing w:val="-6"/>
          <w:sz w:val="30"/>
          <w:szCs w:val="30"/>
        </w:rPr>
        <w:t>權證時，負有到期履約之義務，而認有「發行認購權證負債」</w:t>
      </w:r>
      <w:r w:rsidRPr="00305647">
        <w:rPr>
          <w:rFonts w:hAnsi="標楷體"/>
          <w:spacing w:val="6"/>
          <w:sz w:val="30"/>
          <w:szCs w:val="30"/>
        </w:rPr>
        <w:t>之負債科目，財政部</w:t>
      </w:r>
      <w:smartTag w:uri="urn:schemas-microsoft-com:office:smarttags" w:element="chsdate">
        <w:smartTagPr>
          <w:attr w:name="IsROCDate" w:val="False"/>
          <w:attr w:name="IsLunarDate" w:val="False"/>
          <w:attr w:name="Day" w:val="11"/>
          <w:attr w:name="Month" w:val="12"/>
          <w:attr w:name="Year" w:val="1986"/>
        </w:smartTagPr>
        <w:r w:rsidRPr="00305647">
          <w:rPr>
            <w:spacing w:val="6"/>
            <w:sz w:val="30"/>
            <w:szCs w:val="30"/>
          </w:rPr>
          <w:t>86</w:t>
        </w:r>
        <w:r w:rsidRPr="00305647">
          <w:rPr>
            <w:rFonts w:hAnsi="標楷體"/>
            <w:spacing w:val="6"/>
            <w:sz w:val="30"/>
            <w:szCs w:val="30"/>
          </w:rPr>
          <w:t>年</w:t>
        </w:r>
        <w:r w:rsidRPr="00305647">
          <w:rPr>
            <w:spacing w:val="6"/>
            <w:sz w:val="30"/>
            <w:szCs w:val="30"/>
          </w:rPr>
          <w:t>12</w:t>
        </w:r>
        <w:r w:rsidRPr="00305647">
          <w:rPr>
            <w:rFonts w:hAnsi="標楷體"/>
            <w:spacing w:val="6"/>
            <w:sz w:val="30"/>
            <w:szCs w:val="30"/>
          </w:rPr>
          <w:t>月</w:t>
        </w:r>
        <w:r w:rsidRPr="00305647">
          <w:rPr>
            <w:spacing w:val="6"/>
            <w:sz w:val="30"/>
            <w:szCs w:val="30"/>
          </w:rPr>
          <w:t>11</w:t>
        </w:r>
        <w:r w:rsidRPr="00305647">
          <w:rPr>
            <w:rFonts w:hAnsi="標楷體"/>
            <w:spacing w:val="6"/>
            <w:sz w:val="30"/>
            <w:szCs w:val="30"/>
          </w:rPr>
          <w:t>日</w:t>
        </w:r>
      </w:smartTag>
      <w:r w:rsidRPr="00305647">
        <w:rPr>
          <w:rFonts w:hAnsi="標楷體"/>
          <w:spacing w:val="6"/>
          <w:sz w:val="30"/>
          <w:szCs w:val="30"/>
        </w:rPr>
        <w:t>台財稅第</w:t>
      </w:r>
      <w:r w:rsidRPr="00305647">
        <w:rPr>
          <w:spacing w:val="6"/>
          <w:sz w:val="30"/>
          <w:szCs w:val="30"/>
        </w:rPr>
        <w:t>861922464</w:t>
      </w:r>
      <w:r w:rsidRPr="007B5D03">
        <w:rPr>
          <w:rFonts w:hAnsi="標楷體"/>
          <w:sz w:val="30"/>
          <w:szCs w:val="30"/>
        </w:rPr>
        <w:t>號函釋（下稱財政部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月函釋）將發行市場之結算損</w:t>
      </w:r>
      <w:r w:rsidRPr="00305647">
        <w:rPr>
          <w:rFonts w:hAnsi="標楷體"/>
          <w:spacing w:val="6"/>
          <w:sz w:val="30"/>
          <w:szCs w:val="30"/>
        </w:rPr>
        <w:t>益列為應稅之權利金所得，與發行認購權證之經濟實質不</w:t>
      </w:r>
      <w:r w:rsidRPr="00305647">
        <w:rPr>
          <w:rFonts w:hAnsi="標楷體"/>
          <w:spacing w:val="4"/>
          <w:sz w:val="30"/>
          <w:szCs w:val="30"/>
        </w:rPr>
        <w:t>符，悖離所得稅法第</w:t>
      </w:r>
      <w:r w:rsidRPr="00305647">
        <w:rPr>
          <w:spacing w:val="4"/>
          <w:sz w:val="30"/>
          <w:szCs w:val="30"/>
        </w:rPr>
        <w:t>22</w:t>
      </w:r>
      <w:r w:rsidRPr="00305647">
        <w:rPr>
          <w:rFonts w:hAnsi="標楷體"/>
          <w:spacing w:val="4"/>
          <w:sz w:val="30"/>
          <w:szCs w:val="30"/>
        </w:rPr>
        <w:t>條權責發生制之精神。上訴人係基</w:t>
      </w:r>
      <w:r w:rsidRPr="007B5D03">
        <w:rPr>
          <w:rFonts w:hAnsi="標楷體"/>
          <w:sz w:val="30"/>
          <w:szCs w:val="30"/>
        </w:rPr>
        <w:t>於法律</w:t>
      </w:r>
      <w:r w:rsidRPr="007B5D03">
        <w:rPr>
          <w:rFonts w:hAnsi="標楷體"/>
          <w:sz w:val="30"/>
          <w:szCs w:val="30"/>
        </w:rPr>
        <w:lastRenderedPageBreak/>
        <w:t>規定方為自留，自留額度並無交易相對人，亦未自他人取得任何對價，實無銷售之經濟實質，又自留之認購權證所認列「發行認購權證再買回」之會計科目，屬負債科目之減項而非資產科目，上訴人並未增加任何資產或收入，縱令就自留額部分認有權利金收入，上訴人買回認購權證所生之支出，依收入費用配合原則，全數抵銷權利金收入，上訴人並無所得。被上訴人將上訴人到期之認購權證發行價款列為應稅權利金收入，依收入費用配合原則，應將避險損失及相關費用列為成本費用，蓋避險交易係認購權證發行整體行為之一環，不應割裂觀察，基於實質課稅原則，避險所生之損失及費用，應自應稅權利金收入中扣除等語，求為判決撤銷訴願決定及原處分（即復查決定）。</w:t>
      </w:r>
    </w:p>
    <w:p w:rsidR="00514426" w:rsidRPr="007B5D03" w:rsidRDefault="00514426" w:rsidP="00305647">
      <w:pPr>
        <w:snapToGrid w:val="0"/>
        <w:spacing w:line="437" w:lineRule="exact"/>
        <w:ind w:left="624" w:hanging="624"/>
        <w:rPr>
          <w:sz w:val="30"/>
          <w:szCs w:val="30"/>
        </w:rPr>
      </w:pPr>
      <w:r w:rsidRPr="007B5D03">
        <w:rPr>
          <w:rFonts w:hAnsi="標楷體"/>
          <w:sz w:val="30"/>
          <w:szCs w:val="30"/>
        </w:rPr>
        <w:t>三、被上訴人則以：依臺灣證券交易所股份有限公司（下稱證交</w:t>
      </w:r>
      <w:r w:rsidRPr="00305647">
        <w:rPr>
          <w:rFonts w:hAnsi="標楷體"/>
          <w:spacing w:val="-4"/>
          <w:sz w:val="30"/>
          <w:szCs w:val="30"/>
        </w:rPr>
        <w:t>所）審查認購（售）權證上市作業程序（下稱審查作業程序）</w:t>
      </w:r>
      <w:r w:rsidRPr="007B5D03">
        <w:rPr>
          <w:rFonts w:hAnsi="標楷體"/>
          <w:sz w:val="30"/>
          <w:szCs w:val="30"/>
        </w:rPr>
        <w:t>規定，發行人發行認購權證需「全額銷售完成」始能向證交所申請上市買賣，上訴人自留額度既經完成發行銷售程序，實為銷售與上訴人，即上訴人認購自留。依行為時臺灣證券交易所股份有限公司認購（售）權證上市審查準則（下稱審</w:t>
      </w:r>
      <w:r w:rsidRPr="00305647">
        <w:rPr>
          <w:rFonts w:hAnsi="標楷體"/>
          <w:spacing w:val="4"/>
          <w:sz w:val="30"/>
          <w:szCs w:val="30"/>
        </w:rPr>
        <w:t>查準則）第</w:t>
      </w:r>
      <w:r w:rsidRPr="00305647">
        <w:rPr>
          <w:spacing w:val="4"/>
          <w:sz w:val="30"/>
          <w:szCs w:val="30"/>
        </w:rPr>
        <w:t>10</w:t>
      </w:r>
      <w:r w:rsidRPr="00305647">
        <w:rPr>
          <w:rFonts w:hAnsi="標楷體"/>
          <w:spacing w:val="4"/>
          <w:sz w:val="30"/>
          <w:szCs w:val="30"/>
        </w:rPr>
        <w:t>條第</w:t>
      </w:r>
      <w:r w:rsidRPr="00305647">
        <w:rPr>
          <w:spacing w:val="4"/>
          <w:sz w:val="30"/>
          <w:szCs w:val="30"/>
        </w:rPr>
        <w:t>2</w:t>
      </w:r>
      <w:r w:rsidRPr="00305647">
        <w:rPr>
          <w:rFonts w:hAnsi="標楷體"/>
          <w:spacing w:val="4"/>
          <w:sz w:val="30"/>
          <w:szCs w:val="30"/>
        </w:rPr>
        <w:t>款第</w:t>
      </w:r>
      <w:r w:rsidRPr="00305647">
        <w:rPr>
          <w:spacing w:val="4"/>
          <w:sz w:val="30"/>
          <w:szCs w:val="30"/>
        </w:rPr>
        <w:t>2</w:t>
      </w:r>
      <w:r w:rsidRPr="00305647">
        <w:rPr>
          <w:rFonts w:hAnsi="標楷體"/>
          <w:spacing w:val="4"/>
          <w:sz w:val="30"/>
          <w:szCs w:val="30"/>
        </w:rPr>
        <w:t>目及第</w:t>
      </w:r>
      <w:r w:rsidRPr="00305647">
        <w:rPr>
          <w:spacing w:val="4"/>
          <w:sz w:val="30"/>
          <w:szCs w:val="30"/>
        </w:rPr>
        <w:t>3</w:t>
      </w:r>
      <w:r w:rsidRPr="00305647">
        <w:rPr>
          <w:rFonts w:hAnsi="標楷體"/>
          <w:spacing w:val="4"/>
          <w:sz w:val="30"/>
          <w:szCs w:val="30"/>
        </w:rPr>
        <w:t>目規定，認購權證之</w:t>
      </w:r>
      <w:r w:rsidRPr="007B5D03">
        <w:rPr>
          <w:rFonts w:hAnsi="標楷體"/>
          <w:sz w:val="30"/>
          <w:szCs w:val="30"/>
        </w:rPr>
        <w:t>自留並非法律強制規定，發行人既選擇自行認購自留，其會計分錄為「借：發行認購權證再買回」「貸：交易目的金融負債－發行認購權證負債」，其貸方科目與對外發行之貸方</w:t>
      </w:r>
      <w:r w:rsidRPr="00305647">
        <w:rPr>
          <w:rFonts w:hAnsi="標楷體"/>
          <w:spacing w:val="4"/>
          <w:sz w:val="30"/>
          <w:szCs w:val="30"/>
        </w:rPr>
        <w:t>科目一致，顯已認定權證義務，即對應之權利金收入已實</w:t>
      </w:r>
      <w:r w:rsidRPr="00305647">
        <w:rPr>
          <w:rFonts w:hAnsi="標楷體"/>
          <w:spacing w:val="6"/>
          <w:sz w:val="30"/>
          <w:szCs w:val="30"/>
        </w:rPr>
        <w:t>現，被上訴人將之核定為權利金收入自無違誤。財政部</w:t>
      </w:r>
      <w:r w:rsidRPr="00305647">
        <w:rPr>
          <w:spacing w:val="6"/>
          <w:sz w:val="30"/>
          <w:szCs w:val="30"/>
        </w:rPr>
        <w:t>83</w:t>
      </w:r>
      <w:r w:rsidRPr="007B5D03">
        <w:rPr>
          <w:rFonts w:hAnsi="標楷體"/>
          <w:sz w:val="30"/>
          <w:szCs w:val="30"/>
        </w:rPr>
        <w:t>年台財稅第</w:t>
      </w:r>
      <w:r w:rsidRPr="007B5D03">
        <w:rPr>
          <w:sz w:val="30"/>
          <w:szCs w:val="30"/>
        </w:rPr>
        <w:t>831582472</w:t>
      </w:r>
      <w:r w:rsidRPr="007B5D03">
        <w:rPr>
          <w:rFonts w:hAnsi="標楷體"/>
          <w:sz w:val="30"/>
          <w:szCs w:val="30"/>
        </w:rPr>
        <w:t>號函釋關於應稅收入應分攤相關成本費用，除可合理明確歸屬者得個別歸屬外，採以收入比例為分攤基準之計</w:t>
      </w:r>
      <w:r w:rsidRPr="007B5D03">
        <w:rPr>
          <w:rFonts w:hAnsi="標楷體"/>
          <w:sz w:val="30"/>
          <w:szCs w:val="30"/>
        </w:rPr>
        <w:lastRenderedPageBreak/>
        <w:t>算方式，符合上開法條規定意旨，與憲法尚無牴觸，該解釋已明確揭櫫所得稅法第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證券交易所得</w:t>
      </w:r>
      <w:r w:rsidRPr="00305647">
        <w:rPr>
          <w:rFonts w:hAnsi="標楷體"/>
          <w:spacing w:val="4"/>
          <w:sz w:val="30"/>
          <w:szCs w:val="30"/>
        </w:rPr>
        <w:t>停止課徵所得稅，不僅未排除第</w:t>
      </w:r>
      <w:r w:rsidRPr="00305647">
        <w:rPr>
          <w:spacing w:val="4"/>
          <w:sz w:val="30"/>
          <w:szCs w:val="30"/>
        </w:rPr>
        <w:t>24</w:t>
      </w:r>
      <w:r w:rsidRPr="00305647">
        <w:rPr>
          <w:rFonts w:hAnsi="標楷體"/>
          <w:spacing w:val="4"/>
          <w:sz w:val="30"/>
          <w:szCs w:val="30"/>
        </w:rPr>
        <w:t>條第</w:t>
      </w:r>
      <w:r w:rsidRPr="00305647">
        <w:rPr>
          <w:spacing w:val="4"/>
          <w:sz w:val="30"/>
          <w:szCs w:val="30"/>
        </w:rPr>
        <w:t>1</w:t>
      </w:r>
      <w:r w:rsidRPr="00305647">
        <w:rPr>
          <w:rFonts w:hAnsi="標楷體"/>
          <w:spacing w:val="4"/>
          <w:sz w:val="30"/>
          <w:szCs w:val="30"/>
        </w:rPr>
        <w:t>項收入成本配合</w:t>
      </w:r>
      <w:r w:rsidRPr="007B5D03">
        <w:rPr>
          <w:rFonts w:hAnsi="標楷體"/>
          <w:sz w:val="30"/>
          <w:szCs w:val="30"/>
        </w:rPr>
        <w:t>原則，且因適用之結果須對應稅與免稅之成本費用個別歸屬認定分攤，方符合法律規定及公平原則。是被上訴人將系爭認購權證權利金收入與避險交易所生之證券交易所得，個別認定成本費用及其損益，自屬於法有據等語，資為抗辯，求為判決駁回上訴人之訴。</w:t>
      </w:r>
    </w:p>
    <w:p w:rsidR="00514426" w:rsidRPr="007B5D03" w:rsidRDefault="00514426" w:rsidP="003C5C41">
      <w:pPr>
        <w:snapToGrid w:val="0"/>
        <w:spacing w:afterLines="85" w:after="204" w:line="437" w:lineRule="exact"/>
        <w:ind w:left="624" w:hanging="624"/>
        <w:rPr>
          <w:sz w:val="30"/>
          <w:szCs w:val="30"/>
        </w:rPr>
      </w:pPr>
      <w:r w:rsidRPr="007B5D03">
        <w:rPr>
          <w:rFonts w:hAnsi="標楷體"/>
          <w:sz w:val="30"/>
          <w:szCs w:val="30"/>
        </w:rPr>
        <w:t>四、原審斟酌全辯論意旨及調查證據之結果，以：本件爭執之重點在於：上訴人發行認購權證所得之權利金收入，是否包含</w:t>
      </w:r>
      <w:r w:rsidRPr="00305647">
        <w:rPr>
          <w:rFonts w:hAnsi="標楷體"/>
          <w:spacing w:val="6"/>
          <w:sz w:val="30"/>
          <w:szCs w:val="30"/>
        </w:rPr>
        <w:t>發行人轉售予發行人本身之自留額度？系爭認購權證避險</w:t>
      </w:r>
      <w:r w:rsidRPr="007B5D03">
        <w:rPr>
          <w:rFonts w:hAnsi="標楷體"/>
          <w:sz w:val="30"/>
          <w:szCs w:val="30"/>
        </w:rPr>
        <w:t>部位之出售損失，可否作為發行認購權證必要之成本費用？</w:t>
      </w:r>
      <w:r w:rsidRPr="00305647">
        <w:rPr>
          <w:rFonts w:hAnsi="標楷體"/>
          <w:spacing w:val="6"/>
          <w:sz w:val="30"/>
          <w:szCs w:val="30"/>
        </w:rPr>
        <w:t>得否自權利金收入應稅項下扣除？被上訴人否准避險部位</w:t>
      </w:r>
      <w:r w:rsidRPr="007B5D03">
        <w:rPr>
          <w:rFonts w:hAnsi="標楷體"/>
          <w:sz w:val="30"/>
          <w:szCs w:val="30"/>
        </w:rPr>
        <w:t>損失列為權利金收入之減項，有無違誤？是否違反所得稅法</w:t>
      </w:r>
      <w:r w:rsidRPr="00305647">
        <w:rPr>
          <w:rFonts w:hAnsi="標楷體"/>
          <w:spacing w:val="4"/>
          <w:sz w:val="30"/>
          <w:szCs w:val="30"/>
        </w:rPr>
        <w:t>第</w:t>
      </w:r>
      <w:r w:rsidRPr="00305647">
        <w:rPr>
          <w:spacing w:val="4"/>
          <w:sz w:val="30"/>
          <w:szCs w:val="30"/>
        </w:rPr>
        <w:t>24</w:t>
      </w:r>
      <w:r w:rsidRPr="00305647">
        <w:rPr>
          <w:rFonts w:hAnsi="標楷體"/>
          <w:spacing w:val="4"/>
          <w:sz w:val="30"/>
          <w:szCs w:val="30"/>
        </w:rPr>
        <w:t>條第</w:t>
      </w:r>
      <w:r w:rsidRPr="00305647">
        <w:rPr>
          <w:spacing w:val="4"/>
          <w:sz w:val="30"/>
          <w:szCs w:val="30"/>
        </w:rPr>
        <w:t>1</w:t>
      </w:r>
      <w:r w:rsidRPr="00305647">
        <w:rPr>
          <w:rFonts w:hAnsi="標楷體"/>
          <w:spacing w:val="4"/>
          <w:sz w:val="30"/>
          <w:szCs w:val="30"/>
        </w:rPr>
        <w:t>項、量能課稅原則及實質課稅原則？茲分述如</w:t>
      </w:r>
      <w:r w:rsidRPr="00D82C25">
        <w:rPr>
          <w:rFonts w:hAnsi="標楷體"/>
          <w:spacing w:val="-4"/>
          <w:sz w:val="30"/>
          <w:szCs w:val="30"/>
        </w:rPr>
        <w:t>下：（一）依審查作業程序規定，發行人發行認購權證需「全</w:t>
      </w:r>
      <w:r w:rsidRPr="007B5D03">
        <w:rPr>
          <w:rFonts w:hAnsi="標楷體"/>
          <w:sz w:val="30"/>
          <w:szCs w:val="30"/>
        </w:rPr>
        <w:t>額銷售完成」始能向證交所申請上市買賣，上訴人自留額度既經完成發行銷售程序，實為銷售與上訴人，即上訴人認購自留。對自留部分而言，上訴人之法律地位係屬「持有人」身分，與一般持有人之權利並無二致，自應認列與一般持有人相同之發行階段權利金，以符實質課稅並避免稅負規避。次查，依行為時臺灣證券交易所股份有限公司認購（售）權</w:t>
      </w:r>
      <w:r w:rsidRPr="00D82C25">
        <w:rPr>
          <w:rFonts w:hAnsi="標楷體"/>
          <w:spacing w:val="4"/>
          <w:sz w:val="30"/>
          <w:szCs w:val="30"/>
        </w:rPr>
        <w:t>證上市審查準則第</w:t>
      </w:r>
      <w:r w:rsidRPr="00D82C25">
        <w:rPr>
          <w:spacing w:val="4"/>
          <w:sz w:val="30"/>
          <w:szCs w:val="30"/>
        </w:rPr>
        <w:t>10</w:t>
      </w:r>
      <w:r w:rsidRPr="00D82C25">
        <w:rPr>
          <w:rFonts w:hAnsi="標楷體"/>
          <w:spacing w:val="4"/>
          <w:sz w:val="30"/>
          <w:szCs w:val="30"/>
        </w:rPr>
        <w:t>條第</w:t>
      </w:r>
      <w:r w:rsidRPr="00D82C25">
        <w:rPr>
          <w:spacing w:val="4"/>
          <w:sz w:val="30"/>
          <w:szCs w:val="30"/>
        </w:rPr>
        <w:t>2</w:t>
      </w:r>
      <w:r w:rsidRPr="00D82C25">
        <w:rPr>
          <w:rFonts w:hAnsi="標楷體"/>
          <w:spacing w:val="4"/>
          <w:sz w:val="30"/>
          <w:szCs w:val="30"/>
        </w:rPr>
        <w:t>款第</w:t>
      </w:r>
      <w:r w:rsidRPr="00D82C25">
        <w:rPr>
          <w:spacing w:val="4"/>
          <w:sz w:val="30"/>
          <w:szCs w:val="30"/>
        </w:rPr>
        <w:t>3</w:t>
      </w:r>
      <w:r w:rsidRPr="00D82C25">
        <w:rPr>
          <w:rFonts w:hAnsi="標楷體"/>
          <w:spacing w:val="4"/>
          <w:sz w:val="30"/>
          <w:szCs w:val="30"/>
        </w:rPr>
        <w:t>目規定「發行人及其關</w:t>
      </w:r>
      <w:r w:rsidRPr="007B5D03">
        <w:rPr>
          <w:rFonts w:hAnsi="標楷體"/>
          <w:sz w:val="30"/>
          <w:szCs w:val="30"/>
        </w:rPr>
        <w:t>係人、受僱人持有單位數，不得逾上市單位</w:t>
      </w:r>
      <w:r w:rsidRPr="007B5D03">
        <w:rPr>
          <w:sz w:val="30"/>
          <w:szCs w:val="30"/>
        </w:rPr>
        <w:t>20%</w:t>
      </w:r>
      <w:r w:rsidRPr="007B5D03">
        <w:rPr>
          <w:rFonts w:hAnsi="標楷體"/>
          <w:sz w:val="30"/>
          <w:szCs w:val="30"/>
        </w:rPr>
        <w:t>」故認購權證之自留並非法律強制規定，發行人既選擇認購自留，其會計分錄為借：發行認購權證再買回，貸：交易目的金融負債－發行認購權證</w:t>
      </w:r>
      <w:r w:rsidRPr="007B5D03">
        <w:rPr>
          <w:rFonts w:hAnsi="標楷體"/>
          <w:sz w:val="30"/>
          <w:szCs w:val="30"/>
        </w:rPr>
        <w:lastRenderedPageBreak/>
        <w:t>負債，其貸方科目與對外發行之貸方科目一致，顯已認定權證義務，即對應之權利金收入已實現。至上訴人主張該自留額度並非財政部</w:t>
      </w:r>
      <w:smartTag w:uri="urn:schemas-microsoft-com:office:smarttags" w:element="chsdate">
        <w:smartTagPr>
          <w:attr w:name="IsROCDate" w:val="False"/>
          <w:attr w:name="IsLunarDate" w:val="False"/>
          <w:attr w:name="Day" w:val="31"/>
          <w:attr w:name="Month" w:val="7"/>
          <w:attr w:name="Year" w:val="1986"/>
        </w:smartTagP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w:t>
        </w:r>
        <w:r w:rsidRPr="007B5D03">
          <w:rPr>
            <w:sz w:val="30"/>
            <w:szCs w:val="30"/>
          </w:rPr>
          <w:t>31</w:t>
        </w:r>
        <w:r w:rsidRPr="007B5D03">
          <w:rPr>
            <w:rFonts w:hAnsi="標楷體"/>
            <w:sz w:val="30"/>
            <w:szCs w:val="30"/>
          </w:rPr>
          <w:t>日</w:t>
        </w:r>
      </w:smartTag>
      <w:r w:rsidRPr="007B5D03">
        <w:rPr>
          <w:rFonts w:hAnsi="標楷體"/>
          <w:sz w:val="30"/>
          <w:szCs w:val="30"/>
        </w:rPr>
        <w:t>台財稅第</w:t>
      </w:r>
      <w:r w:rsidRPr="007B5D03">
        <w:rPr>
          <w:sz w:val="30"/>
          <w:szCs w:val="30"/>
        </w:rPr>
        <w:t>861909311</w:t>
      </w:r>
      <w:r w:rsidRPr="007B5D03">
        <w:rPr>
          <w:rFonts w:hAnsi="標楷體"/>
          <w:sz w:val="30"/>
          <w:szCs w:val="30"/>
        </w:rPr>
        <w:t>號函釋（下稱財政部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月函釋）所稱「發行時發行人取得之發行價款」，上訴人並未因此增加資產，其</w:t>
      </w:r>
      <w:r w:rsidRPr="003C5C41">
        <w:rPr>
          <w:rFonts w:hAnsi="標楷體"/>
          <w:spacing w:val="4"/>
          <w:sz w:val="30"/>
          <w:szCs w:val="30"/>
        </w:rPr>
        <w:t>以自有資金購買權證即為前揭權利金之收入之相應成本費</w:t>
      </w:r>
      <w:r w:rsidRPr="007B5D03">
        <w:rPr>
          <w:rFonts w:hAnsi="標楷體"/>
          <w:sz w:val="30"/>
          <w:szCs w:val="30"/>
        </w:rPr>
        <w:t>用乙節，查收入之實現創造資產的增加，本案自留額度之發行價款，實已轉換為「發行認購權證再買回」之權證資產，申言之，其交易分錄可解析為：</w:t>
      </w:r>
    </w:p>
    <w:tbl>
      <w:tblPr>
        <w:tblW w:w="0" w:type="auto"/>
        <w:jc w:val="center"/>
        <w:tblCellMar>
          <w:left w:w="0" w:type="dxa"/>
          <w:right w:w="0" w:type="dxa"/>
        </w:tblCellMar>
        <w:tblLook w:val="01E0" w:firstRow="1" w:lastRow="1" w:firstColumn="1" w:lastColumn="1" w:noHBand="0" w:noVBand="0"/>
      </w:tblPr>
      <w:tblGrid>
        <w:gridCol w:w="3720"/>
        <w:gridCol w:w="3720"/>
      </w:tblGrid>
      <w:tr w:rsidR="00514426" w:rsidRPr="00A66448" w:rsidTr="00A66448">
        <w:trPr>
          <w:jc w:val="center"/>
        </w:trPr>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借：銀行存款</w:t>
            </w:r>
          </w:p>
        </w:tc>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借：發行認購權證再買回</w:t>
            </w:r>
          </w:p>
        </w:tc>
      </w:tr>
      <w:tr w:rsidR="00514426" w:rsidRPr="00A66448" w:rsidTr="00A66448">
        <w:trPr>
          <w:jc w:val="center"/>
        </w:trPr>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貸：交易目的金融負債</w:t>
            </w:r>
          </w:p>
          <w:p w:rsidR="00514426" w:rsidRPr="00A66448" w:rsidRDefault="00514426" w:rsidP="00A66448">
            <w:pPr>
              <w:snapToGrid w:val="0"/>
              <w:spacing w:line="437" w:lineRule="exact"/>
              <w:jc w:val="center"/>
              <w:rPr>
                <w:sz w:val="30"/>
                <w:szCs w:val="30"/>
              </w:rPr>
            </w:pPr>
            <w:r w:rsidRPr="00A66448">
              <w:rPr>
                <w:rFonts w:hAnsi="標楷體"/>
                <w:sz w:val="30"/>
                <w:szCs w:val="30"/>
              </w:rPr>
              <w:t>－發行認購權證負債</w:t>
            </w:r>
          </w:p>
        </w:tc>
        <w:tc>
          <w:tcPr>
            <w:tcW w:w="3720" w:type="dxa"/>
            <w:shd w:val="clear" w:color="auto" w:fill="auto"/>
            <w:vAlign w:val="center"/>
          </w:tcPr>
          <w:p w:rsidR="00514426" w:rsidRPr="00A66448" w:rsidRDefault="00514426" w:rsidP="00A66448">
            <w:pPr>
              <w:snapToGrid w:val="0"/>
              <w:spacing w:line="437" w:lineRule="exact"/>
              <w:jc w:val="center"/>
              <w:rPr>
                <w:sz w:val="30"/>
                <w:szCs w:val="30"/>
              </w:rPr>
            </w:pPr>
            <w:r w:rsidRPr="00A66448">
              <w:rPr>
                <w:rFonts w:hAnsi="標楷體"/>
                <w:sz w:val="30"/>
                <w:szCs w:val="30"/>
              </w:rPr>
              <w:t>貸：銀行存款</w:t>
            </w:r>
          </w:p>
        </w:tc>
      </w:tr>
    </w:tbl>
    <w:p w:rsidR="00514426" w:rsidRPr="007B5D03" w:rsidRDefault="00514426" w:rsidP="003C5C41">
      <w:pPr>
        <w:snapToGrid w:val="0"/>
        <w:spacing w:beforeLines="85" w:before="204" w:line="437" w:lineRule="exact"/>
        <w:ind w:leftChars="200" w:left="560" w:firstLineChars="100" w:firstLine="308"/>
        <w:rPr>
          <w:sz w:val="30"/>
          <w:szCs w:val="30"/>
        </w:rPr>
      </w:pPr>
      <w:r w:rsidRPr="003C5C41">
        <w:rPr>
          <w:rFonts w:hAnsi="標楷體"/>
          <w:spacing w:val="4"/>
          <w:sz w:val="30"/>
          <w:szCs w:val="30"/>
        </w:rPr>
        <w:t>上訴人之發行價款既已轉換增加資產，難謂無收入之產</w:t>
      </w:r>
      <w:r w:rsidRPr="007B5D03">
        <w:rPr>
          <w:rFonts w:hAnsi="標楷體"/>
          <w:sz w:val="30"/>
          <w:szCs w:val="30"/>
        </w:rPr>
        <w:t>生，而發行的費用在發行的成本及費用中已經認列，是上訴人主張其發行金鼎</w:t>
      </w:r>
      <w:r w:rsidRPr="007B5D03">
        <w:rPr>
          <w:sz w:val="30"/>
          <w:szCs w:val="30"/>
        </w:rPr>
        <w:t>08</w:t>
      </w:r>
      <w:r w:rsidRPr="007B5D03">
        <w:rPr>
          <w:rFonts w:hAnsi="標楷體"/>
          <w:sz w:val="30"/>
          <w:szCs w:val="30"/>
        </w:rPr>
        <w:t>、</w:t>
      </w:r>
      <w:r w:rsidRPr="007B5D03">
        <w:rPr>
          <w:sz w:val="30"/>
          <w:szCs w:val="30"/>
        </w:rPr>
        <w:t>09</w:t>
      </w:r>
      <w:r w:rsidRPr="007B5D03">
        <w:rPr>
          <w:rFonts w:hAnsi="標楷體"/>
          <w:sz w:val="30"/>
          <w:szCs w:val="30"/>
        </w:rPr>
        <w:t>、</w:t>
      </w:r>
      <w:r w:rsidRPr="007B5D03">
        <w:rPr>
          <w:sz w:val="30"/>
          <w:szCs w:val="30"/>
        </w:rPr>
        <w:t>10</w:t>
      </w:r>
      <w:r w:rsidRPr="007B5D03">
        <w:rPr>
          <w:rFonts w:hAnsi="標楷體"/>
          <w:sz w:val="30"/>
          <w:szCs w:val="30"/>
        </w:rPr>
        <w:t>之自留額度部分，並無銷售之實質可言，其會計分錄僅為內部資金帳戶間之沖轉，上訴人</w:t>
      </w:r>
      <w:r w:rsidRPr="00920295">
        <w:rPr>
          <w:rFonts w:hAnsi="標楷體"/>
          <w:spacing w:val="4"/>
          <w:sz w:val="30"/>
          <w:szCs w:val="30"/>
        </w:rPr>
        <w:t>並未因此增加資產，亦非財政部</w:t>
      </w:r>
      <w:r w:rsidRPr="00920295">
        <w:rPr>
          <w:spacing w:val="4"/>
          <w:sz w:val="30"/>
          <w:szCs w:val="30"/>
        </w:rPr>
        <w:t>86</w:t>
      </w:r>
      <w:r w:rsidRPr="00920295">
        <w:rPr>
          <w:rFonts w:hAnsi="標楷體"/>
          <w:spacing w:val="4"/>
          <w:sz w:val="30"/>
          <w:szCs w:val="30"/>
        </w:rPr>
        <w:t>年</w:t>
      </w:r>
      <w:r w:rsidRPr="00920295">
        <w:rPr>
          <w:spacing w:val="4"/>
          <w:sz w:val="30"/>
          <w:szCs w:val="30"/>
        </w:rPr>
        <w:t>12</w:t>
      </w:r>
      <w:r w:rsidRPr="00920295">
        <w:rPr>
          <w:rFonts w:hAnsi="標楷體"/>
          <w:spacing w:val="4"/>
          <w:sz w:val="30"/>
          <w:szCs w:val="30"/>
        </w:rPr>
        <w:t>月函釋所稱之權利</w:t>
      </w:r>
      <w:r w:rsidRPr="007B5D03">
        <w:rPr>
          <w:rFonts w:hAnsi="標楷體"/>
          <w:sz w:val="30"/>
          <w:szCs w:val="30"/>
        </w:rPr>
        <w:t>金收入云云，尚非可採。（二）查財政部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月函釋，以</w:t>
      </w:r>
      <w:r w:rsidRPr="00920295">
        <w:rPr>
          <w:rFonts w:hAnsi="標楷體"/>
          <w:spacing w:val="4"/>
          <w:sz w:val="30"/>
          <w:szCs w:val="30"/>
        </w:rPr>
        <w:t>證券商發行權證收取之發行價款為權利金收入，屬「應稅所</w:t>
      </w:r>
      <w:r w:rsidRPr="007B5D03">
        <w:rPr>
          <w:rFonts w:hAnsi="標楷體"/>
          <w:sz w:val="30"/>
          <w:szCs w:val="30"/>
        </w:rPr>
        <w:t>得」，應依行為時所得稅法第</w:t>
      </w:r>
      <w:r w:rsidRPr="007B5D03">
        <w:rPr>
          <w:sz w:val="30"/>
          <w:szCs w:val="30"/>
        </w:rPr>
        <w:t>24</w:t>
      </w:r>
      <w:r w:rsidRPr="007B5D03">
        <w:rPr>
          <w:rFonts w:hAnsi="標楷體"/>
          <w:sz w:val="30"/>
          <w:szCs w:val="30"/>
        </w:rPr>
        <w:t>條規定課徵稅款；至於系爭認購權證，業經財政部以</w:t>
      </w:r>
      <w:smartTag w:uri="urn:schemas-microsoft-com:office:smarttags" w:element="chsdate">
        <w:smartTagPr>
          <w:attr w:name="IsROCDate" w:val="False"/>
          <w:attr w:name="IsLunarDate" w:val="False"/>
          <w:attr w:name="Day" w:val="23"/>
          <w:attr w:name="Month" w:val="5"/>
          <w:attr w:name="Year" w:val="1986"/>
        </w:smartTagPr>
        <w:r w:rsidRPr="007B5D03">
          <w:rPr>
            <w:sz w:val="30"/>
            <w:szCs w:val="30"/>
          </w:rPr>
          <w:t>86</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23</w:t>
        </w:r>
        <w:r w:rsidRPr="007B5D03">
          <w:rPr>
            <w:rFonts w:hAnsi="標楷體"/>
            <w:sz w:val="30"/>
            <w:szCs w:val="30"/>
          </w:rPr>
          <w:t>日</w:t>
        </w:r>
      </w:smartTag>
      <w:r w:rsidRPr="007B5D03">
        <w:rPr>
          <w:rFonts w:hAnsi="標楷體"/>
          <w:sz w:val="30"/>
          <w:szCs w:val="30"/>
        </w:rPr>
        <w:t>（</w:t>
      </w:r>
      <w:r w:rsidRPr="007B5D03">
        <w:rPr>
          <w:sz w:val="30"/>
          <w:szCs w:val="30"/>
        </w:rPr>
        <w:t>86</w:t>
      </w:r>
      <w:r w:rsidRPr="007B5D03">
        <w:rPr>
          <w:rFonts w:hAnsi="標楷體"/>
          <w:sz w:val="30"/>
          <w:szCs w:val="30"/>
        </w:rPr>
        <w:t>）台財證（五）</w:t>
      </w:r>
      <w:r w:rsidRPr="00920295">
        <w:rPr>
          <w:rFonts w:hAnsi="標楷體"/>
          <w:spacing w:val="4"/>
          <w:sz w:val="30"/>
          <w:szCs w:val="30"/>
        </w:rPr>
        <w:t>第</w:t>
      </w:r>
      <w:r w:rsidRPr="00920295">
        <w:rPr>
          <w:spacing w:val="4"/>
          <w:sz w:val="30"/>
          <w:szCs w:val="30"/>
        </w:rPr>
        <w:t>03037</w:t>
      </w:r>
      <w:r w:rsidRPr="00920295">
        <w:rPr>
          <w:rFonts w:hAnsi="標楷體"/>
          <w:spacing w:val="4"/>
          <w:sz w:val="30"/>
          <w:szCs w:val="30"/>
        </w:rPr>
        <w:t>號公告，依證券交易法第</w:t>
      </w:r>
      <w:r w:rsidRPr="00920295">
        <w:rPr>
          <w:spacing w:val="4"/>
          <w:sz w:val="30"/>
          <w:szCs w:val="30"/>
        </w:rPr>
        <w:t>6</w:t>
      </w:r>
      <w:r w:rsidRPr="00920295">
        <w:rPr>
          <w:rFonts w:hAnsi="標楷體"/>
          <w:spacing w:val="4"/>
          <w:sz w:val="30"/>
          <w:szCs w:val="30"/>
        </w:rPr>
        <w:t>條規定，核定為其他有</w:t>
      </w:r>
      <w:r w:rsidRPr="007B5D03">
        <w:rPr>
          <w:rFonts w:hAnsi="標楷體"/>
          <w:sz w:val="30"/>
          <w:szCs w:val="30"/>
        </w:rPr>
        <w:t>價證券，再依財政部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月函釋意旨，發行後買賣該認購權證，及避險而買賣標的股票所生之損失，依行為時所得稅</w:t>
      </w:r>
      <w:r w:rsidRPr="00920295">
        <w:rPr>
          <w:rFonts w:hAnsi="標楷體"/>
          <w:spacing w:val="4"/>
          <w:sz w:val="30"/>
          <w:szCs w:val="30"/>
        </w:rPr>
        <w:t>法第</w:t>
      </w:r>
      <w:r w:rsidRPr="00920295">
        <w:rPr>
          <w:spacing w:val="4"/>
          <w:sz w:val="30"/>
          <w:szCs w:val="30"/>
        </w:rPr>
        <w:t>4</w:t>
      </w:r>
      <w:r w:rsidRPr="00920295">
        <w:rPr>
          <w:rFonts w:hAnsi="標楷體"/>
          <w:spacing w:val="4"/>
          <w:sz w:val="30"/>
          <w:szCs w:val="30"/>
        </w:rPr>
        <w:t>條之</w:t>
      </w:r>
      <w:r w:rsidRPr="00920295">
        <w:rPr>
          <w:spacing w:val="4"/>
          <w:sz w:val="30"/>
          <w:szCs w:val="30"/>
        </w:rPr>
        <w:t>1</w:t>
      </w:r>
      <w:r w:rsidRPr="00920295">
        <w:rPr>
          <w:rFonts w:hAnsi="標楷體"/>
          <w:spacing w:val="4"/>
          <w:sz w:val="30"/>
          <w:szCs w:val="30"/>
        </w:rPr>
        <w:t>規定，停止課徵證券交易所得稅，則依損益配</w:t>
      </w:r>
      <w:r w:rsidRPr="007B5D03">
        <w:rPr>
          <w:rFonts w:hAnsi="標楷體"/>
          <w:sz w:val="30"/>
          <w:szCs w:val="30"/>
        </w:rPr>
        <w:t>合原則，</w:t>
      </w:r>
      <w:r w:rsidRPr="007B5D03">
        <w:rPr>
          <w:rFonts w:hAnsi="標楷體"/>
          <w:sz w:val="30"/>
          <w:szCs w:val="30"/>
        </w:rPr>
        <w:lastRenderedPageBreak/>
        <w:t>證券交易損失自亦不得從所得額中減除。又行為時</w:t>
      </w:r>
      <w:r w:rsidRPr="00920295">
        <w:rPr>
          <w:rFonts w:hAnsi="標楷體"/>
          <w:spacing w:val="4"/>
          <w:sz w:val="30"/>
          <w:szCs w:val="30"/>
        </w:rPr>
        <w:t>所得稅法第</w:t>
      </w:r>
      <w:r w:rsidRPr="00920295">
        <w:rPr>
          <w:spacing w:val="4"/>
          <w:sz w:val="30"/>
          <w:szCs w:val="30"/>
        </w:rPr>
        <w:t>4</w:t>
      </w:r>
      <w:r w:rsidRPr="00920295">
        <w:rPr>
          <w:rFonts w:hAnsi="標楷體"/>
          <w:spacing w:val="4"/>
          <w:sz w:val="30"/>
          <w:szCs w:val="30"/>
        </w:rPr>
        <w:t>條之</w:t>
      </w:r>
      <w:r w:rsidRPr="00920295">
        <w:rPr>
          <w:spacing w:val="4"/>
          <w:sz w:val="30"/>
          <w:szCs w:val="30"/>
        </w:rPr>
        <w:t>1</w:t>
      </w:r>
      <w:r w:rsidRPr="00920295">
        <w:rPr>
          <w:rFonts w:hAnsi="標楷體"/>
          <w:spacing w:val="4"/>
          <w:sz w:val="30"/>
          <w:szCs w:val="30"/>
        </w:rPr>
        <w:t>證券交易免稅所得並無排除收入成本配</w:t>
      </w:r>
      <w:r w:rsidRPr="007B5D03">
        <w:rPr>
          <w:rFonts w:hAnsi="標楷體"/>
          <w:sz w:val="30"/>
          <w:szCs w:val="30"/>
        </w:rPr>
        <w:t>合原則之適用，業經司法院釋字第</w:t>
      </w:r>
      <w:r w:rsidRPr="007B5D03">
        <w:rPr>
          <w:sz w:val="30"/>
          <w:szCs w:val="30"/>
        </w:rPr>
        <w:t>493</w:t>
      </w:r>
      <w:r w:rsidRPr="007B5D03">
        <w:rPr>
          <w:rFonts w:hAnsi="標楷體"/>
          <w:sz w:val="30"/>
          <w:szCs w:val="30"/>
        </w:rPr>
        <w:t>號解釋在案，上開財</w:t>
      </w:r>
      <w:r w:rsidRPr="00920295">
        <w:rPr>
          <w:rFonts w:hAnsi="標楷體"/>
          <w:spacing w:val="4"/>
          <w:sz w:val="30"/>
          <w:szCs w:val="30"/>
        </w:rPr>
        <w:t>政部</w:t>
      </w:r>
      <w:r w:rsidRPr="00920295">
        <w:rPr>
          <w:spacing w:val="4"/>
          <w:sz w:val="30"/>
          <w:szCs w:val="30"/>
        </w:rPr>
        <w:t>86</w:t>
      </w:r>
      <w:r w:rsidRPr="00920295">
        <w:rPr>
          <w:rFonts w:hAnsi="標楷體"/>
          <w:spacing w:val="4"/>
          <w:sz w:val="30"/>
          <w:szCs w:val="30"/>
        </w:rPr>
        <w:t>年</w:t>
      </w:r>
      <w:r w:rsidRPr="00920295">
        <w:rPr>
          <w:spacing w:val="4"/>
          <w:sz w:val="30"/>
          <w:szCs w:val="30"/>
        </w:rPr>
        <w:t>12</w:t>
      </w:r>
      <w:r w:rsidRPr="00920295">
        <w:rPr>
          <w:rFonts w:hAnsi="標楷體"/>
          <w:spacing w:val="4"/>
          <w:sz w:val="30"/>
          <w:szCs w:val="30"/>
        </w:rPr>
        <w:t>月函釋符合所得稅法第</w:t>
      </w:r>
      <w:r w:rsidRPr="00920295">
        <w:rPr>
          <w:spacing w:val="4"/>
          <w:sz w:val="30"/>
          <w:szCs w:val="30"/>
        </w:rPr>
        <w:t>4</w:t>
      </w:r>
      <w:r w:rsidRPr="00920295">
        <w:rPr>
          <w:rFonts w:hAnsi="標楷體"/>
          <w:spacing w:val="4"/>
          <w:sz w:val="30"/>
          <w:szCs w:val="30"/>
        </w:rPr>
        <w:t>條之</w:t>
      </w:r>
      <w:r w:rsidRPr="00920295">
        <w:rPr>
          <w:spacing w:val="4"/>
          <w:sz w:val="30"/>
          <w:szCs w:val="30"/>
        </w:rPr>
        <w:t>1</w:t>
      </w:r>
      <w:r w:rsidRPr="00920295">
        <w:rPr>
          <w:rFonts w:hAnsi="標楷體"/>
          <w:spacing w:val="4"/>
          <w:sz w:val="30"/>
          <w:szCs w:val="30"/>
        </w:rPr>
        <w:t>規定意旨，且</w:t>
      </w:r>
      <w:r w:rsidRPr="007B5D03">
        <w:rPr>
          <w:rFonts w:hAnsi="標楷體"/>
          <w:sz w:val="30"/>
          <w:szCs w:val="30"/>
        </w:rPr>
        <w:t>未違反收入成本費用配合原則，自應予以適用。故被上訴人</w:t>
      </w:r>
      <w:r w:rsidRPr="00920295">
        <w:rPr>
          <w:rFonts w:hAnsi="標楷體"/>
          <w:spacing w:val="4"/>
          <w:sz w:val="30"/>
          <w:szCs w:val="30"/>
        </w:rPr>
        <w:t>將系爭認購權證權利金收入與避險交易所生之證券交易所</w:t>
      </w:r>
      <w:r w:rsidRPr="007B5D03">
        <w:rPr>
          <w:rFonts w:hAnsi="標楷體"/>
          <w:sz w:val="30"/>
          <w:szCs w:val="30"/>
        </w:rPr>
        <w:t>得，個別認定成本費用及其損益，自屬於法有據。（三）上訴</w:t>
      </w:r>
      <w:r w:rsidRPr="00920295">
        <w:rPr>
          <w:rFonts w:hAnsi="標楷體"/>
          <w:spacing w:val="4"/>
          <w:sz w:val="30"/>
          <w:szCs w:val="30"/>
        </w:rPr>
        <w:t>人雖主張其因履行發行認購（售）權證所附之公法負擔所生</w:t>
      </w:r>
      <w:r w:rsidRPr="007B5D03">
        <w:rPr>
          <w:rFonts w:hAnsi="標楷體"/>
          <w:sz w:val="30"/>
          <w:szCs w:val="30"/>
        </w:rPr>
        <w:t>避險交易損失，並無負稅能力，基於實質課稅精神與配合原則，自應准自收入扣除云云。惟查，證券商發行權證，依主</w:t>
      </w:r>
      <w:r w:rsidRPr="00920295">
        <w:rPr>
          <w:rFonts w:hAnsi="標楷體"/>
          <w:spacing w:val="2"/>
          <w:sz w:val="30"/>
          <w:szCs w:val="30"/>
        </w:rPr>
        <w:t>管機關前財政部證券暨期貨管理委員會（下稱證期會）</w:t>
      </w:r>
      <w:smartTag w:uri="urn:schemas-microsoft-com:office:smarttags" w:element="chsdate">
        <w:smartTagPr>
          <w:attr w:name="IsROCDate" w:val="False"/>
          <w:attr w:name="IsLunarDate" w:val="False"/>
          <w:attr w:name="Day" w:val="31"/>
          <w:attr w:name="Month" w:val="5"/>
          <w:attr w:name="Year" w:val="1986"/>
        </w:smartTagPr>
        <w:r w:rsidRPr="00920295">
          <w:rPr>
            <w:spacing w:val="2"/>
            <w:sz w:val="30"/>
            <w:szCs w:val="30"/>
          </w:rPr>
          <w:t>86</w:t>
        </w:r>
        <w:r w:rsidRPr="00920295">
          <w:rPr>
            <w:rFonts w:hAnsi="標楷體"/>
            <w:spacing w:val="2"/>
            <w:sz w:val="30"/>
            <w:szCs w:val="30"/>
          </w:rPr>
          <w:t>年</w:t>
        </w:r>
        <w:r w:rsidRPr="00920295">
          <w:rPr>
            <w:spacing w:val="-4"/>
            <w:sz w:val="30"/>
            <w:szCs w:val="30"/>
          </w:rPr>
          <w:t>5</w:t>
        </w:r>
        <w:r w:rsidRPr="00920295">
          <w:rPr>
            <w:rFonts w:hAnsi="標楷體"/>
            <w:spacing w:val="-4"/>
            <w:sz w:val="30"/>
            <w:szCs w:val="30"/>
          </w:rPr>
          <w:t>月</w:t>
        </w:r>
        <w:r w:rsidRPr="00920295">
          <w:rPr>
            <w:spacing w:val="-4"/>
            <w:sz w:val="30"/>
            <w:szCs w:val="30"/>
          </w:rPr>
          <w:t>31</w:t>
        </w:r>
        <w:r w:rsidRPr="00920295">
          <w:rPr>
            <w:rFonts w:hAnsi="標楷體"/>
            <w:spacing w:val="-4"/>
            <w:sz w:val="30"/>
            <w:szCs w:val="30"/>
          </w:rPr>
          <w:t>日</w:t>
        </w:r>
      </w:smartTag>
      <w:r w:rsidRPr="00920295">
        <w:rPr>
          <w:rFonts w:hAnsi="標楷體"/>
          <w:spacing w:val="-4"/>
          <w:sz w:val="30"/>
          <w:szCs w:val="30"/>
        </w:rPr>
        <w:t>發布之「發行人申請發行認購（售）權證處理要點」</w:t>
      </w:r>
      <w:r w:rsidRPr="00920295">
        <w:rPr>
          <w:rFonts w:hAnsi="標楷體"/>
          <w:spacing w:val="4"/>
          <w:sz w:val="30"/>
          <w:szCs w:val="30"/>
        </w:rPr>
        <w:t>第</w:t>
      </w:r>
      <w:r w:rsidRPr="00920295">
        <w:rPr>
          <w:spacing w:val="4"/>
          <w:sz w:val="30"/>
          <w:szCs w:val="30"/>
        </w:rPr>
        <w:t>8</w:t>
      </w:r>
      <w:r w:rsidRPr="00920295">
        <w:rPr>
          <w:rFonts w:hAnsi="標楷體"/>
          <w:spacing w:val="4"/>
          <w:sz w:val="30"/>
          <w:szCs w:val="30"/>
        </w:rPr>
        <w:t>點第</w:t>
      </w:r>
      <w:r w:rsidRPr="00920295">
        <w:rPr>
          <w:spacing w:val="4"/>
          <w:sz w:val="30"/>
          <w:szCs w:val="30"/>
        </w:rPr>
        <w:t>11</w:t>
      </w:r>
      <w:r w:rsidRPr="00920295">
        <w:rPr>
          <w:rFonts w:hAnsi="標楷體"/>
          <w:spacing w:val="4"/>
          <w:sz w:val="30"/>
          <w:szCs w:val="30"/>
        </w:rPr>
        <w:t>款規定與第</w:t>
      </w:r>
      <w:r w:rsidRPr="00920295">
        <w:rPr>
          <w:spacing w:val="4"/>
          <w:sz w:val="30"/>
          <w:szCs w:val="30"/>
        </w:rPr>
        <w:t>11</w:t>
      </w:r>
      <w:r w:rsidRPr="00920295">
        <w:rPr>
          <w:rFonts w:hAnsi="標楷體"/>
          <w:spacing w:val="4"/>
          <w:sz w:val="30"/>
          <w:szCs w:val="30"/>
        </w:rPr>
        <w:t>點規定【註：</w:t>
      </w:r>
      <w:smartTag w:uri="urn:schemas-microsoft-com:office:smarttags" w:element="chsdate">
        <w:smartTagPr>
          <w:attr w:name="IsROCDate" w:val="False"/>
          <w:attr w:name="IsLunarDate" w:val="False"/>
          <w:attr w:name="Day" w:val="3"/>
          <w:attr w:name="Month" w:val="11"/>
          <w:attr w:name="Year" w:val="1989"/>
        </w:smartTagPr>
        <w:r w:rsidRPr="00920295">
          <w:rPr>
            <w:spacing w:val="4"/>
            <w:sz w:val="30"/>
            <w:szCs w:val="30"/>
          </w:rPr>
          <w:t>89</w:t>
        </w:r>
        <w:r w:rsidRPr="00920295">
          <w:rPr>
            <w:rFonts w:hAnsi="標楷體"/>
            <w:spacing w:val="4"/>
            <w:sz w:val="30"/>
            <w:szCs w:val="30"/>
          </w:rPr>
          <w:t>年</w:t>
        </w:r>
        <w:r w:rsidRPr="00920295">
          <w:rPr>
            <w:spacing w:val="4"/>
            <w:sz w:val="30"/>
            <w:szCs w:val="30"/>
          </w:rPr>
          <w:t>11</w:t>
        </w:r>
        <w:r w:rsidRPr="00920295">
          <w:rPr>
            <w:rFonts w:hAnsi="標楷體"/>
            <w:spacing w:val="4"/>
            <w:sz w:val="30"/>
            <w:szCs w:val="30"/>
          </w:rPr>
          <w:t>月</w:t>
        </w:r>
        <w:r w:rsidRPr="00920295">
          <w:rPr>
            <w:spacing w:val="4"/>
            <w:sz w:val="30"/>
            <w:szCs w:val="30"/>
          </w:rPr>
          <w:t>3</w:t>
        </w:r>
        <w:r w:rsidRPr="00920295">
          <w:rPr>
            <w:rFonts w:hAnsi="標楷體"/>
            <w:spacing w:val="4"/>
            <w:sz w:val="30"/>
            <w:szCs w:val="30"/>
          </w:rPr>
          <w:t>日</w:t>
        </w:r>
      </w:smartTag>
      <w:r w:rsidRPr="00920295">
        <w:rPr>
          <w:rFonts w:hAnsi="標楷體"/>
          <w:spacing w:val="4"/>
          <w:sz w:val="30"/>
          <w:szCs w:val="30"/>
        </w:rPr>
        <w:t>證期會另發布「發行人申請發行認購（售）權證處理準則」取</w:t>
      </w:r>
      <w:r w:rsidRPr="007B5D03">
        <w:rPr>
          <w:rFonts w:hAnsi="標楷體"/>
          <w:sz w:val="30"/>
          <w:szCs w:val="30"/>
        </w:rPr>
        <w:t>代之，惟必須避險之基本精神一致】，及</w:t>
      </w:r>
      <w:smartTag w:uri="urn:schemas-microsoft-com:office:smarttags" w:element="chsdate">
        <w:smartTagPr>
          <w:attr w:name="IsROCDate" w:val="False"/>
          <w:attr w:name="IsLunarDate" w:val="False"/>
          <w:attr w:name="Day" w:val="6"/>
          <w:attr w:name="Month" w:val="8"/>
          <w:attr w:name="Year" w:val="1988"/>
        </w:smartTagPr>
        <w:r w:rsidRPr="007B5D03">
          <w:rPr>
            <w:sz w:val="30"/>
            <w:szCs w:val="30"/>
          </w:rPr>
          <w:t>88</w:t>
        </w:r>
        <w:r w:rsidRPr="007B5D03">
          <w:rPr>
            <w:rFonts w:hAnsi="標楷體"/>
            <w:sz w:val="30"/>
            <w:szCs w:val="30"/>
          </w:rPr>
          <w:t>年</w:t>
        </w:r>
        <w:r w:rsidRPr="007B5D03">
          <w:rPr>
            <w:sz w:val="30"/>
            <w:szCs w:val="30"/>
          </w:rPr>
          <w:t>8</w:t>
        </w:r>
        <w:r w:rsidRPr="007B5D03">
          <w:rPr>
            <w:rFonts w:hAnsi="標楷體"/>
            <w:sz w:val="30"/>
            <w:szCs w:val="30"/>
          </w:rPr>
          <w:t>月</w:t>
        </w:r>
        <w:r w:rsidRPr="007B5D03">
          <w:rPr>
            <w:sz w:val="30"/>
            <w:szCs w:val="30"/>
          </w:rPr>
          <w:t>6</w:t>
        </w:r>
        <w:r w:rsidRPr="007B5D03">
          <w:rPr>
            <w:rFonts w:hAnsi="標楷體"/>
            <w:sz w:val="30"/>
            <w:szCs w:val="30"/>
          </w:rPr>
          <w:t>日</w:t>
        </w:r>
      </w:smartTag>
      <w:r w:rsidRPr="007B5D03">
        <w:rPr>
          <w:rFonts w:hAnsi="標楷體"/>
          <w:sz w:val="30"/>
          <w:szCs w:val="30"/>
        </w:rPr>
        <w:t>審查準則第</w:t>
      </w:r>
      <w:r w:rsidRPr="007B5D03">
        <w:rPr>
          <w:sz w:val="30"/>
          <w:szCs w:val="30"/>
        </w:rPr>
        <w:t>6</w:t>
      </w:r>
      <w:r w:rsidRPr="007B5D03">
        <w:rPr>
          <w:rFonts w:hAnsi="標楷體"/>
          <w:sz w:val="30"/>
          <w:szCs w:val="30"/>
        </w:rPr>
        <w:t>條第</w:t>
      </w:r>
      <w:r w:rsidRPr="007B5D03">
        <w:rPr>
          <w:sz w:val="30"/>
          <w:szCs w:val="30"/>
        </w:rPr>
        <w:t>7</w:t>
      </w:r>
      <w:r w:rsidRPr="007B5D03">
        <w:rPr>
          <w:rFonts w:hAnsi="標楷體"/>
          <w:sz w:val="30"/>
          <w:szCs w:val="30"/>
        </w:rPr>
        <w:t>款、第</w:t>
      </w:r>
      <w:r w:rsidRPr="007B5D03">
        <w:rPr>
          <w:sz w:val="30"/>
          <w:szCs w:val="30"/>
        </w:rPr>
        <w:t>8</w:t>
      </w:r>
      <w:r w:rsidRPr="007B5D03">
        <w:rPr>
          <w:rFonts w:hAnsi="標楷體"/>
          <w:sz w:val="30"/>
          <w:szCs w:val="30"/>
        </w:rPr>
        <w:t>條第</w:t>
      </w:r>
      <w:r w:rsidRPr="007B5D03">
        <w:rPr>
          <w:sz w:val="30"/>
          <w:szCs w:val="30"/>
        </w:rPr>
        <w:t>11</w:t>
      </w:r>
      <w:r w:rsidRPr="007B5D03">
        <w:rPr>
          <w:rFonts w:hAnsi="標楷體"/>
          <w:sz w:val="30"/>
          <w:szCs w:val="30"/>
        </w:rPr>
        <w:t>款規定（註：</w:t>
      </w:r>
      <w:smartTag w:uri="urn:schemas-microsoft-com:office:smarttags" w:element="chsdate">
        <w:smartTagPr>
          <w:attr w:name="IsROCDate" w:val="False"/>
          <w:attr w:name="IsLunarDate" w:val="False"/>
          <w:attr w:name="Day" w:val="14"/>
          <w:attr w:name="Month" w:val="6"/>
          <w:attr w:name="Year" w:val="1993"/>
        </w:smartTagPr>
        <w:r w:rsidRPr="007B5D03">
          <w:rPr>
            <w:sz w:val="30"/>
            <w:szCs w:val="30"/>
          </w:rPr>
          <w:t>93</w:t>
        </w:r>
        <w:r w:rsidRPr="007B5D03">
          <w:rPr>
            <w:rFonts w:hAnsi="標楷體"/>
            <w:sz w:val="30"/>
            <w:szCs w:val="30"/>
          </w:rPr>
          <w:t>年</w:t>
        </w:r>
        <w:r w:rsidRPr="007B5D03">
          <w:rPr>
            <w:sz w:val="30"/>
            <w:szCs w:val="30"/>
          </w:rPr>
          <w:t>6</w:t>
        </w:r>
        <w:r w:rsidRPr="007B5D03">
          <w:rPr>
            <w:rFonts w:hAnsi="標楷體"/>
            <w:sz w:val="30"/>
            <w:szCs w:val="30"/>
          </w:rPr>
          <w:t>月</w:t>
        </w:r>
        <w:r w:rsidRPr="007B5D03">
          <w:rPr>
            <w:sz w:val="30"/>
            <w:szCs w:val="30"/>
          </w:rPr>
          <w:t>14</w:t>
        </w:r>
        <w:r w:rsidRPr="007B5D03">
          <w:rPr>
            <w:rFonts w:hAnsi="標楷體"/>
            <w:sz w:val="30"/>
            <w:szCs w:val="30"/>
          </w:rPr>
          <w:t>日</w:t>
        </w:r>
      </w:smartTag>
      <w:r w:rsidRPr="007B5D03">
        <w:rPr>
          <w:rFonts w:hAnsi="標楷體"/>
          <w:sz w:val="30"/>
          <w:szCs w:val="30"/>
        </w:rPr>
        <w:t>修正條文第</w:t>
      </w:r>
      <w:r w:rsidRPr="007B5D03">
        <w:rPr>
          <w:sz w:val="30"/>
          <w:szCs w:val="30"/>
        </w:rPr>
        <w:t>8</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5</w:t>
      </w:r>
      <w:r w:rsidRPr="007B5D03">
        <w:rPr>
          <w:rFonts w:hAnsi="標楷體"/>
          <w:sz w:val="30"/>
          <w:szCs w:val="30"/>
        </w:rPr>
        <w:t>款、第</w:t>
      </w:r>
      <w:r w:rsidRPr="007B5D03">
        <w:rPr>
          <w:sz w:val="30"/>
          <w:szCs w:val="30"/>
        </w:rPr>
        <w:t>10</w:t>
      </w:r>
      <w:r w:rsidRPr="007B5D03">
        <w:rPr>
          <w:rFonts w:hAnsi="標楷體"/>
          <w:sz w:val="30"/>
          <w:szCs w:val="30"/>
        </w:rPr>
        <w:t>條第</w:t>
      </w:r>
      <w:r w:rsidRPr="007B5D03">
        <w:rPr>
          <w:sz w:val="30"/>
          <w:szCs w:val="30"/>
        </w:rPr>
        <w:t>6</w:t>
      </w:r>
      <w:r w:rsidRPr="007B5D03">
        <w:rPr>
          <w:rFonts w:hAnsi="標楷體"/>
          <w:sz w:val="30"/>
          <w:szCs w:val="30"/>
        </w:rPr>
        <w:t>款第</w:t>
      </w:r>
      <w:r w:rsidRPr="007B5D03">
        <w:rPr>
          <w:sz w:val="30"/>
          <w:szCs w:val="30"/>
        </w:rPr>
        <w:t>8</w:t>
      </w:r>
      <w:r w:rsidRPr="007B5D03">
        <w:rPr>
          <w:rFonts w:hAnsi="標楷體"/>
          <w:sz w:val="30"/>
          <w:szCs w:val="30"/>
        </w:rPr>
        <w:t>目規定同此精神），固強制證券商應進行避險交易，且該避險交易之特性，在於股價上漲時買進標的股票以履行權證持有人履約要求、股價下跌時賣出標的股票以防權證持有人棄權時發生</w:t>
      </w:r>
      <w:r w:rsidRPr="007E6D35">
        <w:rPr>
          <w:rFonts w:hAnsi="標楷體"/>
          <w:spacing w:val="-4"/>
          <w:sz w:val="30"/>
          <w:szCs w:val="30"/>
        </w:rPr>
        <w:t>鉅額跌價損失，惟依上開事實可知，券商對標的股票漲即買、</w:t>
      </w:r>
      <w:r w:rsidRPr="007B5D03">
        <w:rPr>
          <w:rFonts w:hAnsi="標楷體"/>
          <w:sz w:val="30"/>
          <w:szCs w:val="30"/>
        </w:rPr>
        <w:t>跌即賣之避險交易行為，為其履約之準備，而其避險交易可能產生損失，亦可能產生利益，難認為發行權證之成本或費</w:t>
      </w:r>
      <w:r w:rsidRPr="007E6D35">
        <w:rPr>
          <w:rFonts w:hAnsi="標楷體"/>
          <w:spacing w:val="-4"/>
          <w:sz w:val="30"/>
          <w:szCs w:val="30"/>
        </w:rPr>
        <w:t>用。況個別之收入有其對應之成本費用，所產生個別之損益，</w:t>
      </w:r>
      <w:r w:rsidRPr="007B5D03">
        <w:rPr>
          <w:rFonts w:hAnsi="標楷體"/>
          <w:sz w:val="30"/>
          <w:szCs w:val="30"/>
        </w:rPr>
        <w:t>不能成為他項收入之成本費用，此觀所得稅法施行細則第</w:t>
      </w:r>
      <w:r w:rsidRPr="007B5D03">
        <w:rPr>
          <w:sz w:val="30"/>
          <w:szCs w:val="30"/>
        </w:rPr>
        <w:t>31</w:t>
      </w:r>
      <w:r w:rsidRPr="007E6D35">
        <w:rPr>
          <w:rFonts w:hAnsi="標楷體"/>
          <w:spacing w:val="4"/>
          <w:sz w:val="30"/>
          <w:szCs w:val="30"/>
        </w:rPr>
        <w:t>條規定自明，故所得稅法第</w:t>
      </w:r>
      <w:r w:rsidRPr="007E6D35">
        <w:rPr>
          <w:spacing w:val="4"/>
          <w:sz w:val="30"/>
          <w:szCs w:val="30"/>
        </w:rPr>
        <w:t>4</w:t>
      </w:r>
      <w:r w:rsidRPr="007E6D35">
        <w:rPr>
          <w:rFonts w:hAnsi="標楷體"/>
          <w:spacing w:val="4"/>
          <w:sz w:val="30"/>
          <w:szCs w:val="30"/>
        </w:rPr>
        <w:t>條之</w:t>
      </w:r>
      <w:r w:rsidRPr="007E6D35">
        <w:rPr>
          <w:spacing w:val="4"/>
          <w:sz w:val="30"/>
          <w:szCs w:val="30"/>
        </w:rPr>
        <w:t>1</w:t>
      </w:r>
      <w:r w:rsidRPr="007E6D35">
        <w:rPr>
          <w:rFonts w:hAnsi="標楷體"/>
          <w:spacing w:val="4"/>
          <w:sz w:val="30"/>
          <w:szCs w:val="30"/>
        </w:rPr>
        <w:t>之規定，係因證券交易</w:t>
      </w:r>
      <w:r w:rsidRPr="007B5D03">
        <w:rPr>
          <w:rFonts w:hAnsi="標楷體"/>
          <w:sz w:val="30"/>
          <w:szCs w:val="30"/>
        </w:rPr>
        <w:t>之收入不課稅，所對應之成本</w:t>
      </w:r>
      <w:r w:rsidRPr="007B5D03">
        <w:rPr>
          <w:rFonts w:hAnsi="標楷體"/>
          <w:sz w:val="30"/>
          <w:szCs w:val="30"/>
        </w:rPr>
        <w:lastRenderedPageBreak/>
        <w:t>費用亦不准自應稅項下認定，導致損失亦不得自所得額中減除，若採上訴人主張將避險證券交易損失認定為認購權證之成本減除，則將侵蝕應稅之權利金所得。再證券商於發行認購權證時，因前開法規規定證券商須強制為避險交易，而該避險交易復基於保護投資者及維持金融秩序，證券商須於股價上漲時買進標的股票、股價下跌時賣出標的股票，證券商可能因避險交易行為而造成損失，復為證券商於發行該認購權證所知悉；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月函釋亦已指明認購權證發行人於發行後，因投資人行使權利，而售出或購入標的股票產生之證券交易所得或損失，應</w:t>
      </w:r>
      <w:r w:rsidRPr="007E6D35">
        <w:rPr>
          <w:rFonts w:hAnsi="標楷體"/>
          <w:spacing w:val="4"/>
          <w:sz w:val="30"/>
          <w:szCs w:val="30"/>
        </w:rPr>
        <w:t>依所得稅法第</w:t>
      </w:r>
      <w:r w:rsidRPr="007E6D35">
        <w:rPr>
          <w:spacing w:val="4"/>
          <w:sz w:val="30"/>
          <w:szCs w:val="30"/>
        </w:rPr>
        <w:t>4</w:t>
      </w:r>
      <w:r w:rsidRPr="007E6D35">
        <w:rPr>
          <w:rFonts w:hAnsi="標楷體"/>
          <w:spacing w:val="4"/>
          <w:sz w:val="30"/>
          <w:szCs w:val="30"/>
        </w:rPr>
        <w:t>條之</w:t>
      </w:r>
      <w:r w:rsidRPr="007E6D35">
        <w:rPr>
          <w:spacing w:val="4"/>
          <w:sz w:val="30"/>
          <w:szCs w:val="30"/>
        </w:rPr>
        <w:t>1</w:t>
      </w:r>
      <w:r w:rsidRPr="007E6D35">
        <w:rPr>
          <w:rFonts w:hAnsi="標楷體"/>
          <w:spacing w:val="4"/>
          <w:sz w:val="30"/>
          <w:szCs w:val="30"/>
        </w:rPr>
        <w:t>規定辦理，則證券商自得於發行時，</w:t>
      </w:r>
      <w:r w:rsidRPr="007B5D03">
        <w:rPr>
          <w:rFonts w:hAnsi="標楷體"/>
          <w:sz w:val="30"/>
          <w:szCs w:val="30"/>
        </w:rPr>
        <w:t>自行斟酌其可能發生之損失成本費用，且依其從事證券業之</w:t>
      </w:r>
      <w:r w:rsidRPr="007E6D35">
        <w:rPr>
          <w:rFonts w:hAnsi="標楷體"/>
          <w:spacing w:val="4"/>
          <w:sz w:val="30"/>
          <w:szCs w:val="30"/>
        </w:rPr>
        <w:t>專業知識，亦可知悉所得稅法第</w:t>
      </w:r>
      <w:r w:rsidRPr="007E6D35">
        <w:rPr>
          <w:spacing w:val="4"/>
          <w:sz w:val="30"/>
          <w:szCs w:val="30"/>
        </w:rPr>
        <w:t>4</w:t>
      </w:r>
      <w:r w:rsidRPr="007E6D35">
        <w:rPr>
          <w:rFonts w:hAnsi="標楷體"/>
          <w:spacing w:val="4"/>
          <w:sz w:val="30"/>
          <w:szCs w:val="30"/>
        </w:rPr>
        <w:t>條之</w:t>
      </w:r>
      <w:r w:rsidRPr="007E6D35">
        <w:rPr>
          <w:spacing w:val="4"/>
          <w:sz w:val="30"/>
          <w:szCs w:val="30"/>
        </w:rPr>
        <w:t>1</w:t>
      </w:r>
      <w:r w:rsidRPr="007E6D35">
        <w:rPr>
          <w:rFonts w:hAnsi="標楷體"/>
          <w:spacing w:val="4"/>
          <w:sz w:val="30"/>
          <w:szCs w:val="30"/>
        </w:rPr>
        <w:t>規定，其為避險之</w:t>
      </w:r>
      <w:r w:rsidRPr="007B5D03">
        <w:rPr>
          <w:rFonts w:hAnsi="標楷體"/>
          <w:sz w:val="30"/>
          <w:szCs w:val="30"/>
        </w:rPr>
        <w:t>證券交易所得因免稅，其因避險之證券交易損失亦不得自所得額中減除，自應充分衡量其發行該認購權證之利潤後，再行決定該權利金之金額，以作為發行最符合其經濟效益之商品，自不得僅因其依照於發行認購權證時約定應買進或賣出股票時之證券交易，即謂該種證券交易，係出於強制而與一般消費者為證券交易有所不同，因而於稅收上異其計算，否則有違反租稅法律主義及租稅公平原則。再者</w:t>
      </w:r>
      <w:r w:rsidRPr="007B5D03">
        <w:rPr>
          <w:rFonts w:hAnsi="標楷體" w:hint="eastAsia"/>
          <w:sz w:val="30"/>
          <w:szCs w:val="30"/>
        </w:rPr>
        <w:t>，</w:t>
      </w:r>
      <w:r w:rsidRPr="007B5D03">
        <w:rPr>
          <w:rFonts w:hAnsi="標楷體"/>
          <w:sz w:val="30"/>
          <w:szCs w:val="30"/>
        </w:rPr>
        <w:t>所得稅法第</w:t>
      </w:r>
      <w:r w:rsidRPr="00185C30">
        <w:rPr>
          <w:spacing w:val="4"/>
          <w:sz w:val="30"/>
          <w:szCs w:val="30"/>
        </w:rPr>
        <w:t>4</w:t>
      </w:r>
      <w:r w:rsidRPr="00185C30">
        <w:rPr>
          <w:rFonts w:hAnsi="標楷體"/>
          <w:spacing w:val="4"/>
          <w:sz w:val="30"/>
          <w:szCs w:val="30"/>
        </w:rPr>
        <w:t>條之</w:t>
      </w:r>
      <w:r w:rsidRPr="00185C30">
        <w:rPr>
          <w:spacing w:val="4"/>
          <w:sz w:val="30"/>
          <w:szCs w:val="30"/>
        </w:rPr>
        <w:t>1</w:t>
      </w:r>
      <w:r w:rsidRPr="00185C30">
        <w:rPr>
          <w:rFonts w:hAnsi="標楷體"/>
          <w:spacing w:val="4"/>
          <w:sz w:val="30"/>
          <w:szCs w:val="30"/>
        </w:rPr>
        <w:t>所稱之證券交易，倘符合證券交易之形式外觀即屬</w:t>
      </w:r>
      <w:r w:rsidRPr="007B5D03">
        <w:rPr>
          <w:rFonts w:hAnsi="標楷體"/>
          <w:sz w:val="30"/>
          <w:szCs w:val="30"/>
        </w:rPr>
        <w:t>之，並不問買賣雙方對該證券交易其動機及內在主觀意思為何，否則有違證券交易之安定性及國家稅收之一致性，況上訴人所為之避險交易表面觀之似有虧損，惟迄履約期間屆至亦非必然為虧損，且為避險交易亦為防止發行該認購權證者之證券商之經營風險，非全然對證券商為不利。是故，上訴人此部分之主張，尚非可採。（四）再按，會計學上「收入成本配合原則」</w:t>
      </w:r>
      <w:r w:rsidRPr="007B5D03">
        <w:rPr>
          <w:rFonts w:hAnsi="標楷體"/>
          <w:sz w:val="30"/>
          <w:szCs w:val="30"/>
        </w:rPr>
        <w:lastRenderedPageBreak/>
        <w:t>，與稅法上成本費用之得否列報並非完全相同。</w:t>
      </w:r>
      <w:r w:rsidRPr="00185C30">
        <w:rPr>
          <w:rFonts w:hAnsi="標楷體"/>
          <w:spacing w:val="4"/>
          <w:sz w:val="30"/>
          <w:szCs w:val="30"/>
        </w:rPr>
        <w:t>會計學上之「收入成本配合原則」於稅法之適用上，尚須考量租稅政策與目的，於辦理所得稅結算申報或核課所得稅</w:t>
      </w:r>
      <w:r w:rsidRPr="007B5D03">
        <w:rPr>
          <w:rFonts w:hAnsi="標楷體"/>
          <w:sz w:val="30"/>
          <w:szCs w:val="30"/>
        </w:rPr>
        <w:t>時，其依商業會計法記載之會計事項，如與所得稅法等有關租稅法規</w:t>
      </w:r>
      <w:r w:rsidRPr="007B5D03">
        <w:rPr>
          <w:rFonts w:hAnsi="標楷體" w:hint="eastAsia"/>
          <w:sz w:val="30"/>
          <w:szCs w:val="30"/>
        </w:rPr>
        <w:t>之</w:t>
      </w:r>
      <w:r w:rsidRPr="007B5D03">
        <w:rPr>
          <w:rFonts w:hAnsi="標楷體"/>
          <w:sz w:val="30"/>
          <w:szCs w:val="30"/>
        </w:rPr>
        <w:t>規定未符者，均應於申報書內自行調整之，此觀</w:t>
      </w:r>
      <w:r w:rsidRPr="00185C30">
        <w:rPr>
          <w:rFonts w:hAnsi="標楷體"/>
          <w:spacing w:val="-4"/>
          <w:sz w:val="30"/>
          <w:szCs w:val="30"/>
        </w:rPr>
        <w:t>諸所得稅法第</w:t>
      </w:r>
      <w:r w:rsidRPr="00185C30">
        <w:rPr>
          <w:spacing w:val="-4"/>
          <w:sz w:val="30"/>
          <w:szCs w:val="30"/>
        </w:rPr>
        <w:t>36</w:t>
      </w:r>
      <w:r w:rsidRPr="00185C30">
        <w:rPr>
          <w:rFonts w:hAnsi="標楷體"/>
          <w:spacing w:val="-4"/>
          <w:sz w:val="30"/>
          <w:szCs w:val="30"/>
        </w:rPr>
        <w:t>條（捐贈）、第</w:t>
      </w:r>
      <w:r w:rsidRPr="00185C30">
        <w:rPr>
          <w:spacing w:val="-4"/>
          <w:sz w:val="30"/>
          <w:szCs w:val="30"/>
        </w:rPr>
        <w:t>37</w:t>
      </w:r>
      <w:r w:rsidRPr="00185C30">
        <w:rPr>
          <w:rFonts w:hAnsi="標楷體"/>
          <w:spacing w:val="-4"/>
          <w:sz w:val="30"/>
          <w:szCs w:val="30"/>
        </w:rPr>
        <w:t>條（交際費）、第</w:t>
      </w:r>
      <w:r w:rsidRPr="00185C30">
        <w:rPr>
          <w:spacing w:val="-4"/>
          <w:sz w:val="30"/>
          <w:szCs w:val="30"/>
        </w:rPr>
        <w:t>43</w:t>
      </w:r>
      <w:r w:rsidRPr="00185C30">
        <w:rPr>
          <w:rFonts w:hAnsi="標楷體"/>
          <w:spacing w:val="-4"/>
          <w:sz w:val="30"/>
          <w:szCs w:val="30"/>
        </w:rPr>
        <w:t>條之</w:t>
      </w:r>
      <w:r w:rsidRPr="00185C30">
        <w:rPr>
          <w:spacing w:val="-10"/>
          <w:sz w:val="30"/>
          <w:szCs w:val="30"/>
        </w:rPr>
        <w:t>1</w:t>
      </w:r>
      <w:r w:rsidRPr="00185C30">
        <w:rPr>
          <w:rFonts w:hAnsi="標楷體"/>
          <w:spacing w:val="-10"/>
          <w:sz w:val="30"/>
          <w:szCs w:val="30"/>
        </w:rPr>
        <w:t>（不合營業常規之調整）、第</w:t>
      </w:r>
      <w:r w:rsidRPr="00185C30">
        <w:rPr>
          <w:spacing w:val="-10"/>
          <w:sz w:val="30"/>
          <w:szCs w:val="30"/>
        </w:rPr>
        <w:t>49</w:t>
      </w:r>
      <w:r w:rsidRPr="00185C30">
        <w:rPr>
          <w:rFonts w:hAnsi="標楷體"/>
          <w:spacing w:val="-10"/>
          <w:sz w:val="30"/>
          <w:szCs w:val="30"/>
        </w:rPr>
        <w:t>條（壞帳）、第</w:t>
      </w:r>
      <w:r w:rsidRPr="00185C30">
        <w:rPr>
          <w:spacing w:val="-10"/>
          <w:sz w:val="30"/>
          <w:szCs w:val="30"/>
        </w:rPr>
        <w:t>51</w:t>
      </w:r>
      <w:r w:rsidRPr="00185C30">
        <w:rPr>
          <w:rFonts w:hAnsi="標楷體"/>
          <w:spacing w:val="-10"/>
          <w:sz w:val="30"/>
          <w:szCs w:val="30"/>
        </w:rPr>
        <w:t>條之</w:t>
      </w:r>
      <w:r w:rsidRPr="00185C30">
        <w:rPr>
          <w:spacing w:val="-10"/>
          <w:sz w:val="30"/>
          <w:szCs w:val="30"/>
        </w:rPr>
        <w:t>1</w:t>
      </w:r>
      <w:r w:rsidRPr="00185C30">
        <w:rPr>
          <w:rFonts w:hAnsi="標楷體"/>
          <w:spacing w:val="-10"/>
          <w:sz w:val="30"/>
          <w:szCs w:val="30"/>
        </w:rPr>
        <w:t>（折</w:t>
      </w:r>
      <w:r w:rsidRPr="00185C30">
        <w:rPr>
          <w:rFonts w:hAnsi="標楷體"/>
          <w:spacing w:val="4"/>
          <w:sz w:val="30"/>
          <w:szCs w:val="30"/>
        </w:rPr>
        <w:t>舊）等規定均設有限制即可知，二者範圍並非完全相同。又即便認為上訴人所謂「標的股票買賣」避險手段，構成經營</w:t>
      </w:r>
      <w:r w:rsidRPr="007B5D03">
        <w:rPr>
          <w:rFonts w:hAnsi="標楷體"/>
          <w:sz w:val="30"/>
          <w:szCs w:val="30"/>
        </w:rPr>
        <w:t>認購權證之一部分，因避險交易所生之成本得以明確計算，</w:t>
      </w:r>
      <w:r w:rsidRPr="00185C30">
        <w:rPr>
          <w:rFonts w:hAnsi="標楷體"/>
          <w:spacing w:val="4"/>
          <w:sz w:val="30"/>
          <w:szCs w:val="30"/>
        </w:rPr>
        <w:t>進而肯認「標的股票買賣」所生之損失，係屬經營認購權證</w:t>
      </w:r>
      <w:r w:rsidRPr="007B5D03">
        <w:rPr>
          <w:rFonts w:hAnsi="標楷體"/>
          <w:sz w:val="30"/>
          <w:szCs w:val="30"/>
        </w:rPr>
        <w:t>之成本、費用，然此所謂之「成本、費用」充其量亦僅為「會</w:t>
      </w:r>
      <w:r w:rsidRPr="00185C30">
        <w:rPr>
          <w:rFonts w:hAnsi="標楷體"/>
          <w:spacing w:val="4"/>
          <w:sz w:val="30"/>
          <w:szCs w:val="30"/>
        </w:rPr>
        <w:t>計學」概念下之成本、費用而已，與上訴人是否得將之列為</w:t>
      </w:r>
      <w:r w:rsidRPr="007B5D03">
        <w:rPr>
          <w:rFonts w:hAnsi="標楷體"/>
          <w:sz w:val="30"/>
          <w:szCs w:val="30"/>
        </w:rPr>
        <w:t>認購權證課稅所得項下之營業成本，不能相提並論。上訴人</w:t>
      </w:r>
      <w:r w:rsidRPr="00880A73">
        <w:rPr>
          <w:rFonts w:hAnsi="標楷體"/>
          <w:spacing w:val="4"/>
          <w:sz w:val="30"/>
          <w:szCs w:val="30"/>
        </w:rPr>
        <w:t>逕將「會計學上」收入成本配合原則下之成本、費用，視為「所得稅法上」得列報之成本、費用，忽略立法者對於個別</w:t>
      </w:r>
      <w:r w:rsidRPr="007B5D03">
        <w:rPr>
          <w:rFonts w:hAnsi="標楷體"/>
          <w:sz w:val="30"/>
          <w:szCs w:val="30"/>
        </w:rPr>
        <w:t>成本、費用所為之目的及政策考量，自有未洽。又收入成本</w:t>
      </w:r>
      <w:r w:rsidRPr="00880A73">
        <w:rPr>
          <w:rFonts w:hAnsi="標楷體"/>
          <w:spacing w:val="4"/>
          <w:sz w:val="30"/>
          <w:szCs w:val="30"/>
        </w:rPr>
        <w:t>配合原則並非不允許例外之定律，立法者基於整體租稅正</w:t>
      </w:r>
      <w:r w:rsidRPr="007B5D03">
        <w:rPr>
          <w:rFonts w:hAnsi="標楷體"/>
          <w:sz w:val="30"/>
          <w:szCs w:val="30"/>
        </w:rPr>
        <w:t>義、課稅公平的考量，對於何項收入為應稅收入，何項支出或損失得列報為成本、費用，或於何限度內得列報為成本、費用，應有形成的自由。若法律定有明文不得列報，即屬收入成本配合原則之例外，依法決定得否列報成本費用，不生違反收入成本配合原則問題。此外，成本費用准否列報，並非以具備原因事實為已足，原因事實僅是列報成本費用之前提門檻，尚須依據法律對於具備原因事實關係之成本費用再為准駁。如法律已有明文排除之規範者，法律之規定更應優</w:t>
      </w:r>
      <w:r w:rsidRPr="00880A73">
        <w:rPr>
          <w:rFonts w:hAnsi="標楷體"/>
          <w:spacing w:val="4"/>
          <w:sz w:val="30"/>
          <w:szCs w:val="30"/>
        </w:rPr>
        <w:t>先於原因事實關係而被遵守，租稅法定原</w:t>
      </w:r>
      <w:r w:rsidRPr="00880A73">
        <w:rPr>
          <w:rFonts w:hAnsi="標楷體"/>
          <w:spacing w:val="4"/>
          <w:sz w:val="30"/>
          <w:szCs w:val="30"/>
        </w:rPr>
        <w:lastRenderedPageBreak/>
        <w:t>則始可確立而貫徹。所得稅法第</w:t>
      </w:r>
      <w:r w:rsidRPr="00880A73">
        <w:rPr>
          <w:spacing w:val="4"/>
          <w:sz w:val="30"/>
          <w:szCs w:val="30"/>
        </w:rPr>
        <w:t>4</w:t>
      </w:r>
      <w:r w:rsidRPr="00880A73">
        <w:rPr>
          <w:rFonts w:hAnsi="標楷體"/>
          <w:spacing w:val="4"/>
          <w:sz w:val="30"/>
          <w:szCs w:val="30"/>
        </w:rPr>
        <w:t>條之</w:t>
      </w:r>
      <w:r w:rsidRPr="00880A73">
        <w:rPr>
          <w:spacing w:val="4"/>
          <w:sz w:val="30"/>
          <w:szCs w:val="30"/>
        </w:rPr>
        <w:t>1</w:t>
      </w:r>
      <w:r w:rsidRPr="00880A73">
        <w:rPr>
          <w:rFonts w:hAnsi="標楷體"/>
          <w:spacing w:val="4"/>
          <w:sz w:val="30"/>
          <w:szCs w:val="30"/>
        </w:rPr>
        <w:t>已明文規定證券交易所得停止課徵</w:t>
      </w:r>
      <w:r w:rsidRPr="007B5D03">
        <w:rPr>
          <w:rFonts w:hAnsi="標楷體"/>
          <w:sz w:val="30"/>
          <w:szCs w:val="30"/>
        </w:rPr>
        <w:t>所得稅，證券交易損失亦不得自所得額中扣除，如獨對權證發行者之特別待遇，即有違反平等原則。從而，上訴人前揭</w:t>
      </w:r>
      <w:r w:rsidRPr="00880A73">
        <w:rPr>
          <w:rFonts w:hAnsi="標楷體"/>
          <w:spacing w:val="4"/>
          <w:sz w:val="30"/>
          <w:szCs w:val="30"/>
        </w:rPr>
        <w:t>有關「上訴人因避險交易所生之成本得以明確計算，並可直</w:t>
      </w:r>
      <w:r w:rsidRPr="007B5D03">
        <w:rPr>
          <w:rFonts w:hAnsi="標楷體"/>
          <w:sz w:val="30"/>
          <w:szCs w:val="30"/>
        </w:rPr>
        <w:t>接歸屬於權利金收入部分，自應依實質課稅精神與收入費用配合原則，於計算營利事業所得時予以扣除。吾人於適用所</w:t>
      </w:r>
      <w:r w:rsidRPr="00880A73">
        <w:rPr>
          <w:rFonts w:hAnsi="標楷體"/>
          <w:spacing w:val="4"/>
          <w:sz w:val="30"/>
          <w:szCs w:val="30"/>
        </w:rPr>
        <w:t>得稅法第</w:t>
      </w:r>
      <w:r w:rsidRPr="00880A73">
        <w:rPr>
          <w:spacing w:val="4"/>
          <w:sz w:val="30"/>
          <w:szCs w:val="30"/>
        </w:rPr>
        <w:t>4</w:t>
      </w:r>
      <w:r w:rsidRPr="00880A73">
        <w:rPr>
          <w:rFonts w:hAnsi="標楷體"/>
          <w:spacing w:val="4"/>
          <w:sz w:val="30"/>
          <w:szCs w:val="30"/>
        </w:rPr>
        <w:t>條之</w:t>
      </w:r>
      <w:r w:rsidRPr="00880A73">
        <w:rPr>
          <w:spacing w:val="4"/>
          <w:sz w:val="30"/>
          <w:szCs w:val="30"/>
        </w:rPr>
        <w:t>1</w:t>
      </w:r>
      <w:r w:rsidRPr="00880A73">
        <w:rPr>
          <w:rFonts w:hAnsi="標楷體"/>
          <w:spacing w:val="4"/>
          <w:sz w:val="30"/>
          <w:szCs w:val="30"/>
        </w:rPr>
        <w:t>規定時，自應斟酌法體系價值判斷、所得</w:t>
      </w:r>
      <w:r w:rsidRPr="00880A73">
        <w:rPr>
          <w:rFonts w:hAnsi="標楷體"/>
          <w:spacing w:val="-4"/>
          <w:sz w:val="30"/>
          <w:szCs w:val="30"/>
        </w:rPr>
        <w:t>稅法規範體系、規範目的及立法意旨，作出目的性限縮解釋，</w:t>
      </w:r>
      <w:r w:rsidRPr="00880A73">
        <w:rPr>
          <w:rFonts w:hAnsi="標楷體"/>
          <w:spacing w:val="4"/>
          <w:sz w:val="30"/>
          <w:szCs w:val="30"/>
        </w:rPr>
        <w:t>將避險交易自所得稅法第</w:t>
      </w:r>
      <w:r w:rsidRPr="00880A73">
        <w:rPr>
          <w:spacing w:val="4"/>
          <w:sz w:val="30"/>
          <w:szCs w:val="30"/>
        </w:rPr>
        <w:t>4</w:t>
      </w:r>
      <w:r w:rsidRPr="00880A73">
        <w:rPr>
          <w:rFonts w:hAnsi="標楷體"/>
          <w:spacing w:val="4"/>
          <w:sz w:val="30"/>
          <w:szCs w:val="30"/>
        </w:rPr>
        <w:t>條之</w:t>
      </w:r>
      <w:r w:rsidRPr="00880A73">
        <w:rPr>
          <w:spacing w:val="4"/>
          <w:sz w:val="30"/>
          <w:szCs w:val="30"/>
        </w:rPr>
        <w:t>1</w:t>
      </w:r>
      <w:r w:rsidRPr="00880A73">
        <w:rPr>
          <w:rFonts w:hAnsi="標楷體"/>
          <w:spacing w:val="4"/>
          <w:sz w:val="30"/>
          <w:szCs w:val="30"/>
        </w:rPr>
        <w:t>所稱之「證券交易」排除</w:t>
      </w:r>
      <w:r w:rsidRPr="007B5D03">
        <w:rPr>
          <w:rFonts w:hAnsi="標楷體"/>
          <w:sz w:val="30"/>
          <w:szCs w:val="30"/>
        </w:rPr>
        <w:t>等主張亦有所誤解，洵非可取。（五）再者，就營利事業體所獲得之各項收入而言，因性質之不同，可能產生成本費用比例差距情形，例如受捐贈收入、補償費收入、利息收入及認購權證之權利金收入等，其收入性質本無成本費用，或費用金額相對微小，形成收入與所得金額相近或對毛收入課稅之</w:t>
      </w:r>
      <w:r w:rsidRPr="00880A73">
        <w:rPr>
          <w:rFonts w:hAnsi="標楷體"/>
          <w:spacing w:val="4"/>
          <w:sz w:val="30"/>
          <w:szCs w:val="30"/>
        </w:rPr>
        <w:t>結果，此係依所得稅法第</w:t>
      </w:r>
      <w:r w:rsidRPr="00880A73">
        <w:rPr>
          <w:spacing w:val="4"/>
          <w:sz w:val="30"/>
          <w:szCs w:val="30"/>
        </w:rPr>
        <w:t>24</w:t>
      </w:r>
      <w:r w:rsidRPr="00880A73">
        <w:rPr>
          <w:rFonts w:hAnsi="標楷體"/>
          <w:spacing w:val="4"/>
          <w:sz w:val="30"/>
          <w:szCs w:val="30"/>
        </w:rPr>
        <w:t>條實質課稅原則計算所得之結</w:t>
      </w:r>
      <w:r w:rsidRPr="007B5D03">
        <w:rPr>
          <w:rFonts w:hAnsi="標楷體"/>
          <w:sz w:val="30"/>
          <w:szCs w:val="30"/>
        </w:rPr>
        <w:t>果，難謂違反實質課稅之公平原則。且各種收入可否扣除成本費用及何種支出始得作為成本費用自收入項下減除，於稅法上各有規定，縱系爭避險損失可認為本件權利金收入之成</w:t>
      </w:r>
      <w:r w:rsidRPr="00880A73">
        <w:rPr>
          <w:rFonts w:hAnsi="標楷體"/>
          <w:spacing w:val="4"/>
          <w:sz w:val="30"/>
          <w:szCs w:val="30"/>
        </w:rPr>
        <w:t>本，亦因所得稅法第</w:t>
      </w:r>
      <w:r w:rsidRPr="00880A73">
        <w:rPr>
          <w:spacing w:val="4"/>
          <w:sz w:val="30"/>
          <w:szCs w:val="30"/>
        </w:rPr>
        <w:t>4</w:t>
      </w:r>
      <w:r w:rsidRPr="00880A73">
        <w:rPr>
          <w:rFonts w:hAnsi="標楷體"/>
          <w:spacing w:val="4"/>
          <w:sz w:val="30"/>
          <w:szCs w:val="30"/>
        </w:rPr>
        <w:t>條之</w:t>
      </w:r>
      <w:r w:rsidRPr="00880A73">
        <w:rPr>
          <w:spacing w:val="4"/>
          <w:sz w:val="30"/>
          <w:szCs w:val="30"/>
        </w:rPr>
        <w:t>1</w:t>
      </w:r>
      <w:r w:rsidRPr="00880A73">
        <w:rPr>
          <w:rFonts w:hAnsi="標楷體"/>
          <w:spacing w:val="4"/>
          <w:sz w:val="30"/>
          <w:szCs w:val="30"/>
        </w:rPr>
        <w:t>規定而不得自所得額中減除，</w:t>
      </w:r>
      <w:r w:rsidRPr="007B5D03">
        <w:rPr>
          <w:rFonts w:hAnsi="標楷體"/>
          <w:sz w:val="30"/>
          <w:szCs w:val="30"/>
        </w:rPr>
        <w:t>尚難以稅法承認於收入內扣除成本費用，即當然於本件可將上訴人避險措施所造成證券交易之損失作為成本費用予以扣除，此係依法律明文規定而為，並非割裂適用不同之法律。又本件爭執純係系爭認購權證避險部位之出售損失，究竟應</w:t>
      </w:r>
      <w:r w:rsidRPr="009025F6">
        <w:rPr>
          <w:rFonts w:hAnsi="標楷體"/>
          <w:spacing w:val="8"/>
          <w:sz w:val="30"/>
          <w:szCs w:val="30"/>
        </w:rPr>
        <w:t>作應稅項目之減項（即證券商發行權證收取之權利金之成</w:t>
      </w:r>
      <w:r w:rsidRPr="007B5D03">
        <w:rPr>
          <w:rFonts w:hAnsi="標楷體"/>
          <w:sz w:val="30"/>
          <w:szCs w:val="30"/>
        </w:rPr>
        <w:t>本），抑或是作為免稅項目之減項（即售出或購入標的股票產</w:t>
      </w:r>
      <w:r w:rsidRPr="009025F6">
        <w:rPr>
          <w:rFonts w:hAnsi="標楷體"/>
          <w:spacing w:val="4"/>
          <w:sz w:val="30"/>
          <w:szCs w:val="30"/>
        </w:rPr>
        <w:t>生之成本）等有關成本歸屬與取捨之問題，亦非割裂法律適用之情形。雖證</w:t>
      </w:r>
      <w:r w:rsidRPr="009025F6">
        <w:rPr>
          <w:rFonts w:hAnsi="標楷體"/>
          <w:spacing w:val="4"/>
          <w:sz w:val="30"/>
          <w:szCs w:val="30"/>
        </w:rPr>
        <w:lastRenderedPageBreak/>
        <w:t>券主管機關證期會曾發布上開「發行人申請</w:t>
      </w:r>
      <w:r w:rsidRPr="007B5D03">
        <w:rPr>
          <w:rFonts w:hAnsi="標楷體"/>
          <w:sz w:val="30"/>
          <w:szCs w:val="30"/>
        </w:rPr>
        <w:t>發行認購（售）權證處理要點」「臺灣證券交易所股份有限公</w:t>
      </w:r>
      <w:r w:rsidRPr="009025F6">
        <w:rPr>
          <w:rFonts w:hAnsi="標楷體"/>
          <w:spacing w:val="4"/>
          <w:sz w:val="30"/>
          <w:szCs w:val="30"/>
        </w:rPr>
        <w:t>司認購（售）權證上市審查準則」等規定，要求權證發行人</w:t>
      </w:r>
      <w:r w:rsidRPr="007B5D03">
        <w:rPr>
          <w:rFonts w:hAnsi="標楷體"/>
          <w:sz w:val="30"/>
          <w:szCs w:val="30"/>
        </w:rPr>
        <w:t>應就權證之標的證券建立避險部位，然此避險交易係基於保</w:t>
      </w:r>
      <w:r w:rsidRPr="009025F6">
        <w:rPr>
          <w:rFonts w:hAnsi="標楷體"/>
          <w:spacing w:val="4"/>
          <w:sz w:val="30"/>
          <w:szCs w:val="30"/>
        </w:rPr>
        <w:t>護投資者及維持金融秩序所必要，並非源自稅捐稽徵之考量。因此，關於「出售避險部位標的證券收入」及「出售避險部位標的證券成本」</w:t>
      </w:r>
      <w:r w:rsidRPr="009025F6">
        <w:rPr>
          <w:spacing w:val="4"/>
          <w:sz w:val="30"/>
          <w:szCs w:val="30"/>
        </w:rPr>
        <w:t>2</w:t>
      </w:r>
      <w:r w:rsidRPr="009025F6">
        <w:rPr>
          <w:rFonts w:hAnsi="標楷體"/>
          <w:spacing w:val="4"/>
          <w:sz w:val="30"/>
          <w:szCs w:val="30"/>
        </w:rPr>
        <w:t>科目損益應如何申報，自當另依有</w:t>
      </w:r>
      <w:r w:rsidRPr="007B5D03">
        <w:rPr>
          <w:rFonts w:hAnsi="標楷體"/>
          <w:sz w:val="30"/>
          <w:szCs w:val="30"/>
        </w:rPr>
        <w:t>關之所得稅法第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規定辦理。（六）綜上，上訴人發行認購權證所得之權利金收入，應包含發行人轉售予發行人本身之自留額度。系爭認購權證及標的股票交易，形式上及實</w:t>
      </w:r>
      <w:r w:rsidRPr="009025F6">
        <w:rPr>
          <w:rFonts w:hAnsi="標楷體"/>
          <w:spacing w:val="4"/>
          <w:sz w:val="30"/>
          <w:szCs w:val="30"/>
        </w:rPr>
        <w:t>質上均符合「證券交易」定義，原處分以證券交易損失不得</w:t>
      </w:r>
      <w:r w:rsidRPr="007B5D03">
        <w:rPr>
          <w:rFonts w:hAnsi="標楷體"/>
          <w:sz w:val="30"/>
          <w:szCs w:val="30"/>
        </w:rPr>
        <w:t>自所得額中減除，避險部位損失及認購權證再買回出售損失均屬證券交易損失性質，應否准自應稅收入項下減除，核無</w:t>
      </w:r>
      <w:r w:rsidRPr="00903CBC">
        <w:rPr>
          <w:rFonts w:hAnsi="標楷體"/>
          <w:spacing w:val="4"/>
          <w:sz w:val="30"/>
          <w:szCs w:val="30"/>
        </w:rPr>
        <w:t>違誤。至上訴人所引原審法院</w:t>
      </w:r>
      <w:r w:rsidRPr="00903CBC">
        <w:rPr>
          <w:spacing w:val="4"/>
          <w:sz w:val="30"/>
          <w:szCs w:val="30"/>
        </w:rPr>
        <w:t>96</w:t>
      </w:r>
      <w:r w:rsidRPr="00903CBC">
        <w:rPr>
          <w:rFonts w:hAnsi="標楷體"/>
          <w:spacing w:val="4"/>
          <w:sz w:val="30"/>
          <w:szCs w:val="30"/>
        </w:rPr>
        <w:t>年度訴字第</w:t>
      </w:r>
      <w:r w:rsidRPr="00903CBC">
        <w:rPr>
          <w:spacing w:val="4"/>
          <w:sz w:val="30"/>
          <w:szCs w:val="30"/>
        </w:rPr>
        <w:t>1067</w:t>
      </w:r>
      <w:r w:rsidRPr="00903CBC">
        <w:rPr>
          <w:rFonts w:hAnsi="標楷體"/>
          <w:spacing w:val="4"/>
          <w:sz w:val="30"/>
          <w:szCs w:val="30"/>
        </w:rPr>
        <w:t>號及</w:t>
      </w:r>
      <w:r w:rsidRPr="00903CBC">
        <w:rPr>
          <w:spacing w:val="4"/>
          <w:sz w:val="30"/>
          <w:szCs w:val="30"/>
        </w:rPr>
        <w:t>96</w:t>
      </w:r>
      <w:r w:rsidRPr="007B5D03">
        <w:rPr>
          <w:rFonts w:hAnsi="標楷體"/>
          <w:sz w:val="30"/>
          <w:szCs w:val="30"/>
        </w:rPr>
        <w:t>年度訴字第</w:t>
      </w:r>
      <w:r w:rsidRPr="007B5D03">
        <w:rPr>
          <w:sz w:val="30"/>
          <w:szCs w:val="30"/>
        </w:rPr>
        <w:t>52</w:t>
      </w:r>
      <w:r w:rsidRPr="007B5D03">
        <w:rPr>
          <w:rFonts w:hAnsi="標楷體"/>
          <w:sz w:val="30"/>
          <w:szCs w:val="30"/>
        </w:rPr>
        <w:t>號判決，係屬個案，並非判例，尚難拘束本案見解。（七）從而，本件上訴人</w:t>
      </w:r>
      <w:r w:rsidRPr="007B5D03">
        <w:rPr>
          <w:sz w:val="30"/>
          <w:szCs w:val="30"/>
        </w:rPr>
        <w:t>92</w:t>
      </w:r>
      <w:r w:rsidRPr="007B5D03">
        <w:rPr>
          <w:rFonts w:hAnsi="標楷體"/>
          <w:sz w:val="30"/>
          <w:szCs w:val="30"/>
        </w:rPr>
        <w:t>年度營利事業所得稅結算申報，列報營業收入</w:t>
      </w:r>
      <w:r w:rsidRPr="007B5D03">
        <w:rPr>
          <w:sz w:val="30"/>
          <w:szCs w:val="30"/>
        </w:rPr>
        <w:t>438,146,058,260</w:t>
      </w:r>
      <w:r w:rsidRPr="007B5D03">
        <w:rPr>
          <w:rFonts w:hAnsi="標楷體"/>
          <w:sz w:val="30"/>
          <w:szCs w:val="30"/>
        </w:rPr>
        <w:t>元，被上訴人以其將認購權證有關損益均列報於證券交易所得項下，未列報</w:t>
      </w:r>
      <w:r w:rsidRPr="007B5D03">
        <w:rPr>
          <w:sz w:val="30"/>
          <w:szCs w:val="30"/>
        </w:rPr>
        <w:t>92</w:t>
      </w:r>
      <w:r w:rsidRPr="007B5D03">
        <w:rPr>
          <w:rFonts w:hAnsi="標楷體"/>
          <w:sz w:val="30"/>
          <w:szCs w:val="30"/>
        </w:rPr>
        <w:t>年度</w:t>
      </w:r>
      <w:r w:rsidRPr="00903CBC">
        <w:rPr>
          <w:rFonts w:hAnsi="標楷體"/>
          <w:spacing w:val="10"/>
          <w:sz w:val="30"/>
          <w:szCs w:val="30"/>
        </w:rPr>
        <w:t>到期</w:t>
      </w:r>
      <w:r w:rsidRPr="00903CBC">
        <w:rPr>
          <w:spacing w:val="10"/>
          <w:sz w:val="30"/>
          <w:szCs w:val="30"/>
        </w:rPr>
        <w:t>3</w:t>
      </w:r>
      <w:r w:rsidRPr="00903CBC">
        <w:rPr>
          <w:rFonts w:hAnsi="標楷體"/>
          <w:spacing w:val="10"/>
          <w:sz w:val="30"/>
          <w:szCs w:val="30"/>
        </w:rPr>
        <w:t>檔認購權證所收取之權利金價款合計</w:t>
      </w:r>
      <w:r w:rsidRPr="00903CBC">
        <w:rPr>
          <w:spacing w:val="10"/>
          <w:sz w:val="30"/>
          <w:szCs w:val="30"/>
        </w:rPr>
        <w:t>806,750,000</w:t>
      </w:r>
      <w:r w:rsidRPr="007B5D03">
        <w:rPr>
          <w:rFonts w:hAnsi="標楷體"/>
          <w:sz w:val="30"/>
          <w:szCs w:val="30"/>
        </w:rPr>
        <w:t>元，認定前開發行價款係屬應稅之權利金收入，核定營業收入</w:t>
      </w:r>
      <w:r w:rsidRPr="007B5D03">
        <w:rPr>
          <w:sz w:val="30"/>
          <w:szCs w:val="30"/>
        </w:rPr>
        <w:t>438,952,808,260</w:t>
      </w:r>
      <w:r w:rsidRPr="007B5D03">
        <w:rPr>
          <w:rFonts w:hAnsi="標楷體"/>
          <w:sz w:val="30"/>
          <w:szCs w:val="30"/>
        </w:rPr>
        <w:t>元，認事用法核無違誤，訴願決定遞予維持，亦無不合等由，乃駁回上訴人在原審之訴，並敘明本件事證已臻明確，兩造其餘主張陳述，於判決結果不生影響，無庸一一論列。</w:t>
      </w:r>
    </w:p>
    <w:p w:rsidR="00514426" w:rsidRPr="007B5D03" w:rsidRDefault="00514426" w:rsidP="00903CBC">
      <w:pPr>
        <w:snapToGrid w:val="0"/>
        <w:spacing w:line="437" w:lineRule="exact"/>
        <w:ind w:left="624" w:hanging="624"/>
        <w:rPr>
          <w:rFonts w:hAnsi="標楷體" w:hint="eastAsia"/>
          <w:sz w:val="30"/>
          <w:szCs w:val="30"/>
        </w:rPr>
      </w:pPr>
      <w:r w:rsidRPr="007B5D03">
        <w:rPr>
          <w:rFonts w:hAnsi="標楷體"/>
          <w:sz w:val="30"/>
          <w:szCs w:val="30"/>
        </w:rPr>
        <w:t>五、本院查：</w:t>
      </w:r>
      <w:r w:rsidRPr="007B5D03">
        <w:rPr>
          <w:rFonts w:hint="eastAsia"/>
          <w:sz w:val="30"/>
          <w:szCs w:val="30"/>
        </w:rPr>
        <w:t>（</w:t>
      </w:r>
      <w:r w:rsidRPr="007B5D03">
        <w:rPr>
          <w:rFonts w:hAnsi="標楷體"/>
          <w:sz w:val="30"/>
          <w:szCs w:val="30"/>
        </w:rPr>
        <w:t>一</w:t>
      </w:r>
      <w:r w:rsidRPr="007B5D03">
        <w:rPr>
          <w:rFonts w:hint="eastAsia"/>
          <w:sz w:val="30"/>
          <w:szCs w:val="30"/>
        </w:rPr>
        <w:t>）</w:t>
      </w:r>
      <w:r w:rsidRPr="007B5D03">
        <w:rPr>
          <w:rFonts w:hAnsi="標楷體"/>
          <w:sz w:val="30"/>
          <w:szCs w:val="30"/>
        </w:rPr>
        <w:t>按「自</w:t>
      </w:r>
      <w:smartTag w:uri="urn:schemas-microsoft-com:office:smarttags" w:element="chsdate">
        <w:smartTagPr>
          <w:attr w:name="Year" w:val="1990"/>
          <w:attr w:name="Month" w:val="1"/>
          <w:attr w:name="Day" w:val="1"/>
          <w:attr w:name="IsLunarDate" w:val="False"/>
          <w:attr w:name="IsROCDate" w:val="True"/>
        </w:smartTagPr>
        <w:r w:rsidRPr="007B5D03">
          <w:rPr>
            <w:rFonts w:hAnsi="標楷體"/>
            <w:sz w:val="30"/>
            <w:szCs w:val="30"/>
          </w:rPr>
          <w:t>中華民國</w:t>
        </w:r>
        <w:smartTag w:uri="urn:schemas-microsoft-com:office:smarttags" w:element="chsdate">
          <w:smartTagPr>
            <w:attr w:name="Year" w:val="1979"/>
            <w:attr w:name="Month" w:val="1"/>
            <w:attr w:name="Day" w:val="1"/>
            <w:attr w:name="IsLunarDate" w:val="False"/>
            <w:attr w:name="IsROCDate" w:val="False"/>
          </w:smartTagPr>
          <w:r w:rsidRPr="007B5D03">
            <w:rPr>
              <w:sz w:val="30"/>
              <w:szCs w:val="30"/>
            </w:rPr>
            <w:t>79</w:t>
          </w:r>
          <w:r w:rsidRPr="007B5D03">
            <w:rPr>
              <w:rFonts w:hAnsi="標楷體"/>
              <w:sz w:val="30"/>
              <w:szCs w:val="30"/>
            </w:rPr>
            <w:t>年</w:t>
          </w:r>
          <w:r w:rsidRPr="007B5D03">
            <w:rPr>
              <w:sz w:val="30"/>
              <w:szCs w:val="30"/>
            </w:rPr>
            <w:t>1</w:t>
          </w:r>
          <w:r w:rsidRPr="007B5D03">
            <w:rPr>
              <w:rFonts w:hAnsi="標楷體"/>
              <w:sz w:val="30"/>
              <w:szCs w:val="30"/>
            </w:rPr>
            <w:t>月</w:t>
          </w:r>
          <w:r w:rsidRPr="007B5D03">
            <w:rPr>
              <w:sz w:val="30"/>
              <w:szCs w:val="30"/>
            </w:rPr>
            <w:t>1</w:t>
          </w:r>
          <w:r w:rsidRPr="007B5D03">
            <w:rPr>
              <w:rFonts w:hAnsi="標楷體"/>
              <w:sz w:val="30"/>
              <w:szCs w:val="30"/>
            </w:rPr>
            <w:t>日</w:t>
          </w:r>
        </w:smartTag>
      </w:smartTag>
      <w:r w:rsidRPr="007B5D03">
        <w:rPr>
          <w:rFonts w:hAnsi="標楷體"/>
          <w:sz w:val="30"/>
          <w:szCs w:val="30"/>
        </w:rPr>
        <w:t>起，證券交易</w:t>
      </w:r>
      <w:r w:rsidRPr="00903CBC">
        <w:rPr>
          <w:rFonts w:hAnsi="標楷體"/>
          <w:spacing w:val="4"/>
          <w:sz w:val="30"/>
          <w:szCs w:val="30"/>
        </w:rPr>
        <w:t>所得停止課徵所得稅，證券交易損失亦不得自所得額中減</w:t>
      </w:r>
      <w:r w:rsidRPr="007B5D03">
        <w:rPr>
          <w:rFonts w:hAnsi="標楷體"/>
          <w:sz w:val="30"/>
          <w:szCs w:val="30"/>
        </w:rPr>
        <w:t>除。」「會計基礎，凡屬公司組織者，應採用權責發生制，其非</w:t>
      </w:r>
      <w:r w:rsidRPr="007B5D03">
        <w:rPr>
          <w:rFonts w:hAnsi="標楷體"/>
          <w:sz w:val="30"/>
          <w:szCs w:val="30"/>
        </w:rPr>
        <w:lastRenderedPageBreak/>
        <w:t>公司組織者，得因原有習慣或因營業範圍狹小，申報該管稽徵機關採用現金收付制。」「營利事業所得之計算，以其本年度收入總額減除各項成本費用、損失及稅捐後之純益額為所得額。」為行為時所得稅法第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、第</w:t>
      </w:r>
      <w:r w:rsidRPr="007B5D03">
        <w:rPr>
          <w:sz w:val="30"/>
          <w:szCs w:val="30"/>
        </w:rPr>
        <w:t>22</w:t>
      </w:r>
      <w:r w:rsidRPr="007B5D03">
        <w:rPr>
          <w:rFonts w:hAnsi="標楷體"/>
          <w:sz w:val="30"/>
          <w:szCs w:val="30"/>
        </w:rPr>
        <w:t>條第</w:t>
      </w:r>
      <w:r w:rsidRPr="007B5D03">
        <w:rPr>
          <w:sz w:val="30"/>
          <w:szCs w:val="30"/>
        </w:rPr>
        <w:t>1</w:t>
      </w:r>
      <w:r w:rsidRPr="00903CBC">
        <w:rPr>
          <w:rFonts w:hAnsi="標楷體"/>
          <w:spacing w:val="4"/>
          <w:sz w:val="30"/>
          <w:szCs w:val="30"/>
        </w:rPr>
        <w:t>項及第</w:t>
      </w:r>
      <w:r w:rsidRPr="00903CBC">
        <w:rPr>
          <w:spacing w:val="4"/>
          <w:sz w:val="30"/>
          <w:szCs w:val="30"/>
        </w:rPr>
        <w:t>24</w:t>
      </w:r>
      <w:r w:rsidRPr="00903CBC">
        <w:rPr>
          <w:rFonts w:hAnsi="標楷體"/>
          <w:spacing w:val="4"/>
          <w:sz w:val="30"/>
          <w:szCs w:val="30"/>
        </w:rPr>
        <w:t>條第</w:t>
      </w:r>
      <w:r w:rsidRPr="00903CBC">
        <w:rPr>
          <w:spacing w:val="4"/>
          <w:sz w:val="30"/>
          <w:szCs w:val="30"/>
        </w:rPr>
        <w:t>1</w:t>
      </w:r>
      <w:r w:rsidRPr="00903CBC">
        <w:rPr>
          <w:rFonts w:hAnsi="標楷體"/>
          <w:spacing w:val="4"/>
          <w:sz w:val="30"/>
          <w:szCs w:val="30"/>
        </w:rPr>
        <w:t>項所明定。次按「有關認購（售）權證及其標的股票交易之相關稅捐之核課，應依下列規定辦理。（一）財政部</w:t>
      </w:r>
      <w:smartTag w:uri="urn:schemas-microsoft-com:office:smarttags" w:element="chsdate">
        <w:smartTagPr>
          <w:attr w:name="Year" w:val="1986"/>
          <w:attr w:name="Month" w:val="5"/>
          <w:attr w:name="Day" w:val="23"/>
          <w:attr w:name="IsLunarDate" w:val="False"/>
          <w:attr w:name="IsROCDate" w:val="False"/>
        </w:smartTagPr>
        <w:r w:rsidRPr="00903CBC">
          <w:rPr>
            <w:spacing w:val="4"/>
            <w:sz w:val="30"/>
            <w:szCs w:val="30"/>
          </w:rPr>
          <w:t>86</w:t>
        </w:r>
        <w:r w:rsidRPr="00903CBC">
          <w:rPr>
            <w:rFonts w:hAnsi="標楷體"/>
            <w:spacing w:val="4"/>
            <w:sz w:val="30"/>
            <w:szCs w:val="30"/>
          </w:rPr>
          <w:t>年</w:t>
        </w:r>
        <w:smartTag w:uri="urn:schemas-microsoft-com:office:smarttags" w:element="chsdate">
          <w:smartTagPr>
            <w:attr w:name="Year" w:val="2011"/>
            <w:attr w:name="Month" w:val="5"/>
            <w:attr w:name="Day" w:val="23"/>
            <w:attr w:name="IsLunarDate" w:val="False"/>
            <w:attr w:name="IsROCDate" w:val="False"/>
          </w:smartTagPr>
          <w:r w:rsidRPr="00903CBC">
            <w:rPr>
              <w:spacing w:val="4"/>
              <w:sz w:val="30"/>
              <w:szCs w:val="30"/>
            </w:rPr>
            <w:t>5</w:t>
          </w:r>
          <w:r w:rsidRPr="00903CBC">
            <w:rPr>
              <w:rFonts w:hAnsi="標楷體"/>
              <w:spacing w:val="4"/>
              <w:sz w:val="30"/>
              <w:szCs w:val="30"/>
            </w:rPr>
            <w:t>月</w:t>
          </w:r>
          <w:r w:rsidRPr="00903CBC">
            <w:rPr>
              <w:spacing w:val="4"/>
              <w:sz w:val="30"/>
              <w:szCs w:val="30"/>
            </w:rPr>
            <w:t>23</w:t>
          </w:r>
          <w:r w:rsidRPr="00903CBC">
            <w:rPr>
              <w:rFonts w:hAnsi="標楷體"/>
              <w:spacing w:val="4"/>
              <w:sz w:val="30"/>
              <w:szCs w:val="30"/>
            </w:rPr>
            <w:t>日</w:t>
          </w:r>
        </w:smartTag>
      </w:smartTag>
      <w:r w:rsidRPr="00903CBC">
        <w:rPr>
          <w:spacing w:val="4"/>
          <w:sz w:val="30"/>
          <w:szCs w:val="30"/>
        </w:rPr>
        <w:t>86</w:t>
      </w:r>
      <w:r w:rsidRPr="00903CBC">
        <w:rPr>
          <w:rFonts w:hAnsi="標楷體"/>
          <w:spacing w:val="4"/>
          <w:sz w:val="30"/>
          <w:szCs w:val="30"/>
        </w:rPr>
        <w:t>台財證（五）第</w:t>
      </w:r>
      <w:r w:rsidRPr="00903CBC">
        <w:rPr>
          <w:spacing w:val="4"/>
          <w:sz w:val="30"/>
          <w:szCs w:val="30"/>
        </w:rPr>
        <w:t>03037</w:t>
      </w:r>
      <w:r w:rsidRPr="00903CBC">
        <w:rPr>
          <w:rFonts w:hAnsi="標楷體"/>
          <w:spacing w:val="4"/>
          <w:sz w:val="30"/>
          <w:szCs w:val="30"/>
        </w:rPr>
        <w:t>號</w:t>
      </w:r>
      <w:r w:rsidRPr="007B5D03">
        <w:rPr>
          <w:rFonts w:hAnsi="標楷體"/>
          <w:sz w:val="30"/>
          <w:szCs w:val="30"/>
        </w:rPr>
        <w:t>公告，已依證券交易法第</w:t>
      </w:r>
      <w:r w:rsidRPr="007B5D03">
        <w:rPr>
          <w:sz w:val="30"/>
          <w:szCs w:val="30"/>
        </w:rPr>
        <w:t>6</w:t>
      </w:r>
      <w:r w:rsidRPr="007B5D03">
        <w:rPr>
          <w:rFonts w:hAnsi="標楷體"/>
          <w:sz w:val="30"/>
          <w:szCs w:val="30"/>
        </w:rPr>
        <w:t>條規定，核定認購（售）權證為其他有價證券，則發行後買賣該認購（售）權證，應依證券交易稅條例第</w:t>
      </w:r>
      <w:r w:rsidRPr="007B5D03">
        <w:rPr>
          <w:sz w:val="30"/>
          <w:szCs w:val="30"/>
        </w:rPr>
        <w:t>2</w:t>
      </w:r>
      <w:r w:rsidRPr="007B5D03">
        <w:rPr>
          <w:rFonts w:hAnsi="標楷體"/>
          <w:sz w:val="30"/>
          <w:szCs w:val="30"/>
        </w:rPr>
        <w:t>條第</w:t>
      </w:r>
      <w:r w:rsidRPr="007B5D03">
        <w:rPr>
          <w:sz w:val="30"/>
          <w:szCs w:val="30"/>
        </w:rPr>
        <w:t>2</w:t>
      </w:r>
      <w:r w:rsidRPr="007B5D03">
        <w:rPr>
          <w:rFonts w:hAnsi="標楷體"/>
          <w:sz w:val="30"/>
          <w:szCs w:val="30"/>
        </w:rPr>
        <w:t>款規定，按買賣經政府核准之其他有價證券，依每次交易成交價格課徵千分之一證券交易稅，並</w:t>
      </w:r>
      <w:r w:rsidRPr="001961BF">
        <w:rPr>
          <w:rFonts w:hAnsi="標楷體"/>
          <w:spacing w:val="6"/>
          <w:sz w:val="30"/>
          <w:szCs w:val="30"/>
        </w:rPr>
        <w:t>依現行所得稅法第</w:t>
      </w:r>
      <w:r w:rsidRPr="001961BF">
        <w:rPr>
          <w:spacing w:val="6"/>
          <w:sz w:val="30"/>
          <w:szCs w:val="30"/>
        </w:rPr>
        <w:t>4</w:t>
      </w:r>
      <w:r w:rsidRPr="001961BF">
        <w:rPr>
          <w:rFonts w:hAnsi="標楷體"/>
          <w:spacing w:val="6"/>
          <w:sz w:val="30"/>
          <w:szCs w:val="30"/>
        </w:rPr>
        <w:t>條之</w:t>
      </w:r>
      <w:r w:rsidRPr="001961BF">
        <w:rPr>
          <w:spacing w:val="6"/>
          <w:sz w:val="30"/>
          <w:szCs w:val="30"/>
        </w:rPr>
        <w:t>1</w:t>
      </w:r>
      <w:r w:rsidRPr="001961BF">
        <w:rPr>
          <w:rFonts w:hAnsi="標楷體"/>
          <w:spacing w:val="6"/>
          <w:sz w:val="30"/>
          <w:szCs w:val="30"/>
        </w:rPr>
        <w:t>規定，停止課徵證券交易所得</w:t>
      </w:r>
      <w:r w:rsidRPr="007B5D03">
        <w:rPr>
          <w:rFonts w:hAnsi="標楷體"/>
          <w:sz w:val="30"/>
          <w:szCs w:val="30"/>
        </w:rPr>
        <w:t>稅。（二）認購（售）權證持有人如於某一時間或特定到期日，按約定行使價格向發行人購入（售出）標的股票者，係屬發行人（持有人）出賣標的股票之行為，應就所出售之標的股票，依證券交易稅條例第</w:t>
      </w:r>
      <w:r w:rsidRPr="007B5D03">
        <w:rPr>
          <w:sz w:val="30"/>
          <w:szCs w:val="30"/>
        </w:rPr>
        <w:t>2</w:t>
      </w:r>
      <w:r w:rsidRPr="007B5D03">
        <w:rPr>
          <w:rFonts w:hAnsi="標楷體"/>
          <w:sz w:val="30"/>
          <w:szCs w:val="30"/>
        </w:rPr>
        <w:t>條規定，按履約價格課徵千分之三證券交易稅。（三）至認購（售）權證持有人如於某一時間或特定到期日，以現金方式結算者，係屬認購（售）權證之標的股票之交易，應對認購（售）權證之發行人（持有人）依標的股票之履約價格按千分之三稅率課徵證券交易稅，及對認購（售）權證持有人（發行人）依標的股票之市場價格按千分之三稅率課徵證券交易稅，並依前開所得稅法規定停止課徵所得稅。」及「認購（售）權證發行人於發行時所取得之發行價款，係屬權利金收入，依現行所得稅法第</w:t>
      </w:r>
      <w:r w:rsidRPr="007B5D03">
        <w:rPr>
          <w:sz w:val="30"/>
          <w:szCs w:val="30"/>
        </w:rPr>
        <w:t>22</w:t>
      </w:r>
      <w:r w:rsidRPr="007B5D03">
        <w:rPr>
          <w:rFonts w:hAnsi="標楷體"/>
          <w:sz w:val="30"/>
          <w:szCs w:val="30"/>
        </w:rPr>
        <w:t>條有關公司組織之會計基礎應採權責發生制之規定，應於發行期間內分期計算損益或於履約時認列損益。認購（售）權證發行人於發行後，因投資人行使權利而售出或</w:t>
      </w:r>
      <w:r w:rsidRPr="007B5D03">
        <w:rPr>
          <w:rFonts w:hAnsi="標楷體"/>
          <w:sz w:val="30"/>
          <w:szCs w:val="30"/>
        </w:rPr>
        <w:lastRenderedPageBreak/>
        <w:t>購入標的股票產生之證券交易所得或損失，應於履約時認列損益，並依所得稅法第</w:t>
      </w:r>
      <w:r w:rsidRPr="007B5D03">
        <w:rPr>
          <w:sz w:val="30"/>
          <w:szCs w:val="30"/>
        </w:rPr>
        <w:t>4</w:t>
      </w:r>
      <w:r w:rsidRPr="007B5D03">
        <w:rPr>
          <w:rFonts w:hAnsi="標楷體"/>
          <w:sz w:val="30"/>
          <w:szCs w:val="30"/>
        </w:rPr>
        <w:t>條之</w:t>
      </w:r>
      <w:r w:rsidRPr="007B5D03">
        <w:rPr>
          <w:sz w:val="30"/>
          <w:szCs w:val="30"/>
        </w:rPr>
        <w:t>1</w:t>
      </w:r>
      <w:r w:rsidRPr="007B5D03">
        <w:rPr>
          <w:rFonts w:hAnsi="標楷體"/>
          <w:sz w:val="30"/>
          <w:szCs w:val="30"/>
        </w:rPr>
        <w:t>規定辦理。</w:t>
      </w:r>
      <w:r w:rsidRPr="007B5D03">
        <w:rPr>
          <w:rFonts w:hint="eastAsia"/>
          <w:sz w:val="30"/>
          <w:szCs w:val="30"/>
        </w:rPr>
        <w:t>……</w:t>
      </w:r>
      <w:r w:rsidRPr="007B5D03">
        <w:rPr>
          <w:rFonts w:hAnsi="標楷體"/>
          <w:sz w:val="30"/>
          <w:szCs w:val="30"/>
        </w:rPr>
        <w:t>」復經財政部</w:t>
      </w:r>
      <w:r w:rsidRPr="007B5D03">
        <w:rPr>
          <w:sz w:val="30"/>
          <w:szCs w:val="30"/>
        </w:rPr>
        <w:t>86</w:t>
      </w:r>
      <w:r w:rsidRPr="007B5D03">
        <w:rPr>
          <w:rFonts w:hAnsi="標楷體"/>
          <w:sz w:val="30"/>
          <w:szCs w:val="30"/>
        </w:rPr>
        <w:t>年</w:t>
      </w:r>
      <w:r w:rsidRPr="007B5D03">
        <w:rPr>
          <w:sz w:val="30"/>
          <w:szCs w:val="30"/>
        </w:rPr>
        <w:t>7</w:t>
      </w:r>
      <w:r w:rsidRPr="007B5D03">
        <w:rPr>
          <w:rFonts w:hAnsi="標楷體"/>
          <w:sz w:val="30"/>
          <w:szCs w:val="30"/>
        </w:rPr>
        <w:t>月及</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月函釋分別釋示在案。經核上開函釋符合所得</w:t>
      </w:r>
      <w:r w:rsidRPr="001961BF">
        <w:rPr>
          <w:rFonts w:hAnsi="標楷體"/>
          <w:spacing w:val="6"/>
          <w:sz w:val="30"/>
          <w:szCs w:val="30"/>
        </w:rPr>
        <w:t>稅法第</w:t>
      </w:r>
      <w:r w:rsidRPr="001961BF">
        <w:rPr>
          <w:spacing w:val="6"/>
          <w:sz w:val="30"/>
          <w:szCs w:val="30"/>
        </w:rPr>
        <w:t>4</w:t>
      </w:r>
      <w:r w:rsidRPr="001961BF">
        <w:rPr>
          <w:rFonts w:hAnsi="標楷體"/>
          <w:spacing w:val="6"/>
          <w:sz w:val="30"/>
          <w:szCs w:val="30"/>
        </w:rPr>
        <w:t>條之</w:t>
      </w:r>
      <w:r w:rsidRPr="001961BF">
        <w:rPr>
          <w:spacing w:val="6"/>
          <w:sz w:val="30"/>
          <w:szCs w:val="30"/>
        </w:rPr>
        <w:t>1</w:t>
      </w:r>
      <w:r w:rsidRPr="001961BF">
        <w:rPr>
          <w:rFonts w:hAnsi="標楷體"/>
          <w:spacing w:val="6"/>
          <w:sz w:val="30"/>
          <w:szCs w:val="30"/>
        </w:rPr>
        <w:t>規定意旨，且未違反收入成本費用配合原</w:t>
      </w:r>
      <w:r w:rsidRPr="007B5D03">
        <w:rPr>
          <w:rFonts w:hAnsi="標楷體"/>
          <w:sz w:val="30"/>
          <w:szCs w:val="30"/>
        </w:rPr>
        <w:t>則，自可適用之。</w:t>
      </w:r>
      <w:r w:rsidRPr="007B5D03">
        <w:rPr>
          <w:rFonts w:hint="eastAsia"/>
          <w:sz w:val="30"/>
          <w:szCs w:val="30"/>
        </w:rPr>
        <w:t>（</w:t>
      </w:r>
      <w:r w:rsidRPr="007B5D03">
        <w:rPr>
          <w:rFonts w:hAnsi="標楷體"/>
          <w:sz w:val="30"/>
          <w:szCs w:val="30"/>
        </w:rPr>
        <w:t>二</w:t>
      </w:r>
      <w:r w:rsidRPr="007B5D03">
        <w:rPr>
          <w:rFonts w:hint="eastAsia"/>
          <w:sz w:val="30"/>
          <w:szCs w:val="30"/>
        </w:rPr>
        <w:t>）</w:t>
      </w:r>
      <w:r w:rsidRPr="007B5D03">
        <w:rPr>
          <w:rFonts w:hAnsi="標楷體"/>
          <w:sz w:val="30"/>
          <w:szCs w:val="30"/>
        </w:rPr>
        <w:t>關於上訴人發行認購權證自留額度之發行價款是否應計入權利金收入課稅部分：</w:t>
      </w:r>
      <w:r w:rsidRPr="007B5D03">
        <w:rPr>
          <w:sz w:val="30"/>
          <w:szCs w:val="30"/>
        </w:rPr>
        <w:t>1.</w:t>
      </w:r>
      <w:r w:rsidRPr="007B5D03">
        <w:rPr>
          <w:rFonts w:hAnsi="標楷體"/>
          <w:sz w:val="30"/>
          <w:szCs w:val="30"/>
        </w:rPr>
        <w:t>依審查作業程序第</w:t>
      </w:r>
      <w:r w:rsidRPr="007B5D03">
        <w:rPr>
          <w:sz w:val="30"/>
          <w:szCs w:val="30"/>
        </w:rPr>
        <w:t>6</w:t>
      </w:r>
      <w:r w:rsidRPr="007B5D03">
        <w:rPr>
          <w:rFonts w:hAnsi="標楷體"/>
          <w:sz w:val="30"/>
          <w:szCs w:val="30"/>
        </w:rPr>
        <w:t>條第</w:t>
      </w:r>
      <w:r w:rsidRPr="007B5D03">
        <w:rPr>
          <w:sz w:val="30"/>
          <w:szCs w:val="30"/>
        </w:rPr>
        <w:t>2</w:t>
      </w:r>
      <w:r w:rsidRPr="007B5D03">
        <w:rPr>
          <w:rFonts w:hAnsi="標楷體"/>
          <w:sz w:val="30"/>
          <w:szCs w:val="30"/>
        </w:rPr>
        <w:t>款第</w:t>
      </w:r>
      <w:r w:rsidRPr="007B5D03">
        <w:rPr>
          <w:sz w:val="30"/>
          <w:szCs w:val="30"/>
        </w:rPr>
        <w:t>6</w:t>
      </w:r>
      <w:r w:rsidRPr="007B5D03">
        <w:rPr>
          <w:rFonts w:hAnsi="標楷體"/>
          <w:sz w:val="30"/>
          <w:szCs w:val="30"/>
        </w:rPr>
        <w:t>目規定：「本公司承辦人員於受理發行人申請其擬發行之認購（售）權證上市案後，應就申請書件及其附件，進行審查，其審查要點、程序及期限如下：</w:t>
      </w:r>
      <w:r w:rsidRPr="007B5D03">
        <w:rPr>
          <w:rFonts w:hint="eastAsia"/>
          <w:sz w:val="30"/>
          <w:szCs w:val="30"/>
        </w:rPr>
        <w:t>……</w:t>
      </w:r>
      <w:r w:rsidRPr="007B5D03">
        <w:rPr>
          <w:rFonts w:hAnsi="標楷體"/>
          <w:sz w:val="30"/>
          <w:szCs w:val="30"/>
        </w:rPr>
        <w:t>（二）審查要點：</w:t>
      </w:r>
      <w:r w:rsidRPr="007B5D03">
        <w:rPr>
          <w:rFonts w:hint="eastAsia"/>
          <w:sz w:val="30"/>
          <w:szCs w:val="30"/>
        </w:rPr>
        <w:t>……</w:t>
      </w:r>
      <w:r w:rsidRPr="007B5D03">
        <w:rPr>
          <w:sz w:val="30"/>
          <w:szCs w:val="30"/>
        </w:rPr>
        <w:t>6.</w:t>
      </w:r>
      <w:r w:rsidRPr="007B5D03">
        <w:rPr>
          <w:rFonts w:hAnsi="標楷體"/>
          <w:sz w:val="30"/>
          <w:szCs w:val="30"/>
        </w:rPr>
        <w:t>認購（售）權證分散情形：檢查發行人所提供『銷售完畢後』認購（售）權證持有人分散情形是否符合『認購（售）權證上市審查準則』第</w:t>
      </w:r>
      <w:r w:rsidRPr="007B5D03">
        <w:rPr>
          <w:sz w:val="30"/>
          <w:szCs w:val="30"/>
        </w:rPr>
        <w:t>10</w:t>
      </w:r>
      <w:r w:rsidRPr="007B5D03">
        <w:rPr>
          <w:rFonts w:hAnsi="標楷體"/>
          <w:sz w:val="30"/>
          <w:szCs w:val="30"/>
        </w:rPr>
        <w:t>條及第</w:t>
      </w:r>
      <w:r w:rsidRPr="007B5D03">
        <w:rPr>
          <w:sz w:val="30"/>
          <w:szCs w:val="30"/>
        </w:rPr>
        <w:t>12</w:t>
      </w:r>
      <w:r w:rsidRPr="007B5D03">
        <w:rPr>
          <w:rFonts w:hAnsi="標楷體"/>
          <w:sz w:val="30"/>
          <w:szCs w:val="30"/>
        </w:rPr>
        <w:t>條相關規定標準並填具『認購（售）權證持有人分散情形檢</w:t>
      </w:r>
      <w:r w:rsidRPr="00E844F2">
        <w:rPr>
          <w:rFonts w:hAnsi="標楷體"/>
          <w:spacing w:val="-4"/>
          <w:sz w:val="30"/>
          <w:szCs w:val="30"/>
        </w:rPr>
        <w:t>查表』（附表</w:t>
      </w:r>
      <w:r w:rsidRPr="00E844F2">
        <w:rPr>
          <w:spacing w:val="-4"/>
          <w:sz w:val="30"/>
          <w:szCs w:val="30"/>
        </w:rPr>
        <w:t>11</w:t>
      </w:r>
      <w:r w:rsidRPr="00E844F2">
        <w:rPr>
          <w:rFonts w:hAnsi="標楷體"/>
          <w:spacing w:val="-4"/>
          <w:sz w:val="30"/>
          <w:szCs w:val="30"/>
        </w:rPr>
        <w:t>）。」及第</w:t>
      </w:r>
      <w:r w:rsidRPr="00E844F2">
        <w:rPr>
          <w:spacing w:val="-4"/>
          <w:sz w:val="30"/>
          <w:szCs w:val="30"/>
        </w:rPr>
        <w:t>7</w:t>
      </w:r>
      <w:r w:rsidRPr="00E844F2">
        <w:rPr>
          <w:rFonts w:hAnsi="標楷體"/>
          <w:spacing w:val="-4"/>
          <w:sz w:val="30"/>
          <w:szCs w:val="30"/>
        </w:rPr>
        <w:t>條第</w:t>
      </w:r>
      <w:r w:rsidRPr="00E844F2">
        <w:rPr>
          <w:spacing w:val="-4"/>
          <w:sz w:val="30"/>
          <w:szCs w:val="30"/>
        </w:rPr>
        <w:t>1</w:t>
      </w:r>
      <w:r w:rsidRPr="00E844F2">
        <w:rPr>
          <w:rFonts w:hAnsi="標楷體"/>
          <w:spacing w:val="-4"/>
          <w:sz w:val="30"/>
          <w:szCs w:val="30"/>
        </w:rPr>
        <w:t>款規定：「發行公司應依</w:t>
      </w:r>
      <w:r w:rsidRPr="007B5D03">
        <w:rPr>
          <w:rFonts w:hAnsi="標楷體"/>
          <w:sz w:val="30"/>
          <w:szCs w:val="30"/>
        </w:rPr>
        <w:t>下列規定辦理並檢送相關資料予本公司：（一）本公司出具同意其認購（售）權證發行計畫之文件後，發行人應將認購</w:t>
      </w:r>
      <w:r w:rsidRPr="00E844F2">
        <w:rPr>
          <w:rFonts w:hAnsi="標楷體"/>
          <w:spacing w:val="6"/>
          <w:sz w:val="30"/>
          <w:szCs w:val="30"/>
        </w:rPr>
        <w:t>（售）權證銷售之公告報紙</w:t>
      </w:r>
      <w:r w:rsidRPr="00E844F2">
        <w:rPr>
          <w:spacing w:val="6"/>
          <w:sz w:val="30"/>
          <w:szCs w:val="30"/>
        </w:rPr>
        <w:t>3</w:t>
      </w:r>
      <w:r w:rsidRPr="00E844F2">
        <w:rPr>
          <w:rFonts w:hAnsi="標楷體"/>
          <w:spacing w:val="6"/>
          <w:sz w:val="30"/>
          <w:szCs w:val="30"/>
        </w:rPr>
        <w:t>份於公告後</w:t>
      </w:r>
      <w:r w:rsidRPr="00E844F2">
        <w:rPr>
          <w:spacing w:val="6"/>
          <w:sz w:val="30"/>
          <w:szCs w:val="30"/>
        </w:rPr>
        <w:t>2</w:t>
      </w:r>
      <w:r w:rsidRPr="00E844F2">
        <w:rPr>
          <w:rFonts w:hAnsi="標楷體"/>
          <w:spacing w:val="6"/>
          <w:sz w:val="30"/>
          <w:szCs w:val="30"/>
        </w:rPr>
        <w:t>日內檢送本公</w:t>
      </w:r>
      <w:r w:rsidRPr="007B5D03">
        <w:rPr>
          <w:rFonts w:hAnsi="標楷體"/>
          <w:sz w:val="30"/>
          <w:szCs w:val="30"/>
        </w:rPr>
        <w:t>司，並於『銷售完成』且其上市契約經主管機關核准後，於預定之上市買賣日至少</w:t>
      </w:r>
      <w:r w:rsidRPr="007B5D03">
        <w:rPr>
          <w:sz w:val="30"/>
          <w:szCs w:val="30"/>
        </w:rPr>
        <w:t>3</w:t>
      </w:r>
      <w:r w:rsidRPr="007B5D03">
        <w:rPr>
          <w:rFonts w:hAnsi="標楷體"/>
          <w:sz w:val="30"/>
          <w:szCs w:val="30"/>
        </w:rPr>
        <w:t>個營業日前，檢送認購（售）權證持有人分散情形檢查表及持有人名冊，向本公司辦理洽商預</w:t>
      </w:r>
      <w:r w:rsidRPr="00E844F2">
        <w:rPr>
          <w:rFonts w:hAnsi="標楷體"/>
          <w:spacing w:val="4"/>
          <w:sz w:val="30"/>
          <w:szCs w:val="30"/>
        </w:rPr>
        <w:t>定上市買賣事宜，其預定上市買賣日並不得逾洽商日後</w:t>
      </w:r>
      <w:r w:rsidRPr="00E844F2">
        <w:rPr>
          <w:spacing w:val="4"/>
          <w:sz w:val="30"/>
          <w:szCs w:val="30"/>
        </w:rPr>
        <w:t>10</w:t>
      </w:r>
      <w:r w:rsidRPr="007B5D03">
        <w:rPr>
          <w:rFonts w:hAnsi="標楷體"/>
          <w:sz w:val="30"/>
          <w:szCs w:val="30"/>
        </w:rPr>
        <w:t>個營業日。</w:t>
      </w:r>
      <w:r w:rsidRPr="007B5D03">
        <w:rPr>
          <w:rFonts w:hint="eastAsia"/>
          <w:sz w:val="30"/>
          <w:szCs w:val="30"/>
        </w:rPr>
        <w:t>……</w:t>
      </w:r>
      <w:r w:rsidRPr="007B5D03">
        <w:rPr>
          <w:rFonts w:hAnsi="標楷體"/>
          <w:sz w:val="30"/>
          <w:szCs w:val="30"/>
        </w:rPr>
        <w:t>」可知發行人發行認購權證需「全額銷售完</w:t>
      </w:r>
    </w:p>
    <w:p w:rsidR="00514426" w:rsidRPr="007B5D03" w:rsidRDefault="00514426" w:rsidP="004C477C">
      <w:pPr>
        <w:snapToGrid w:val="0"/>
        <w:spacing w:line="420" w:lineRule="exact"/>
        <w:ind w:left="680"/>
        <w:rPr>
          <w:sz w:val="30"/>
          <w:szCs w:val="30"/>
        </w:rPr>
      </w:pPr>
      <w:r w:rsidRPr="007B5D03">
        <w:rPr>
          <w:rFonts w:hAnsi="標楷體"/>
          <w:sz w:val="30"/>
          <w:szCs w:val="30"/>
        </w:rPr>
        <w:t>成」始能向證交所申請上市買賣，因此上訴人自可選擇全數對外發行，或於規定限額內認購自留，以符合「銷售完成」之規定，上訴人既經選擇於規定限額內認購自留，雖其存入認購權證專戶之資金為其自有，但持有認購權證之事實，與</w:t>
      </w:r>
      <w:r w:rsidRPr="007B5D03">
        <w:rPr>
          <w:rFonts w:hAnsi="標楷體"/>
          <w:sz w:val="30"/>
          <w:szCs w:val="30"/>
        </w:rPr>
        <w:lastRenderedPageBreak/>
        <w:t>其他持有人擁有認購權證所有權之事實一致，從而原判決以上訴人認購自留，已因此增加資產，進而認定收入已實現之事證已臻明確，並無判決不適用法規或適用不當之情形。上訴人主張原判決違反所得稅法第</w:t>
      </w:r>
      <w:r w:rsidRPr="007B5D03">
        <w:rPr>
          <w:sz w:val="30"/>
          <w:szCs w:val="30"/>
        </w:rPr>
        <w:t>24</w:t>
      </w:r>
      <w:r w:rsidRPr="007B5D03">
        <w:rPr>
          <w:rFonts w:hAnsi="標楷體"/>
          <w:sz w:val="30"/>
          <w:szCs w:val="30"/>
        </w:rPr>
        <w:t>條、財務會計準則公報第</w:t>
      </w:r>
      <w:r w:rsidRPr="007B5D03">
        <w:rPr>
          <w:sz w:val="30"/>
          <w:szCs w:val="30"/>
        </w:rPr>
        <w:t>32</w:t>
      </w:r>
      <w:r w:rsidRPr="007B5D03">
        <w:rPr>
          <w:rFonts w:hAnsi="標楷體"/>
          <w:sz w:val="30"/>
          <w:szCs w:val="30"/>
        </w:rPr>
        <w:t>號第</w:t>
      </w:r>
      <w:r w:rsidRPr="007B5D03">
        <w:rPr>
          <w:sz w:val="30"/>
          <w:szCs w:val="30"/>
        </w:rPr>
        <w:t>2</w:t>
      </w:r>
      <w:r w:rsidRPr="007B5D03">
        <w:rPr>
          <w:rFonts w:hAnsi="標楷體"/>
          <w:sz w:val="30"/>
          <w:szCs w:val="30"/>
        </w:rPr>
        <w:t>條規定云云，尚不足採。</w:t>
      </w:r>
      <w:r w:rsidRPr="007B5D03">
        <w:rPr>
          <w:sz w:val="30"/>
          <w:szCs w:val="30"/>
        </w:rPr>
        <w:t>2.</w:t>
      </w:r>
      <w:r w:rsidRPr="007B5D03">
        <w:rPr>
          <w:rFonts w:hAnsi="標楷體"/>
          <w:sz w:val="30"/>
          <w:szCs w:val="30"/>
        </w:rPr>
        <w:t>查上訴人發行系爭</w:t>
      </w:r>
      <w:r w:rsidRPr="007B5D03">
        <w:rPr>
          <w:sz w:val="30"/>
          <w:szCs w:val="30"/>
        </w:rPr>
        <w:t>3</w:t>
      </w:r>
      <w:r w:rsidRPr="007B5D03">
        <w:rPr>
          <w:rFonts w:hAnsi="標楷體"/>
          <w:sz w:val="30"/>
          <w:szCs w:val="30"/>
        </w:rPr>
        <w:t>檔認購權證所取得之發行價款性質，依財政部</w:t>
      </w:r>
      <w:r w:rsidRPr="007B5D03">
        <w:rPr>
          <w:sz w:val="30"/>
          <w:szCs w:val="30"/>
        </w:rPr>
        <w:t>86</w:t>
      </w:r>
      <w:r w:rsidRPr="007B5D03">
        <w:rPr>
          <w:rFonts w:hAnsi="標楷體"/>
          <w:sz w:val="30"/>
          <w:szCs w:val="30"/>
        </w:rPr>
        <w:t>年</w:t>
      </w:r>
      <w:r w:rsidRPr="007B5D03">
        <w:rPr>
          <w:sz w:val="30"/>
          <w:szCs w:val="30"/>
        </w:rPr>
        <w:t>12</w:t>
      </w:r>
      <w:r w:rsidRPr="007B5D03">
        <w:rPr>
          <w:rFonts w:hAnsi="標楷體"/>
          <w:sz w:val="30"/>
          <w:szCs w:val="30"/>
        </w:rPr>
        <w:t>月函釋，屬應稅權利金收入，而如前述，發行人發行認購權證需「全額銷售完成」始能向證交所申請上市買賣，因此發行人認購自留額度，屬於「發行總金額」之一部，而悉屬應稅權利金收入，依法自應課稅。</w:t>
      </w:r>
      <w:r w:rsidRPr="007B5D03">
        <w:rPr>
          <w:sz w:val="30"/>
          <w:szCs w:val="30"/>
        </w:rPr>
        <w:t>3.</w:t>
      </w:r>
      <w:r w:rsidRPr="007B5D03">
        <w:rPr>
          <w:rFonts w:hAnsi="標楷體"/>
          <w:sz w:val="30"/>
          <w:szCs w:val="30"/>
        </w:rPr>
        <w:t>另買賣契約成立固為收入實現之原因之一，但收入實現之原因並非以買賣契約成立為唯一原因，例如受捐贈收入、補償費收入及利息收入等，均為收入來源，依實質課稅原則，上訴人認購自留其所發行之認購權證，形式上雖無成立買賣契約，然不能否定上訴人擁有認購自留部分之所有權，且認購自留部分於認購權證上市後，上訴人與其他持有人得自由處分該認購權證之權利，並無二致，益證上訴人認購自留部分，其相對之收入業已實現，且原判決並非僅以認購自留之會計科目，與發行後再買回之科目相同為由，即認定上訴人收入已實現，則上訴人以其無法</w:t>
      </w:r>
      <w:r w:rsidRPr="007D6411">
        <w:rPr>
          <w:rFonts w:hAnsi="標楷體"/>
          <w:spacing w:val="4"/>
          <w:sz w:val="30"/>
          <w:szCs w:val="30"/>
        </w:rPr>
        <w:t>與自己成立買賣契約；認購自留部分與一般持有人權利不</w:t>
      </w:r>
      <w:r w:rsidRPr="007B5D03">
        <w:rPr>
          <w:rFonts w:hAnsi="標楷體"/>
          <w:sz w:val="30"/>
          <w:szCs w:val="30"/>
        </w:rPr>
        <w:t>同；其於自留額度部分雖有「發行認購（售）權證再買回」之科目產生，惟其實質上並非於銷售後再買回，而係自始即未銷售予他人等由，指摘原判決違反司法院釋字第</w:t>
      </w:r>
      <w:r w:rsidRPr="007B5D03">
        <w:rPr>
          <w:sz w:val="30"/>
          <w:szCs w:val="30"/>
        </w:rPr>
        <w:t>420</w:t>
      </w:r>
      <w:r w:rsidRPr="007B5D03">
        <w:rPr>
          <w:rFonts w:hAnsi="標楷體"/>
          <w:sz w:val="30"/>
          <w:szCs w:val="30"/>
        </w:rPr>
        <w:t>號解釋所揭示之實質課稅原則、論理法則、證券商財務報告編製準則第</w:t>
      </w:r>
      <w:r w:rsidRPr="007B5D03">
        <w:rPr>
          <w:sz w:val="30"/>
          <w:szCs w:val="30"/>
        </w:rPr>
        <w:t>15</w:t>
      </w:r>
      <w:r w:rsidRPr="007B5D03">
        <w:rPr>
          <w:rFonts w:hAnsi="標楷體"/>
          <w:sz w:val="30"/>
          <w:szCs w:val="30"/>
        </w:rPr>
        <w:t>條第</w:t>
      </w:r>
      <w:r w:rsidRPr="007B5D03">
        <w:rPr>
          <w:sz w:val="30"/>
          <w:szCs w:val="30"/>
        </w:rPr>
        <w:t>1</w:t>
      </w:r>
      <w:r w:rsidRPr="007B5D03">
        <w:rPr>
          <w:rFonts w:hAnsi="標楷體"/>
          <w:sz w:val="30"/>
          <w:szCs w:val="30"/>
        </w:rPr>
        <w:t>款第</w:t>
      </w:r>
      <w:r w:rsidRPr="007B5D03">
        <w:rPr>
          <w:sz w:val="30"/>
          <w:szCs w:val="30"/>
        </w:rPr>
        <w:t>3</w:t>
      </w:r>
      <w:r w:rsidRPr="007B5D03">
        <w:rPr>
          <w:rFonts w:hAnsi="標楷體"/>
          <w:sz w:val="30"/>
          <w:szCs w:val="30"/>
        </w:rPr>
        <w:t>目及第</w:t>
      </w:r>
      <w:r w:rsidRPr="007B5D03">
        <w:rPr>
          <w:sz w:val="30"/>
          <w:szCs w:val="30"/>
        </w:rPr>
        <w:t>4</w:t>
      </w:r>
      <w:r w:rsidRPr="007B5D03">
        <w:rPr>
          <w:rFonts w:hAnsi="標楷體"/>
          <w:sz w:val="30"/>
          <w:szCs w:val="30"/>
        </w:rPr>
        <w:t>目（上訴人誤植為第</w:t>
      </w:r>
      <w:r w:rsidRPr="007B5D03">
        <w:rPr>
          <w:sz w:val="30"/>
          <w:szCs w:val="30"/>
        </w:rPr>
        <w:t>15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3</w:t>
      </w:r>
      <w:r w:rsidRPr="007B5D03">
        <w:rPr>
          <w:rFonts w:hAnsi="標楷體"/>
          <w:sz w:val="30"/>
          <w:szCs w:val="30"/>
        </w:rPr>
        <w:t>款及第</w:t>
      </w:r>
      <w:r w:rsidRPr="007B5D03">
        <w:rPr>
          <w:sz w:val="30"/>
          <w:szCs w:val="30"/>
        </w:rPr>
        <w:t>4</w:t>
      </w:r>
      <w:r w:rsidRPr="007B5D03">
        <w:rPr>
          <w:rFonts w:hAnsi="標楷體"/>
          <w:sz w:val="30"/>
          <w:szCs w:val="30"/>
        </w:rPr>
        <w:t>款）規定云云，核無足採。</w:t>
      </w:r>
      <w:r w:rsidRPr="007B5D03">
        <w:rPr>
          <w:sz w:val="30"/>
          <w:szCs w:val="30"/>
        </w:rPr>
        <w:t>4.</w:t>
      </w:r>
      <w:r w:rsidRPr="007B5D03">
        <w:rPr>
          <w:rFonts w:hAnsi="標楷體"/>
          <w:sz w:val="30"/>
          <w:szCs w:val="30"/>
        </w:rPr>
        <w:t>又上訴人認購自留，須將相當於對外發行之價金，存入權利金專戶，惟該存</w:t>
      </w:r>
      <w:r w:rsidRPr="007B5D03">
        <w:rPr>
          <w:rFonts w:hAnsi="標楷體"/>
          <w:sz w:val="30"/>
          <w:szCs w:val="30"/>
        </w:rPr>
        <w:lastRenderedPageBreak/>
        <w:t>入之金額，仍屬上訴人之資金，上訴人並因此取得認購權證而增加資產，是上訴人主張存入之資金即為認購自留部分之相應成本費用而應予扣除乙節，並不足採。</w:t>
      </w:r>
      <w:r w:rsidRPr="007B5D03">
        <w:rPr>
          <w:rFonts w:hint="eastAsia"/>
          <w:sz w:val="30"/>
          <w:szCs w:val="30"/>
        </w:rPr>
        <w:t>（</w:t>
      </w:r>
      <w:r w:rsidRPr="007B5D03">
        <w:rPr>
          <w:rFonts w:hAnsi="標楷體"/>
          <w:sz w:val="30"/>
          <w:szCs w:val="30"/>
        </w:rPr>
        <w:t>三</w:t>
      </w:r>
      <w:r w:rsidRPr="007B5D03">
        <w:rPr>
          <w:rFonts w:hint="eastAsia"/>
          <w:sz w:val="30"/>
          <w:szCs w:val="30"/>
        </w:rPr>
        <w:t>）</w:t>
      </w:r>
      <w:r w:rsidRPr="007B5D03">
        <w:rPr>
          <w:rFonts w:hAnsi="標楷體"/>
          <w:sz w:val="30"/>
          <w:szCs w:val="30"/>
        </w:rPr>
        <w:t>關於發行認購權證之避險交易損失部分：本件原判決就系爭認購權證及標的股票交易，均符合「證券交易」定義，原處分以證券交易損失不得自所得額中減除，避險部位損失及認購權證再買回出售損失均屬證券交易損失性質，應否准自應稅收入項下減除等節，及上訴人就此部分在原審之主張如何不足採等事項，均已詳述其得心證之理由，尚無判決不適用法規、適用不當及判決不備理由之情形。上訴人仍執詞主張原</w:t>
      </w:r>
      <w:r w:rsidRPr="007D6411">
        <w:rPr>
          <w:rFonts w:hAnsi="標楷體"/>
          <w:spacing w:val="4"/>
          <w:sz w:val="30"/>
          <w:szCs w:val="30"/>
        </w:rPr>
        <w:t>判決違反所得稅法第</w:t>
      </w:r>
      <w:r w:rsidRPr="007D6411">
        <w:rPr>
          <w:spacing w:val="4"/>
          <w:sz w:val="30"/>
          <w:szCs w:val="30"/>
        </w:rPr>
        <w:t>4</w:t>
      </w:r>
      <w:r w:rsidRPr="007D6411">
        <w:rPr>
          <w:rFonts w:hAnsi="標楷體"/>
          <w:spacing w:val="4"/>
          <w:sz w:val="30"/>
          <w:szCs w:val="30"/>
        </w:rPr>
        <w:t>條之</w:t>
      </w:r>
      <w:r w:rsidRPr="007D6411">
        <w:rPr>
          <w:spacing w:val="4"/>
          <w:sz w:val="30"/>
          <w:szCs w:val="30"/>
        </w:rPr>
        <w:t>1</w:t>
      </w:r>
      <w:r w:rsidRPr="007D6411">
        <w:rPr>
          <w:rFonts w:hAnsi="標楷體"/>
          <w:spacing w:val="4"/>
          <w:sz w:val="30"/>
          <w:szCs w:val="30"/>
        </w:rPr>
        <w:t>及第</w:t>
      </w:r>
      <w:r w:rsidRPr="007D6411">
        <w:rPr>
          <w:spacing w:val="4"/>
          <w:sz w:val="30"/>
          <w:szCs w:val="30"/>
        </w:rPr>
        <w:t>24</w:t>
      </w:r>
      <w:r w:rsidRPr="007D6411">
        <w:rPr>
          <w:rFonts w:hAnsi="標楷體"/>
          <w:spacing w:val="4"/>
          <w:sz w:val="30"/>
          <w:szCs w:val="30"/>
        </w:rPr>
        <w:t>條規定，並違反實質</w:t>
      </w:r>
      <w:r w:rsidRPr="007B5D03">
        <w:rPr>
          <w:rFonts w:hAnsi="標楷體"/>
          <w:sz w:val="30"/>
          <w:szCs w:val="30"/>
        </w:rPr>
        <w:t>課稅原則、收入成本費用配合原則、量能課稅原則、平等原則及論理法則云云，均無可採。</w:t>
      </w:r>
      <w:r w:rsidRPr="007B5D03">
        <w:rPr>
          <w:rFonts w:hint="eastAsia"/>
          <w:sz w:val="30"/>
          <w:szCs w:val="30"/>
        </w:rPr>
        <w:t>（</w:t>
      </w:r>
      <w:r w:rsidRPr="007B5D03">
        <w:rPr>
          <w:rFonts w:hAnsi="標楷體"/>
          <w:sz w:val="30"/>
          <w:szCs w:val="30"/>
        </w:rPr>
        <w:t>四</w:t>
      </w:r>
      <w:r w:rsidRPr="007B5D03">
        <w:rPr>
          <w:rFonts w:hint="eastAsia"/>
          <w:sz w:val="30"/>
          <w:szCs w:val="30"/>
        </w:rPr>
        <w:t>）</w:t>
      </w:r>
      <w:r w:rsidRPr="007B5D03">
        <w:rPr>
          <w:rFonts w:hAnsi="標楷體"/>
          <w:sz w:val="30"/>
          <w:szCs w:val="30"/>
        </w:rPr>
        <w:t>綜上所述，原判決駁回上訴人在原審之訴，其所適用之法規與該案應適用之法規並無違背，與解釋判例，亦無牴觸，並無所謂原判決有違背法令之情形。上訴人對於業經原判決詳予論述不採之事由再予爭執，核屬法律上見解之歧異，要難謂為原判決有違背法令之情形。本件上訴論旨，仍執前詞，指摘原判決違誤，求予廢棄，難認有理由，應予駁回。</w:t>
      </w:r>
    </w:p>
    <w:p w:rsidR="00514426" w:rsidRPr="007B5D03" w:rsidRDefault="00514426" w:rsidP="007D6411">
      <w:pPr>
        <w:snapToGrid w:val="0"/>
        <w:spacing w:line="437" w:lineRule="exact"/>
        <w:ind w:left="567" w:hanging="567"/>
        <w:rPr>
          <w:sz w:val="30"/>
          <w:szCs w:val="30"/>
        </w:rPr>
      </w:pPr>
      <w:r w:rsidRPr="007B5D03">
        <w:rPr>
          <w:rFonts w:hAnsi="標楷體"/>
          <w:sz w:val="30"/>
          <w:szCs w:val="30"/>
        </w:rPr>
        <w:t>六、據上論結，本件上訴為無理由。依行政訴訟法第</w:t>
      </w:r>
      <w:r w:rsidRPr="007B5D03">
        <w:rPr>
          <w:sz w:val="30"/>
          <w:szCs w:val="30"/>
        </w:rPr>
        <w:t>255</w:t>
      </w:r>
      <w:r w:rsidRPr="007B5D03">
        <w:rPr>
          <w:rFonts w:hAnsi="標楷體"/>
          <w:sz w:val="30"/>
          <w:szCs w:val="30"/>
        </w:rPr>
        <w:t>條第</w:t>
      </w:r>
      <w:r w:rsidRPr="007B5D03">
        <w:rPr>
          <w:sz w:val="30"/>
          <w:szCs w:val="30"/>
        </w:rPr>
        <w:t>1</w:t>
      </w:r>
      <w:r w:rsidRPr="007B5D03">
        <w:rPr>
          <w:rFonts w:hAnsi="標楷體"/>
          <w:sz w:val="30"/>
          <w:szCs w:val="30"/>
        </w:rPr>
        <w:t>項、第</w:t>
      </w:r>
      <w:r w:rsidRPr="007B5D03">
        <w:rPr>
          <w:sz w:val="30"/>
          <w:szCs w:val="30"/>
        </w:rPr>
        <w:t>98</w:t>
      </w:r>
      <w:r w:rsidRPr="007B5D03">
        <w:rPr>
          <w:rFonts w:hAnsi="標楷體"/>
          <w:sz w:val="30"/>
          <w:szCs w:val="30"/>
        </w:rPr>
        <w:t>條第</w:t>
      </w:r>
      <w:r w:rsidRPr="007B5D03">
        <w:rPr>
          <w:sz w:val="30"/>
          <w:szCs w:val="30"/>
        </w:rPr>
        <w:t>1</w:t>
      </w:r>
      <w:r w:rsidRPr="007B5D03">
        <w:rPr>
          <w:rFonts w:hAnsi="標楷體"/>
          <w:sz w:val="30"/>
          <w:szCs w:val="30"/>
        </w:rPr>
        <w:t>項前段，判決如主文。</w:t>
      </w:r>
    </w:p>
    <w:p w:rsidR="00514426" w:rsidRPr="007B5D03" w:rsidRDefault="00514426" w:rsidP="00FB2D5A">
      <w:pPr>
        <w:spacing w:line="437" w:lineRule="exact"/>
        <w:jc w:val="distribute"/>
        <w:rPr>
          <w:rFonts w:hAnsi="標楷體" w:hint="eastAsia"/>
          <w:sz w:val="30"/>
          <w:szCs w:val="30"/>
        </w:rPr>
      </w:pPr>
      <w:smartTag w:uri="urn:schemas-microsoft-com:office:smarttags" w:element="chsdate">
        <w:smartTagPr>
          <w:attr w:name="Year" w:val="2009"/>
          <w:attr w:name="Month" w:val="5"/>
          <w:attr w:name="Day" w:val="21"/>
          <w:attr w:name="IsLunarDate" w:val="False"/>
          <w:attr w:name="IsROCDate" w:val="True"/>
        </w:smartTagPr>
        <w:r w:rsidRPr="007B5D03">
          <w:rPr>
            <w:rFonts w:hAnsi="標楷體"/>
            <w:sz w:val="30"/>
            <w:szCs w:val="30"/>
          </w:rPr>
          <w:t>中華民國</w:t>
        </w:r>
        <w:r w:rsidRPr="007B5D03">
          <w:rPr>
            <w:sz w:val="30"/>
            <w:szCs w:val="30"/>
          </w:rPr>
          <w:t>98</w:t>
        </w:r>
        <w:r w:rsidRPr="007B5D03">
          <w:rPr>
            <w:rFonts w:hAnsi="標楷體"/>
            <w:sz w:val="30"/>
            <w:szCs w:val="30"/>
          </w:rPr>
          <w:t>年</w:t>
        </w:r>
        <w:r w:rsidRPr="007B5D03">
          <w:rPr>
            <w:sz w:val="30"/>
            <w:szCs w:val="30"/>
          </w:rPr>
          <w:t>5</w:t>
        </w:r>
        <w:r w:rsidRPr="007B5D03">
          <w:rPr>
            <w:rFonts w:hAnsi="標楷體"/>
            <w:sz w:val="30"/>
            <w:szCs w:val="30"/>
          </w:rPr>
          <w:t>月</w:t>
        </w:r>
        <w:r w:rsidRPr="007B5D03">
          <w:rPr>
            <w:sz w:val="30"/>
            <w:szCs w:val="30"/>
          </w:rPr>
          <w:t>21</w:t>
        </w:r>
        <w:r w:rsidRPr="007B5D03">
          <w:rPr>
            <w:rFonts w:hAnsi="標楷體"/>
            <w:sz w:val="30"/>
            <w:szCs w:val="30"/>
          </w:rPr>
          <w:t>日</w:t>
        </w:r>
      </w:smartTag>
    </w:p>
    <w:p w:rsidR="00514426" w:rsidRPr="007B5D03" w:rsidRDefault="00514426" w:rsidP="00FB2D5A">
      <w:pPr>
        <w:spacing w:line="437" w:lineRule="exact"/>
        <w:rPr>
          <w:rFonts w:hAnsi="標楷體" w:hint="eastAsia"/>
          <w:sz w:val="30"/>
          <w:szCs w:val="30"/>
        </w:rPr>
      </w:pPr>
      <w:r w:rsidRPr="007B5D03">
        <w:rPr>
          <w:rFonts w:hAnsi="標楷體" w:hint="eastAsia"/>
          <w:sz w:val="30"/>
          <w:szCs w:val="30"/>
        </w:rPr>
        <w:t>（本件聲請書其餘附件略）</w:t>
      </w:r>
    </w:p>
    <w:p w:rsidR="00514426" w:rsidRPr="007B5D03" w:rsidRDefault="00514426" w:rsidP="00FB2D5A">
      <w:pPr>
        <w:spacing w:line="437" w:lineRule="exact"/>
        <w:rPr>
          <w:rFonts w:hAnsi="標楷體" w:hint="eastAsia"/>
          <w:sz w:val="30"/>
          <w:szCs w:val="30"/>
        </w:rPr>
      </w:pPr>
      <w:r w:rsidRPr="007B5D03">
        <w:rPr>
          <w:rFonts w:hAnsi="標楷體" w:hint="eastAsia"/>
          <w:sz w:val="30"/>
          <w:szCs w:val="30"/>
        </w:rPr>
        <w:t>其餘</w:t>
      </w:r>
      <w:r w:rsidRPr="007B5D03">
        <w:rPr>
          <w:rFonts w:hAnsi="標楷體" w:hint="eastAsia"/>
          <w:sz w:val="30"/>
          <w:szCs w:val="30"/>
        </w:rPr>
        <w:t>37</w:t>
      </w:r>
      <w:r w:rsidRPr="007B5D03">
        <w:rPr>
          <w:rFonts w:hAnsi="標楷體" w:hint="eastAsia"/>
          <w:sz w:val="30"/>
          <w:szCs w:val="30"/>
        </w:rPr>
        <w:t>件聲請書及確定終局判決請參閱司法院大法官網站</w:t>
      </w:r>
    </w:p>
    <w:p w:rsidR="00514426" w:rsidRPr="007B5D03" w:rsidRDefault="00514426" w:rsidP="00FB2D5A">
      <w:pPr>
        <w:spacing w:line="437" w:lineRule="exact"/>
        <w:rPr>
          <w:rFonts w:hint="eastAsia"/>
          <w:sz w:val="30"/>
          <w:szCs w:val="30"/>
        </w:rPr>
      </w:pPr>
      <w:r w:rsidRPr="007B5D03">
        <w:rPr>
          <w:rFonts w:hAnsi="標楷體" w:hint="eastAsia"/>
          <w:sz w:val="30"/>
          <w:szCs w:val="30"/>
        </w:rPr>
        <w:t>htt</w:t>
      </w:r>
      <w:r w:rsidRPr="007B5D03">
        <w:rPr>
          <w:rFonts w:ascii="標楷體" w:hAnsi="標楷體" w:hint="eastAsia"/>
          <w:sz w:val="30"/>
          <w:szCs w:val="30"/>
        </w:rPr>
        <w:t>p</w:t>
      </w:r>
      <w:r w:rsidRPr="007B5D03">
        <w:rPr>
          <w:rFonts w:ascii="標楷體" w:hAnsi="標楷體" w:hint="eastAsia"/>
          <w:spacing w:val="-20"/>
          <w:sz w:val="30"/>
          <w:szCs w:val="30"/>
        </w:rPr>
        <w:t>：//www.judicial.gov.tw/constitutionalcourt/p03_01.asp?expno=693</w:t>
      </w:r>
    </w:p>
    <w:p w:rsidR="003F56FD" w:rsidRPr="00FB2D5A" w:rsidRDefault="003F56FD" w:rsidP="00FB2D5A">
      <w:pPr>
        <w:snapToGrid w:val="0"/>
        <w:spacing w:line="437" w:lineRule="exact"/>
        <w:ind w:firstLineChars="100" w:firstLine="300"/>
        <w:rPr>
          <w:sz w:val="30"/>
          <w:szCs w:val="30"/>
        </w:rPr>
      </w:pPr>
    </w:p>
    <w:p w:rsidR="003F56FD" w:rsidRDefault="003F56FD">
      <w:pPr>
        <w:spacing w:beforeLines="150" w:before="360" w:line="240" w:lineRule="exact"/>
        <w:jc w:val="center"/>
        <w:rPr>
          <w:rFonts w:hint="eastAsia"/>
        </w:rPr>
      </w:pPr>
    </w:p>
    <w:p w:rsidR="003F56FD" w:rsidRDefault="003F56FD">
      <w:pPr>
        <w:spacing w:beforeLines="150" w:before="360" w:line="240" w:lineRule="exact"/>
        <w:jc w:val="center"/>
        <w:rPr>
          <w:rFonts w:hint="eastAsia"/>
        </w:rPr>
      </w:pPr>
    </w:p>
    <w:p w:rsidR="003F56FD" w:rsidRDefault="003F56FD">
      <w:pPr>
        <w:spacing w:beforeLines="150" w:before="360" w:line="240" w:lineRule="exact"/>
        <w:jc w:val="center"/>
        <w:rPr>
          <w:rFonts w:hint="eastAsia"/>
        </w:rPr>
      </w:pPr>
    </w:p>
    <w:p w:rsidR="003F56FD" w:rsidRDefault="003F56FD">
      <w:pPr>
        <w:spacing w:beforeLines="150" w:before="360" w:line="240" w:lineRule="exact"/>
        <w:jc w:val="center"/>
        <w:rPr>
          <w:rFonts w:hint="eastAsia"/>
        </w:rPr>
      </w:pPr>
    </w:p>
    <w:p w:rsidR="003F56FD" w:rsidRDefault="003F56FD">
      <w:pPr>
        <w:spacing w:beforeLines="150" w:before="360" w:line="240" w:lineRule="exact"/>
        <w:jc w:val="center"/>
        <w:rPr>
          <w:rFonts w:hint="eastAsia"/>
        </w:rPr>
      </w:pPr>
    </w:p>
    <w:p w:rsidR="003F56FD" w:rsidRDefault="003F56FD">
      <w:pPr>
        <w:spacing w:beforeLines="150" w:before="360" w:line="240" w:lineRule="exact"/>
        <w:jc w:val="center"/>
        <w:rPr>
          <w:rFonts w:hint="eastAsia"/>
        </w:rPr>
      </w:pPr>
    </w:p>
    <w:p w:rsidR="00004B55" w:rsidRDefault="00004B55">
      <w:pPr>
        <w:rPr>
          <w:rFonts w:hint="eastAsia"/>
        </w:rPr>
      </w:pPr>
    </w:p>
    <w:p w:rsidR="00004B55" w:rsidRDefault="00004B55">
      <w:pPr>
        <w:rPr>
          <w:rFonts w:hint="eastAsia"/>
        </w:rPr>
        <w:sectPr w:rsidR="00004B55">
          <w:headerReference w:type="even" r:id="rId21"/>
          <w:headerReference w:type="default" r:id="rId22"/>
          <w:footerReference w:type="even" r:id="rId23"/>
          <w:footerReference w:type="default" r:id="rId24"/>
          <w:footerReference w:type="first" r:id="rId25"/>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tblPrEx>
          <w:tblCellMar>
            <w:top w:w="0" w:type="dxa"/>
            <w:bottom w:w="0" w:type="dxa"/>
          </w:tblCellMar>
        </w:tblPrEx>
        <w:trPr>
          <w:trHeight w:val="3225"/>
        </w:trPr>
        <w:tc>
          <w:tcPr>
            <w:tcW w:w="8566"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rFonts w:hint="eastAsia"/>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rFonts w:hint="eastAsia"/>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8566"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3"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r>
              <w:rPr>
                <w:rFonts w:hint="eastAsia"/>
                <w:spacing w:val="-6"/>
                <w:sz w:val="22"/>
                <w:lang w:val="af-ZA"/>
              </w:rPr>
              <w:t>轉</w:t>
            </w:r>
            <w:r>
              <w:rPr>
                <w:spacing w:val="-6"/>
                <w:sz w:val="22"/>
                <w:lang w:val="af-ZA"/>
              </w:rPr>
              <w:t>27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五南文化廣場台大法學店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台北市銅山街</w:t>
            </w:r>
            <w:r>
              <w:rPr>
                <w:spacing w:val="-6"/>
                <w:sz w:val="22"/>
                <w:lang w:val="af-ZA"/>
              </w:rPr>
              <w:t>1</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Pr>
                <w:spacing w:val="-6"/>
                <w:sz w:val="22"/>
                <w:lang w:val="af-ZA"/>
              </w:rPr>
              <w:t>33224985</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290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屏東市民族路</w:t>
            </w:r>
            <w:r>
              <w:rPr>
                <w:spacing w:val="-6"/>
                <w:sz w:val="22"/>
                <w:lang w:val="af-ZA"/>
              </w:rPr>
              <w:t>104</w:t>
            </w:r>
            <w:r>
              <w:rPr>
                <w:rFonts w:hint="eastAsia"/>
                <w:spacing w:val="-6"/>
                <w:sz w:val="22"/>
                <w:lang w:val="af-ZA"/>
              </w:rPr>
              <w:t>號</w:t>
            </w:r>
            <w:r>
              <w:rPr>
                <w:spacing w:val="-6"/>
                <w:sz w:val="22"/>
                <w:lang w:val="af-ZA"/>
              </w:rPr>
              <w:t>2</w:t>
            </w:r>
            <w:r>
              <w:rPr>
                <w:rFonts w:hint="eastAsia"/>
                <w:spacing w:val="-6"/>
                <w:sz w:val="22"/>
                <w:lang w:val="af-ZA"/>
              </w:rPr>
              <w:t>樓</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11"/>
        </w:trPr>
        <w:tc>
          <w:tcPr>
            <w:tcW w:w="3703" w:type="dxa"/>
            <w:gridSpan w:val="2"/>
            <w:tcBorders>
              <w:top w:val="thinThickSmallGap" w:sz="12" w:space="0" w:color="auto"/>
              <w:left w:val="nil"/>
              <w:bottom w:val="nil"/>
              <w:right w:val="nil"/>
            </w:tcBorders>
          </w:tcPr>
          <w:p w:rsidR="00004B55" w:rsidRDefault="002F6BDD">
            <w:pPr>
              <w:spacing w:beforeLines="700" w:before="1680"/>
              <w:jc w:val="left"/>
              <w:rPr>
                <w:rFonts w:hint="eastAsia"/>
              </w:rPr>
            </w:pPr>
            <w:r>
              <w:rPr>
                <w:rFonts w:hint="eastAsia"/>
                <w:noProof/>
              </w:rPr>
              <w:drawing>
                <wp:inline distT="0" distB="0" distL="0" distR="0">
                  <wp:extent cx="1952625" cy="981075"/>
                  <wp:effectExtent l="0" t="0" r="9525" b="9525"/>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2625" cy="981075"/>
                          </a:xfrm>
                          <a:prstGeom prst="rect">
                            <a:avLst/>
                          </a:prstGeom>
                          <a:noFill/>
                          <a:ln>
                            <a:noFill/>
                          </a:ln>
                        </pic:spPr>
                      </pic:pic>
                    </a:graphicData>
                  </a:graphic>
                </wp:inline>
              </w:drawing>
            </w:r>
          </w:p>
          <w:p w:rsidR="00004B55" w:rsidRDefault="00004B55">
            <w:pPr>
              <w:ind w:firstLineChars="50" w:firstLine="140"/>
              <w:rPr>
                <w:rFonts w:hint="eastAsia"/>
              </w:rPr>
            </w:pPr>
            <w:r>
              <w:t>GPN</w:t>
            </w:r>
            <w:r>
              <w:rPr>
                <w:rFonts w:hint="eastAsia"/>
              </w:rPr>
              <w:t>：</w:t>
            </w:r>
          </w:p>
          <w:p w:rsidR="00004B55" w:rsidRDefault="00004B55">
            <w:pPr>
              <w:ind w:firstLineChars="50" w:firstLine="140"/>
              <w:rPr>
                <w:rFonts w:hint="eastAsia"/>
                <w:spacing w:val="-12"/>
                <w:sz w:val="22"/>
                <w:lang w:val="af-ZA"/>
              </w:rPr>
            </w:pPr>
            <w:r>
              <w:t>2000100002</w:t>
            </w:r>
          </w:p>
        </w:tc>
        <w:tc>
          <w:tcPr>
            <w:tcW w:w="4863" w:type="dxa"/>
            <w:gridSpan w:val="2"/>
            <w:tcBorders>
              <w:top w:val="thinThickSmallGap" w:sz="12" w:space="0" w:color="auto"/>
              <w:left w:val="nil"/>
              <w:bottom w:val="nil"/>
              <w:right w:val="nil"/>
            </w:tcBorders>
          </w:tcPr>
          <w:p w:rsidR="00004B55" w:rsidRDefault="002F6BDD">
            <w:pPr>
              <w:jc w:val="left"/>
              <w:rPr>
                <w:spacing w:val="-6"/>
                <w:sz w:val="22"/>
              </w:rPr>
            </w:pPr>
            <w:r>
              <w:rPr>
                <w:noProof/>
                <w:sz w:val="20"/>
              </w:rPr>
              <mc:AlternateContent>
                <mc:Choice Requires="wps">
                  <w:drawing>
                    <wp:anchor distT="0" distB="0" distL="114300" distR="114300" simplePos="0" relativeHeight="251651584"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229B" w:rsidRDefault="00D2229B">
                                  <w:pPr>
                                    <w:jc w:val="distribute"/>
                                    <w:rPr>
                                      <w:rFonts w:hint="eastAsia"/>
                                      <w:spacing w:val="20"/>
                                      <w:sz w:val="20"/>
                                    </w:rPr>
                                  </w:pPr>
                                  <w:r>
                                    <w:rPr>
                                      <w:rFonts w:hint="eastAsia"/>
                                      <w:spacing w:val="20"/>
                                      <w:sz w:val="20"/>
                                    </w:rPr>
                                    <w:t>中華郵政</w:t>
                                  </w:r>
                                </w:p>
                                <w:p w:rsidR="00D2229B" w:rsidRDefault="00D2229B">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D2229B" w:rsidRDefault="00D2229B">
                            <w:pPr>
                              <w:jc w:val="distribute"/>
                              <w:rPr>
                                <w:rFonts w:hint="eastAsia"/>
                                <w:spacing w:val="20"/>
                                <w:sz w:val="20"/>
                              </w:rPr>
                            </w:pPr>
                            <w:r>
                              <w:rPr>
                                <w:rFonts w:hint="eastAsia"/>
                                <w:spacing w:val="20"/>
                                <w:sz w:val="20"/>
                              </w:rPr>
                              <w:t>中華郵政</w:t>
                            </w:r>
                          </w:p>
                          <w:p w:rsidR="00D2229B" w:rsidRDefault="00D2229B">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27"/>
      <w:headerReference w:type="default" r:id="rId28"/>
      <w:footerReference w:type="even" r:id="rId29"/>
      <w:footerReference w:type="default" r:id="rId30"/>
      <w:footerReference w:type="first" r:id="rId31"/>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FD" w:rsidRDefault="00C55FFD">
      <w:r>
        <w:separator/>
      </w:r>
    </w:p>
  </w:endnote>
  <w:endnote w:type="continuationSeparator" w:id="0">
    <w:p w:rsidR="00C55FFD" w:rsidRDefault="00C5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細明體">
    <w:altName w:val="Arial Unicode MS"/>
    <w:charset w:val="88"/>
    <w:family w:val="modern"/>
    <w:pitch w:val="fixed"/>
    <w:sig w:usb0="80000001" w:usb1="28091800" w:usb2="00000016" w:usb3="00000000" w:csb0="00100000" w:csb1="00000000"/>
  </w:font>
  <w:font w:name="文鼎粗明">
    <w:altName w:val="Arial Unicode MS"/>
    <w:charset w:val="88"/>
    <w:family w:val="modern"/>
    <w:pitch w:val="fixed"/>
    <w:sig w:usb0="00000001" w:usb1="08080000" w:usb2="00000010" w:usb3="00000000" w:csb0="00100000" w:csb1="00000000"/>
  </w:font>
  <w:font w:name="華康粗黑體(P)">
    <w:altName w:val="Arial Unicode MS"/>
    <w:charset w:val="88"/>
    <w:family w:val="auto"/>
    <w:pitch w:val="variable"/>
    <w:sig w:usb0="80000001" w:usb1="28091800" w:usb2="00000016" w:usb3="00000000" w:csb0="00100000" w:csb1="00000000"/>
  </w:font>
  <w:font w:name="文鼎粗楷">
    <w:altName w:val="Arial Unicode MS"/>
    <w:charset w:val="88"/>
    <w:family w:val="modern"/>
    <w:pitch w:val="fixed"/>
    <w:sig w:usb0="00000001" w:usb1="08080000" w:usb2="00000010" w:usb3="00000000" w:csb0="00100000" w:csb1="00000000"/>
  </w:font>
  <w:font w:name="超研澤粗楷">
    <w:altName w:val="Arial Unicode MS"/>
    <w:charset w:val="88"/>
    <w:family w:val="modern"/>
    <w:pitch w:val="fixed"/>
    <w:sig w:usb0="00000001" w:usb1="08080000" w:usb2="00000010" w:usb3="00000000" w:csb0="00100000" w:csb1="00000000"/>
  </w:font>
  <w:font w:name="Math A">
    <w:altName w:val="Symbol"/>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全真粗明體">
    <w:altName w:val="Arial Unicode MS"/>
    <w:charset w:val="88"/>
    <w:family w:val="modern"/>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華康POP1體W5">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5"/>
      <w:framePr w:wrap="around" w:vAnchor="text" w:hAnchor="margin" w:xAlign="center" w:y="1"/>
    </w:pPr>
    <w:r>
      <w:fldChar w:fldCharType="begin"/>
    </w:r>
    <w:r>
      <w:instrText xml:space="preserve">PAGE  </w:instrText>
    </w:r>
    <w:r>
      <w:fldChar w:fldCharType="separate"/>
    </w:r>
    <w:r>
      <w:rPr>
        <w:noProof/>
      </w:rPr>
      <w:t>2</w:t>
    </w:r>
    <w:r>
      <w:fldChar w:fldCharType="end"/>
    </w:r>
  </w:p>
  <w:p w:rsidR="00D2229B" w:rsidRDefault="00D2229B">
    <w:pPr>
      <w:spacing w:line="20" w:lineRule="exact"/>
    </w:pPr>
  </w:p>
  <w:p w:rsidR="00D2229B" w:rsidRDefault="00D222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5"/>
      <w:framePr w:wrap="around" w:vAnchor="text" w:hAnchor="margin" w:xAlign="center" w:y="1"/>
    </w:pPr>
    <w:r>
      <w:fldChar w:fldCharType="begin"/>
    </w:r>
    <w:r>
      <w:instrText xml:space="preserve">PAGE  </w:instrText>
    </w:r>
    <w:r>
      <w:fldChar w:fldCharType="separate"/>
    </w:r>
    <w:r w:rsidR="00666E4C">
      <w:rPr>
        <w:noProof/>
      </w:rPr>
      <w:t>3</w:t>
    </w:r>
    <w:r>
      <w:fldChar w:fldCharType="end"/>
    </w:r>
  </w:p>
  <w:p w:rsidR="00D2229B" w:rsidRDefault="00D2229B">
    <w:pPr>
      <w:pStyle w:val="a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tabs>
        <w:tab w:val="left" w:pos="5387"/>
        <w:tab w:val="left" w:pos="10490"/>
      </w:tabs>
      <w:spacing w:line="240" w:lineRule="auto"/>
      <w:jc w:val="center"/>
      <w:rPr>
        <w:rFonts w:hint="eastAsia"/>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5"/>
      <w:framePr w:wrap="around" w:vAnchor="text" w:hAnchor="margin" w:xAlign="center" w:y="1"/>
    </w:pPr>
    <w:r>
      <w:fldChar w:fldCharType="begin"/>
    </w:r>
    <w:r>
      <w:instrText xml:space="preserve">PAGE  </w:instrText>
    </w:r>
    <w:r>
      <w:fldChar w:fldCharType="separate"/>
    </w:r>
    <w:r>
      <w:rPr>
        <w:noProof/>
      </w:rPr>
      <w:t>2</w:t>
    </w:r>
    <w:r>
      <w:fldChar w:fldCharType="end"/>
    </w:r>
  </w:p>
  <w:p w:rsidR="00D2229B" w:rsidRDefault="00D2229B">
    <w:pPr>
      <w:spacing w:line="20" w:lineRule="exact"/>
    </w:pPr>
  </w:p>
  <w:p w:rsidR="00D2229B" w:rsidRDefault="00D2229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5"/>
      <w:framePr w:wrap="around" w:vAnchor="text" w:hAnchor="margin" w:xAlign="center" w:y="1"/>
    </w:pPr>
    <w:r>
      <w:fldChar w:fldCharType="begin"/>
    </w:r>
    <w:r>
      <w:instrText xml:space="preserve">PAGE  </w:instrText>
    </w:r>
    <w:r>
      <w:fldChar w:fldCharType="separate"/>
    </w:r>
    <w:r w:rsidR="00666E4C">
      <w:rPr>
        <w:noProof/>
      </w:rPr>
      <w:t>357</w:t>
    </w:r>
    <w:r>
      <w:fldChar w:fldCharType="end"/>
    </w:r>
  </w:p>
  <w:p w:rsidR="00D2229B" w:rsidRDefault="00D2229B">
    <w:pPr>
      <w:pStyle w:val="a5"/>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tabs>
        <w:tab w:val="left" w:pos="5387"/>
        <w:tab w:val="left" w:pos="10490"/>
      </w:tabs>
      <w:spacing w:line="240" w:lineRule="auto"/>
      <w:jc w:val="center"/>
      <w:rPr>
        <w:rFonts w:hint="eastAsia"/>
        <w:sz w:val="24"/>
      </w:rPr>
    </w:pPr>
    <w:r>
      <w:rPr>
        <w:rFonts w:hint="eastAsia"/>
        <w:sz w:val="24"/>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spacing w:line="20" w:lineRule="exact"/>
    </w:pPr>
  </w:p>
  <w:p w:rsidR="00D2229B" w:rsidRDefault="00D2229B">
    <w:pPr>
      <w:pStyle w:val="a5"/>
    </w:pPr>
    <w:r>
      <w:fldChar w:fldCharType="begin"/>
    </w:r>
    <w:r>
      <w:instrText xml:space="preserve"> PAGE </w:instrText>
    </w:r>
    <w:r>
      <w:fldChar w:fldCharType="separate"/>
    </w:r>
    <w:r>
      <w:rPr>
        <w:noProof/>
      </w:rPr>
      <w:t>2</w:t>
    </w:r>
    <w:r>
      <w:fldChar w:fldCharType="end"/>
    </w:r>
  </w:p>
  <w:p w:rsidR="00D2229B" w:rsidRDefault="00D2229B"/>
  <w:p w:rsidR="00D2229B" w:rsidRDefault="00D2229B"/>
  <w:p w:rsidR="00D2229B" w:rsidRDefault="00D2229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5"/>
    </w:pPr>
    <w:r>
      <w:fldChar w:fldCharType="begin"/>
    </w:r>
    <w:r>
      <w:instrText xml:space="preserve"> PAGE </w:instrText>
    </w:r>
    <w:r>
      <w:fldChar w:fldCharType="separate"/>
    </w:r>
    <w:r>
      <w:rPr>
        <w:noProof/>
      </w:rPr>
      <w:t>1</w:t>
    </w:r>
    <w:r>
      <w:fldChar w:fldCharType="end"/>
    </w:r>
  </w:p>
  <w:p w:rsidR="00D2229B" w:rsidRDefault="00D2229B">
    <w:pPr>
      <w:pStyle w:val="a5"/>
      <w:tabs>
        <w:tab w:val="clear" w:pos="4153"/>
        <w:tab w:val="clear" w:pos="8306"/>
        <w:tab w:val="left" w:pos="5387"/>
        <w:tab w:val="left" w:pos="10632"/>
      </w:tabs>
      <w:spacing w:before="120" w:line="240" w:lineRule="atLeast"/>
      <w:ind w:right="357"/>
    </w:pPr>
  </w:p>
  <w:p w:rsidR="00D2229B" w:rsidRDefault="00D2229B">
    <w:pPr>
      <w:pStyle w:val="a5"/>
      <w:tabs>
        <w:tab w:val="clear" w:pos="4153"/>
        <w:tab w:val="clear" w:pos="8306"/>
        <w:tab w:val="left" w:pos="5387"/>
        <w:tab w:val="left" w:pos="10632"/>
      </w:tabs>
      <w:spacing w:before="120" w:line="240" w:lineRule="atLeast"/>
      <w:ind w:right="357"/>
    </w:pPr>
  </w:p>
  <w:p w:rsidR="00D2229B" w:rsidRDefault="00D2229B">
    <w:pPr>
      <w:pStyle w:val="a5"/>
      <w:tabs>
        <w:tab w:val="clear" w:pos="4153"/>
        <w:tab w:val="clear" w:pos="8306"/>
        <w:tab w:val="left" w:pos="5387"/>
        <w:tab w:val="left" w:pos="10632"/>
      </w:tabs>
      <w:spacing w:before="120" w:line="240" w:lineRule="atLeast"/>
      <w:ind w:right="35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FD" w:rsidRDefault="00C55FFD">
      <w:r>
        <w:separator/>
      </w:r>
    </w:p>
  </w:footnote>
  <w:footnote w:type="continuationSeparator" w:id="0">
    <w:p w:rsidR="00C55FFD" w:rsidRDefault="00C55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3"/>
    </w:pPr>
    <w:r>
      <w:rPr>
        <w:rFonts w:hint="eastAsia"/>
      </w:rPr>
      <w:t>總統府公報　　　　　　　　　　　　　　　　　　　　　　　　　　第</w:t>
    </w:r>
    <w:r>
      <w:rPr>
        <w:rFonts w:hint="eastAsia"/>
      </w:rPr>
      <w:t>7029</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D2229B" w:rsidRDefault="00D2229B">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D2229B" w:rsidRDefault="00D2229B"/>
  <w:p w:rsidR="00D2229B" w:rsidRDefault="00D2229B"/>
  <w:p w:rsidR="00D2229B" w:rsidRDefault="00D222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9B" w:rsidRDefault="00D2229B">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D2229B" w:rsidRDefault="00D2229B">
    <w:pPr>
      <w:pStyle w:val="a3"/>
      <w:spacing w:line="240" w:lineRule="atLeast"/>
    </w:pPr>
    <w:r>
      <w:rPr>
        <w:rFonts w:ascii="標楷體" w:hint="eastAsia"/>
      </w:rPr>
      <w:t>總統府公報　　　　　　　　　　　　　　　　　　　　　　　　　　第</w:t>
    </w:r>
    <w:r>
      <w:t>66</w:t>
    </w:r>
    <w:r>
      <w:rPr>
        <w:rFonts w:hint="eastAsia"/>
      </w:rPr>
      <w:t>67</w:t>
    </w:r>
    <w:r>
      <w:rPr>
        <w:rFonts w:ascii="標楷體" w:hint="eastAsia"/>
      </w:rPr>
      <w:t>號</w:t>
    </w:r>
  </w:p>
  <w:p w:rsidR="00D2229B" w:rsidRDefault="00D2229B"/>
  <w:p w:rsidR="00D2229B" w:rsidRDefault="00D2229B"/>
  <w:p w:rsidR="00D2229B" w:rsidRDefault="00D222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87E"/>
    <w:multiLevelType w:val="hybridMultilevel"/>
    <w:tmpl w:val="2CC62CB2"/>
    <w:lvl w:ilvl="0" w:tplc="951CC9FA">
      <w:start w:val="1"/>
      <w:numFmt w:val="taiwaneseCountingThousand"/>
      <w:lvlText w:val="（%1）"/>
      <w:lvlJc w:val="left"/>
      <w:pPr>
        <w:ind w:left="1080" w:hanging="1080"/>
      </w:pPr>
      <w:rPr>
        <w:rFonts w:hint="default"/>
      </w:rPr>
    </w:lvl>
    <w:lvl w:ilvl="1" w:tplc="01FEC1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11CA1"/>
    <w:multiLevelType w:val="hybridMultilevel"/>
    <w:tmpl w:val="E71CD840"/>
    <w:lvl w:ilvl="0" w:tplc="94CCC3E2">
      <w:start w:val="1"/>
      <w:numFmt w:val="taiwaneseCountingThousand"/>
      <w:lvlText w:val="%1、"/>
      <w:lvlJc w:val="left"/>
      <w:pPr>
        <w:tabs>
          <w:tab w:val="num" w:pos="567"/>
        </w:tabs>
        <w:ind w:left="567" w:hanging="567"/>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5757BA"/>
    <w:multiLevelType w:val="hybridMultilevel"/>
    <w:tmpl w:val="4C968DE4"/>
    <w:lvl w:ilvl="0" w:tplc="DFC653B2">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nsid w:val="0DC315E8"/>
    <w:multiLevelType w:val="hybridMultilevel"/>
    <w:tmpl w:val="E96EA212"/>
    <w:lvl w:ilvl="0" w:tplc="26FA9E86">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
    <w:nsid w:val="11AB0BB6"/>
    <w:multiLevelType w:val="hybridMultilevel"/>
    <w:tmpl w:val="54720E60"/>
    <w:lvl w:ilvl="0" w:tplc="DCA434B4">
      <w:start w:val="1"/>
      <w:numFmt w:val="taiwaneseCountingThousand"/>
      <w:lvlText w:val="（%1）"/>
      <w:lvlJc w:val="left"/>
      <w:pPr>
        <w:tabs>
          <w:tab w:val="num" w:pos="2231"/>
        </w:tabs>
        <w:ind w:left="2231" w:hanging="1590"/>
      </w:pPr>
      <w:rPr>
        <w:rFonts w:hint="default"/>
      </w:rPr>
    </w:lvl>
    <w:lvl w:ilvl="1" w:tplc="04090019" w:tentative="1">
      <w:start w:val="1"/>
      <w:numFmt w:val="ideographTraditional"/>
      <w:lvlText w:val="%2、"/>
      <w:lvlJc w:val="left"/>
      <w:pPr>
        <w:tabs>
          <w:tab w:val="num" w:pos="1601"/>
        </w:tabs>
        <w:ind w:left="1601" w:hanging="480"/>
      </w:pPr>
    </w:lvl>
    <w:lvl w:ilvl="2" w:tplc="0409001B" w:tentative="1">
      <w:start w:val="1"/>
      <w:numFmt w:val="lowerRoman"/>
      <w:lvlText w:val="%3."/>
      <w:lvlJc w:val="right"/>
      <w:pPr>
        <w:tabs>
          <w:tab w:val="num" w:pos="2081"/>
        </w:tabs>
        <w:ind w:left="2081" w:hanging="480"/>
      </w:pPr>
    </w:lvl>
    <w:lvl w:ilvl="3" w:tplc="0409000F" w:tentative="1">
      <w:start w:val="1"/>
      <w:numFmt w:val="decimal"/>
      <w:lvlText w:val="%4."/>
      <w:lvlJc w:val="left"/>
      <w:pPr>
        <w:tabs>
          <w:tab w:val="num" w:pos="2561"/>
        </w:tabs>
        <w:ind w:left="2561" w:hanging="480"/>
      </w:pPr>
    </w:lvl>
    <w:lvl w:ilvl="4" w:tplc="04090019" w:tentative="1">
      <w:start w:val="1"/>
      <w:numFmt w:val="ideographTraditional"/>
      <w:lvlText w:val="%5、"/>
      <w:lvlJc w:val="left"/>
      <w:pPr>
        <w:tabs>
          <w:tab w:val="num" w:pos="3041"/>
        </w:tabs>
        <w:ind w:left="3041" w:hanging="480"/>
      </w:pPr>
    </w:lvl>
    <w:lvl w:ilvl="5" w:tplc="0409001B" w:tentative="1">
      <w:start w:val="1"/>
      <w:numFmt w:val="lowerRoman"/>
      <w:lvlText w:val="%6."/>
      <w:lvlJc w:val="right"/>
      <w:pPr>
        <w:tabs>
          <w:tab w:val="num" w:pos="3521"/>
        </w:tabs>
        <w:ind w:left="3521" w:hanging="480"/>
      </w:pPr>
    </w:lvl>
    <w:lvl w:ilvl="6" w:tplc="0409000F" w:tentative="1">
      <w:start w:val="1"/>
      <w:numFmt w:val="decimal"/>
      <w:lvlText w:val="%7."/>
      <w:lvlJc w:val="left"/>
      <w:pPr>
        <w:tabs>
          <w:tab w:val="num" w:pos="4001"/>
        </w:tabs>
        <w:ind w:left="4001" w:hanging="480"/>
      </w:pPr>
    </w:lvl>
    <w:lvl w:ilvl="7" w:tplc="04090019" w:tentative="1">
      <w:start w:val="1"/>
      <w:numFmt w:val="ideographTraditional"/>
      <w:lvlText w:val="%8、"/>
      <w:lvlJc w:val="left"/>
      <w:pPr>
        <w:tabs>
          <w:tab w:val="num" w:pos="4481"/>
        </w:tabs>
        <w:ind w:left="4481" w:hanging="480"/>
      </w:pPr>
    </w:lvl>
    <w:lvl w:ilvl="8" w:tplc="0409001B" w:tentative="1">
      <w:start w:val="1"/>
      <w:numFmt w:val="lowerRoman"/>
      <w:lvlText w:val="%9."/>
      <w:lvlJc w:val="right"/>
      <w:pPr>
        <w:tabs>
          <w:tab w:val="num" w:pos="4961"/>
        </w:tabs>
        <w:ind w:left="4961" w:hanging="480"/>
      </w:pPr>
    </w:lvl>
  </w:abstractNum>
  <w:abstractNum w:abstractNumId="5">
    <w:nsid w:val="18C03723"/>
    <w:multiLevelType w:val="hybridMultilevel"/>
    <w:tmpl w:val="BB9E3B1E"/>
    <w:lvl w:ilvl="0" w:tplc="7BC6BE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0F045C4"/>
    <w:multiLevelType w:val="hybridMultilevel"/>
    <w:tmpl w:val="34922B04"/>
    <w:lvl w:ilvl="0" w:tplc="831C73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974B26"/>
    <w:multiLevelType w:val="hybridMultilevel"/>
    <w:tmpl w:val="4B3A4BE8"/>
    <w:lvl w:ilvl="0" w:tplc="512ECC7A">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E452FD"/>
    <w:multiLevelType w:val="hybridMultilevel"/>
    <w:tmpl w:val="E2EC3056"/>
    <w:lvl w:ilvl="0" w:tplc="0409000F">
      <w:start w:val="1"/>
      <w:numFmt w:val="decimal"/>
      <w:lvlText w:val="%1."/>
      <w:lvlJc w:val="left"/>
      <w:pPr>
        <w:tabs>
          <w:tab w:val="num" w:pos="1320"/>
        </w:tabs>
        <w:ind w:left="1320" w:hanging="480"/>
      </w:p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nsid w:val="2DED0F5B"/>
    <w:multiLevelType w:val="hybridMultilevel"/>
    <w:tmpl w:val="1D64F034"/>
    <w:lvl w:ilvl="0" w:tplc="48D8DF9C">
      <w:start w:val="1"/>
      <w:numFmt w:val="decimal"/>
      <w:lvlText w:val="%1."/>
      <w:lvlJc w:val="left"/>
      <w:pPr>
        <w:ind w:left="2100" w:hanging="36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0">
    <w:nsid w:val="2EA81C93"/>
    <w:multiLevelType w:val="hybridMultilevel"/>
    <w:tmpl w:val="EAE25DE4"/>
    <w:lvl w:ilvl="0" w:tplc="5ED81384">
      <w:start w:val="1"/>
      <w:numFmt w:val="taiwaneseCountingThousand"/>
      <w:lvlText w:val="%1、"/>
      <w:lvlJc w:val="left"/>
      <w:pPr>
        <w:tabs>
          <w:tab w:val="num" w:pos="567"/>
        </w:tabs>
        <w:ind w:left="567" w:hanging="567"/>
      </w:pPr>
      <w:rPr>
        <w:rFonts w:hAnsi="標楷體" w:hint="default"/>
        <w:color w:val="auto"/>
      </w:rPr>
    </w:lvl>
    <w:lvl w:ilvl="1" w:tplc="4A12156C">
      <w:start w:val="1"/>
      <w:numFmt w:val="taiwaneseCountingThousand"/>
      <w:lvlText w:val="(%2)"/>
      <w:lvlJc w:val="left"/>
      <w:pPr>
        <w:tabs>
          <w:tab w:val="num" w:pos="851"/>
        </w:tabs>
        <w:ind w:left="851" w:hanging="567"/>
      </w:pPr>
      <w:rPr>
        <w:rFonts w:hAnsi="標楷體"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FDF4D1A"/>
    <w:multiLevelType w:val="hybridMultilevel"/>
    <w:tmpl w:val="E34EA356"/>
    <w:lvl w:ilvl="0" w:tplc="0F101D7E">
      <w:start w:val="1"/>
      <w:numFmt w:val="taiwaneseCountingThousand"/>
      <w:lvlText w:val="(%1)"/>
      <w:lvlJc w:val="left"/>
      <w:pPr>
        <w:tabs>
          <w:tab w:val="num" w:pos="1592"/>
        </w:tabs>
        <w:ind w:left="1592" w:hanging="468"/>
      </w:pPr>
      <w:rPr>
        <w:rFonts w:hint="eastAsia"/>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nsid w:val="339A6702"/>
    <w:multiLevelType w:val="hybridMultilevel"/>
    <w:tmpl w:val="F2C4F06E"/>
    <w:lvl w:ilvl="0" w:tplc="E7289BA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5348D1"/>
    <w:multiLevelType w:val="hybridMultilevel"/>
    <w:tmpl w:val="B802BE52"/>
    <w:lvl w:ilvl="0" w:tplc="EB0E3DBC">
      <w:start w:val="1"/>
      <w:numFmt w:val="decimal"/>
      <w:lvlText w:val="%1."/>
      <w:lvlJc w:val="left"/>
      <w:pPr>
        <w:tabs>
          <w:tab w:val="num" w:pos="1525"/>
        </w:tabs>
        <w:ind w:left="1525" w:hanging="885"/>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14">
    <w:nsid w:val="492135A9"/>
    <w:multiLevelType w:val="hybridMultilevel"/>
    <w:tmpl w:val="2C6C9A86"/>
    <w:lvl w:ilvl="0" w:tplc="C0DC6BA6">
      <w:start w:val="1"/>
      <w:numFmt w:val="taiwaneseCountingThousand"/>
      <w:lvlText w:val="%1、"/>
      <w:lvlJc w:val="left"/>
      <w:pPr>
        <w:tabs>
          <w:tab w:val="num" w:pos="855"/>
        </w:tabs>
        <w:ind w:left="855" w:hanging="720"/>
      </w:pPr>
      <w:rPr>
        <w:rFonts w:hint="default"/>
        <w:b/>
      </w:rPr>
    </w:lvl>
    <w:lvl w:ilvl="1" w:tplc="04090019" w:tentative="1">
      <w:start w:val="1"/>
      <w:numFmt w:val="ideographTraditional"/>
      <w:lvlText w:val="%2、"/>
      <w:lvlJc w:val="left"/>
      <w:pPr>
        <w:tabs>
          <w:tab w:val="num" w:pos="1095"/>
        </w:tabs>
        <w:ind w:left="1095" w:hanging="480"/>
      </w:pPr>
    </w:lvl>
    <w:lvl w:ilvl="2" w:tplc="0409001B" w:tentative="1">
      <w:start w:val="1"/>
      <w:numFmt w:val="lowerRoman"/>
      <w:lvlText w:val="%3."/>
      <w:lvlJc w:val="right"/>
      <w:pPr>
        <w:tabs>
          <w:tab w:val="num" w:pos="1575"/>
        </w:tabs>
        <w:ind w:left="1575" w:hanging="480"/>
      </w:pPr>
    </w:lvl>
    <w:lvl w:ilvl="3" w:tplc="0409000F" w:tentative="1">
      <w:start w:val="1"/>
      <w:numFmt w:val="decimal"/>
      <w:lvlText w:val="%4."/>
      <w:lvlJc w:val="left"/>
      <w:pPr>
        <w:tabs>
          <w:tab w:val="num" w:pos="2055"/>
        </w:tabs>
        <w:ind w:left="2055" w:hanging="480"/>
      </w:pPr>
    </w:lvl>
    <w:lvl w:ilvl="4" w:tplc="04090019" w:tentative="1">
      <w:start w:val="1"/>
      <w:numFmt w:val="ideographTraditional"/>
      <w:lvlText w:val="%5、"/>
      <w:lvlJc w:val="left"/>
      <w:pPr>
        <w:tabs>
          <w:tab w:val="num" w:pos="2535"/>
        </w:tabs>
        <w:ind w:left="2535" w:hanging="480"/>
      </w:pPr>
    </w:lvl>
    <w:lvl w:ilvl="5" w:tplc="0409001B" w:tentative="1">
      <w:start w:val="1"/>
      <w:numFmt w:val="lowerRoman"/>
      <w:lvlText w:val="%6."/>
      <w:lvlJc w:val="right"/>
      <w:pPr>
        <w:tabs>
          <w:tab w:val="num" w:pos="3015"/>
        </w:tabs>
        <w:ind w:left="3015" w:hanging="480"/>
      </w:pPr>
    </w:lvl>
    <w:lvl w:ilvl="6" w:tplc="0409000F" w:tentative="1">
      <w:start w:val="1"/>
      <w:numFmt w:val="decimal"/>
      <w:lvlText w:val="%7."/>
      <w:lvlJc w:val="left"/>
      <w:pPr>
        <w:tabs>
          <w:tab w:val="num" w:pos="3495"/>
        </w:tabs>
        <w:ind w:left="3495" w:hanging="480"/>
      </w:pPr>
    </w:lvl>
    <w:lvl w:ilvl="7" w:tplc="04090019" w:tentative="1">
      <w:start w:val="1"/>
      <w:numFmt w:val="ideographTraditional"/>
      <w:lvlText w:val="%8、"/>
      <w:lvlJc w:val="left"/>
      <w:pPr>
        <w:tabs>
          <w:tab w:val="num" w:pos="3975"/>
        </w:tabs>
        <w:ind w:left="3975" w:hanging="480"/>
      </w:pPr>
    </w:lvl>
    <w:lvl w:ilvl="8" w:tplc="0409001B" w:tentative="1">
      <w:start w:val="1"/>
      <w:numFmt w:val="lowerRoman"/>
      <w:lvlText w:val="%9."/>
      <w:lvlJc w:val="right"/>
      <w:pPr>
        <w:tabs>
          <w:tab w:val="num" w:pos="4455"/>
        </w:tabs>
        <w:ind w:left="4455" w:hanging="480"/>
      </w:pPr>
    </w:lvl>
  </w:abstractNum>
  <w:abstractNum w:abstractNumId="15">
    <w:nsid w:val="4B6E6EDC"/>
    <w:multiLevelType w:val="hybridMultilevel"/>
    <w:tmpl w:val="85AED040"/>
    <w:lvl w:ilvl="0" w:tplc="C81C9250">
      <w:start w:val="1"/>
      <w:numFmt w:val="decimal"/>
      <w:lvlText w:val="(%1)"/>
      <w:lvlJc w:val="left"/>
      <w:pPr>
        <w:tabs>
          <w:tab w:val="num" w:pos="1588"/>
        </w:tabs>
        <w:ind w:left="1588" w:hanging="567"/>
      </w:pPr>
      <w:rPr>
        <w:rFonts w:ascii="標楷體" w:eastAsia="標楷體" w:hAnsi="標楷體" w:hint="default"/>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C5237C7"/>
    <w:multiLevelType w:val="hybridMultilevel"/>
    <w:tmpl w:val="32F6712C"/>
    <w:lvl w:ilvl="0" w:tplc="D97E7620">
      <w:start w:val="1"/>
      <w:numFmt w:val="taiwaneseCountingThousand"/>
      <w:lvlText w:val="（%1）"/>
      <w:lvlJc w:val="left"/>
      <w:pPr>
        <w:ind w:left="1560" w:hanging="1080"/>
      </w:pPr>
      <w:rPr>
        <w:rFonts w:hint="default"/>
      </w:rPr>
    </w:lvl>
    <w:lvl w:ilvl="1" w:tplc="06C059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E5564A2"/>
    <w:multiLevelType w:val="hybridMultilevel"/>
    <w:tmpl w:val="4C0A8DA6"/>
    <w:lvl w:ilvl="0" w:tplc="2FCC27E2">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ED3481C"/>
    <w:multiLevelType w:val="hybridMultilevel"/>
    <w:tmpl w:val="F7E49586"/>
    <w:lvl w:ilvl="0" w:tplc="04090015">
      <w:start w:val="1"/>
      <w:numFmt w:val="taiwaneseCountingThousand"/>
      <w:lvlText w:val="%1、"/>
      <w:lvlJc w:val="left"/>
      <w:pPr>
        <w:tabs>
          <w:tab w:val="num" w:pos="480"/>
        </w:tabs>
        <w:ind w:left="480" w:hanging="480"/>
      </w:pPr>
      <w:rPr>
        <w:rFonts w:hint="default"/>
      </w:rPr>
    </w:lvl>
    <w:lvl w:ilvl="1" w:tplc="8BFCE922">
      <w:start w:val="1"/>
      <w:numFmt w:val="taiwaneseCountingThousand"/>
      <w:lvlText w:val="(%2)"/>
      <w:lvlJc w:val="left"/>
      <w:pPr>
        <w:tabs>
          <w:tab w:val="num" w:pos="1080"/>
        </w:tabs>
        <w:ind w:left="1080" w:hanging="600"/>
      </w:pPr>
      <w:rPr>
        <w:rFonts w:hint="default"/>
      </w:rPr>
    </w:lvl>
    <w:lvl w:ilvl="2" w:tplc="C33C9182">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4324CB7"/>
    <w:multiLevelType w:val="hybridMultilevel"/>
    <w:tmpl w:val="4478094A"/>
    <w:lvl w:ilvl="0" w:tplc="364A269C">
      <w:start w:val="1"/>
      <w:numFmt w:val="decimal"/>
      <w:lvlText w:val="%1."/>
      <w:lvlJc w:val="left"/>
      <w:pPr>
        <w:tabs>
          <w:tab w:val="num" w:pos="360"/>
        </w:tabs>
        <w:ind w:left="360" w:hanging="360"/>
      </w:pPr>
      <w:rPr>
        <w:rFonts w:hint="default"/>
      </w:rPr>
    </w:lvl>
    <w:lvl w:ilvl="1" w:tplc="AA4A6766">
      <w:start w:val="1"/>
      <w:numFmt w:val="decimal"/>
      <w:lvlText w:val="(%2)"/>
      <w:lvlJc w:val="left"/>
      <w:pPr>
        <w:tabs>
          <w:tab w:val="num" w:pos="960"/>
        </w:tabs>
        <w:ind w:left="960" w:hanging="480"/>
      </w:pPr>
      <w:rPr>
        <w:rFonts w:hint="default"/>
      </w:rPr>
    </w:lvl>
    <w:lvl w:ilvl="2" w:tplc="AE58FF0A">
      <w:start w:val="1"/>
      <w:numFmt w:val="upperLetter"/>
      <w:lvlText w:val="%3."/>
      <w:lvlJc w:val="left"/>
      <w:pPr>
        <w:tabs>
          <w:tab w:val="num" w:pos="1320"/>
        </w:tabs>
        <w:ind w:left="1320" w:hanging="360"/>
      </w:pPr>
      <w:rPr>
        <w:rFonts w:hint="default"/>
      </w:rPr>
    </w:lvl>
    <w:lvl w:ilvl="3" w:tplc="AF9C680A">
      <w:start w:val="2"/>
      <w:numFmt w:val="taiwaneseCountingThousand"/>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56142DB"/>
    <w:multiLevelType w:val="hybridMultilevel"/>
    <w:tmpl w:val="E3B4EFE8"/>
    <w:lvl w:ilvl="0" w:tplc="436AB50E">
      <w:start w:val="1"/>
      <w:numFmt w:val="taiwaneseCountingThousand"/>
      <w:lvlText w:val="(%1)"/>
      <w:lvlJc w:val="left"/>
      <w:pPr>
        <w:ind w:left="1740" w:hanging="720"/>
      </w:pPr>
      <w:rPr>
        <w:rFonts w:hint="default"/>
        <w:b/>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1">
    <w:nsid w:val="55EF0392"/>
    <w:multiLevelType w:val="hybridMultilevel"/>
    <w:tmpl w:val="F6BE694E"/>
    <w:lvl w:ilvl="0" w:tplc="9C7E032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DC3763"/>
    <w:multiLevelType w:val="hybridMultilevel"/>
    <w:tmpl w:val="0EEE03E6"/>
    <w:lvl w:ilvl="0" w:tplc="1D5E0E6E">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9A02552"/>
    <w:multiLevelType w:val="hybridMultilevel"/>
    <w:tmpl w:val="5BEA766C"/>
    <w:lvl w:ilvl="0" w:tplc="30E07F68">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5F357DA"/>
    <w:multiLevelType w:val="hybridMultilevel"/>
    <w:tmpl w:val="2820B0D0"/>
    <w:lvl w:ilvl="0" w:tplc="F7A4F232">
      <w:start w:val="1"/>
      <w:numFmt w:val="ideographLegalTradition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5">
    <w:nsid w:val="6A5459B6"/>
    <w:multiLevelType w:val="hybridMultilevel"/>
    <w:tmpl w:val="AE92C244"/>
    <w:lvl w:ilvl="0" w:tplc="2E2212AC">
      <w:start w:val="1"/>
      <w:numFmt w:val="taiwaneseCountingThousand"/>
      <w:lvlText w:val="%1、"/>
      <w:lvlJc w:val="left"/>
      <w:pPr>
        <w:ind w:left="1020" w:hanging="7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6">
    <w:nsid w:val="6E9D57EC"/>
    <w:multiLevelType w:val="hybridMultilevel"/>
    <w:tmpl w:val="996C544E"/>
    <w:lvl w:ilvl="0" w:tplc="C2FCD03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7">
    <w:nsid w:val="74164751"/>
    <w:multiLevelType w:val="hybridMultilevel"/>
    <w:tmpl w:val="E7100BF8"/>
    <w:lvl w:ilvl="0" w:tplc="DC88F216">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8">
    <w:nsid w:val="7555223C"/>
    <w:multiLevelType w:val="multilevel"/>
    <w:tmpl w:val="AE92C244"/>
    <w:lvl w:ilvl="0">
      <w:start w:val="1"/>
      <w:numFmt w:val="taiwaneseCountingThousand"/>
      <w:lvlText w:val="%1、"/>
      <w:lvlJc w:val="left"/>
      <w:pPr>
        <w:ind w:left="1020" w:hanging="720"/>
      </w:pPr>
      <w:rPr>
        <w:rFonts w:hint="default"/>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29">
    <w:nsid w:val="7F0B305C"/>
    <w:multiLevelType w:val="hybridMultilevel"/>
    <w:tmpl w:val="6FE633E8"/>
    <w:lvl w:ilvl="0" w:tplc="17D47BD0">
      <w:start w:val="1"/>
      <w:numFmt w:val="decimal"/>
      <w:lvlText w:val="%1."/>
      <w:lvlJc w:val="left"/>
      <w:pPr>
        <w:tabs>
          <w:tab w:val="num" w:pos="1770"/>
        </w:tabs>
        <w:ind w:left="1770" w:hanging="105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8"/>
  </w:num>
  <w:num w:numId="2">
    <w:abstractNumId w:val="19"/>
  </w:num>
  <w:num w:numId="3">
    <w:abstractNumId w:val="25"/>
  </w:num>
  <w:num w:numId="4">
    <w:abstractNumId w:val="2"/>
  </w:num>
  <w:num w:numId="5">
    <w:abstractNumId w:val="28"/>
  </w:num>
  <w:num w:numId="6">
    <w:abstractNumId w:val="20"/>
  </w:num>
  <w:num w:numId="7">
    <w:abstractNumId w:val="3"/>
  </w:num>
  <w:num w:numId="8">
    <w:abstractNumId w:val="27"/>
  </w:num>
  <w:num w:numId="9">
    <w:abstractNumId w:val="9"/>
  </w:num>
  <w:num w:numId="10">
    <w:abstractNumId w:val="1"/>
  </w:num>
  <w:num w:numId="11">
    <w:abstractNumId w:val="10"/>
  </w:num>
  <w:num w:numId="12">
    <w:abstractNumId w:val="4"/>
  </w:num>
  <w:num w:numId="13">
    <w:abstractNumId w:val="29"/>
  </w:num>
  <w:num w:numId="14">
    <w:abstractNumId w:val="14"/>
  </w:num>
  <w:num w:numId="15">
    <w:abstractNumId w:val="13"/>
  </w:num>
  <w:num w:numId="16">
    <w:abstractNumId w:val="11"/>
  </w:num>
  <w:num w:numId="17">
    <w:abstractNumId w:val="26"/>
  </w:num>
  <w:num w:numId="18">
    <w:abstractNumId w:val="12"/>
  </w:num>
  <w:num w:numId="19">
    <w:abstractNumId w:val="6"/>
  </w:num>
  <w:num w:numId="20">
    <w:abstractNumId w:val="21"/>
  </w:num>
  <w:num w:numId="21">
    <w:abstractNumId w:val="0"/>
  </w:num>
  <w:num w:numId="22">
    <w:abstractNumId w:val="17"/>
  </w:num>
  <w:num w:numId="23">
    <w:abstractNumId w:val="16"/>
  </w:num>
  <w:num w:numId="24">
    <w:abstractNumId w:val="23"/>
  </w:num>
  <w:num w:numId="25">
    <w:abstractNumId w:val="5"/>
  </w:num>
  <w:num w:numId="26">
    <w:abstractNumId w:val="7"/>
  </w:num>
  <w:num w:numId="27">
    <w:abstractNumId w:val="24"/>
  </w:num>
  <w:num w:numId="28">
    <w:abstractNumId w:val="22"/>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9C59A6"/>
    <w:rsid w:val="00004B55"/>
    <w:rsid w:val="000061F7"/>
    <w:rsid w:val="00007588"/>
    <w:rsid w:val="0001034C"/>
    <w:rsid w:val="00010B61"/>
    <w:rsid w:val="00021189"/>
    <w:rsid w:val="00027737"/>
    <w:rsid w:val="000334EC"/>
    <w:rsid w:val="000368AD"/>
    <w:rsid w:val="0004523C"/>
    <w:rsid w:val="00053B2A"/>
    <w:rsid w:val="00054D16"/>
    <w:rsid w:val="00075B1F"/>
    <w:rsid w:val="00075D64"/>
    <w:rsid w:val="0008202F"/>
    <w:rsid w:val="0008578A"/>
    <w:rsid w:val="00093600"/>
    <w:rsid w:val="000979EC"/>
    <w:rsid w:val="000B7E1A"/>
    <w:rsid w:val="000D21DA"/>
    <w:rsid w:val="000D629C"/>
    <w:rsid w:val="000E1F31"/>
    <w:rsid w:val="000E2E77"/>
    <w:rsid w:val="000E3789"/>
    <w:rsid w:val="000F6082"/>
    <w:rsid w:val="001202AD"/>
    <w:rsid w:val="00120765"/>
    <w:rsid w:val="001274A1"/>
    <w:rsid w:val="00132234"/>
    <w:rsid w:val="001359E3"/>
    <w:rsid w:val="0013667E"/>
    <w:rsid w:val="001527E1"/>
    <w:rsid w:val="00161B08"/>
    <w:rsid w:val="00165E20"/>
    <w:rsid w:val="0016694D"/>
    <w:rsid w:val="00171356"/>
    <w:rsid w:val="00181498"/>
    <w:rsid w:val="0018542B"/>
    <w:rsid w:val="00185C30"/>
    <w:rsid w:val="0018652F"/>
    <w:rsid w:val="001961BF"/>
    <w:rsid w:val="00197D99"/>
    <w:rsid w:val="001A15FA"/>
    <w:rsid w:val="001A29FC"/>
    <w:rsid w:val="001A326E"/>
    <w:rsid w:val="001A5E0C"/>
    <w:rsid w:val="001B3A93"/>
    <w:rsid w:val="001C161C"/>
    <w:rsid w:val="001C3F9B"/>
    <w:rsid w:val="001D3142"/>
    <w:rsid w:val="001E4121"/>
    <w:rsid w:val="001F51B2"/>
    <w:rsid w:val="001F6491"/>
    <w:rsid w:val="00206068"/>
    <w:rsid w:val="002102F8"/>
    <w:rsid w:val="0021491E"/>
    <w:rsid w:val="00223FBD"/>
    <w:rsid w:val="002262DD"/>
    <w:rsid w:val="002408DD"/>
    <w:rsid w:val="0024174C"/>
    <w:rsid w:val="0024476F"/>
    <w:rsid w:val="00260A04"/>
    <w:rsid w:val="00265710"/>
    <w:rsid w:val="002754AD"/>
    <w:rsid w:val="002839FB"/>
    <w:rsid w:val="00296142"/>
    <w:rsid w:val="002A0B45"/>
    <w:rsid w:val="002B1D17"/>
    <w:rsid w:val="002B1E1F"/>
    <w:rsid w:val="002B4D8B"/>
    <w:rsid w:val="002C44B7"/>
    <w:rsid w:val="002C4770"/>
    <w:rsid w:val="002C50F9"/>
    <w:rsid w:val="002C5BFC"/>
    <w:rsid w:val="002C6B3C"/>
    <w:rsid w:val="002D1FDC"/>
    <w:rsid w:val="002E4F19"/>
    <w:rsid w:val="002E5009"/>
    <w:rsid w:val="002F29FC"/>
    <w:rsid w:val="002F6BDD"/>
    <w:rsid w:val="00304834"/>
    <w:rsid w:val="00305647"/>
    <w:rsid w:val="00306193"/>
    <w:rsid w:val="00307E2E"/>
    <w:rsid w:val="0032707D"/>
    <w:rsid w:val="00334B4E"/>
    <w:rsid w:val="00335FDF"/>
    <w:rsid w:val="0035216F"/>
    <w:rsid w:val="00360F6F"/>
    <w:rsid w:val="0036126B"/>
    <w:rsid w:val="00370B17"/>
    <w:rsid w:val="00372FCE"/>
    <w:rsid w:val="0037471C"/>
    <w:rsid w:val="00385943"/>
    <w:rsid w:val="0039440A"/>
    <w:rsid w:val="003A1A9D"/>
    <w:rsid w:val="003A754D"/>
    <w:rsid w:val="003A7E92"/>
    <w:rsid w:val="003B395F"/>
    <w:rsid w:val="003B5098"/>
    <w:rsid w:val="003C151B"/>
    <w:rsid w:val="003C5C41"/>
    <w:rsid w:val="003E168C"/>
    <w:rsid w:val="003E2E6B"/>
    <w:rsid w:val="003F1321"/>
    <w:rsid w:val="003F56FD"/>
    <w:rsid w:val="00413EA5"/>
    <w:rsid w:val="004147DE"/>
    <w:rsid w:val="0041513E"/>
    <w:rsid w:val="00417139"/>
    <w:rsid w:val="00417F12"/>
    <w:rsid w:val="004300CA"/>
    <w:rsid w:val="00434F4D"/>
    <w:rsid w:val="00441879"/>
    <w:rsid w:val="00450A47"/>
    <w:rsid w:val="00460AFA"/>
    <w:rsid w:val="0047202D"/>
    <w:rsid w:val="004726F8"/>
    <w:rsid w:val="00483519"/>
    <w:rsid w:val="00490186"/>
    <w:rsid w:val="004A34CC"/>
    <w:rsid w:val="004A5CDC"/>
    <w:rsid w:val="004A68D0"/>
    <w:rsid w:val="004B4108"/>
    <w:rsid w:val="004B7AD5"/>
    <w:rsid w:val="004C477C"/>
    <w:rsid w:val="004C4F43"/>
    <w:rsid w:val="004D0D97"/>
    <w:rsid w:val="004E2381"/>
    <w:rsid w:val="004E5F55"/>
    <w:rsid w:val="004F3024"/>
    <w:rsid w:val="00502E62"/>
    <w:rsid w:val="005122A0"/>
    <w:rsid w:val="00514426"/>
    <w:rsid w:val="005144F2"/>
    <w:rsid w:val="00520C44"/>
    <w:rsid w:val="00531976"/>
    <w:rsid w:val="00531EBE"/>
    <w:rsid w:val="00534AD6"/>
    <w:rsid w:val="00541168"/>
    <w:rsid w:val="00554187"/>
    <w:rsid w:val="00557088"/>
    <w:rsid w:val="00561EC8"/>
    <w:rsid w:val="00570681"/>
    <w:rsid w:val="00582DC4"/>
    <w:rsid w:val="005843B9"/>
    <w:rsid w:val="00584E30"/>
    <w:rsid w:val="00586B1A"/>
    <w:rsid w:val="005A5232"/>
    <w:rsid w:val="005A6AB7"/>
    <w:rsid w:val="005C586B"/>
    <w:rsid w:val="005D7651"/>
    <w:rsid w:val="005F1F32"/>
    <w:rsid w:val="005F68BA"/>
    <w:rsid w:val="005F7AAE"/>
    <w:rsid w:val="00612054"/>
    <w:rsid w:val="00616B96"/>
    <w:rsid w:val="00621CFD"/>
    <w:rsid w:val="00624270"/>
    <w:rsid w:val="00635828"/>
    <w:rsid w:val="006412D8"/>
    <w:rsid w:val="0064152E"/>
    <w:rsid w:val="00653239"/>
    <w:rsid w:val="00655E45"/>
    <w:rsid w:val="00666E4C"/>
    <w:rsid w:val="00680C60"/>
    <w:rsid w:val="006812B6"/>
    <w:rsid w:val="00682A74"/>
    <w:rsid w:val="006849A9"/>
    <w:rsid w:val="00692ABB"/>
    <w:rsid w:val="0069394E"/>
    <w:rsid w:val="006B0086"/>
    <w:rsid w:val="006B3367"/>
    <w:rsid w:val="006C339A"/>
    <w:rsid w:val="006C4288"/>
    <w:rsid w:val="006C46CB"/>
    <w:rsid w:val="006C6124"/>
    <w:rsid w:val="006C6DD1"/>
    <w:rsid w:val="006D2A30"/>
    <w:rsid w:val="006E6406"/>
    <w:rsid w:val="006F0381"/>
    <w:rsid w:val="006F2978"/>
    <w:rsid w:val="006F512B"/>
    <w:rsid w:val="0070760A"/>
    <w:rsid w:val="007214A0"/>
    <w:rsid w:val="007254EC"/>
    <w:rsid w:val="00726AA1"/>
    <w:rsid w:val="00731D3E"/>
    <w:rsid w:val="00741EC3"/>
    <w:rsid w:val="007438D7"/>
    <w:rsid w:val="00745298"/>
    <w:rsid w:val="0074578A"/>
    <w:rsid w:val="007508B4"/>
    <w:rsid w:val="007776D4"/>
    <w:rsid w:val="007825B3"/>
    <w:rsid w:val="0079716B"/>
    <w:rsid w:val="007A04D5"/>
    <w:rsid w:val="007A39CF"/>
    <w:rsid w:val="007A7AC1"/>
    <w:rsid w:val="007B5D03"/>
    <w:rsid w:val="007D1331"/>
    <w:rsid w:val="007D196A"/>
    <w:rsid w:val="007D6411"/>
    <w:rsid w:val="007E0EDA"/>
    <w:rsid w:val="007E2F1D"/>
    <w:rsid w:val="007E6B32"/>
    <w:rsid w:val="007E6D35"/>
    <w:rsid w:val="008166AC"/>
    <w:rsid w:val="008242EB"/>
    <w:rsid w:val="008316AF"/>
    <w:rsid w:val="00833DC4"/>
    <w:rsid w:val="00836F4C"/>
    <w:rsid w:val="00880A73"/>
    <w:rsid w:val="008828D5"/>
    <w:rsid w:val="00885E2A"/>
    <w:rsid w:val="008944C7"/>
    <w:rsid w:val="008B102A"/>
    <w:rsid w:val="008E2DC4"/>
    <w:rsid w:val="008F0216"/>
    <w:rsid w:val="008F0FFA"/>
    <w:rsid w:val="008F6D3A"/>
    <w:rsid w:val="009025F6"/>
    <w:rsid w:val="00903CBC"/>
    <w:rsid w:val="0090763C"/>
    <w:rsid w:val="00920295"/>
    <w:rsid w:val="0093062C"/>
    <w:rsid w:val="00936596"/>
    <w:rsid w:val="00936B8E"/>
    <w:rsid w:val="009376C0"/>
    <w:rsid w:val="00945A6E"/>
    <w:rsid w:val="009642FB"/>
    <w:rsid w:val="00966413"/>
    <w:rsid w:val="00966DFD"/>
    <w:rsid w:val="0097295D"/>
    <w:rsid w:val="009846C2"/>
    <w:rsid w:val="009A0390"/>
    <w:rsid w:val="009A490C"/>
    <w:rsid w:val="009A7647"/>
    <w:rsid w:val="009B13DC"/>
    <w:rsid w:val="009B5BAF"/>
    <w:rsid w:val="009B68D4"/>
    <w:rsid w:val="009C59A6"/>
    <w:rsid w:val="009D5B7A"/>
    <w:rsid w:val="009F146C"/>
    <w:rsid w:val="009F4C96"/>
    <w:rsid w:val="00A02AE8"/>
    <w:rsid w:val="00A057BD"/>
    <w:rsid w:val="00A071B9"/>
    <w:rsid w:val="00A17328"/>
    <w:rsid w:val="00A207F1"/>
    <w:rsid w:val="00A3788E"/>
    <w:rsid w:val="00A46C91"/>
    <w:rsid w:val="00A474B6"/>
    <w:rsid w:val="00A50734"/>
    <w:rsid w:val="00A53361"/>
    <w:rsid w:val="00A53BF7"/>
    <w:rsid w:val="00A57A6E"/>
    <w:rsid w:val="00A63E42"/>
    <w:rsid w:val="00A66448"/>
    <w:rsid w:val="00A9109C"/>
    <w:rsid w:val="00A95656"/>
    <w:rsid w:val="00AA1D37"/>
    <w:rsid w:val="00AC0320"/>
    <w:rsid w:val="00AC7A9F"/>
    <w:rsid w:val="00AF0348"/>
    <w:rsid w:val="00AF5AD4"/>
    <w:rsid w:val="00B14441"/>
    <w:rsid w:val="00B2135E"/>
    <w:rsid w:val="00B22CFA"/>
    <w:rsid w:val="00B449E2"/>
    <w:rsid w:val="00B51A47"/>
    <w:rsid w:val="00B56D85"/>
    <w:rsid w:val="00B642D1"/>
    <w:rsid w:val="00B73E22"/>
    <w:rsid w:val="00B900E5"/>
    <w:rsid w:val="00B91657"/>
    <w:rsid w:val="00B947F4"/>
    <w:rsid w:val="00BA73C1"/>
    <w:rsid w:val="00BC45DE"/>
    <w:rsid w:val="00BC6092"/>
    <w:rsid w:val="00BD0E80"/>
    <w:rsid w:val="00BE5872"/>
    <w:rsid w:val="00C139C4"/>
    <w:rsid w:val="00C23021"/>
    <w:rsid w:val="00C23AFF"/>
    <w:rsid w:val="00C3095C"/>
    <w:rsid w:val="00C34FE6"/>
    <w:rsid w:val="00C36D5E"/>
    <w:rsid w:val="00C51D98"/>
    <w:rsid w:val="00C52216"/>
    <w:rsid w:val="00C55FFD"/>
    <w:rsid w:val="00C568FE"/>
    <w:rsid w:val="00C57731"/>
    <w:rsid w:val="00C72B28"/>
    <w:rsid w:val="00C77EEA"/>
    <w:rsid w:val="00C82C00"/>
    <w:rsid w:val="00C84B1A"/>
    <w:rsid w:val="00C97614"/>
    <w:rsid w:val="00CA3388"/>
    <w:rsid w:val="00CA7361"/>
    <w:rsid w:val="00CB5139"/>
    <w:rsid w:val="00CC0E7D"/>
    <w:rsid w:val="00CC4917"/>
    <w:rsid w:val="00CC61D8"/>
    <w:rsid w:val="00CD163C"/>
    <w:rsid w:val="00CE0612"/>
    <w:rsid w:val="00CE3547"/>
    <w:rsid w:val="00CE7C44"/>
    <w:rsid w:val="00CE7C63"/>
    <w:rsid w:val="00CF4822"/>
    <w:rsid w:val="00D035C3"/>
    <w:rsid w:val="00D10809"/>
    <w:rsid w:val="00D1648D"/>
    <w:rsid w:val="00D2229B"/>
    <w:rsid w:val="00D23130"/>
    <w:rsid w:val="00D23504"/>
    <w:rsid w:val="00D26B2A"/>
    <w:rsid w:val="00D40BFA"/>
    <w:rsid w:val="00D42933"/>
    <w:rsid w:val="00D50BE9"/>
    <w:rsid w:val="00D546E3"/>
    <w:rsid w:val="00D55354"/>
    <w:rsid w:val="00D566C9"/>
    <w:rsid w:val="00D82C25"/>
    <w:rsid w:val="00D87D34"/>
    <w:rsid w:val="00D904EC"/>
    <w:rsid w:val="00D931C8"/>
    <w:rsid w:val="00DA0402"/>
    <w:rsid w:val="00DC15C0"/>
    <w:rsid w:val="00DC50C2"/>
    <w:rsid w:val="00DD0841"/>
    <w:rsid w:val="00DD23F4"/>
    <w:rsid w:val="00DE209B"/>
    <w:rsid w:val="00DF3B42"/>
    <w:rsid w:val="00DF41D3"/>
    <w:rsid w:val="00DF6BB5"/>
    <w:rsid w:val="00E235D5"/>
    <w:rsid w:val="00E3062C"/>
    <w:rsid w:val="00E43198"/>
    <w:rsid w:val="00E43EB8"/>
    <w:rsid w:val="00E52EB4"/>
    <w:rsid w:val="00E677A0"/>
    <w:rsid w:val="00E67E18"/>
    <w:rsid w:val="00E7171B"/>
    <w:rsid w:val="00E75D34"/>
    <w:rsid w:val="00E8266D"/>
    <w:rsid w:val="00E83FDE"/>
    <w:rsid w:val="00E844F2"/>
    <w:rsid w:val="00E97713"/>
    <w:rsid w:val="00E977A4"/>
    <w:rsid w:val="00EA5720"/>
    <w:rsid w:val="00EB1E59"/>
    <w:rsid w:val="00EB4C84"/>
    <w:rsid w:val="00EB68DB"/>
    <w:rsid w:val="00ED4C57"/>
    <w:rsid w:val="00EE698B"/>
    <w:rsid w:val="00EF5E1B"/>
    <w:rsid w:val="00F04A9B"/>
    <w:rsid w:val="00F054A5"/>
    <w:rsid w:val="00F34375"/>
    <w:rsid w:val="00F41F93"/>
    <w:rsid w:val="00F557CE"/>
    <w:rsid w:val="00F608EA"/>
    <w:rsid w:val="00F61F48"/>
    <w:rsid w:val="00F72190"/>
    <w:rsid w:val="00F947B7"/>
    <w:rsid w:val="00F94B37"/>
    <w:rsid w:val="00FA3534"/>
    <w:rsid w:val="00FA6839"/>
    <w:rsid w:val="00FB2D5A"/>
    <w:rsid w:val="00FC2C0D"/>
    <w:rsid w:val="00FD3D40"/>
    <w:rsid w:val="00FD53E4"/>
    <w:rsid w:val="00FD5D58"/>
    <w:rsid w:val="00FD5EC3"/>
    <w:rsid w:val="00FE16B9"/>
    <w:rsid w:val="00FE4CCD"/>
    <w:rsid w:val="00FE7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6492D009-CE7B-49C9-9F33-C1B2CE30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paragraph" w:styleId="2">
    <w:name w:val="heading 2"/>
    <w:basedOn w:val="a"/>
    <w:next w:val="a"/>
    <w:link w:val="20"/>
    <w:qFormat/>
    <w:rsid w:val="00514426"/>
    <w:pPr>
      <w:keepNext/>
      <w:adjustRightInd/>
      <w:spacing w:line="720" w:lineRule="auto"/>
      <w:jc w:val="left"/>
      <w:textAlignment w:val="auto"/>
      <w:outlineLvl w:val="1"/>
    </w:pPr>
    <w:rPr>
      <w:rFonts w:ascii="Arial" w:eastAsia="新細明體" w:hAnsi="Arial"/>
      <w:b/>
      <w:bCs/>
      <w:kern w:val="2"/>
      <w:sz w:val="48"/>
      <w:szCs w:val="48"/>
    </w:rPr>
  </w:style>
  <w:style w:type="paragraph" w:styleId="4">
    <w:name w:val="heading 4"/>
    <w:basedOn w:val="a"/>
    <w:qFormat/>
    <w:rsid w:val="00514426"/>
    <w:pPr>
      <w:widowControl/>
      <w:adjustRightInd/>
      <w:spacing w:before="100" w:beforeAutospacing="1" w:after="100" w:afterAutospacing="1" w:line="240" w:lineRule="auto"/>
      <w:jc w:val="left"/>
      <w:textAlignment w:val="auto"/>
      <w:outlineLvl w:val="3"/>
    </w:pPr>
    <w:rPr>
      <w:rFonts w:ascii="Arial" w:eastAsia="Arial Unicode MS" w:hAnsi="Arial" w:cs="Arial"/>
      <w:b/>
      <w:bCs/>
      <w:color w:val="666666"/>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標題 2 字元"/>
    <w:link w:val="2"/>
    <w:rsid w:val="00514426"/>
    <w:rPr>
      <w:rFonts w:ascii="Arial" w:eastAsia="新細明體" w:hAnsi="Arial"/>
      <w:b/>
      <w:bCs/>
      <w:kern w:val="2"/>
      <w:sz w:val="48"/>
      <w:szCs w:val="48"/>
      <w:lang w:val="en-US" w:eastAsia="zh-TW" w:bidi="ar-SA"/>
    </w:rPr>
  </w:style>
  <w:style w:type="paragraph" w:styleId="a3">
    <w:name w:val="header"/>
    <w:basedOn w:val="a"/>
    <w:link w:val="a4"/>
    <w:pPr>
      <w:tabs>
        <w:tab w:val="center" w:pos="4153"/>
        <w:tab w:val="right" w:pos="8306"/>
      </w:tabs>
      <w:spacing w:line="240" w:lineRule="auto"/>
    </w:pPr>
    <w:rPr>
      <w:sz w:val="24"/>
    </w:rPr>
  </w:style>
  <w:style w:type="character" w:customStyle="1" w:styleId="a4">
    <w:name w:val="頁首 字元"/>
    <w:link w:val="a3"/>
    <w:rsid w:val="00514426"/>
    <w:rPr>
      <w:rFonts w:eastAsia="標楷體"/>
      <w:sz w:val="24"/>
      <w:lang w:val="en-US" w:eastAsia="zh-TW" w:bidi="ar-SA"/>
    </w:rPr>
  </w:style>
  <w:style w:type="paragraph" w:styleId="a5">
    <w:name w:val="footer"/>
    <w:basedOn w:val="a"/>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1">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2">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styleId="aff4">
    <w:name w:val="page number"/>
    <w:basedOn w:val="a0"/>
    <w:rsid w:val="00514426"/>
  </w:style>
  <w:style w:type="paragraph" w:customStyle="1" w:styleId="15">
    <w:name w:val="小號特明15"/>
    <w:basedOn w:val="a"/>
    <w:rsid w:val="00514426"/>
    <w:pPr>
      <w:adjustRightInd/>
      <w:spacing w:line="240" w:lineRule="auto"/>
      <w:jc w:val="left"/>
      <w:textAlignment w:val="auto"/>
    </w:pPr>
    <w:rPr>
      <w:rFonts w:ascii="文鼎粗明" w:eastAsia="文鼎粗明"/>
      <w:b/>
      <w:kern w:val="2"/>
      <w:sz w:val="30"/>
      <w:szCs w:val="24"/>
    </w:rPr>
  </w:style>
  <w:style w:type="paragraph" w:customStyle="1" w:styleId="aff5">
    <w:name w:val="司法院函"/>
    <w:basedOn w:val="a"/>
    <w:rsid w:val="00514426"/>
    <w:pPr>
      <w:adjustRightInd/>
      <w:spacing w:beforeLines="100" w:before="100" w:afterLines="100" w:after="100" w:line="240" w:lineRule="auto"/>
      <w:jc w:val="left"/>
      <w:textAlignment w:val="auto"/>
    </w:pPr>
    <w:rPr>
      <w:rFonts w:ascii="華康粗黑體(P)" w:eastAsia="華康粗黑體(P)"/>
      <w:kern w:val="2"/>
      <w:sz w:val="36"/>
      <w:szCs w:val="24"/>
    </w:rPr>
  </w:style>
  <w:style w:type="paragraph" w:customStyle="1" w:styleId="aff6">
    <w:name w:val="法規標題"/>
    <w:basedOn w:val="a"/>
    <w:rsid w:val="00514426"/>
    <w:pPr>
      <w:adjustRightInd/>
      <w:spacing w:beforeLines="100" w:before="100" w:afterLines="100" w:after="100" w:line="640" w:lineRule="exact"/>
      <w:ind w:leftChars="200" w:left="200"/>
      <w:jc w:val="left"/>
      <w:textAlignment w:val="auto"/>
    </w:pPr>
    <w:rPr>
      <w:rFonts w:ascii="文鼎粗楷" w:eastAsia="文鼎粗楷"/>
      <w:b/>
      <w:kern w:val="2"/>
      <w:sz w:val="44"/>
      <w:szCs w:val="24"/>
    </w:rPr>
  </w:style>
  <w:style w:type="paragraph" w:customStyle="1" w:styleId="aff7">
    <w:name w:val="法規條文"/>
    <w:basedOn w:val="a"/>
    <w:rsid w:val="00514426"/>
    <w:pPr>
      <w:adjustRightInd/>
      <w:spacing w:line="240" w:lineRule="auto"/>
      <w:ind w:left="1599" w:hanging="1599"/>
      <w:jc w:val="left"/>
      <w:textAlignment w:val="auto"/>
    </w:pPr>
    <w:rPr>
      <w:rFonts w:ascii="文鼎粗楷" w:eastAsia="文鼎粗楷"/>
      <w:kern w:val="2"/>
      <w:sz w:val="32"/>
      <w:szCs w:val="24"/>
    </w:rPr>
  </w:style>
  <w:style w:type="paragraph" w:customStyle="1" w:styleId="aff8">
    <w:name w:val="法規縮七凸二"/>
    <w:basedOn w:val="a"/>
    <w:rsid w:val="00514426"/>
    <w:pPr>
      <w:adjustRightInd/>
      <w:spacing w:line="240" w:lineRule="auto"/>
      <w:ind w:left="2880" w:hanging="640"/>
      <w:jc w:val="left"/>
      <w:textAlignment w:val="auto"/>
    </w:pPr>
    <w:rPr>
      <w:rFonts w:ascii="文鼎粗楷" w:eastAsia="文鼎粗楷"/>
      <w:kern w:val="2"/>
      <w:sz w:val="32"/>
      <w:szCs w:val="24"/>
    </w:rPr>
  </w:style>
  <w:style w:type="paragraph" w:customStyle="1" w:styleId="aff9">
    <w:name w:val="法規前項"/>
    <w:basedOn w:val="a"/>
    <w:rsid w:val="00514426"/>
    <w:pPr>
      <w:adjustRightInd/>
      <w:spacing w:line="240" w:lineRule="auto"/>
      <w:ind w:left="1600" w:firstLine="640"/>
      <w:jc w:val="left"/>
      <w:textAlignment w:val="auto"/>
    </w:pPr>
    <w:rPr>
      <w:rFonts w:ascii="文鼎粗楷" w:eastAsia="文鼎粗楷"/>
      <w:kern w:val="2"/>
      <w:sz w:val="32"/>
      <w:szCs w:val="24"/>
    </w:rPr>
  </w:style>
  <w:style w:type="paragraph" w:customStyle="1" w:styleId="affa">
    <w:name w:val="裁判標題"/>
    <w:basedOn w:val="a"/>
    <w:rsid w:val="00514426"/>
    <w:pPr>
      <w:adjustRightInd/>
      <w:spacing w:before="220" w:after="220" w:line="240" w:lineRule="auto"/>
      <w:jc w:val="left"/>
      <w:textAlignment w:val="auto"/>
    </w:pPr>
    <w:rPr>
      <w:rFonts w:ascii="文鼎粗楷" w:eastAsia="文鼎粗楷"/>
      <w:kern w:val="2"/>
      <w:sz w:val="44"/>
      <w:szCs w:val="24"/>
    </w:rPr>
  </w:style>
  <w:style w:type="paragraph" w:customStyle="1" w:styleId="affb">
    <w:name w:val="最高法院裁判"/>
    <w:basedOn w:val="a"/>
    <w:rsid w:val="00514426"/>
    <w:pPr>
      <w:adjustRightInd/>
      <w:spacing w:line="240" w:lineRule="auto"/>
      <w:jc w:val="left"/>
      <w:textAlignment w:val="auto"/>
    </w:pPr>
    <w:rPr>
      <w:rFonts w:ascii="華康粗黑體(P)" w:eastAsia="華康粗黑體(P)"/>
      <w:kern w:val="2"/>
      <w:sz w:val="44"/>
      <w:szCs w:val="24"/>
    </w:rPr>
  </w:style>
  <w:style w:type="paragraph" w:customStyle="1" w:styleId="affc">
    <w:name w:val="民事裁判"/>
    <w:basedOn w:val="a"/>
    <w:rsid w:val="00514426"/>
    <w:pPr>
      <w:adjustRightInd/>
      <w:spacing w:before="240" w:after="240" w:line="240" w:lineRule="auto"/>
      <w:ind w:left="958"/>
      <w:jc w:val="left"/>
      <w:textAlignment w:val="auto"/>
    </w:pPr>
    <w:rPr>
      <w:rFonts w:ascii="華康粗黑體(P)" w:eastAsia="華康粗黑體(P)"/>
      <w:kern w:val="2"/>
      <w:sz w:val="32"/>
      <w:szCs w:val="24"/>
    </w:rPr>
  </w:style>
  <w:style w:type="paragraph" w:customStyle="1" w:styleId="affd">
    <w:name w:val="裁判要旨"/>
    <w:basedOn w:val="a"/>
    <w:rsid w:val="00514426"/>
    <w:pPr>
      <w:pBdr>
        <w:top w:val="single" w:sz="4" w:space="1" w:color="auto"/>
        <w:left w:val="single" w:sz="4" w:space="13" w:color="auto"/>
        <w:bottom w:val="single" w:sz="4" w:space="1" w:color="auto"/>
        <w:right w:val="single" w:sz="4" w:space="17" w:color="auto"/>
      </w:pBdr>
      <w:adjustRightInd/>
      <w:spacing w:line="240" w:lineRule="auto"/>
      <w:ind w:left="636" w:right="318" w:hanging="318"/>
      <w:jc w:val="left"/>
      <w:textAlignment w:val="auto"/>
    </w:pPr>
    <w:rPr>
      <w:rFonts w:ascii="文鼎粗楷" w:eastAsia="文鼎粗楷"/>
      <w:kern w:val="2"/>
      <w:sz w:val="32"/>
      <w:szCs w:val="24"/>
    </w:rPr>
  </w:style>
  <w:style w:type="paragraph" w:customStyle="1" w:styleId="affe">
    <w:name w:val="上訴人"/>
    <w:basedOn w:val="a"/>
    <w:rsid w:val="00514426"/>
    <w:pPr>
      <w:adjustRightInd/>
      <w:spacing w:line="240" w:lineRule="auto"/>
      <w:ind w:left="4480" w:hanging="3840"/>
      <w:jc w:val="left"/>
      <w:textAlignment w:val="auto"/>
    </w:pPr>
    <w:rPr>
      <w:rFonts w:ascii="文鼎粗楷" w:eastAsia="文鼎粗楷"/>
      <w:kern w:val="2"/>
      <w:sz w:val="32"/>
      <w:szCs w:val="24"/>
    </w:rPr>
  </w:style>
  <w:style w:type="paragraph" w:customStyle="1" w:styleId="afff">
    <w:name w:val="小號特明前後空"/>
    <w:basedOn w:val="a"/>
    <w:rsid w:val="00514426"/>
    <w:pPr>
      <w:adjustRightInd/>
      <w:spacing w:before="360" w:after="360" w:line="240" w:lineRule="auto"/>
      <w:jc w:val="left"/>
      <w:textAlignment w:val="auto"/>
    </w:pPr>
    <w:rPr>
      <w:rFonts w:ascii="文鼎粗明" w:eastAsia="文鼎粗明"/>
      <w:b/>
      <w:bCs/>
      <w:kern w:val="2"/>
      <w:sz w:val="30"/>
      <w:szCs w:val="24"/>
    </w:rPr>
  </w:style>
  <w:style w:type="paragraph" w:customStyle="1" w:styleId="afff0">
    <w:name w:val="標題一"/>
    <w:basedOn w:val="a"/>
    <w:rsid w:val="00514426"/>
    <w:pPr>
      <w:adjustRightInd/>
      <w:spacing w:line="240" w:lineRule="auto"/>
      <w:jc w:val="left"/>
      <w:textAlignment w:val="auto"/>
    </w:pPr>
    <w:rPr>
      <w:rFonts w:ascii="超研澤粗楷" w:eastAsia="超研澤粗楷"/>
      <w:kern w:val="2"/>
      <w:sz w:val="32"/>
    </w:rPr>
  </w:style>
  <w:style w:type="paragraph" w:styleId="23">
    <w:name w:val="Body Text Indent 2"/>
    <w:basedOn w:val="a"/>
    <w:rsid w:val="00514426"/>
    <w:pPr>
      <w:adjustRightInd/>
      <w:snapToGrid w:val="0"/>
      <w:spacing w:line="300" w:lineRule="auto"/>
      <w:ind w:left="320"/>
      <w:textAlignment w:val="auto"/>
    </w:pPr>
    <w:rPr>
      <w:sz w:val="32"/>
    </w:rPr>
  </w:style>
  <w:style w:type="paragraph" w:styleId="afff1">
    <w:name w:val="Body Text"/>
    <w:basedOn w:val="a"/>
    <w:rsid w:val="00514426"/>
    <w:pPr>
      <w:adjustRightInd/>
      <w:spacing w:line="240" w:lineRule="auto"/>
      <w:jc w:val="left"/>
      <w:textAlignment w:val="auto"/>
    </w:pPr>
    <w:rPr>
      <w:kern w:val="2"/>
      <w:sz w:val="32"/>
      <w:szCs w:val="24"/>
    </w:rPr>
  </w:style>
  <w:style w:type="paragraph" w:styleId="afff2">
    <w:name w:val="footnote text"/>
    <w:aliases w:val="註腳文字 字元 字元1,註腳文字 字元1 字元 字元,註腳文字 字元 字元 字元 字元,註腳文字 字元 字元1 字元 字元 字元 字元,註腳文字 字元 字元 字元 字元 字元 字元 字元1 字元,註腳文字 字元 字元1 字元 字元 字元 字元 字元 字元 字元 字元,註腳文字 字元2 字元 字元 字元 字元 字元 字元 字元 字元 字元 字元,註腳文字 字元 字元 字元 字元 字元 字元 字元 字元 字元 字元 字元 字元,註腳文字 字元3,註腳文字 字元2 字元"/>
    <w:basedOn w:val="a"/>
    <w:link w:val="afff3"/>
    <w:semiHidden/>
    <w:rsid w:val="00514426"/>
    <w:pPr>
      <w:adjustRightInd/>
      <w:snapToGrid w:val="0"/>
      <w:spacing w:line="240" w:lineRule="auto"/>
      <w:jc w:val="left"/>
      <w:textAlignment w:val="auto"/>
    </w:pPr>
    <w:rPr>
      <w:rFonts w:eastAsia="新細明體"/>
      <w:kern w:val="2"/>
      <w:sz w:val="20"/>
    </w:rPr>
  </w:style>
  <w:style w:type="character" w:customStyle="1" w:styleId="afff3">
    <w:name w:val="註腳文字 字元"/>
    <w:aliases w:val="註腳文字 字元 字元1 字元,註腳文字 字元1 字元 字元 字元,註腳文字 字元 字元 字元 字元 字元,註腳文字 字元 字元1 字元 字元 字元 字元 字元,註腳文字 字元 字元 字元 字元 字元 字元 字元1 字元 字元,註腳文字 字元 字元1 字元 字元 字元 字元 字元 字元 字元 字元 字元,註腳文字 字元2 字元 字元 字元 字元 字元 字元 字元 字元 字元 字元 字元,註腳文字 字元 字元 字元 字元 字元 字元 字元 字元 字元 字元 字元 字元 字元"/>
    <w:link w:val="afff2"/>
    <w:rsid w:val="00514426"/>
    <w:rPr>
      <w:rFonts w:eastAsia="新細明體"/>
      <w:kern w:val="2"/>
      <w:lang w:val="en-US" w:eastAsia="zh-TW" w:bidi="ar-SA"/>
    </w:rPr>
  </w:style>
  <w:style w:type="character" w:styleId="afff4">
    <w:name w:val="Hyperlink"/>
    <w:rsid w:val="00514426"/>
    <w:rPr>
      <w:color w:val="0000FF"/>
      <w:u w:val="single"/>
    </w:rPr>
  </w:style>
  <w:style w:type="paragraph" w:styleId="afff5">
    <w:name w:val="Body Text Indent"/>
    <w:basedOn w:val="a"/>
    <w:rsid w:val="00514426"/>
    <w:pPr>
      <w:spacing w:line="400" w:lineRule="atLeast"/>
      <w:ind w:firstLine="539"/>
    </w:pPr>
    <w:rPr>
      <w:rFonts w:hAnsi="Math A"/>
    </w:rPr>
  </w:style>
  <w:style w:type="paragraph" w:styleId="3">
    <w:name w:val="Body Text Indent 3"/>
    <w:basedOn w:val="a"/>
    <w:rsid w:val="00514426"/>
    <w:pPr>
      <w:adjustRightInd/>
      <w:spacing w:line="531" w:lineRule="exact"/>
      <w:ind w:left="641" w:firstLine="318"/>
      <w:textAlignment w:val="auto"/>
    </w:pPr>
    <w:rPr>
      <w:rFonts w:eastAsia="文鼎粗楷"/>
      <w:kern w:val="2"/>
      <w:sz w:val="32"/>
      <w:szCs w:val="24"/>
    </w:rPr>
  </w:style>
  <w:style w:type="paragraph" w:styleId="afff6">
    <w:name w:val="Salutation"/>
    <w:basedOn w:val="a"/>
    <w:next w:val="a"/>
    <w:rsid w:val="00514426"/>
    <w:pPr>
      <w:adjustRightInd/>
      <w:spacing w:line="240" w:lineRule="auto"/>
      <w:jc w:val="left"/>
      <w:textAlignment w:val="auto"/>
    </w:pPr>
    <w:rPr>
      <w:rFonts w:ascii="新細明體"/>
      <w:sz w:val="32"/>
      <w:szCs w:val="26"/>
      <w:lang w:val="zh-TW"/>
    </w:rPr>
  </w:style>
  <w:style w:type="paragraph" w:styleId="afff7">
    <w:name w:val="Plain Text"/>
    <w:basedOn w:val="a"/>
    <w:rsid w:val="00514426"/>
    <w:pPr>
      <w:adjustRightInd/>
      <w:spacing w:line="240" w:lineRule="auto"/>
      <w:jc w:val="left"/>
      <w:textAlignment w:val="auto"/>
    </w:pPr>
    <w:rPr>
      <w:rFonts w:ascii="細明體" w:eastAsia="細明體" w:hAnsi="Courier New" w:cs="Courier New"/>
      <w:kern w:val="2"/>
      <w:sz w:val="24"/>
      <w:szCs w:val="24"/>
    </w:rPr>
  </w:style>
  <w:style w:type="character" w:styleId="afff8">
    <w:name w:val="FollowedHyperlink"/>
    <w:rsid w:val="00514426"/>
    <w:rPr>
      <w:color w:val="800080"/>
      <w:u w:val="single"/>
    </w:rPr>
  </w:style>
  <w:style w:type="paragraph" w:styleId="24">
    <w:name w:val="Body Text 2"/>
    <w:basedOn w:val="a"/>
    <w:rsid w:val="00514426"/>
    <w:pPr>
      <w:adjustRightInd/>
      <w:spacing w:after="120" w:line="480" w:lineRule="auto"/>
      <w:jc w:val="left"/>
      <w:textAlignment w:val="auto"/>
    </w:pPr>
    <w:rPr>
      <w:rFonts w:eastAsia="文鼎粗楷"/>
      <w:kern w:val="2"/>
      <w:sz w:val="32"/>
      <w:szCs w:val="24"/>
    </w:rPr>
  </w:style>
  <w:style w:type="paragraph" w:styleId="30">
    <w:name w:val="Body Text 3"/>
    <w:basedOn w:val="a"/>
    <w:rsid w:val="00514426"/>
    <w:pPr>
      <w:adjustRightInd/>
      <w:spacing w:after="120" w:line="240" w:lineRule="auto"/>
      <w:jc w:val="left"/>
      <w:textAlignment w:val="auto"/>
    </w:pPr>
    <w:rPr>
      <w:rFonts w:eastAsia="文鼎粗楷"/>
      <w:kern w:val="2"/>
      <w:sz w:val="16"/>
      <w:szCs w:val="16"/>
    </w:rPr>
  </w:style>
  <w:style w:type="paragraph" w:styleId="afff9">
    <w:name w:val="Closing"/>
    <w:basedOn w:val="a"/>
    <w:rsid w:val="00514426"/>
    <w:pPr>
      <w:adjustRightInd/>
      <w:spacing w:line="240" w:lineRule="auto"/>
      <w:ind w:left="4320"/>
      <w:jc w:val="left"/>
      <w:textAlignment w:val="auto"/>
    </w:pPr>
    <w:rPr>
      <w:rFonts w:eastAsia="文鼎粗楷"/>
      <w:kern w:val="2"/>
      <w:sz w:val="32"/>
      <w:szCs w:val="24"/>
    </w:rPr>
  </w:style>
  <w:style w:type="paragraph" w:styleId="HTML">
    <w:name w:val="HTML Preformatted"/>
    <w:basedOn w:val="a"/>
    <w:link w:val="HTML0"/>
    <w:rsid w:val="0051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Courier New" w:cs="Courier New"/>
      <w:sz w:val="20"/>
    </w:rPr>
  </w:style>
  <w:style w:type="character" w:customStyle="1" w:styleId="HTML0">
    <w:name w:val="HTML 預設格式 字元"/>
    <w:link w:val="HTML"/>
    <w:locked/>
    <w:rsid w:val="00514426"/>
    <w:rPr>
      <w:rFonts w:ascii="細明體" w:eastAsia="細明體" w:hAnsi="Courier New" w:cs="Courier New"/>
      <w:lang w:val="en-US" w:eastAsia="zh-TW" w:bidi="ar-SA"/>
    </w:rPr>
  </w:style>
  <w:style w:type="table" w:styleId="afffa">
    <w:name w:val="Table Grid"/>
    <w:basedOn w:val="a1"/>
    <w:rsid w:val="00514426"/>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Paragraph"/>
    <w:basedOn w:val="a"/>
    <w:qFormat/>
    <w:rsid w:val="00514426"/>
    <w:pPr>
      <w:adjustRightInd/>
      <w:spacing w:line="240" w:lineRule="auto"/>
      <w:ind w:leftChars="200" w:left="480"/>
      <w:jc w:val="left"/>
      <w:textAlignment w:val="auto"/>
    </w:pPr>
    <w:rPr>
      <w:rFonts w:eastAsia="新細明體"/>
      <w:kern w:val="2"/>
      <w:sz w:val="24"/>
      <w:szCs w:val="24"/>
    </w:rPr>
  </w:style>
  <w:style w:type="character" w:customStyle="1" w:styleId="documentbody">
    <w:name w:val="documentbody"/>
    <w:semiHidden/>
    <w:rsid w:val="00514426"/>
  </w:style>
  <w:style w:type="character" w:styleId="afffc">
    <w:name w:val="Strong"/>
    <w:qFormat/>
    <w:rsid w:val="00514426"/>
    <w:rPr>
      <w:b/>
      <w:bCs/>
    </w:rPr>
  </w:style>
  <w:style w:type="character" w:customStyle="1" w:styleId="afffd">
    <w:name w:val=" 字元"/>
    <w:rsid w:val="00514426"/>
    <w:rPr>
      <w:rFonts w:eastAsia="新細明體"/>
      <w:kern w:val="2"/>
      <w:lang w:val="en-US" w:eastAsia="zh-TW" w:bidi="ar-SA"/>
    </w:rPr>
  </w:style>
  <w:style w:type="character" w:customStyle="1" w:styleId="afffe">
    <w:name w:val="內文 字元"/>
    <w:rsid w:val="00514426"/>
    <w:rPr>
      <w:rFonts w:eastAsia="標楷體" w:cs="新細明體"/>
      <w:kern w:val="2"/>
      <w:sz w:val="32"/>
      <w:lang w:val="en-US" w:eastAsia="zh-TW" w:bidi="ar-SA"/>
    </w:rPr>
  </w:style>
  <w:style w:type="character" w:customStyle="1" w:styleId="12">
    <w:name w:val="標題1"/>
    <w:basedOn w:val="a0"/>
    <w:rsid w:val="00514426"/>
  </w:style>
  <w:style w:type="paragraph" w:customStyle="1" w:styleId="affff">
    <w:name w:val="條"/>
    <w:basedOn w:val="a"/>
    <w:rsid w:val="00514426"/>
    <w:pPr>
      <w:widowControl/>
      <w:adjustRightInd/>
      <w:spacing w:before="100" w:after="100" w:line="240" w:lineRule="auto"/>
      <w:jc w:val="left"/>
      <w:textAlignment w:val="auto"/>
    </w:pPr>
    <w:rPr>
      <w:rFonts w:ascii="Arial Unicode MS" w:eastAsia="Arial Unicode MS" w:hAnsi="Arial Unicode MS"/>
      <w:sz w:val="24"/>
      <w:szCs w:val="24"/>
    </w:rPr>
  </w:style>
  <w:style w:type="paragraph" w:customStyle="1" w:styleId="affff0">
    <w:name w:val="註腳"/>
    <w:basedOn w:val="afff2"/>
    <w:link w:val="13"/>
    <w:rsid w:val="00514426"/>
    <w:pPr>
      <w:jc w:val="both"/>
    </w:pPr>
    <w:rPr>
      <w:spacing w:val="20"/>
      <w:sz w:val="22"/>
      <w:szCs w:val="24"/>
    </w:rPr>
  </w:style>
  <w:style w:type="character" w:customStyle="1" w:styleId="13">
    <w:name w:val="註腳 字元1"/>
    <w:link w:val="affff0"/>
    <w:rsid w:val="00514426"/>
    <w:rPr>
      <w:rFonts w:eastAsia="新細明體"/>
      <w:spacing w:val="20"/>
      <w:kern w:val="2"/>
      <w:sz w:val="22"/>
      <w:szCs w:val="24"/>
      <w:lang w:val="en-US" w:eastAsia="zh-TW" w:bidi="ar-SA"/>
    </w:rPr>
  </w:style>
  <w:style w:type="character" w:customStyle="1" w:styleId="affff1">
    <w:name w:val="註腳 字元"/>
    <w:rsid w:val="00514426"/>
    <w:rPr>
      <w:rFonts w:eastAsia="新細明體"/>
      <w:spacing w:val="20"/>
      <w:kern w:val="2"/>
      <w:sz w:val="22"/>
      <w:szCs w:val="24"/>
      <w:lang w:val="en-US" w:eastAsia="zh-TW" w:bidi="ar-SA"/>
    </w:rPr>
  </w:style>
  <w:style w:type="paragraph" w:customStyle="1" w:styleId="14">
    <w:name w:val="(1)內文"/>
    <w:basedOn w:val="a"/>
    <w:rsid w:val="00514426"/>
    <w:pPr>
      <w:autoSpaceDE w:val="0"/>
      <w:autoSpaceDN w:val="0"/>
      <w:adjustRightInd/>
      <w:snapToGrid w:val="0"/>
      <w:spacing w:line="500" w:lineRule="exact"/>
      <w:ind w:left="960"/>
    </w:pPr>
    <w:rPr>
      <w:rFonts w:eastAsia="全真粗明體"/>
      <w:snapToGrid w:val="0"/>
      <w:sz w:val="24"/>
    </w:rPr>
  </w:style>
  <w:style w:type="paragraph" w:customStyle="1" w:styleId="16">
    <w:name w:val="標號(1)"/>
    <w:basedOn w:val="a"/>
    <w:rsid w:val="00514426"/>
    <w:pPr>
      <w:overflowPunct w:val="0"/>
      <w:autoSpaceDE w:val="0"/>
      <w:autoSpaceDN w:val="0"/>
      <w:adjustRightInd/>
      <w:snapToGrid w:val="0"/>
      <w:spacing w:line="500" w:lineRule="exact"/>
      <w:ind w:left="960" w:hanging="238"/>
    </w:pPr>
    <w:rPr>
      <w:rFonts w:eastAsia="全真粗明體"/>
      <w:snapToGrid w:val="0"/>
      <w:sz w:val="24"/>
    </w:rPr>
  </w:style>
  <w:style w:type="paragraph" w:customStyle="1" w:styleId="17">
    <w:name w:val="1.內文"/>
    <w:basedOn w:val="a"/>
    <w:rsid w:val="00514426"/>
    <w:pPr>
      <w:overflowPunct w:val="0"/>
      <w:autoSpaceDE w:val="0"/>
      <w:autoSpaceDN w:val="0"/>
      <w:adjustRightInd/>
      <w:snapToGrid w:val="0"/>
      <w:spacing w:line="500" w:lineRule="exact"/>
      <w:ind w:left="720"/>
    </w:pPr>
    <w:rPr>
      <w:rFonts w:eastAsia="全真粗明體"/>
      <w:noProof/>
      <w:snapToGrid w:val="0"/>
      <w:sz w:val="24"/>
    </w:rPr>
  </w:style>
  <w:style w:type="paragraph" w:customStyle="1" w:styleId="18">
    <w:name w:val="標號1."/>
    <w:basedOn w:val="a"/>
    <w:rsid w:val="00514426"/>
    <w:pPr>
      <w:overflowPunct w:val="0"/>
      <w:autoSpaceDE w:val="0"/>
      <w:autoSpaceDN w:val="0"/>
      <w:adjustRightInd/>
      <w:snapToGrid w:val="0"/>
      <w:spacing w:line="500" w:lineRule="exact"/>
      <w:ind w:left="720" w:hanging="240"/>
    </w:pPr>
    <w:rPr>
      <w:rFonts w:eastAsia="全真粗明體"/>
      <w:snapToGrid w:val="0"/>
      <w:sz w:val="24"/>
    </w:rPr>
  </w:style>
  <w:style w:type="paragraph" w:customStyle="1" w:styleId="00">
    <w:name w:val="00"/>
    <w:basedOn w:val="14"/>
    <w:rsid w:val="00514426"/>
    <w:pPr>
      <w:ind w:leftChars="400" w:left="1200" w:hangingChars="100" w:hanging="240"/>
    </w:pPr>
  </w:style>
  <w:style w:type="character" w:customStyle="1" w:styleId="110">
    <w:name w:val="樣式1 字元1"/>
    <w:link w:val="19"/>
    <w:locked/>
    <w:rsid w:val="00514426"/>
    <w:rPr>
      <w:rFonts w:ascii="標楷體" w:eastAsia="標楷體" w:hAnsi="標楷體"/>
      <w:sz w:val="32"/>
      <w:lang w:val="en-US" w:eastAsia="zh-TW" w:bidi="ar-SA"/>
    </w:rPr>
  </w:style>
  <w:style w:type="paragraph" w:customStyle="1" w:styleId="19">
    <w:name w:val="樣式1"/>
    <w:basedOn w:val="a"/>
    <w:link w:val="110"/>
    <w:rsid w:val="00514426"/>
    <w:pPr>
      <w:spacing w:line="300" w:lineRule="auto"/>
      <w:ind w:left="340" w:hanging="340"/>
      <w:textAlignment w:val="auto"/>
    </w:pPr>
    <w:rPr>
      <w:rFonts w:ascii="標楷體" w:hAnsi="標楷體"/>
      <w:sz w:val="32"/>
    </w:rPr>
  </w:style>
  <w:style w:type="character" w:customStyle="1" w:styleId="apple-style-span">
    <w:name w:val="apple-style-span"/>
    <w:basedOn w:val="a0"/>
    <w:rsid w:val="00514426"/>
  </w:style>
  <w:style w:type="character" w:customStyle="1" w:styleId="apple-converted-space">
    <w:name w:val="apple-converted-space"/>
    <w:basedOn w:val="a0"/>
    <w:rsid w:val="00514426"/>
  </w:style>
  <w:style w:type="character" w:customStyle="1" w:styleId="affff2">
    <w:name w:val=" 字元 字元"/>
    <w:rsid w:val="00514426"/>
    <w:rPr>
      <w:rFonts w:eastAsia="標楷體"/>
      <w:kern w:val="2"/>
      <w:sz w:val="24"/>
      <w:szCs w:val="24"/>
      <w:lang w:val="en-US" w:eastAsia="zh-TW" w:bidi="ar-SA"/>
    </w:rPr>
  </w:style>
  <w:style w:type="paragraph" w:customStyle="1" w:styleId="213">
    <w:name w:val="樣式 標題 2 + 左:  1 字元 凸出:  3 字元"/>
    <w:basedOn w:val="2"/>
    <w:autoRedefine/>
    <w:rsid w:val="00514426"/>
    <w:pPr>
      <w:adjustRightInd w:val="0"/>
      <w:snapToGrid w:val="0"/>
      <w:spacing w:beforeLines="100" w:before="360" w:afterLines="100" w:after="360" w:line="280" w:lineRule="atLeast"/>
      <w:ind w:left="641" w:hangingChars="200" w:hanging="641"/>
    </w:pPr>
    <w:rPr>
      <w:rFonts w:ascii="Times New Roman" w:eastAsia="標楷體" w:hAnsi="Times New Roman" w:cs="新細明體"/>
      <w:bCs w:val="0"/>
      <w:sz w:val="32"/>
      <w:szCs w:val="20"/>
    </w:rPr>
  </w:style>
  <w:style w:type="paragraph" w:customStyle="1" w:styleId="10cm2">
    <w:name w:val="樣式 標題 1 + 左:  0 cm 凸出:  2 字元"/>
    <w:basedOn w:val="1"/>
    <w:autoRedefine/>
    <w:rsid w:val="00514426"/>
    <w:pPr>
      <w:tabs>
        <w:tab w:val="clear" w:pos="5387"/>
      </w:tabs>
      <w:snapToGrid w:val="0"/>
      <w:spacing w:beforeLines="100" w:before="100" w:afterLines="100" w:after="100" w:line="280" w:lineRule="atLeast"/>
      <w:ind w:left="200" w:rightChars="0" w:right="0" w:hangingChars="200" w:hanging="200"/>
      <w:jc w:val="left"/>
      <w:textAlignment w:val="auto"/>
    </w:pPr>
    <w:rPr>
      <w:rFonts w:cs="新細明體"/>
      <w:b/>
      <w:kern w:val="52"/>
    </w:rPr>
  </w:style>
  <w:style w:type="paragraph" w:customStyle="1" w:styleId="10cm20cm2">
    <w:name w:val="樣式 樣式 標題 1 + 左:  0 cm 凸出:  2 字元 + 左:  0 cm 凸出:  2 字元"/>
    <w:basedOn w:val="10cm2"/>
    <w:autoRedefine/>
    <w:rsid w:val="00514426"/>
    <w:pPr>
      <w:spacing w:before="360" w:after="360"/>
      <w:ind w:left="641" w:hanging="641"/>
    </w:pPr>
    <w:rPr>
      <w:bCs/>
    </w:rPr>
  </w:style>
  <w:style w:type="paragraph" w:customStyle="1" w:styleId="213130">
    <w:name w:val="樣式 樣式 樣式 標題 2 + 左:  1 字元 凸出:  3 字元 + 左:  1 字元 凸出:  3 字元 + 左:  0 ..."/>
    <w:basedOn w:val="a"/>
    <w:autoRedefine/>
    <w:rsid w:val="00514426"/>
    <w:pPr>
      <w:keepNext/>
      <w:snapToGrid w:val="0"/>
      <w:spacing w:beforeLines="100" w:before="100" w:afterLines="100" w:after="100" w:line="320" w:lineRule="atLeast"/>
      <w:ind w:left="200" w:hangingChars="200" w:hanging="200"/>
      <w:jc w:val="left"/>
      <w:textAlignment w:val="auto"/>
      <w:outlineLvl w:val="1"/>
    </w:pPr>
    <w:rPr>
      <w:rFonts w:cs="新細明體"/>
      <w:b/>
      <w:bCs/>
      <w:kern w:val="2"/>
      <w:sz w:val="32"/>
    </w:rPr>
  </w:style>
  <w:style w:type="character" w:customStyle="1" w:styleId="1a">
    <w:name w:val=" 字元 字元1"/>
    <w:rsid w:val="00514426"/>
    <w:rPr>
      <w:rFonts w:ascii="細明體" w:eastAsia="細明體" w:hAnsi="細明體" w:cs="細明體"/>
      <w:sz w:val="24"/>
      <w:szCs w:val="24"/>
    </w:rPr>
  </w:style>
  <w:style w:type="paragraph" w:styleId="Web">
    <w:name w:val="Normal (Web)"/>
    <w:basedOn w:val="a"/>
    <w:unhideWhenUsed/>
    <w:rsid w:val="00514426"/>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 w:type="character" w:customStyle="1" w:styleId="5">
    <w:name w:val=" 字元 字元5"/>
    <w:rsid w:val="00514426"/>
    <w:rPr>
      <w:rFonts w:ascii="細明體" w:eastAsia="細明體" w:hAnsi="細明體" w:cs="細明體"/>
      <w:sz w:val="24"/>
      <w:szCs w:val="24"/>
    </w:rPr>
  </w:style>
  <w:style w:type="paragraph" w:styleId="affff3">
    <w:name w:val="annotation text"/>
    <w:basedOn w:val="a"/>
    <w:link w:val="affff4"/>
    <w:semiHidden/>
    <w:unhideWhenUsed/>
    <w:rsid w:val="00514426"/>
    <w:pPr>
      <w:spacing w:line="240" w:lineRule="auto"/>
      <w:jc w:val="left"/>
    </w:pPr>
    <w:rPr>
      <w:rFonts w:ascii="Book Antiqua" w:hAnsi="Book Antiqua"/>
      <w:sz w:val="24"/>
      <w:szCs w:val="24"/>
    </w:rPr>
  </w:style>
  <w:style w:type="character" w:customStyle="1" w:styleId="affff4">
    <w:name w:val="註解文字 字元"/>
    <w:link w:val="affff3"/>
    <w:semiHidden/>
    <w:rsid w:val="00514426"/>
    <w:rPr>
      <w:rFonts w:ascii="Book Antiqua" w:eastAsia="標楷體" w:hAnsi="Book Antiqua"/>
      <w:sz w:val="24"/>
      <w:szCs w:val="24"/>
      <w:lang w:val="en-US" w:eastAsia="zh-TW" w:bidi="ar-SA"/>
    </w:rPr>
  </w:style>
  <w:style w:type="paragraph" w:styleId="affff5">
    <w:name w:val="annotation subject"/>
    <w:basedOn w:val="affff3"/>
    <w:next w:val="affff3"/>
    <w:link w:val="affff6"/>
    <w:semiHidden/>
    <w:unhideWhenUsed/>
    <w:rsid w:val="00514426"/>
    <w:rPr>
      <w:b/>
      <w:bCs/>
    </w:rPr>
  </w:style>
  <w:style w:type="character" w:customStyle="1" w:styleId="affff6">
    <w:name w:val="註解主旨 字元"/>
    <w:link w:val="affff5"/>
    <w:semiHidden/>
    <w:rsid w:val="00514426"/>
    <w:rPr>
      <w:rFonts w:ascii="Book Antiqua" w:eastAsia="標楷體" w:hAnsi="Book Antiqua"/>
      <w:b/>
      <w:bCs/>
      <w:sz w:val="24"/>
      <w:szCs w:val="24"/>
      <w:lang w:val="en-US" w:eastAsia="zh-TW" w:bidi="ar-SA"/>
    </w:rPr>
  </w:style>
  <w:style w:type="character" w:customStyle="1" w:styleId="law1">
    <w:name w:val="law1"/>
    <w:rsid w:val="00514426"/>
    <w:rPr>
      <w:strike w:val="0"/>
      <w:dstrike w:val="0"/>
      <w:color w:val="1B1B1B"/>
      <w:sz w:val="22"/>
      <w:szCs w:val="22"/>
      <w:u w:val="none"/>
      <w:effect w:val="none"/>
    </w:rPr>
  </w:style>
  <w:style w:type="character" w:customStyle="1" w:styleId="140">
    <w:name w:val="樣式 標楷體 14 點 黑色"/>
    <w:rsid w:val="00514426"/>
    <w:rPr>
      <w:rFonts w:ascii="標楷體" w:eastAsia="標楷體" w:hAnsi="標楷體"/>
      <w:color w:val="000000"/>
      <w:kern w:val="0"/>
      <w:sz w:val="28"/>
    </w:rPr>
  </w:style>
  <w:style w:type="character" w:customStyle="1" w:styleId="shorttext">
    <w:name w:val="short_text"/>
    <w:rsid w:val="00D26B2A"/>
    <w:rPr>
      <w:rFonts w:cs="Times New Roman"/>
    </w:rPr>
  </w:style>
  <w:style w:type="paragraph" w:customStyle="1" w:styleId="ListParagraph">
    <w:name w:val="List Paragraph"/>
    <w:basedOn w:val="a"/>
    <w:qFormat/>
    <w:rsid w:val="00D26B2A"/>
    <w:pPr>
      <w:widowControl/>
      <w:adjustRightInd/>
      <w:spacing w:line="240" w:lineRule="auto"/>
      <w:ind w:left="720"/>
      <w:contextualSpacing/>
      <w:jc w:val="left"/>
      <w:textAlignment w:val="auto"/>
    </w:pPr>
    <w:rPr>
      <w:rFonts w:eastAsia="新細明體"/>
      <w:sz w:val="24"/>
      <w:szCs w:val="24"/>
      <w:lang w:eastAsia="en-US"/>
    </w:rPr>
  </w:style>
  <w:style w:type="paragraph" w:customStyle="1" w:styleId="interpret1">
    <w:name w:val="interpret1"/>
    <w:basedOn w:val="a"/>
    <w:rsid w:val="00D26B2A"/>
    <w:pPr>
      <w:widowControl/>
      <w:adjustRightInd/>
      <w:spacing w:before="100" w:beforeAutospacing="1" w:after="100" w:afterAutospacing="1" w:line="240" w:lineRule="auto"/>
      <w:jc w:val="left"/>
      <w:textAlignment w:val="auto"/>
    </w:pPr>
    <w:rPr>
      <w:rFonts w:eastAsia="Times New Roman"/>
      <w:color w:val="00000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eb2.westlaw.com/find/default.wl?tc=-1&amp;docname=0135964601&amp;rp=%2ffind%2fdefault.wl&amp;sv=Split&amp;rs=WLW11.10&amp;db=PROFILER-WLD&amp;tf=-1&amp;findtype=h&amp;fn=_top&amp;mt=314&amp;vr=2.0&amp;pbc=AFDB8407&amp;ordoc=0288235976" TargetMode="External"/><Relationship Id="rId18" Type="http://schemas.openxmlformats.org/officeDocument/2006/relationships/hyperlink" Target="http://fn.yam.com/fninfo/php/article.php/384618"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eb2.westlaw.com/find/default.wl?tc=-1&amp;docname=0102599101&amp;rp=%2ffind%2fdefault.wl&amp;sv=Split&amp;rs=WLW11.10&amp;db=PROFILER-WLD&amp;tf=-1&amp;findtype=h&amp;fn=_top&amp;mt=314&amp;vr=2.0&amp;pbc=AFDB8407&amp;ordoc=0288235976" TargetMode="External"/><Relationship Id="rId17" Type="http://schemas.openxmlformats.org/officeDocument/2006/relationships/hyperlink" Target="http://stock.yam.com/rsh/article.php/350945"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otlaw.com.tw/blog/cpa/?p=14" TargetMode="External"/><Relationship Id="rId20" Type="http://schemas.openxmlformats.org/officeDocument/2006/relationships/hyperlink" Target="http://fn.yam.com/fninfo/php/article.php/384618"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log.rootlaw.com.tw/cpa/2008/05/14/%e9%87%8f%e8%83%bd%e8%aa%b2%e7%a8%85%e5%8e%9f%e5%89%87%e5%9c%a8%e6%89%80%e5%be%97%e7%a8%85%e6%b3%95%e4%b8%8a%e4%b9%8b%e5%af%a6%e8%b8%90/"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tock.yam.com/rsh/article.php/350945"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wto.trade.gov.tw/kmi.asp?xdurl=kmif.asp&amp;cat=CAT313"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8.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7018&#31684;&#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7018範本.dot</Template>
  <TotalTime>1</TotalTime>
  <Pages>381</Pages>
  <Words>32903</Words>
  <Characters>187552</Characters>
  <Application>Microsoft Office Word</Application>
  <DocSecurity>0</DocSecurity>
  <Lines>1562</Lines>
  <Paragraphs>440</Paragraphs>
  <ScaleCrop>false</ScaleCrop>
  <Company>總統府</Company>
  <LinksUpToDate>false</LinksUpToDate>
  <CharactersWithSpaces>220015</CharactersWithSpaces>
  <SharedDoc>false</SharedDoc>
  <HLinks>
    <vt:vector size="54" baseType="variant">
      <vt:variant>
        <vt:i4>2490476</vt:i4>
      </vt:variant>
      <vt:variant>
        <vt:i4>30</vt:i4>
      </vt:variant>
      <vt:variant>
        <vt:i4>0</vt:i4>
      </vt:variant>
      <vt:variant>
        <vt:i4>5</vt:i4>
      </vt:variant>
      <vt:variant>
        <vt:lpwstr>http://fn.yam.com/fninfo/php/article.php/384618</vt:lpwstr>
      </vt:variant>
      <vt:variant>
        <vt:lpwstr/>
      </vt:variant>
      <vt:variant>
        <vt:i4>7864433</vt:i4>
      </vt:variant>
      <vt:variant>
        <vt:i4>27</vt:i4>
      </vt:variant>
      <vt:variant>
        <vt:i4>0</vt:i4>
      </vt:variant>
      <vt:variant>
        <vt:i4>5</vt:i4>
      </vt:variant>
      <vt:variant>
        <vt:lpwstr>http://stock.yam.com/rsh/article.php/350945</vt:lpwstr>
      </vt:variant>
      <vt:variant>
        <vt:lpwstr/>
      </vt:variant>
      <vt:variant>
        <vt:i4>2490476</vt:i4>
      </vt:variant>
      <vt:variant>
        <vt:i4>18</vt:i4>
      </vt:variant>
      <vt:variant>
        <vt:i4>0</vt:i4>
      </vt:variant>
      <vt:variant>
        <vt:i4>5</vt:i4>
      </vt:variant>
      <vt:variant>
        <vt:lpwstr>http://fn.yam.com/fninfo/php/article.php/384618</vt:lpwstr>
      </vt:variant>
      <vt:variant>
        <vt:lpwstr/>
      </vt:variant>
      <vt:variant>
        <vt:i4>7864433</vt:i4>
      </vt:variant>
      <vt:variant>
        <vt:i4>15</vt:i4>
      </vt:variant>
      <vt:variant>
        <vt:i4>0</vt:i4>
      </vt:variant>
      <vt:variant>
        <vt:i4>5</vt:i4>
      </vt:variant>
      <vt:variant>
        <vt:lpwstr>http://stock.yam.com/rsh/article.php/350945</vt:lpwstr>
      </vt:variant>
      <vt:variant>
        <vt:lpwstr/>
      </vt:variant>
      <vt:variant>
        <vt:i4>4653070</vt:i4>
      </vt:variant>
      <vt:variant>
        <vt:i4>12</vt:i4>
      </vt:variant>
      <vt:variant>
        <vt:i4>0</vt:i4>
      </vt:variant>
      <vt:variant>
        <vt:i4>5</vt:i4>
      </vt:variant>
      <vt:variant>
        <vt:lpwstr>http://www.rootlaw.com.tw/blog/cpa/?p=14</vt:lpwstr>
      </vt:variant>
      <vt:variant>
        <vt:lpwstr/>
      </vt:variant>
      <vt:variant>
        <vt:i4>7340087</vt:i4>
      </vt:variant>
      <vt:variant>
        <vt:i4>9</vt:i4>
      </vt:variant>
      <vt:variant>
        <vt:i4>0</vt:i4>
      </vt:variant>
      <vt:variant>
        <vt:i4>5</vt:i4>
      </vt:variant>
      <vt:variant>
        <vt:lpwstr>http://blog.rootlaw.com.tw/cpa/2008/05/14/%e9%87%8f%e8%83%bd%e8%aa%b2%e7%a8%85%e5%8e%9f%e5%89%87%e5%9c%a8%e6%89%80%e5%be%97%e7%a8%85%e6%b3%95%e4%b8%8a%e4%b9%8b%e5%af%a6%e8%b8%90/</vt:lpwstr>
      </vt:variant>
      <vt:variant>
        <vt:lpwstr/>
      </vt:variant>
      <vt:variant>
        <vt:i4>2752548</vt:i4>
      </vt:variant>
      <vt:variant>
        <vt:i4>6</vt:i4>
      </vt:variant>
      <vt:variant>
        <vt:i4>0</vt:i4>
      </vt:variant>
      <vt:variant>
        <vt:i4>5</vt:i4>
      </vt:variant>
      <vt:variant>
        <vt:lpwstr>http://cwto.trade.gov.tw/kmi.asp?xdurl=kmif.asp&amp;cat=CAT313</vt:lpwstr>
      </vt:variant>
      <vt:variant>
        <vt:lpwstr/>
      </vt:variant>
      <vt:variant>
        <vt:i4>3670017</vt:i4>
      </vt:variant>
      <vt:variant>
        <vt:i4>3</vt:i4>
      </vt:variant>
      <vt:variant>
        <vt:i4>0</vt:i4>
      </vt:variant>
      <vt:variant>
        <vt:i4>5</vt:i4>
      </vt:variant>
      <vt:variant>
        <vt:lpwstr>http://web2.westlaw.com/find/default.wl?tc=-1&amp;docname=0135964601&amp;rp=%2ffind%2fdefault.wl&amp;sv=Split&amp;rs=WLW11.10&amp;db=PROFILER-WLD&amp;tf=-1&amp;findtype=h&amp;fn=_top&amp;mt=314&amp;vr=2.0&amp;pbc=AFDB8407&amp;ordoc=0288235976</vt:lpwstr>
      </vt:variant>
      <vt:variant>
        <vt:lpwstr/>
      </vt:variant>
      <vt:variant>
        <vt:i4>3604483</vt:i4>
      </vt:variant>
      <vt:variant>
        <vt:i4>0</vt:i4>
      </vt:variant>
      <vt:variant>
        <vt:i4>0</vt:i4>
      </vt:variant>
      <vt:variant>
        <vt:i4>5</vt:i4>
      </vt:variant>
      <vt:variant>
        <vt:lpwstr>http://web2.westlaw.com/find/default.wl?tc=-1&amp;docname=0102599101&amp;rp=%2ffind%2fdefault.wl&amp;sv=Split&amp;rs=WLW11.10&amp;db=PROFILER-WLD&amp;tf=-1&amp;findtype=h&amp;fn=_top&amp;mt=314&amp;vr=2.0&amp;pbc=AFDB8407&amp;ordoc=0288235976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jlwang</dc:creator>
  <cp:keywords/>
  <dc:description/>
  <cp:lastModifiedBy>林靖敏</cp:lastModifiedBy>
  <cp:revision>5</cp:revision>
  <cp:lastPrinted>2012-04-20T00:45:00Z</cp:lastPrinted>
  <dcterms:created xsi:type="dcterms:W3CDTF">2017-06-08T06:33:00Z</dcterms:created>
  <dcterms:modified xsi:type="dcterms:W3CDTF">2017-06-08T06:34:00Z</dcterms:modified>
</cp:coreProperties>
</file>