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56C5C" w14:textId="17520C34" w:rsidR="00603598" w:rsidRPr="00C03375" w:rsidRDefault="00167F04" w:rsidP="003A023B">
      <w:pPr>
        <w:overflowPunct w:val="0"/>
        <w:spacing w:line="440" w:lineRule="exact"/>
        <w:ind w:firstLine="680"/>
        <w:jc w:val="center"/>
        <w:rPr>
          <w:rFonts w:ascii="標楷體" w:eastAsia="標楷體" w:hAnsi="標楷體"/>
          <w:b/>
          <w:color w:val="000000" w:themeColor="text1"/>
          <w:sz w:val="36"/>
          <w:szCs w:val="36"/>
        </w:rPr>
      </w:pPr>
      <w:r w:rsidRPr="00C03375">
        <w:rPr>
          <w:rFonts w:ascii="標楷體" w:eastAsia="標楷體" w:hAnsi="標楷體"/>
          <w:b/>
          <w:color w:val="000000" w:themeColor="text1"/>
          <w:sz w:val="36"/>
          <w:szCs w:val="36"/>
        </w:rPr>
        <w:t>總統府主管</w:t>
      </w:r>
      <w:proofErr w:type="gramStart"/>
      <w:r w:rsidR="00056D1E" w:rsidRPr="00C03375">
        <w:rPr>
          <w:rFonts w:ascii="標楷體" w:eastAsia="標楷體" w:hAnsi="標楷體"/>
          <w:b/>
          <w:color w:val="000000" w:themeColor="text1"/>
          <w:sz w:val="36"/>
          <w:szCs w:val="36"/>
        </w:rPr>
        <w:t>1</w:t>
      </w:r>
      <w:r w:rsidR="00FE71AB" w:rsidRPr="00C03375">
        <w:rPr>
          <w:rFonts w:ascii="標楷體" w:eastAsia="標楷體" w:hAnsi="標楷體"/>
          <w:b/>
          <w:color w:val="000000" w:themeColor="text1"/>
          <w:sz w:val="36"/>
          <w:szCs w:val="36"/>
        </w:rPr>
        <w:t>1</w:t>
      </w:r>
      <w:r w:rsidR="007D0392" w:rsidRPr="00C03375">
        <w:rPr>
          <w:rFonts w:ascii="標楷體" w:eastAsia="標楷體" w:hAnsi="標楷體" w:hint="eastAsia"/>
          <w:b/>
          <w:color w:val="000000" w:themeColor="text1"/>
          <w:sz w:val="36"/>
          <w:szCs w:val="36"/>
        </w:rPr>
        <w:t>5</w:t>
      </w:r>
      <w:proofErr w:type="gramEnd"/>
      <w:r w:rsidRPr="00C03375">
        <w:rPr>
          <w:rFonts w:ascii="標楷體" w:eastAsia="標楷體" w:hAnsi="標楷體"/>
          <w:b/>
          <w:color w:val="000000" w:themeColor="text1"/>
          <w:sz w:val="36"/>
          <w:szCs w:val="36"/>
        </w:rPr>
        <w:t>年度施政</w:t>
      </w:r>
      <w:r w:rsidR="00603598" w:rsidRPr="00C03375">
        <w:rPr>
          <w:rFonts w:ascii="標楷體" w:eastAsia="標楷體" w:hAnsi="標楷體"/>
          <w:b/>
          <w:color w:val="000000" w:themeColor="text1"/>
          <w:sz w:val="36"/>
          <w:szCs w:val="36"/>
        </w:rPr>
        <w:t>及預算重點說明</w:t>
      </w:r>
    </w:p>
    <w:p w14:paraId="5EEAFB5C" w14:textId="77777777" w:rsidR="00F673B9" w:rsidRPr="00C03375" w:rsidRDefault="00F673B9" w:rsidP="003A023B">
      <w:pPr>
        <w:overflowPunct w:val="0"/>
        <w:spacing w:line="440" w:lineRule="exact"/>
        <w:ind w:firstLine="680"/>
        <w:jc w:val="center"/>
        <w:rPr>
          <w:rFonts w:ascii="標楷體" w:eastAsia="標楷體" w:hAnsi="標楷體"/>
          <w:color w:val="000000" w:themeColor="text1"/>
          <w:szCs w:val="24"/>
        </w:rPr>
      </w:pPr>
    </w:p>
    <w:p w14:paraId="77B9CE83" w14:textId="2C1FC8F7" w:rsidR="00603598" w:rsidRPr="00C03375" w:rsidRDefault="00603598" w:rsidP="003A023B">
      <w:pPr>
        <w:pStyle w:val="20"/>
        <w:overflowPunct w:val="0"/>
        <w:spacing w:line="440" w:lineRule="exact"/>
        <w:ind w:firstLine="567"/>
        <w:jc w:val="both"/>
        <w:rPr>
          <w:rFonts w:ascii="標楷體" w:eastAsia="標楷體" w:hAnsi="標楷體"/>
          <w:b w:val="0"/>
          <w:color w:val="000000" w:themeColor="text1"/>
          <w:szCs w:val="28"/>
        </w:rPr>
      </w:pPr>
      <w:r w:rsidRPr="00C03375">
        <w:rPr>
          <w:rFonts w:ascii="標楷體" w:eastAsia="標楷體" w:hAnsi="標楷體"/>
          <w:b w:val="0"/>
          <w:color w:val="000000" w:themeColor="text1"/>
          <w:szCs w:val="28"/>
        </w:rPr>
        <w:t>總統府主管</w:t>
      </w:r>
      <w:r w:rsidR="001D7651" w:rsidRPr="00C03375">
        <w:rPr>
          <w:rFonts w:ascii="標楷體" w:eastAsia="標楷體" w:hAnsi="標楷體"/>
          <w:b w:val="0"/>
          <w:color w:val="000000" w:themeColor="text1"/>
          <w:szCs w:val="28"/>
        </w:rPr>
        <w:t>包括總統府、國家安全會議、國史館、國史館臺灣文獻館</w:t>
      </w:r>
      <w:r w:rsidR="006918F8" w:rsidRPr="00C03375">
        <w:rPr>
          <w:rFonts w:ascii="標楷體" w:eastAsia="標楷體" w:hAnsi="標楷體"/>
          <w:b w:val="0"/>
          <w:color w:val="000000" w:themeColor="text1"/>
          <w:szCs w:val="28"/>
        </w:rPr>
        <w:t>及</w:t>
      </w:r>
      <w:r w:rsidR="001D7651" w:rsidRPr="00C03375">
        <w:rPr>
          <w:rFonts w:ascii="標楷體" w:eastAsia="標楷體" w:hAnsi="標楷體"/>
          <w:b w:val="0"/>
          <w:color w:val="000000" w:themeColor="text1"/>
          <w:szCs w:val="28"/>
        </w:rPr>
        <w:t>中央研究院，各機關之業務重點</w:t>
      </w:r>
      <w:r w:rsidRPr="00C03375">
        <w:rPr>
          <w:rFonts w:ascii="標楷體" w:eastAsia="標楷體" w:hAnsi="標楷體"/>
          <w:b w:val="0"/>
          <w:color w:val="000000" w:themeColor="text1"/>
          <w:szCs w:val="28"/>
        </w:rPr>
        <w:t>為公布法律、任免文武官員、</w:t>
      </w:r>
      <w:r w:rsidR="00D1464B" w:rsidRPr="00C03375">
        <w:rPr>
          <w:rFonts w:ascii="標楷體" w:eastAsia="標楷體" w:hAnsi="標楷體"/>
          <w:b w:val="0"/>
          <w:color w:val="000000" w:themeColor="text1"/>
          <w:szCs w:val="28"/>
        </w:rPr>
        <w:t>辦理國家慶典及新聞發布、</w:t>
      </w:r>
      <w:r w:rsidRPr="00C03375">
        <w:rPr>
          <w:rFonts w:ascii="標楷體" w:eastAsia="標楷體" w:hAnsi="標楷體"/>
          <w:b w:val="0"/>
          <w:color w:val="000000" w:themeColor="text1"/>
          <w:szCs w:val="28"/>
        </w:rPr>
        <w:t>國家發展研究及諮詢、公報編印及印信勳章鑄造；國家安全有關大政方針之諮詢；總統暨副總統文物、國家重要</w:t>
      </w:r>
      <w:r w:rsidR="00705730" w:rsidRPr="00C03375">
        <w:rPr>
          <w:rFonts w:ascii="標楷體" w:eastAsia="標楷體" w:hAnsi="標楷體"/>
          <w:b w:val="0"/>
          <w:color w:val="000000" w:themeColor="text1"/>
          <w:szCs w:val="28"/>
        </w:rPr>
        <w:t>檔案</w:t>
      </w:r>
      <w:r w:rsidRPr="00C03375">
        <w:rPr>
          <w:rFonts w:ascii="標楷體" w:eastAsia="標楷體" w:hAnsi="標楷體"/>
          <w:b w:val="0"/>
          <w:color w:val="000000" w:themeColor="text1"/>
          <w:szCs w:val="28"/>
        </w:rPr>
        <w:t>史料及</w:t>
      </w:r>
      <w:r w:rsidR="005C006F" w:rsidRPr="00C03375">
        <w:rPr>
          <w:rFonts w:ascii="標楷體" w:eastAsia="標楷體" w:hAnsi="標楷體"/>
          <w:b w:val="0"/>
          <w:color w:val="000000" w:themeColor="text1"/>
          <w:szCs w:val="28"/>
        </w:rPr>
        <w:t>臺灣文獻之採集、整編、典藏、研究與開放應用</w:t>
      </w:r>
      <w:r w:rsidRPr="00C03375">
        <w:rPr>
          <w:rFonts w:ascii="標楷體" w:eastAsia="標楷體" w:hAnsi="標楷體"/>
          <w:b w:val="0"/>
          <w:color w:val="000000" w:themeColor="text1"/>
          <w:szCs w:val="28"/>
        </w:rPr>
        <w:t>；積極從事人文及科學研究，指導、聯絡及獎勵學術研究，培養高級學術研究人才等。</w:t>
      </w:r>
    </w:p>
    <w:p w14:paraId="2E346C7B" w14:textId="0141F94F" w:rsidR="00603598" w:rsidRPr="00C03375" w:rsidRDefault="0047248D" w:rsidP="003A023B">
      <w:pPr>
        <w:overflowPunct w:val="0"/>
        <w:spacing w:line="440" w:lineRule="exact"/>
        <w:jc w:val="both"/>
        <w:outlineLvl w:val="0"/>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壹</w:t>
      </w:r>
      <w:r w:rsidR="00603598" w:rsidRPr="00C03375">
        <w:rPr>
          <w:rFonts w:ascii="標楷體" w:eastAsia="標楷體" w:hAnsi="標楷體"/>
          <w:color w:val="000000" w:themeColor="text1"/>
          <w:sz w:val="28"/>
          <w:szCs w:val="28"/>
        </w:rPr>
        <w:t>、</w:t>
      </w:r>
      <w:proofErr w:type="gramStart"/>
      <w:r w:rsidR="0084503F" w:rsidRPr="00C03375">
        <w:rPr>
          <w:rFonts w:ascii="標楷體" w:eastAsia="標楷體" w:hAnsi="標楷體"/>
          <w:color w:val="000000" w:themeColor="text1"/>
          <w:sz w:val="28"/>
          <w:szCs w:val="28"/>
        </w:rPr>
        <w:t>1</w:t>
      </w:r>
      <w:r w:rsidR="00FE71AB" w:rsidRPr="00C03375">
        <w:rPr>
          <w:rFonts w:ascii="標楷體" w:eastAsia="標楷體" w:hAnsi="標楷體"/>
          <w:color w:val="000000" w:themeColor="text1"/>
          <w:sz w:val="28"/>
          <w:szCs w:val="28"/>
        </w:rPr>
        <w:t>1</w:t>
      </w:r>
      <w:r w:rsidR="006E65F5" w:rsidRPr="00C03375">
        <w:rPr>
          <w:rFonts w:ascii="標楷體" w:eastAsia="標楷體" w:hAnsi="標楷體" w:hint="eastAsia"/>
          <w:color w:val="000000" w:themeColor="text1"/>
          <w:sz w:val="28"/>
          <w:szCs w:val="28"/>
        </w:rPr>
        <w:t>5</w:t>
      </w:r>
      <w:proofErr w:type="gramEnd"/>
      <w:r w:rsidR="0084503F" w:rsidRPr="00C03375">
        <w:rPr>
          <w:rFonts w:ascii="標楷體" w:eastAsia="標楷體" w:hAnsi="標楷體"/>
          <w:color w:val="000000" w:themeColor="text1"/>
          <w:sz w:val="28"/>
          <w:szCs w:val="28"/>
        </w:rPr>
        <w:t>年度施</w:t>
      </w:r>
      <w:r w:rsidR="00035861" w:rsidRPr="00C03375">
        <w:rPr>
          <w:rFonts w:ascii="標楷體" w:eastAsia="標楷體" w:hAnsi="標楷體"/>
          <w:color w:val="000000" w:themeColor="text1"/>
          <w:sz w:val="28"/>
          <w:szCs w:val="28"/>
        </w:rPr>
        <w:t>政目標</w:t>
      </w:r>
      <w:r w:rsidR="00177ABE" w:rsidRPr="00C03375">
        <w:rPr>
          <w:rFonts w:ascii="標楷體" w:eastAsia="標楷體" w:hAnsi="標楷體"/>
          <w:color w:val="000000" w:themeColor="text1"/>
          <w:sz w:val="28"/>
          <w:szCs w:val="28"/>
        </w:rPr>
        <w:t>：</w:t>
      </w:r>
    </w:p>
    <w:p w14:paraId="2C326BF3" w14:textId="7CD144E5" w:rsidR="001D7651" w:rsidRPr="00C03375" w:rsidRDefault="0047248D" w:rsidP="00BD1456">
      <w:pPr>
        <w:overflowPunct w:val="0"/>
        <w:spacing w:line="440" w:lineRule="exact"/>
        <w:ind w:left="490" w:hangingChars="175" w:hanging="49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一、</w:t>
      </w:r>
      <w:r w:rsidR="00BD1456" w:rsidRPr="00C03375">
        <w:rPr>
          <w:rFonts w:ascii="標楷體" w:eastAsia="標楷體" w:hAnsi="標楷體"/>
          <w:color w:val="000000" w:themeColor="text1"/>
          <w:sz w:val="28"/>
          <w:szCs w:val="28"/>
        </w:rPr>
        <w:t>總統府為總統依據憲法行使職權之幕僚機關，承命辦理有關事項，輔弼總統行使職權，促成國家大政之順利推行。目標及重點如下：</w:t>
      </w:r>
    </w:p>
    <w:p w14:paraId="17FD3254" w14:textId="45A0DB11" w:rsidR="0060231F" w:rsidRPr="00C03375" w:rsidRDefault="00BD1456"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辦理一般經常性之行政管理業務，提升業務發展，增進行政效率：依業務職掌處理一般經常性之事務管理，</w:t>
      </w:r>
      <w:proofErr w:type="gramStart"/>
      <w:r w:rsidRPr="00C03375">
        <w:rPr>
          <w:rFonts w:ascii="標楷體" w:eastAsia="標楷體" w:hAnsi="標楷體" w:hint="eastAsia"/>
          <w:color w:val="000000" w:themeColor="text1"/>
          <w:sz w:val="28"/>
          <w:szCs w:val="28"/>
        </w:rPr>
        <w:t>賡</w:t>
      </w:r>
      <w:proofErr w:type="gramEnd"/>
      <w:r w:rsidRPr="00C03375">
        <w:rPr>
          <w:rFonts w:ascii="標楷體" w:eastAsia="標楷體" w:hAnsi="標楷體" w:hint="eastAsia"/>
          <w:color w:val="000000" w:themeColor="text1"/>
          <w:sz w:val="28"/>
          <w:szCs w:val="28"/>
        </w:rPr>
        <w:t>續辦理建築、設備與環境之維護管理，適時</w:t>
      </w:r>
      <w:proofErr w:type="gramStart"/>
      <w:r w:rsidRPr="00C03375">
        <w:rPr>
          <w:rFonts w:ascii="標楷體" w:eastAsia="標楷體" w:hAnsi="標楷體" w:hint="eastAsia"/>
          <w:color w:val="000000" w:themeColor="text1"/>
          <w:sz w:val="28"/>
          <w:szCs w:val="28"/>
        </w:rPr>
        <w:t>汰</w:t>
      </w:r>
      <w:proofErr w:type="gramEnd"/>
      <w:r w:rsidRPr="00C03375">
        <w:rPr>
          <w:rFonts w:ascii="標楷體" w:eastAsia="標楷體" w:hAnsi="標楷體" w:hint="eastAsia"/>
          <w:color w:val="000000" w:themeColor="text1"/>
          <w:sz w:val="28"/>
          <w:szCs w:val="28"/>
        </w:rPr>
        <w:t>換老舊設備，妥善管理並活化總統府國定古蹟建物；</w:t>
      </w:r>
      <w:proofErr w:type="gramStart"/>
      <w:r w:rsidRPr="00C03375">
        <w:rPr>
          <w:rFonts w:ascii="標楷體" w:eastAsia="標楷體" w:hAnsi="標楷體" w:hint="eastAsia"/>
          <w:color w:val="000000" w:themeColor="text1"/>
          <w:sz w:val="28"/>
          <w:szCs w:val="28"/>
        </w:rPr>
        <w:t>健全資安</w:t>
      </w:r>
      <w:proofErr w:type="gramEnd"/>
      <w:r w:rsidRPr="00C03375">
        <w:rPr>
          <w:rFonts w:ascii="標楷體" w:eastAsia="標楷體" w:hAnsi="標楷體" w:hint="eastAsia"/>
          <w:color w:val="000000" w:themeColor="text1"/>
          <w:sz w:val="28"/>
          <w:szCs w:val="28"/>
        </w:rPr>
        <w:t>防護能力，建構可信賴安全的數位環境；強化</w:t>
      </w:r>
      <w:proofErr w:type="gramStart"/>
      <w:r w:rsidRPr="00C03375">
        <w:rPr>
          <w:rFonts w:ascii="標楷體" w:eastAsia="標楷體" w:hAnsi="標楷體" w:hint="eastAsia"/>
          <w:color w:val="000000" w:themeColor="text1"/>
          <w:sz w:val="28"/>
          <w:szCs w:val="28"/>
        </w:rPr>
        <w:t>侍</w:t>
      </w:r>
      <w:proofErr w:type="gramEnd"/>
      <w:r w:rsidRPr="00C03375">
        <w:rPr>
          <w:rFonts w:ascii="標楷體" w:eastAsia="標楷體" w:hAnsi="標楷體" w:hint="eastAsia"/>
          <w:color w:val="000000" w:themeColor="text1"/>
          <w:sz w:val="28"/>
          <w:szCs w:val="28"/>
        </w:rPr>
        <w:t>警衛人員教育訓練及精進專業技能，以確保國家元首、副元首之安全。</w:t>
      </w:r>
    </w:p>
    <w:p w14:paraId="6780782F" w14:textId="40F362AB" w:rsidR="0060231F" w:rsidRPr="00C03375" w:rsidRDefault="00BD1456"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縝密規劃辦理國家重要慶典及各項禮賓事務：辦理國家重要慶典，接待來訪友邦元首政要及各項禮賓事務，務期隆重周妥，傳達政府施政理念，凝聚國人向心力，提升我國國際能見度，並增進對外友好關係。</w:t>
      </w:r>
    </w:p>
    <w:p w14:paraId="468FA1B4" w14:textId="4B598469" w:rsidR="0060231F" w:rsidRPr="00C03375" w:rsidRDefault="00BD1456"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辦理總統行使職權幕僚業務，協助總統推動治國方針：辦理總統公布法律、任免文武官員及提名工作等幕僚作業，</w:t>
      </w:r>
      <w:proofErr w:type="gramStart"/>
      <w:r w:rsidRPr="00C03375">
        <w:rPr>
          <w:rFonts w:ascii="標楷體" w:eastAsia="標楷體" w:hAnsi="標楷體" w:hint="eastAsia"/>
          <w:color w:val="000000" w:themeColor="text1"/>
          <w:sz w:val="28"/>
          <w:szCs w:val="28"/>
        </w:rPr>
        <w:t>俾</w:t>
      </w:r>
      <w:proofErr w:type="gramEnd"/>
      <w:r w:rsidRPr="00C03375">
        <w:rPr>
          <w:rFonts w:ascii="標楷體" w:eastAsia="標楷體" w:hAnsi="標楷體" w:hint="eastAsia"/>
          <w:color w:val="000000" w:themeColor="text1"/>
          <w:sz w:val="28"/>
          <w:szCs w:val="28"/>
        </w:rPr>
        <w:t>利憲政體制正常運行，國家機關發揮職權功能；因應國內外政經情勢挑戰，協助總統</w:t>
      </w:r>
      <w:proofErr w:type="gramStart"/>
      <w:r w:rsidRPr="00C03375">
        <w:rPr>
          <w:rFonts w:ascii="標楷體" w:eastAsia="標楷體" w:hAnsi="標楷體" w:hint="eastAsia"/>
          <w:color w:val="000000" w:themeColor="text1"/>
          <w:sz w:val="28"/>
          <w:szCs w:val="28"/>
        </w:rPr>
        <w:t>擘</w:t>
      </w:r>
      <w:proofErr w:type="gramEnd"/>
      <w:r w:rsidRPr="00C03375">
        <w:rPr>
          <w:rFonts w:ascii="標楷體" w:eastAsia="標楷體" w:hAnsi="標楷體" w:hint="eastAsia"/>
          <w:color w:val="000000" w:themeColor="text1"/>
          <w:sz w:val="28"/>
          <w:szCs w:val="28"/>
        </w:rPr>
        <w:t>劃國家發展方針，經由設置任務編組、召開專案議題會議，強化溝通對話，凝聚社會共識，提升政策推動效能；辦理民眾陳情業務、彙整民情，供政府做為施政參考。</w:t>
      </w:r>
    </w:p>
    <w:p w14:paraId="0F3B4F2F" w14:textId="31298809" w:rsidR="0060231F" w:rsidRPr="00C03375" w:rsidRDefault="00BD1456"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辦理總統施政理念及政策訊息發布：適時辦理總統、總統府新聞記者會，處理政策訊息發布、新聞聯繫及推廣「總統府全球資訊網」內容，以增進國人及國際社會對總統施政理念與國家發展之認識。</w:t>
      </w:r>
    </w:p>
    <w:p w14:paraId="2FEC9F25" w14:textId="77777777" w:rsidR="00BD1456" w:rsidRPr="00C03375" w:rsidRDefault="00BD1456"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依法辦理卸任禮遇事項：依據「卸任總統副總統禮遇條例」規定，提供各項卸任禮遇事項。</w:t>
      </w:r>
    </w:p>
    <w:p w14:paraId="584B8E35" w14:textId="77777777" w:rsidR="00BD1456" w:rsidRPr="00C03375" w:rsidRDefault="00BD1456"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發行總統府公報</w:t>
      </w:r>
      <w:proofErr w:type="gramStart"/>
      <w:r w:rsidRPr="00C03375">
        <w:rPr>
          <w:rFonts w:ascii="標楷體" w:eastAsia="標楷體" w:hAnsi="標楷體" w:hint="eastAsia"/>
          <w:color w:val="000000" w:themeColor="text1"/>
          <w:sz w:val="28"/>
          <w:szCs w:val="28"/>
        </w:rPr>
        <w:t>及鑄發機關</w:t>
      </w:r>
      <w:proofErr w:type="gramEnd"/>
      <w:r w:rsidRPr="00C03375">
        <w:rPr>
          <w:rFonts w:ascii="標楷體" w:eastAsia="標楷體" w:hAnsi="標楷體" w:hint="eastAsia"/>
          <w:color w:val="000000" w:themeColor="text1"/>
          <w:sz w:val="28"/>
          <w:szCs w:val="28"/>
        </w:rPr>
        <w:t>印信：發行總統府公報，使各機關公務</w:t>
      </w:r>
      <w:r w:rsidRPr="00C03375">
        <w:rPr>
          <w:rFonts w:ascii="標楷體" w:eastAsia="標楷體" w:hAnsi="標楷體" w:hint="eastAsia"/>
          <w:color w:val="000000" w:themeColor="text1"/>
          <w:sz w:val="28"/>
          <w:szCs w:val="28"/>
        </w:rPr>
        <w:lastRenderedPageBreak/>
        <w:t>人員與民眾對政府公布、修正及廢止法律、命令等周知遵行；依機關實際</w:t>
      </w:r>
      <w:proofErr w:type="gramStart"/>
      <w:r w:rsidRPr="00C03375">
        <w:rPr>
          <w:rFonts w:ascii="標楷體" w:eastAsia="標楷體" w:hAnsi="標楷體" w:hint="eastAsia"/>
          <w:color w:val="000000" w:themeColor="text1"/>
          <w:sz w:val="28"/>
          <w:szCs w:val="28"/>
        </w:rPr>
        <w:t>需要鑄發</w:t>
      </w:r>
      <w:proofErr w:type="gramEnd"/>
      <w:r w:rsidRPr="00C03375">
        <w:rPr>
          <w:rFonts w:ascii="標楷體" w:eastAsia="標楷體" w:hAnsi="標楷體" w:hint="eastAsia"/>
          <w:color w:val="000000" w:themeColor="text1"/>
          <w:sz w:val="28"/>
          <w:szCs w:val="28"/>
        </w:rPr>
        <w:t>印信。</w:t>
      </w:r>
    </w:p>
    <w:p w14:paraId="3404B916" w14:textId="77777777" w:rsidR="00BD1456" w:rsidRPr="00C03375" w:rsidRDefault="00BD1456"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辦理授予榮典：配合總統依憲法行使榮典權，頒贈勳章予國內、外對國家或社會有勳勞之人士，以敦睦邦交、激勵國人。</w:t>
      </w:r>
    </w:p>
    <w:p w14:paraId="60C37940" w14:textId="7F876BC5" w:rsidR="000714AD" w:rsidRPr="00C03375" w:rsidRDefault="0047248D" w:rsidP="003A023B">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二、</w:t>
      </w:r>
      <w:r w:rsidRPr="00C03375">
        <w:rPr>
          <w:rFonts w:ascii="標楷體" w:eastAsia="標楷體" w:hAnsi="標楷體"/>
          <w:color w:val="000000" w:themeColor="text1"/>
          <w:sz w:val="28"/>
          <w:szCs w:val="28"/>
        </w:rPr>
        <w:tab/>
      </w:r>
      <w:r w:rsidR="00562F15" w:rsidRPr="00C03375">
        <w:rPr>
          <w:rFonts w:ascii="標楷體" w:eastAsia="標楷體" w:hAnsi="標楷體"/>
          <w:color w:val="000000" w:themeColor="text1"/>
          <w:sz w:val="28"/>
          <w:szCs w:val="28"/>
        </w:rPr>
        <w:t>國家安全會議依據憲法及國家安全會議組織法，針對當前國防、外交、兩岸關係及國家重大變故之相關事項，透過規劃</w:t>
      </w:r>
      <w:proofErr w:type="gramStart"/>
      <w:r w:rsidR="00562F15" w:rsidRPr="00C03375">
        <w:rPr>
          <w:rFonts w:ascii="標楷體" w:eastAsia="標楷體" w:hAnsi="標楷體"/>
          <w:color w:val="000000" w:themeColor="text1"/>
          <w:sz w:val="28"/>
          <w:szCs w:val="28"/>
        </w:rPr>
        <w:t>研</w:t>
      </w:r>
      <w:proofErr w:type="gramEnd"/>
      <w:r w:rsidR="00562F15" w:rsidRPr="00C03375">
        <w:rPr>
          <w:rFonts w:ascii="標楷體" w:eastAsia="標楷體" w:hAnsi="標楷體"/>
          <w:color w:val="000000" w:themeColor="text1"/>
          <w:sz w:val="28"/>
          <w:szCs w:val="28"/>
        </w:rPr>
        <w:t>議、協調整合及諮詢分析之運作方式，提供總統決策之參考。目標及重點如下</w:t>
      </w:r>
      <w:r w:rsidR="00B03B2A" w:rsidRPr="00C03375">
        <w:rPr>
          <w:rFonts w:ascii="標楷體" w:eastAsia="標楷體" w:hAnsi="標楷體"/>
          <w:color w:val="000000" w:themeColor="text1"/>
          <w:sz w:val="28"/>
          <w:szCs w:val="28"/>
        </w:rPr>
        <w:t>：</w:t>
      </w:r>
    </w:p>
    <w:p w14:paraId="460F857C" w14:textId="2BE273B3" w:rsidR="00D2248C" w:rsidRPr="00C03375" w:rsidRDefault="0047248D" w:rsidP="003A023B">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ab/>
      </w:r>
      <w:r w:rsidR="00562F15" w:rsidRPr="00C03375">
        <w:rPr>
          <w:rFonts w:ascii="標楷體" w:eastAsia="標楷體" w:hAnsi="標楷體"/>
          <w:color w:val="000000" w:themeColor="text1"/>
          <w:sz w:val="28"/>
          <w:szCs w:val="28"/>
        </w:rPr>
        <w:t>協助</w:t>
      </w:r>
      <w:proofErr w:type="gramStart"/>
      <w:r w:rsidR="00562F15" w:rsidRPr="00C03375">
        <w:rPr>
          <w:rFonts w:ascii="標楷體" w:eastAsia="標楷體" w:hAnsi="標楷體"/>
          <w:color w:val="000000" w:themeColor="text1"/>
          <w:sz w:val="28"/>
          <w:szCs w:val="28"/>
        </w:rPr>
        <w:t>研</w:t>
      </w:r>
      <w:proofErr w:type="gramEnd"/>
      <w:r w:rsidR="00562F15" w:rsidRPr="00C03375">
        <w:rPr>
          <w:rFonts w:ascii="標楷體" w:eastAsia="標楷體" w:hAnsi="標楷體"/>
          <w:color w:val="000000" w:themeColor="text1"/>
          <w:sz w:val="28"/>
          <w:szCs w:val="28"/>
        </w:rPr>
        <w:t>處國防事務：因應國內外戰略環境趨勢與國防安全威脅，</w:t>
      </w:r>
      <w:proofErr w:type="gramStart"/>
      <w:r w:rsidR="00562F15" w:rsidRPr="00C03375">
        <w:rPr>
          <w:rFonts w:ascii="標楷體" w:eastAsia="標楷體" w:hAnsi="標楷體"/>
          <w:color w:val="000000" w:themeColor="text1"/>
          <w:sz w:val="28"/>
          <w:szCs w:val="28"/>
        </w:rPr>
        <w:t>研</w:t>
      </w:r>
      <w:proofErr w:type="gramEnd"/>
      <w:r w:rsidR="00562F15" w:rsidRPr="00C03375">
        <w:rPr>
          <w:rFonts w:ascii="標楷體" w:eastAsia="標楷體" w:hAnsi="標楷體"/>
          <w:color w:val="000000" w:themeColor="text1"/>
          <w:sz w:val="28"/>
          <w:szCs w:val="28"/>
        </w:rPr>
        <w:t>析國防戰略與軍事戰備整備，持續擴大國際軍事交流合作，</w:t>
      </w:r>
      <w:proofErr w:type="gramStart"/>
      <w:r w:rsidR="00562F15" w:rsidRPr="00C03375">
        <w:rPr>
          <w:rFonts w:ascii="標楷體" w:eastAsia="標楷體" w:hAnsi="標楷體"/>
          <w:color w:val="000000" w:themeColor="text1"/>
          <w:sz w:val="28"/>
          <w:szCs w:val="28"/>
        </w:rPr>
        <w:t>提升並精進</w:t>
      </w:r>
      <w:proofErr w:type="gramEnd"/>
      <w:r w:rsidR="00562F15" w:rsidRPr="00C03375">
        <w:rPr>
          <w:rFonts w:ascii="標楷體" w:eastAsia="標楷體" w:hAnsi="標楷體"/>
          <w:color w:val="000000" w:themeColor="text1"/>
          <w:sz w:val="28"/>
          <w:szCs w:val="28"/>
        </w:rPr>
        <w:t>國軍戰力，以建構堅實國防，有效掌控</w:t>
      </w:r>
      <w:proofErr w:type="gramStart"/>
      <w:r w:rsidR="00562F15" w:rsidRPr="00C03375">
        <w:rPr>
          <w:rFonts w:ascii="標楷體" w:eastAsia="標楷體" w:hAnsi="標楷體"/>
          <w:color w:val="000000" w:themeColor="text1"/>
          <w:sz w:val="28"/>
          <w:szCs w:val="28"/>
        </w:rPr>
        <w:t>臺</w:t>
      </w:r>
      <w:proofErr w:type="gramEnd"/>
      <w:r w:rsidR="00562F15" w:rsidRPr="00C03375">
        <w:rPr>
          <w:rFonts w:ascii="標楷體" w:eastAsia="標楷體" w:hAnsi="標楷體"/>
          <w:color w:val="000000" w:themeColor="text1"/>
          <w:sz w:val="28"/>
          <w:szCs w:val="28"/>
        </w:rPr>
        <w:t>海周邊情勢，促進國防產業發展</w:t>
      </w:r>
      <w:r w:rsidR="00B03B2A" w:rsidRPr="00C03375">
        <w:rPr>
          <w:rFonts w:ascii="標楷體" w:eastAsia="標楷體" w:hAnsi="標楷體"/>
          <w:color w:val="000000" w:themeColor="text1"/>
          <w:sz w:val="28"/>
          <w:szCs w:val="28"/>
        </w:rPr>
        <w:t>。</w:t>
      </w:r>
    </w:p>
    <w:p w14:paraId="5C80BBD7" w14:textId="4B517BE4" w:rsidR="00D2248C" w:rsidRPr="00C03375" w:rsidRDefault="00562F15" w:rsidP="003A023B">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協助提升外交關係及推動區域安全等事務：因應全球局勢變化，做為負責任的國際社會成員，秉持民主、自由、人權價值，結合理念相近國家，積極參與國際組織與活動，共同維護以規則為基礎的國際秩序，持續拓展國際友</w:t>
      </w:r>
      <w:proofErr w:type="gramStart"/>
      <w:r w:rsidRPr="00C03375">
        <w:rPr>
          <w:rFonts w:ascii="標楷體" w:eastAsia="標楷體" w:hAnsi="標楷體"/>
          <w:color w:val="000000" w:themeColor="text1"/>
          <w:sz w:val="28"/>
          <w:szCs w:val="28"/>
        </w:rPr>
        <w:t>臺</w:t>
      </w:r>
      <w:proofErr w:type="gramEnd"/>
      <w:r w:rsidRPr="00C03375">
        <w:rPr>
          <w:rFonts w:ascii="標楷體" w:eastAsia="標楷體" w:hAnsi="標楷體"/>
          <w:color w:val="000000" w:themeColor="text1"/>
          <w:sz w:val="28"/>
          <w:szCs w:val="28"/>
        </w:rPr>
        <w:t>能量，深化邦交及實質關係</w:t>
      </w:r>
      <w:r w:rsidR="00B03B2A" w:rsidRPr="00C03375">
        <w:rPr>
          <w:rFonts w:ascii="標楷體" w:eastAsia="標楷體" w:hAnsi="標楷體"/>
          <w:color w:val="000000" w:themeColor="text1"/>
          <w:sz w:val="28"/>
          <w:szCs w:val="28"/>
        </w:rPr>
        <w:t>。</w:t>
      </w:r>
    </w:p>
    <w:p w14:paraId="51B3001F" w14:textId="5248C7AA" w:rsidR="00D2248C" w:rsidRPr="00C03375" w:rsidRDefault="00050967" w:rsidP="00050967">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協助</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處美中</w:t>
      </w:r>
      <w:proofErr w:type="gramStart"/>
      <w:r w:rsidRPr="00C03375">
        <w:rPr>
          <w:rFonts w:ascii="標楷體" w:eastAsia="標楷體" w:hAnsi="標楷體" w:hint="eastAsia"/>
          <w:color w:val="000000" w:themeColor="text1"/>
          <w:sz w:val="28"/>
          <w:szCs w:val="28"/>
        </w:rPr>
        <w:t>臺</w:t>
      </w:r>
      <w:proofErr w:type="gramEnd"/>
      <w:r w:rsidRPr="00C03375">
        <w:rPr>
          <w:rFonts w:ascii="標楷體" w:eastAsia="標楷體" w:hAnsi="標楷體" w:hint="eastAsia"/>
          <w:color w:val="000000" w:themeColor="text1"/>
          <w:sz w:val="28"/>
          <w:szCs w:val="28"/>
        </w:rPr>
        <w:t>及兩岸關係等事務：關注美國總統川普上任後推動之新政措施，對國際政經秩序及對美中</w:t>
      </w:r>
      <w:proofErr w:type="gramStart"/>
      <w:r w:rsidRPr="00C03375">
        <w:rPr>
          <w:rFonts w:ascii="標楷體" w:eastAsia="標楷體" w:hAnsi="標楷體" w:hint="eastAsia"/>
          <w:color w:val="000000" w:themeColor="text1"/>
          <w:sz w:val="28"/>
          <w:szCs w:val="28"/>
        </w:rPr>
        <w:t>臺</w:t>
      </w:r>
      <w:proofErr w:type="gramEnd"/>
      <w:r w:rsidRPr="00C03375">
        <w:rPr>
          <w:rFonts w:ascii="標楷體" w:eastAsia="標楷體" w:hAnsi="標楷體" w:hint="eastAsia"/>
          <w:color w:val="000000" w:themeColor="text1"/>
          <w:sz w:val="28"/>
          <w:szCs w:val="28"/>
        </w:rPr>
        <w:t>與兩岸關係之影響，以及俄烏、中東等全球安全情勢之變化；密切掌握中國大陸內外政策及對</w:t>
      </w:r>
      <w:proofErr w:type="gramStart"/>
      <w:r w:rsidRPr="00C03375">
        <w:rPr>
          <w:rFonts w:ascii="標楷體" w:eastAsia="標楷體" w:hAnsi="標楷體" w:hint="eastAsia"/>
          <w:color w:val="000000" w:themeColor="text1"/>
          <w:sz w:val="28"/>
          <w:szCs w:val="28"/>
        </w:rPr>
        <w:t>臺</w:t>
      </w:r>
      <w:proofErr w:type="gramEnd"/>
      <w:r w:rsidRPr="00C03375">
        <w:rPr>
          <w:rFonts w:ascii="標楷體" w:eastAsia="標楷體" w:hAnsi="標楷體" w:hint="eastAsia"/>
          <w:color w:val="000000" w:themeColor="text1"/>
          <w:sz w:val="28"/>
          <w:szCs w:val="28"/>
        </w:rPr>
        <w:t>策略變化，並</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擬因應作為，以維持</w:t>
      </w:r>
      <w:proofErr w:type="gramStart"/>
      <w:r w:rsidRPr="00C03375">
        <w:rPr>
          <w:rFonts w:ascii="標楷體" w:eastAsia="標楷體" w:hAnsi="標楷體" w:hint="eastAsia"/>
          <w:color w:val="000000" w:themeColor="text1"/>
          <w:sz w:val="28"/>
          <w:szCs w:val="28"/>
        </w:rPr>
        <w:t>臺</w:t>
      </w:r>
      <w:proofErr w:type="gramEnd"/>
      <w:r w:rsidRPr="00C03375">
        <w:rPr>
          <w:rFonts w:ascii="標楷體" w:eastAsia="標楷體" w:hAnsi="標楷體" w:hint="eastAsia"/>
          <w:color w:val="000000" w:themeColor="text1"/>
          <w:sz w:val="28"/>
          <w:szCs w:val="28"/>
        </w:rPr>
        <w:t>海和平穩定；推動強韌永續的國家經貿戰略，促進經濟穩定及繁榮發展。</w:t>
      </w:r>
    </w:p>
    <w:p w14:paraId="1A4DC67A" w14:textId="77777777" w:rsidR="00050967" w:rsidRPr="00C03375" w:rsidRDefault="00562F15" w:rsidP="0003296E">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協助</w:t>
      </w:r>
      <w:proofErr w:type="gramStart"/>
      <w:r w:rsidRPr="00C03375">
        <w:rPr>
          <w:rFonts w:ascii="標楷體" w:eastAsia="標楷體" w:hAnsi="標楷體"/>
          <w:color w:val="000000" w:themeColor="text1"/>
          <w:sz w:val="28"/>
          <w:szCs w:val="28"/>
        </w:rPr>
        <w:t>研擬非</w:t>
      </w:r>
      <w:proofErr w:type="gramEnd"/>
      <w:r w:rsidRPr="00C03375">
        <w:rPr>
          <w:rFonts w:ascii="標楷體" w:eastAsia="標楷體" w:hAnsi="標楷體"/>
          <w:color w:val="000000" w:themeColor="text1"/>
          <w:sz w:val="28"/>
          <w:szCs w:val="28"/>
        </w:rPr>
        <w:t>傳統安全威脅因應策略：</w:t>
      </w:r>
      <w:r w:rsidR="00050967" w:rsidRPr="00C03375">
        <w:rPr>
          <w:rFonts w:ascii="標楷體" w:eastAsia="標楷體" w:hAnsi="標楷體" w:hint="eastAsia"/>
          <w:color w:val="000000" w:themeColor="text1"/>
          <w:sz w:val="28"/>
          <w:szCs w:val="28"/>
        </w:rPr>
        <w:t>全面掌握國家層級</w:t>
      </w:r>
      <w:proofErr w:type="gramStart"/>
      <w:r w:rsidR="00050967" w:rsidRPr="00C03375">
        <w:rPr>
          <w:rFonts w:ascii="標楷體" w:eastAsia="標楷體" w:hAnsi="標楷體" w:hint="eastAsia"/>
          <w:color w:val="000000" w:themeColor="text1"/>
          <w:sz w:val="28"/>
          <w:szCs w:val="28"/>
        </w:rPr>
        <w:t>的資安風險</w:t>
      </w:r>
      <w:proofErr w:type="gramEnd"/>
      <w:r w:rsidR="00050967" w:rsidRPr="00C03375">
        <w:rPr>
          <w:rFonts w:ascii="標楷體" w:eastAsia="標楷體" w:hAnsi="標楷體" w:hint="eastAsia"/>
          <w:color w:val="000000" w:themeColor="text1"/>
          <w:sz w:val="28"/>
          <w:szCs w:val="28"/>
        </w:rPr>
        <w:t>，統合資</w:t>
      </w:r>
      <w:proofErr w:type="gramStart"/>
      <w:r w:rsidR="00050967" w:rsidRPr="00C03375">
        <w:rPr>
          <w:rFonts w:ascii="標楷體" w:eastAsia="標楷體" w:hAnsi="標楷體" w:hint="eastAsia"/>
          <w:color w:val="000000" w:themeColor="text1"/>
          <w:sz w:val="28"/>
          <w:szCs w:val="28"/>
        </w:rPr>
        <w:t>安戰情</w:t>
      </w:r>
      <w:proofErr w:type="gramEnd"/>
      <w:r w:rsidR="00050967" w:rsidRPr="00C03375">
        <w:rPr>
          <w:rFonts w:ascii="標楷體" w:eastAsia="標楷體" w:hAnsi="標楷體" w:hint="eastAsia"/>
          <w:color w:val="000000" w:themeColor="text1"/>
          <w:sz w:val="28"/>
          <w:szCs w:val="28"/>
        </w:rPr>
        <w:t>之蒐集與分析，強化關鍵基礎安全及主動防禦能量，與深化國際合作，積極投入</w:t>
      </w:r>
      <w:proofErr w:type="gramStart"/>
      <w:r w:rsidR="00050967" w:rsidRPr="00C03375">
        <w:rPr>
          <w:rFonts w:ascii="標楷體" w:eastAsia="標楷體" w:hAnsi="標楷體" w:hint="eastAsia"/>
          <w:color w:val="000000" w:themeColor="text1"/>
          <w:sz w:val="28"/>
          <w:szCs w:val="28"/>
        </w:rPr>
        <w:t>國際資安社</w:t>
      </w:r>
      <w:proofErr w:type="gramEnd"/>
      <w:r w:rsidR="00050967" w:rsidRPr="00C03375">
        <w:rPr>
          <w:rFonts w:ascii="標楷體" w:eastAsia="標楷體" w:hAnsi="標楷體" w:hint="eastAsia"/>
          <w:color w:val="000000" w:themeColor="text1"/>
          <w:sz w:val="28"/>
          <w:szCs w:val="28"/>
        </w:rPr>
        <w:t>群。</w:t>
      </w:r>
    </w:p>
    <w:p w14:paraId="60D4C91C" w14:textId="77777777" w:rsidR="00050967" w:rsidRPr="00C03375" w:rsidRDefault="00562F15" w:rsidP="00050967">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協助</w:t>
      </w:r>
      <w:proofErr w:type="gramStart"/>
      <w:r w:rsidRPr="00C03375">
        <w:rPr>
          <w:rFonts w:ascii="標楷體" w:eastAsia="標楷體" w:hAnsi="標楷體"/>
          <w:color w:val="000000" w:themeColor="text1"/>
          <w:sz w:val="28"/>
          <w:szCs w:val="28"/>
        </w:rPr>
        <w:t>研擬資安</w:t>
      </w:r>
      <w:proofErr w:type="gramEnd"/>
      <w:r w:rsidRPr="00C03375">
        <w:rPr>
          <w:rFonts w:ascii="標楷體" w:eastAsia="標楷體" w:hAnsi="標楷體"/>
          <w:color w:val="000000" w:themeColor="text1"/>
          <w:sz w:val="28"/>
          <w:szCs w:val="28"/>
        </w:rPr>
        <w:t>發展戰略與推動策略：</w:t>
      </w:r>
      <w:r w:rsidR="00050967" w:rsidRPr="00C03375">
        <w:rPr>
          <w:rFonts w:ascii="標楷體" w:eastAsia="標楷體" w:hAnsi="標楷體" w:hint="eastAsia"/>
          <w:color w:val="000000" w:themeColor="text1"/>
          <w:sz w:val="28"/>
          <w:szCs w:val="28"/>
        </w:rPr>
        <w:t>因應前瞻科技發展布局及複合式網路攻擊威脅，立基全社會防衛韌性的思維，</w:t>
      </w:r>
      <w:proofErr w:type="gramStart"/>
      <w:r w:rsidR="00050967" w:rsidRPr="00C03375">
        <w:rPr>
          <w:rFonts w:ascii="標楷體" w:eastAsia="標楷體" w:hAnsi="標楷體" w:hint="eastAsia"/>
          <w:color w:val="000000" w:themeColor="text1"/>
          <w:sz w:val="28"/>
          <w:szCs w:val="28"/>
        </w:rPr>
        <w:t>研</w:t>
      </w:r>
      <w:proofErr w:type="gramEnd"/>
      <w:r w:rsidR="00050967" w:rsidRPr="00C03375">
        <w:rPr>
          <w:rFonts w:ascii="標楷體" w:eastAsia="標楷體" w:hAnsi="標楷體" w:hint="eastAsia"/>
          <w:color w:val="000000" w:themeColor="text1"/>
          <w:sz w:val="28"/>
          <w:szCs w:val="28"/>
        </w:rPr>
        <w:t>擬強化公私協力與聯防機制的策略，提升國內各關鍵產業及供應鏈</w:t>
      </w:r>
      <w:proofErr w:type="gramStart"/>
      <w:r w:rsidR="00050967" w:rsidRPr="00C03375">
        <w:rPr>
          <w:rFonts w:ascii="標楷體" w:eastAsia="標楷體" w:hAnsi="標楷體" w:hint="eastAsia"/>
          <w:color w:val="000000" w:themeColor="text1"/>
          <w:sz w:val="28"/>
          <w:szCs w:val="28"/>
        </w:rPr>
        <w:t>的資安防護</w:t>
      </w:r>
      <w:proofErr w:type="gramEnd"/>
      <w:r w:rsidR="00050967" w:rsidRPr="00C03375">
        <w:rPr>
          <w:rFonts w:ascii="標楷體" w:eastAsia="標楷體" w:hAnsi="標楷體" w:hint="eastAsia"/>
          <w:color w:val="000000" w:themeColor="text1"/>
          <w:sz w:val="28"/>
          <w:szCs w:val="28"/>
        </w:rPr>
        <w:t>，厚實應變防禦量能。</w:t>
      </w:r>
    </w:p>
    <w:p w14:paraId="36DCFCEB" w14:textId="2F6C2BF4" w:rsidR="00050967" w:rsidRPr="00C03375" w:rsidRDefault="00050967" w:rsidP="00050967">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協助</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擬戰略溝通策略及應處機制：即時因應全球情勢變化，持續強化我對國內外局勢預判，並協調、整合跨部門及專家學者等，共同</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擬戰略溝通應對策略及作為。</w:t>
      </w:r>
    </w:p>
    <w:p w14:paraId="63DEFD0A" w14:textId="00B92AA6" w:rsidR="00050967" w:rsidRPr="00C03375" w:rsidRDefault="00050967" w:rsidP="00050967">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協助</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處全社會防衛韌性，國內資源整備、演練及國際合作事宜，並推動國際智庫交流、多軌外交等事務：因應國際局勢發展與國家安全威脅，我國需提升全民自我保護能力及強化臺灣社會整體韌</w:t>
      </w:r>
      <w:r w:rsidRPr="00C03375">
        <w:rPr>
          <w:rFonts w:ascii="標楷體" w:eastAsia="標楷體" w:hAnsi="標楷體" w:hint="eastAsia"/>
          <w:color w:val="000000" w:themeColor="text1"/>
          <w:sz w:val="28"/>
          <w:szCs w:val="28"/>
        </w:rPr>
        <w:lastRenderedPageBreak/>
        <w:t>性，以建構國人應變緊急災害能力；密切與國際智庫溝通，以掌握國際社會政策變化，藉以預判全球情勢並</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擬因應措施，同時深化臺灣國際參與及國際能見度。</w:t>
      </w:r>
    </w:p>
    <w:p w14:paraId="4297DE19" w14:textId="421D6CDE" w:rsidR="000714AD" w:rsidRPr="00C03375" w:rsidRDefault="001D7651" w:rsidP="00B3182F">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三</w:t>
      </w:r>
      <w:r w:rsidR="0047248D" w:rsidRPr="00C03375">
        <w:rPr>
          <w:rFonts w:ascii="標楷體" w:eastAsia="標楷體" w:hAnsi="標楷體"/>
          <w:color w:val="000000" w:themeColor="text1"/>
          <w:sz w:val="28"/>
          <w:szCs w:val="28"/>
        </w:rPr>
        <w:t>、</w:t>
      </w:r>
      <w:r w:rsidR="009B330D" w:rsidRPr="00C03375">
        <w:rPr>
          <w:rFonts w:ascii="標楷體" w:eastAsia="標楷體" w:hAnsi="標楷體"/>
          <w:color w:val="000000" w:themeColor="text1"/>
          <w:sz w:val="28"/>
          <w:szCs w:val="28"/>
        </w:rPr>
        <w:tab/>
      </w:r>
      <w:r w:rsidR="00F734AD" w:rsidRPr="00C03375">
        <w:rPr>
          <w:rFonts w:ascii="標楷體" w:eastAsia="標楷體" w:hAnsi="標楷體"/>
          <w:color w:val="000000" w:themeColor="text1"/>
          <w:sz w:val="28"/>
          <w:szCs w:val="28"/>
        </w:rPr>
        <w:t>國</w:t>
      </w:r>
      <w:r w:rsidR="00B3182F" w:rsidRPr="00C03375">
        <w:rPr>
          <w:rFonts w:ascii="標楷體" w:eastAsia="標楷體" w:hAnsi="標楷體"/>
          <w:color w:val="000000" w:themeColor="text1"/>
          <w:sz w:val="28"/>
          <w:szCs w:val="28"/>
        </w:rPr>
        <w:t>史館為落實「開放政府」與「轉型正義」之施政目標，編輯出版各類史籍與學術期刊，建置主題資料庫、強化檔案數位化、修裱維護作業及資訊管理平台，並將典藏史料文物公開流通，以供國人理解歷史及進一步之學術研究。目標及重點如下：</w:t>
      </w:r>
    </w:p>
    <w:p w14:paraId="57303135" w14:textId="26EA27AF" w:rsidR="001212ED" w:rsidRPr="00C03375" w:rsidRDefault="00B3182F" w:rsidP="00B3182F">
      <w:pPr>
        <w:numPr>
          <w:ilvl w:val="0"/>
          <w:numId w:val="38"/>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研究修</w:t>
      </w:r>
      <w:proofErr w:type="gramStart"/>
      <w:r w:rsidRPr="00C03375">
        <w:rPr>
          <w:rFonts w:ascii="標楷體" w:eastAsia="標楷體" w:hAnsi="標楷體"/>
          <w:color w:val="000000" w:themeColor="text1"/>
          <w:sz w:val="28"/>
          <w:szCs w:val="28"/>
        </w:rPr>
        <w:t>纂</w:t>
      </w:r>
      <w:proofErr w:type="gramEnd"/>
      <w:r w:rsidRPr="00C03375">
        <w:rPr>
          <w:rFonts w:ascii="標楷體" w:eastAsia="標楷體" w:hAnsi="標楷體"/>
          <w:color w:val="000000" w:themeColor="text1"/>
          <w:sz w:val="28"/>
          <w:szCs w:val="28"/>
        </w:rPr>
        <w:t>國史，開放政府資料，</w:t>
      </w:r>
      <w:proofErr w:type="gramStart"/>
      <w:r w:rsidRPr="00C03375">
        <w:rPr>
          <w:rFonts w:ascii="標楷體" w:eastAsia="標楷體" w:hAnsi="標楷體"/>
          <w:color w:val="000000" w:themeColor="text1"/>
          <w:sz w:val="28"/>
          <w:szCs w:val="28"/>
        </w:rPr>
        <w:t>釐</w:t>
      </w:r>
      <w:proofErr w:type="gramEnd"/>
      <w:r w:rsidRPr="00C03375">
        <w:rPr>
          <w:rFonts w:ascii="標楷體" w:eastAsia="標楷體" w:hAnsi="標楷體"/>
          <w:color w:val="000000" w:themeColor="text1"/>
          <w:sz w:val="28"/>
          <w:szCs w:val="28"/>
        </w:rPr>
        <w:t>清歷史真相：研究、編纂和出版國史及總統</w:t>
      </w:r>
      <w:r w:rsidRPr="00C03375">
        <w:rPr>
          <w:rFonts w:ascii="標楷體" w:eastAsia="標楷體" w:hAnsi="標楷體" w:hint="eastAsia"/>
          <w:color w:val="000000" w:themeColor="text1"/>
          <w:sz w:val="28"/>
          <w:szCs w:val="28"/>
        </w:rPr>
        <w:t>、</w:t>
      </w:r>
      <w:r w:rsidRPr="00C03375">
        <w:rPr>
          <w:rFonts w:ascii="標楷體" w:eastAsia="標楷體" w:hAnsi="標楷體"/>
          <w:color w:val="000000" w:themeColor="text1"/>
          <w:sz w:val="28"/>
          <w:szCs w:val="28"/>
        </w:rPr>
        <w:t>副總統專書，並建置主題資料庫，以推廣運用。</w:t>
      </w:r>
    </w:p>
    <w:p w14:paraId="46352EB0" w14:textId="04564DF8" w:rsidR="00B3182F" w:rsidRPr="00C03375" w:rsidRDefault="00B3182F" w:rsidP="00B3182F">
      <w:pPr>
        <w:numPr>
          <w:ilvl w:val="0"/>
          <w:numId w:val="38"/>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館藏檔案史料便捷應用：辦理館藏檔案史料整理編目，增加館藏數位化數量及規劃永續典藏機制，開放數位</w:t>
      </w:r>
      <w:proofErr w:type="gramStart"/>
      <w:r w:rsidRPr="00C03375">
        <w:rPr>
          <w:rFonts w:ascii="標楷體" w:eastAsia="標楷體" w:hAnsi="標楷體"/>
          <w:color w:val="000000" w:themeColor="text1"/>
          <w:sz w:val="28"/>
          <w:szCs w:val="28"/>
        </w:rPr>
        <w:t>檔線上</w:t>
      </w:r>
      <w:proofErr w:type="gramEnd"/>
      <w:r w:rsidRPr="00C03375">
        <w:rPr>
          <w:rFonts w:ascii="標楷體" w:eastAsia="標楷體" w:hAnsi="標楷體"/>
          <w:color w:val="000000" w:themeColor="text1"/>
          <w:sz w:val="28"/>
          <w:szCs w:val="28"/>
        </w:rPr>
        <w:t>閱覽，提升閱覽服務品質。</w:t>
      </w:r>
    </w:p>
    <w:p w14:paraId="6EDCAD12" w14:textId="5DBCAE77" w:rsidR="001212ED" w:rsidRPr="00C03375" w:rsidRDefault="00B3182F" w:rsidP="00B3182F">
      <w:pPr>
        <w:numPr>
          <w:ilvl w:val="0"/>
          <w:numId w:val="38"/>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健全總統副總統文物管理：妥善典藏與維護文物，確保國有財產之安全，加速總統</w:t>
      </w:r>
      <w:r w:rsidRPr="00C03375">
        <w:rPr>
          <w:rFonts w:ascii="標楷體" w:eastAsia="標楷體" w:hAnsi="標楷體" w:hint="eastAsia"/>
          <w:color w:val="000000" w:themeColor="text1"/>
          <w:sz w:val="28"/>
          <w:szCs w:val="28"/>
        </w:rPr>
        <w:t>、</w:t>
      </w:r>
      <w:r w:rsidRPr="00C03375">
        <w:rPr>
          <w:rFonts w:ascii="標楷體" w:eastAsia="標楷體" w:hAnsi="標楷體"/>
          <w:color w:val="000000" w:themeColor="text1"/>
          <w:sz w:val="28"/>
          <w:szCs w:val="28"/>
        </w:rPr>
        <w:t>副總統文物編目建檔，以利開放應用。</w:t>
      </w:r>
    </w:p>
    <w:p w14:paraId="4C3D8141" w14:textId="082EB408" w:rsidR="00FD24DE" w:rsidRPr="00C03375" w:rsidRDefault="00125A97" w:rsidP="00B3182F">
      <w:pPr>
        <w:numPr>
          <w:ilvl w:val="0"/>
          <w:numId w:val="38"/>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ab/>
      </w:r>
      <w:r w:rsidR="00B3182F" w:rsidRPr="00C03375">
        <w:rPr>
          <w:rFonts w:ascii="標楷體" w:eastAsia="標楷體" w:hAnsi="標楷體"/>
          <w:color w:val="000000" w:themeColor="text1"/>
          <w:sz w:val="28"/>
          <w:szCs w:val="28"/>
        </w:rPr>
        <w:t>促進檔案文物史料之推廣應用：辦理史料採集、系列演講及館藏展示，增進民眾應用文物史料。</w:t>
      </w:r>
    </w:p>
    <w:p w14:paraId="6E946C95" w14:textId="2C4E5CA1" w:rsidR="002E4211" w:rsidRPr="00C03375" w:rsidRDefault="006A1B54" w:rsidP="004B2F68">
      <w:pPr>
        <w:overflowPunct w:val="0"/>
        <w:spacing w:line="440" w:lineRule="exact"/>
        <w:ind w:left="518" w:hangingChars="185" w:hanging="518"/>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四</w:t>
      </w:r>
      <w:r w:rsidR="00835D1F" w:rsidRPr="00C03375">
        <w:rPr>
          <w:rFonts w:ascii="標楷體" w:eastAsia="標楷體" w:hAnsi="標楷體"/>
          <w:color w:val="000000" w:themeColor="text1"/>
          <w:sz w:val="28"/>
          <w:szCs w:val="28"/>
        </w:rPr>
        <w:t>、</w:t>
      </w:r>
      <w:r w:rsidR="004B2F68" w:rsidRPr="00C03375">
        <w:rPr>
          <w:rFonts w:ascii="標楷體" w:eastAsia="標楷體" w:hAnsi="標楷體"/>
          <w:color w:val="000000" w:themeColor="text1"/>
          <w:sz w:val="28"/>
          <w:szCs w:val="28"/>
        </w:rPr>
        <w:t>國史館臺灣文獻館為推廣臺灣歷史文化，強</w:t>
      </w:r>
      <w:r w:rsidR="004B2F68" w:rsidRPr="00C03375">
        <w:rPr>
          <w:rFonts w:ascii="標楷體" w:eastAsia="標楷體" w:hAnsi="標楷體" w:hint="eastAsia"/>
          <w:color w:val="000000" w:themeColor="text1"/>
          <w:sz w:val="28"/>
          <w:szCs w:val="28"/>
        </w:rPr>
        <w:t>化</w:t>
      </w:r>
      <w:r w:rsidR="004B2F68" w:rsidRPr="00C03375">
        <w:rPr>
          <w:rFonts w:ascii="標楷體" w:eastAsia="標楷體" w:hAnsi="標楷體"/>
          <w:color w:val="000000" w:themeColor="text1"/>
          <w:sz w:val="28"/>
          <w:szCs w:val="28"/>
        </w:rPr>
        <w:t>館藏檔案、民俗文物之整理、建檔、數位化及裱褙修護、優化</w:t>
      </w:r>
      <w:r w:rsidR="004B2F68" w:rsidRPr="00C03375">
        <w:rPr>
          <w:rFonts w:ascii="標楷體" w:eastAsia="標楷體" w:hAnsi="標楷體" w:hint="eastAsia"/>
          <w:color w:val="000000" w:themeColor="text1"/>
          <w:sz w:val="28"/>
          <w:szCs w:val="28"/>
        </w:rPr>
        <w:t>及深化</w:t>
      </w:r>
      <w:r w:rsidR="004B2F68" w:rsidRPr="00C03375">
        <w:rPr>
          <w:rFonts w:ascii="標楷體" w:eastAsia="標楷體" w:hAnsi="標楷體"/>
          <w:color w:val="000000" w:themeColor="text1"/>
          <w:sz w:val="28"/>
          <w:szCs w:val="28"/>
        </w:rPr>
        <w:t>資料庫、出版臺灣史研究刊物，並持續進行原住民族史與客家族群史之研究。將臺灣</w:t>
      </w:r>
      <w:proofErr w:type="gramStart"/>
      <w:r w:rsidR="004B2F68" w:rsidRPr="00C03375">
        <w:rPr>
          <w:rFonts w:ascii="標楷體" w:eastAsia="標楷體" w:hAnsi="標楷體"/>
          <w:color w:val="000000" w:themeColor="text1"/>
          <w:sz w:val="28"/>
          <w:szCs w:val="28"/>
        </w:rPr>
        <w:t>文獻館形塑</w:t>
      </w:r>
      <w:proofErr w:type="gramEnd"/>
      <w:r w:rsidR="004B2F68" w:rsidRPr="00C03375">
        <w:rPr>
          <w:rFonts w:ascii="標楷體" w:eastAsia="標楷體" w:hAnsi="標楷體"/>
          <w:color w:val="000000" w:themeColor="text1"/>
          <w:sz w:val="28"/>
          <w:szCs w:val="28"/>
        </w:rPr>
        <w:t>為臺灣文獻史料</w:t>
      </w:r>
      <w:r w:rsidR="004B2F68" w:rsidRPr="00C03375">
        <w:rPr>
          <w:rFonts w:ascii="標楷體" w:eastAsia="標楷體" w:hAnsi="標楷體" w:hint="eastAsia"/>
          <w:color w:val="000000" w:themeColor="text1"/>
          <w:sz w:val="28"/>
          <w:szCs w:val="28"/>
        </w:rPr>
        <w:t>研究</w:t>
      </w:r>
      <w:r w:rsidR="004B2F68" w:rsidRPr="00C03375">
        <w:rPr>
          <w:rFonts w:ascii="標楷體" w:eastAsia="標楷體" w:hAnsi="標楷體"/>
          <w:color w:val="000000" w:themeColor="text1"/>
          <w:sz w:val="28"/>
          <w:szCs w:val="28"/>
        </w:rPr>
        <w:t>中心，提供便捷之閱覽服務及強化臺灣史研究。目標及重點如下：</w:t>
      </w:r>
    </w:p>
    <w:p w14:paraId="3A058DFC" w14:textId="77777777" w:rsidR="004B2F68" w:rsidRPr="00C03375" w:rsidRDefault="004B2F68" w:rsidP="004B2F68">
      <w:pPr>
        <w:numPr>
          <w:ilvl w:val="0"/>
          <w:numId w:val="35"/>
        </w:numPr>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蒐集民俗文物、文獻史料採集及強化展場營運：持續蒐集臺灣地方民俗文物、古文書、碑碣拓本、手稿、圖書、期刊、圖片、地圖、地方志書、族譜及寺廟教會等文獻史料，充實圖書館藏、強化</w:t>
      </w:r>
      <w:r w:rsidRPr="00C03375">
        <w:rPr>
          <w:rFonts w:ascii="標楷體" w:eastAsia="標楷體" w:hAnsi="標楷體" w:hint="eastAsia"/>
          <w:color w:val="000000" w:themeColor="text1"/>
          <w:sz w:val="28"/>
          <w:szCs w:val="28"/>
        </w:rPr>
        <w:t>館藏展示</w:t>
      </w:r>
      <w:r w:rsidRPr="00C03375">
        <w:rPr>
          <w:rFonts w:ascii="標楷體" w:eastAsia="標楷體" w:hAnsi="標楷體"/>
          <w:color w:val="000000" w:themeColor="text1"/>
          <w:sz w:val="28"/>
          <w:szCs w:val="28"/>
        </w:rPr>
        <w:t>。</w:t>
      </w:r>
    </w:p>
    <w:p w14:paraId="72C97A7F" w14:textId="77777777" w:rsidR="004B2F68" w:rsidRPr="00C03375" w:rsidRDefault="004B2F68" w:rsidP="004B2F68">
      <w:pPr>
        <w:numPr>
          <w:ilvl w:val="0"/>
          <w:numId w:val="35"/>
        </w:numPr>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加速文獻檔案整理、數位化及便捷開放應用：辦理文獻檔案蒐集、整理編目、數位化</w:t>
      </w:r>
      <w:proofErr w:type="gramStart"/>
      <w:r w:rsidRPr="00C03375">
        <w:rPr>
          <w:rFonts w:ascii="標楷體" w:eastAsia="標楷體" w:hAnsi="標楷體"/>
          <w:color w:val="000000" w:themeColor="text1"/>
          <w:sz w:val="28"/>
          <w:szCs w:val="28"/>
        </w:rPr>
        <w:t>及線上閱覽</w:t>
      </w:r>
      <w:proofErr w:type="gramEnd"/>
      <w:r w:rsidRPr="00C03375">
        <w:rPr>
          <w:rFonts w:ascii="標楷體" w:eastAsia="標楷體" w:hAnsi="標楷體"/>
          <w:color w:val="000000" w:themeColor="text1"/>
          <w:sz w:val="28"/>
          <w:szCs w:val="28"/>
        </w:rPr>
        <w:t>，提升系統功能，</w:t>
      </w:r>
      <w:r w:rsidRPr="00C03375">
        <w:rPr>
          <w:rFonts w:ascii="標楷體" w:eastAsia="標楷體" w:hAnsi="標楷體" w:hint="eastAsia"/>
          <w:color w:val="000000" w:themeColor="text1"/>
          <w:sz w:val="28"/>
          <w:szCs w:val="28"/>
        </w:rPr>
        <w:t>優化及深化</w:t>
      </w:r>
      <w:r w:rsidRPr="00C03375">
        <w:rPr>
          <w:rFonts w:ascii="標楷體" w:eastAsia="標楷體" w:hAnsi="標楷體"/>
          <w:color w:val="000000" w:themeColor="text1"/>
          <w:sz w:val="28"/>
          <w:szCs w:val="28"/>
        </w:rPr>
        <w:t>資料庫內容，</w:t>
      </w:r>
      <w:r w:rsidRPr="00C03375">
        <w:rPr>
          <w:rFonts w:ascii="標楷體" w:eastAsia="標楷體" w:hAnsi="標楷體" w:hint="eastAsia"/>
          <w:color w:val="000000" w:themeColor="text1"/>
          <w:sz w:val="28"/>
          <w:szCs w:val="28"/>
        </w:rPr>
        <w:t>提升</w:t>
      </w:r>
      <w:r w:rsidRPr="00C03375">
        <w:rPr>
          <w:rFonts w:ascii="標楷體" w:eastAsia="標楷體" w:hAnsi="標楷體"/>
          <w:color w:val="000000" w:themeColor="text1"/>
          <w:sz w:val="28"/>
          <w:szCs w:val="28"/>
        </w:rPr>
        <w:t>閱覽服務效能；妥善保存修護文獻檔案，建立良好典藏環境；推廣文獻檔案加值應用。</w:t>
      </w:r>
    </w:p>
    <w:p w14:paraId="24AF168B" w14:textId="77777777" w:rsidR="004B2F68" w:rsidRPr="00C03375" w:rsidRDefault="004B2F68" w:rsidP="004B2F68">
      <w:pPr>
        <w:numPr>
          <w:ilvl w:val="0"/>
          <w:numId w:val="35"/>
        </w:numPr>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推廣臺灣歷史文獻，研究出版臺灣史、原住民族及客家</w:t>
      </w:r>
      <w:r w:rsidRPr="00C03375">
        <w:rPr>
          <w:rFonts w:ascii="標楷體" w:eastAsia="標楷體" w:hAnsi="標楷體" w:hint="eastAsia"/>
          <w:color w:val="000000" w:themeColor="text1"/>
          <w:sz w:val="28"/>
          <w:szCs w:val="28"/>
        </w:rPr>
        <w:t>等族群調查研究</w:t>
      </w:r>
      <w:r w:rsidRPr="00C03375">
        <w:rPr>
          <w:rFonts w:ascii="標楷體" w:eastAsia="標楷體" w:hAnsi="標楷體"/>
          <w:color w:val="000000" w:themeColor="text1"/>
          <w:sz w:val="28"/>
          <w:szCs w:val="28"/>
        </w:rPr>
        <w:t>專書；編輯出版《臺灣文獻》季刊；辦理系列演講、口述歷史訪談、學術研討會及獎勵出版文獻書刊，以保存臺灣文獻史料及</w:t>
      </w:r>
      <w:r w:rsidRPr="00C03375">
        <w:rPr>
          <w:rFonts w:ascii="標楷體" w:eastAsia="標楷體" w:hAnsi="標楷體" w:hint="eastAsia"/>
          <w:color w:val="000000" w:themeColor="text1"/>
          <w:sz w:val="28"/>
          <w:szCs w:val="28"/>
        </w:rPr>
        <w:t>各</w:t>
      </w:r>
      <w:r w:rsidRPr="00C03375">
        <w:rPr>
          <w:rFonts w:ascii="標楷體" w:eastAsia="標楷體" w:hAnsi="標楷體"/>
          <w:color w:val="000000" w:themeColor="text1"/>
          <w:sz w:val="28"/>
          <w:szCs w:val="28"/>
        </w:rPr>
        <w:t>族群歷史文化。</w:t>
      </w:r>
    </w:p>
    <w:p w14:paraId="0130218D" w14:textId="382D025D" w:rsidR="006A1B54" w:rsidRPr="00C03375" w:rsidRDefault="006A1B54" w:rsidP="003A023B">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lastRenderedPageBreak/>
        <w:t>五</w:t>
      </w:r>
      <w:r w:rsidR="00B963B2" w:rsidRPr="00C03375">
        <w:rPr>
          <w:rFonts w:ascii="標楷體" w:eastAsia="標楷體" w:hAnsi="標楷體"/>
          <w:color w:val="000000" w:themeColor="text1"/>
          <w:sz w:val="28"/>
          <w:szCs w:val="28"/>
        </w:rPr>
        <w:t>、</w:t>
      </w:r>
      <w:r w:rsidR="009B330D" w:rsidRPr="00C03375">
        <w:rPr>
          <w:rFonts w:ascii="標楷體" w:eastAsia="標楷體" w:hAnsi="標楷體"/>
          <w:color w:val="000000" w:themeColor="text1"/>
          <w:sz w:val="28"/>
          <w:szCs w:val="28"/>
        </w:rPr>
        <w:tab/>
      </w:r>
      <w:r w:rsidR="00D91095" w:rsidRPr="00C03375">
        <w:rPr>
          <w:rFonts w:ascii="標楷體" w:eastAsia="標楷體" w:hAnsi="標楷體"/>
          <w:color w:val="000000" w:themeColor="text1"/>
          <w:sz w:val="28"/>
          <w:szCs w:val="28"/>
        </w:rPr>
        <w:t>中央研究院</w:t>
      </w:r>
      <w:r w:rsidR="004C3071" w:rsidRPr="00C03375">
        <w:rPr>
          <w:rFonts w:ascii="標楷體" w:eastAsia="標楷體" w:hAnsi="標楷體"/>
          <w:color w:val="000000" w:themeColor="text1"/>
          <w:sz w:val="28"/>
          <w:szCs w:val="28"/>
        </w:rPr>
        <w:t>（</w:t>
      </w:r>
      <w:r w:rsidR="00D91095" w:rsidRPr="00C03375">
        <w:rPr>
          <w:rFonts w:ascii="標楷體" w:eastAsia="標楷體" w:hAnsi="標楷體"/>
          <w:color w:val="000000" w:themeColor="text1"/>
          <w:sz w:val="28"/>
          <w:szCs w:val="28"/>
        </w:rPr>
        <w:t>以下簡稱中研院</w:t>
      </w:r>
      <w:r w:rsidR="004C3071" w:rsidRPr="00C03375">
        <w:rPr>
          <w:rFonts w:ascii="標楷體" w:eastAsia="標楷體" w:hAnsi="標楷體"/>
          <w:color w:val="000000" w:themeColor="text1"/>
          <w:sz w:val="28"/>
          <w:szCs w:val="28"/>
        </w:rPr>
        <w:t>）</w:t>
      </w:r>
      <w:r w:rsidR="00D91095" w:rsidRPr="00C03375">
        <w:rPr>
          <w:rFonts w:ascii="標楷體" w:eastAsia="標楷體" w:hAnsi="標楷體"/>
          <w:color w:val="000000" w:themeColor="text1"/>
          <w:sz w:val="28"/>
          <w:szCs w:val="28"/>
        </w:rPr>
        <w:t>為全國學術研究最高機關，任務為人文及科學研究，指導、聯絡及獎勵學術研究，培養高級學術研究人才。為讓三大法定任務更貼近時代脈動，善用寶貴的國家資源，並積極回應各界對我國學術研究最高機關的期許，訂定院</w:t>
      </w:r>
      <w:proofErr w:type="gramStart"/>
      <w:r w:rsidR="00D91095" w:rsidRPr="00C03375">
        <w:rPr>
          <w:rFonts w:ascii="標楷體" w:eastAsia="標楷體" w:hAnsi="標楷體"/>
          <w:color w:val="000000" w:themeColor="text1"/>
          <w:sz w:val="28"/>
          <w:szCs w:val="28"/>
        </w:rPr>
        <w:t>務</w:t>
      </w:r>
      <w:proofErr w:type="gramEnd"/>
      <w:r w:rsidR="00D91095" w:rsidRPr="00C03375">
        <w:rPr>
          <w:rFonts w:ascii="標楷體" w:eastAsia="標楷體" w:hAnsi="標楷體"/>
          <w:color w:val="000000" w:themeColor="text1"/>
          <w:sz w:val="28"/>
          <w:szCs w:val="28"/>
        </w:rPr>
        <w:t>發展的三項目標</w:t>
      </w:r>
      <w:r w:rsidR="004547CE">
        <w:rPr>
          <w:rFonts w:ascii="標楷體" w:eastAsia="標楷體" w:hAnsi="標楷體" w:hint="eastAsia"/>
          <w:color w:val="000000" w:themeColor="text1"/>
          <w:sz w:val="28"/>
          <w:szCs w:val="28"/>
        </w:rPr>
        <w:t>：</w:t>
      </w:r>
      <w:r w:rsidR="00D91095" w:rsidRPr="00C03375">
        <w:rPr>
          <w:rFonts w:ascii="標楷體" w:eastAsia="標楷體" w:hAnsi="標楷體"/>
          <w:color w:val="000000" w:themeColor="text1"/>
          <w:sz w:val="28"/>
          <w:szCs w:val="28"/>
        </w:rPr>
        <w:t>「成就全球頂尖研究」、「善盡社會關鍵責任」，以及「延攬培育卓越人才」，作為院</w:t>
      </w:r>
      <w:proofErr w:type="gramStart"/>
      <w:r w:rsidR="00D91095" w:rsidRPr="00C03375">
        <w:rPr>
          <w:rFonts w:ascii="標楷體" w:eastAsia="標楷體" w:hAnsi="標楷體"/>
          <w:color w:val="000000" w:themeColor="text1"/>
          <w:sz w:val="28"/>
          <w:szCs w:val="28"/>
        </w:rPr>
        <w:t>務</w:t>
      </w:r>
      <w:proofErr w:type="gramEnd"/>
      <w:r w:rsidR="00D91095" w:rsidRPr="00C03375">
        <w:rPr>
          <w:rFonts w:ascii="標楷體" w:eastAsia="標楷體" w:hAnsi="標楷體"/>
          <w:color w:val="000000" w:themeColor="text1"/>
          <w:sz w:val="28"/>
          <w:szCs w:val="28"/>
        </w:rPr>
        <w:t>推動指南。目標及重點如下</w:t>
      </w:r>
      <w:r w:rsidR="009F66AB" w:rsidRPr="00C03375">
        <w:rPr>
          <w:rFonts w:ascii="標楷體" w:eastAsia="標楷體" w:hAnsi="標楷體"/>
          <w:color w:val="000000" w:themeColor="text1"/>
          <w:sz w:val="28"/>
          <w:szCs w:val="28"/>
        </w:rPr>
        <w:t>：</w:t>
      </w:r>
    </w:p>
    <w:p w14:paraId="4A9DFC97" w14:textId="6F6543F1" w:rsidR="00292304" w:rsidRPr="00C03375" w:rsidRDefault="00D91095" w:rsidP="003A023B">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中研院追求學術研究卓越，以研究帶動學術與社會進步，深耕基礎研究，並積極導向實際發展，鼓勵科際整合。強調人文社會、數理與生命科學三大領域均衡發展，重視解決社會發展的根本問題，並配合國家政策與產業脈動，強化科技應用。中研院</w:t>
      </w:r>
      <w:r w:rsidRPr="00C03375">
        <w:rPr>
          <w:rFonts w:ascii="標楷體" w:eastAsia="標楷體" w:hAnsi="標楷體" w:hint="eastAsia"/>
          <w:color w:val="000000" w:themeColor="text1"/>
          <w:sz w:val="28"/>
          <w:szCs w:val="28"/>
        </w:rPr>
        <w:t>數理、生命及人文</w:t>
      </w:r>
      <w:proofErr w:type="gramStart"/>
      <w:r w:rsidRPr="00C03375">
        <w:rPr>
          <w:rFonts w:ascii="標楷體" w:eastAsia="標楷體" w:hAnsi="標楷體"/>
          <w:color w:val="000000" w:themeColor="text1"/>
          <w:sz w:val="28"/>
          <w:szCs w:val="28"/>
        </w:rPr>
        <w:t>三</w:t>
      </w:r>
      <w:proofErr w:type="gramEnd"/>
      <w:r w:rsidRPr="00C03375">
        <w:rPr>
          <w:rFonts w:ascii="標楷體" w:eastAsia="標楷體" w:hAnsi="標楷體"/>
          <w:color w:val="000000" w:themeColor="text1"/>
          <w:sz w:val="28"/>
          <w:szCs w:val="28"/>
        </w:rPr>
        <w:t>大學組</w:t>
      </w:r>
      <w:proofErr w:type="gramStart"/>
      <w:r w:rsidRPr="00C03375">
        <w:rPr>
          <w:rFonts w:ascii="標楷體" w:eastAsia="標楷體" w:hAnsi="標楷體" w:hint="eastAsia"/>
          <w:color w:val="000000" w:themeColor="text1"/>
          <w:sz w:val="28"/>
          <w:szCs w:val="28"/>
        </w:rPr>
        <w:t>11</w:t>
      </w:r>
      <w:r w:rsidR="004B2CBD" w:rsidRPr="00C03375">
        <w:rPr>
          <w:rFonts w:ascii="標楷體" w:eastAsia="標楷體" w:hAnsi="標楷體" w:hint="eastAsia"/>
          <w:color w:val="000000" w:themeColor="text1"/>
          <w:sz w:val="28"/>
          <w:szCs w:val="28"/>
        </w:rPr>
        <w:t>5</w:t>
      </w:r>
      <w:proofErr w:type="gramEnd"/>
      <w:r w:rsidRPr="00C03375">
        <w:rPr>
          <w:rFonts w:ascii="標楷體" w:eastAsia="標楷體" w:hAnsi="標楷體"/>
          <w:color w:val="000000" w:themeColor="text1"/>
          <w:sz w:val="28"/>
          <w:szCs w:val="28"/>
        </w:rPr>
        <w:t>年</w:t>
      </w:r>
      <w:r w:rsidRPr="00C03375">
        <w:rPr>
          <w:rFonts w:ascii="標楷體" w:eastAsia="標楷體" w:hAnsi="標楷體" w:hint="eastAsia"/>
          <w:color w:val="000000" w:themeColor="text1"/>
          <w:sz w:val="28"/>
          <w:szCs w:val="28"/>
        </w:rPr>
        <w:t>度</w:t>
      </w:r>
      <w:r w:rsidRPr="00C03375">
        <w:rPr>
          <w:rFonts w:ascii="標楷體" w:eastAsia="標楷體" w:hAnsi="標楷體"/>
          <w:color w:val="000000" w:themeColor="text1"/>
          <w:sz w:val="28"/>
          <w:szCs w:val="28"/>
        </w:rPr>
        <w:t>研究重點</w:t>
      </w:r>
      <w:r w:rsidRPr="00C03375">
        <w:rPr>
          <w:rFonts w:ascii="標楷體" w:eastAsia="標楷體" w:hAnsi="標楷體" w:hint="eastAsia"/>
          <w:color w:val="000000" w:themeColor="text1"/>
          <w:sz w:val="28"/>
          <w:szCs w:val="28"/>
        </w:rPr>
        <w:t>，擇要說明</w:t>
      </w:r>
      <w:r w:rsidRPr="00C03375">
        <w:rPr>
          <w:rFonts w:ascii="標楷體" w:eastAsia="標楷體" w:hAnsi="標楷體"/>
          <w:color w:val="000000" w:themeColor="text1"/>
          <w:sz w:val="28"/>
          <w:szCs w:val="28"/>
        </w:rPr>
        <w:t>如下</w:t>
      </w:r>
      <w:r w:rsidR="00292304" w:rsidRPr="00C03375">
        <w:rPr>
          <w:rFonts w:ascii="標楷體" w:eastAsia="標楷體" w:hAnsi="標楷體"/>
          <w:color w:val="000000" w:themeColor="text1"/>
          <w:sz w:val="28"/>
          <w:szCs w:val="28"/>
        </w:rPr>
        <w:t>：</w:t>
      </w:r>
    </w:p>
    <w:p w14:paraId="29F01B74" w14:textId="482A1E1A" w:rsidR="00292304" w:rsidRPr="00C03375" w:rsidRDefault="00292304" w:rsidP="00753562">
      <w:pPr>
        <w:numPr>
          <w:ilvl w:val="0"/>
          <w:numId w:val="41"/>
        </w:numPr>
        <w:tabs>
          <w:tab w:val="left" w:pos="1120"/>
        </w:tabs>
        <w:overflowPunct w:val="0"/>
        <w:spacing w:line="440" w:lineRule="exact"/>
        <w:ind w:left="1134" w:hanging="283"/>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數理科學組：</w:t>
      </w:r>
      <w:r w:rsidR="00753562" w:rsidRPr="00C03375">
        <w:rPr>
          <w:rFonts w:ascii="標楷體" w:eastAsia="標楷體" w:hAnsi="標楷體" w:hint="eastAsia"/>
          <w:color w:val="000000" w:themeColor="text1"/>
          <w:sz w:val="28"/>
          <w:szCs w:val="28"/>
        </w:rPr>
        <w:t>秉持「厚植基礎、前瞻創新、跨界整合」之宗旨，持續深耕數理科學領域，專注於數學、物理、化學、天文等基礎研究，並以嚴謹的科學為核心推動研究突破，積極延攬傑出研究人員，促進跨領域整合與創新。</w:t>
      </w:r>
      <w:proofErr w:type="gramStart"/>
      <w:r w:rsidR="00753562" w:rsidRPr="00C03375">
        <w:rPr>
          <w:rFonts w:ascii="標楷體" w:eastAsia="標楷體" w:hAnsi="標楷體" w:hint="eastAsia"/>
          <w:color w:val="000000" w:themeColor="text1"/>
          <w:sz w:val="28"/>
          <w:szCs w:val="28"/>
        </w:rPr>
        <w:t>115</w:t>
      </w:r>
      <w:proofErr w:type="gramEnd"/>
      <w:r w:rsidR="00753562" w:rsidRPr="00C03375">
        <w:rPr>
          <w:rFonts w:ascii="標楷體" w:eastAsia="標楷體" w:hAnsi="標楷體" w:hint="eastAsia"/>
          <w:color w:val="000000" w:themeColor="text1"/>
          <w:sz w:val="28"/>
          <w:szCs w:val="28"/>
        </w:rPr>
        <w:t>年度將全力推動</w:t>
      </w:r>
      <w:proofErr w:type="gramStart"/>
      <w:r w:rsidR="00753562" w:rsidRPr="00C03375">
        <w:rPr>
          <w:rFonts w:ascii="標楷體" w:eastAsia="標楷體" w:hAnsi="標楷體" w:hint="eastAsia"/>
          <w:color w:val="000000" w:themeColor="text1"/>
          <w:sz w:val="28"/>
          <w:szCs w:val="28"/>
        </w:rPr>
        <w:t>淨零碳排</w:t>
      </w:r>
      <w:proofErr w:type="gramEnd"/>
      <w:r w:rsidR="00753562" w:rsidRPr="00C03375">
        <w:rPr>
          <w:rFonts w:ascii="標楷體" w:eastAsia="標楷體" w:hAnsi="標楷體" w:hint="eastAsia"/>
          <w:color w:val="000000" w:themeColor="text1"/>
          <w:sz w:val="28"/>
          <w:szCs w:val="28"/>
        </w:rPr>
        <w:t>相關科技研發，涵蓋</w:t>
      </w:r>
      <w:proofErr w:type="gramStart"/>
      <w:r w:rsidR="00753562" w:rsidRPr="00C03375">
        <w:rPr>
          <w:rFonts w:ascii="標楷體" w:eastAsia="標楷體" w:hAnsi="標楷體" w:hint="eastAsia"/>
          <w:color w:val="000000" w:themeColor="text1"/>
          <w:sz w:val="28"/>
          <w:szCs w:val="28"/>
        </w:rPr>
        <w:t>去碳燃氫</w:t>
      </w:r>
      <w:proofErr w:type="gramEnd"/>
      <w:r w:rsidR="00753562" w:rsidRPr="00C03375">
        <w:rPr>
          <w:rFonts w:ascii="標楷體" w:eastAsia="標楷體" w:hAnsi="標楷體" w:hint="eastAsia"/>
          <w:color w:val="000000" w:themeColor="text1"/>
          <w:sz w:val="28"/>
          <w:szCs w:val="28"/>
        </w:rPr>
        <w:t>技術、深層地熱探</w:t>
      </w:r>
      <w:proofErr w:type="gramStart"/>
      <w:r w:rsidR="00753562" w:rsidRPr="00C03375">
        <w:rPr>
          <w:rFonts w:ascii="標楷體" w:eastAsia="標楷體" w:hAnsi="標楷體" w:hint="eastAsia"/>
          <w:color w:val="000000" w:themeColor="text1"/>
          <w:sz w:val="28"/>
          <w:szCs w:val="28"/>
        </w:rPr>
        <w:t>勘</w:t>
      </w:r>
      <w:proofErr w:type="gramEnd"/>
      <w:r w:rsidR="00753562" w:rsidRPr="00C03375">
        <w:rPr>
          <w:rFonts w:ascii="標楷體" w:eastAsia="標楷體" w:hAnsi="標楷體" w:hint="eastAsia"/>
          <w:color w:val="000000" w:themeColor="text1"/>
          <w:sz w:val="28"/>
          <w:szCs w:val="28"/>
        </w:rPr>
        <w:t>、海洋</w:t>
      </w:r>
      <w:proofErr w:type="gramStart"/>
      <w:r w:rsidR="00753562" w:rsidRPr="00C03375">
        <w:rPr>
          <w:rFonts w:ascii="標楷體" w:eastAsia="標楷體" w:hAnsi="標楷體" w:hint="eastAsia"/>
          <w:color w:val="000000" w:themeColor="text1"/>
          <w:sz w:val="28"/>
          <w:szCs w:val="28"/>
        </w:rPr>
        <w:t>藍碳與疊</w:t>
      </w:r>
      <w:proofErr w:type="gramEnd"/>
      <w:r w:rsidR="00753562" w:rsidRPr="00C03375">
        <w:rPr>
          <w:rFonts w:ascii="標楷體" w:eastAsia="標楷體" w:hAnsi="標楷體" w:hint="eastAsia"/>
          <w:color w:val="000000" w:themeColor="text1"/>
          <w:sz w:val="28"/>
          <w:szCs w:val="28"/>
        </w:rPr>
        <w:t>層太陽能電池等關鍵領域，提升我國於永續能源技術上的主導地位；在量子科技方面，計畫推動通用型量子電腦與量子－超級電腦系統之研製，並積極投入高品質單光子光電元件的開發，以因應未來量子計算與通訊技術之需求；另致力於強化人工智慧於各</w:t>
      </w:r>
      <w:proofErr w:type="gramStart"/>
      <w:r w:rsidR="00753562" w:rsidRPr="00C03375">
        <w:rPr>
          <w:rFonts w:ascii="標楷體" w:eastAsia="標楷體" w:hAnsi="標楷體" w:hint="eastAsia"/>
          <w:color w:val="000000" w:themeColor="text1"/>
          <w:sz w:val="28"/>
          <w:szCs w:val="28"/>
        </w:rPr>
        <w:t>學組間的</w:t>
      </w:r>
      <w:proofErr w:type="gramEnd"/>
      <w:r w:rsidR="00753562" w:rsidRPr="00C03375">
        <w:rPr>
          <w:rFonts w:ascii="標楷體" w:eastAsia="標楷體" w:hAnsi="標楷體" w:hint="eastAsia"/>
          <w:color w:val="000000" w:themeColor="text1"/>
          <w:sz w:val="28"/>
          <w:szCs w:val="28"/>
        </w:rPr>
        <w:t>應用與協作，加速高效創新</w:t>
      </w:r>
      <w:proofErr w:type="gramStart"/>
      <w:r w:rsidR="00753562" w:rsidRPr="00C03375">
        <w:rPr>
          <w:rFonts w:ascii="標楷體" w:eastAsia="標楷體" w:hAnsi="標楷體" w:hint="eastAsia"/>
          <w:color w:val="000000" w:themeColor="text1"/>
          <w:sz w:val="28"/>
          <w:szCs w:val="28"/>
        </w:rPr>
        <w:t>與跨域解決</w:t>
      </w:r>
      <w:proofErr w:type="gramEnd"/>
      <w:r w:rsidR="00753562" w:rsidRPr="00C03375">
        <w:rPr>
          <w:rFonts w:ascii="標楷體" w:eastAsia="標楷體" w:hAnsi="標楷體" w:hint="eastAsia"/>
          <w:color w:val="000000" w:themeColor="text1"/>
          <w:sz w:val="28"/>
          <w:szCs w:val="28"/>
        </w:rPr>
        <w:t>方案的產出。數理組研究重點摘要如下：（1）數學研究所聚焦於表現理論、組合學、</w:t>
      </w:r>
      <w:proofErr w:type="gramStart"/>
      <w:r w:rsidR="00753562" w:rsidRPr="00C03375">
        <w:rPr>
          <w:rFonts w:ascii="標楷體" w:eastAsia="標楷體" w:hAnsi="標楷體" w:hint="eastAsia"/>
          <w:color w:val="000000" w:themeColor="text1"/>
          <w:sz w:val="28"/>
          <w:szCs w:val="28"/>
        </w:rPr>
        <w:t>數論</w:t>
      </w:r>
      <w:proofErr w:type="gramEnd"/>
      <w:r w:rsidR="00753562" w:rsidRPr="00C03375">
        <w:rPr>
          <w:rFonts w:ascii="標楷體" w:eastAsia="標楷體" w:hAnsi="標楷體" w:hint="eastAsia"/>
          <w:color w:val="000000" w:themeColor="text1"/>
          <w:sz w:val="28"/>
          <w:szCs w:val="28"/>
        </w:rPr>
        <w:t>、機率、數學物理、微分方程與幾何分析；（2）物理研究所持續探索交互磁性系統、二維量子元件、軟物質力學、湍流與複雜系統、生物物理與中高能物理等議題；（3）化學研究所除了在基礎化學研究方面深耕，也注重能源化學、生物複合材料、催化與合成化學、生物探針、化學生物學及AI協力分子模擬計算；（4）地球科學研究所以地球物理、地球動力、地震學、地球化學與構造地質學為主要研究重點；（5）資訊科學研究所主攻人工智慧與量子計算技術，研究涵蓋開放式AI病理分析平台、智慧醫療、數位決策系統、可信賴AI模型與後量子密碼學發展；（6）統計科學研究所深耕統計理論與應用，建立可</w:t>
      </w:r>
      <w:proofErr w:type="gramStart"/>
      <w:r w:rsidR="00753562" w:rsidRPr="00C03375">
        <w:rPr>
          <w:rFonts w:ascii="標楷體" w:eastAsia="標楷體" w:hAnsi="標楷體" w:hint="eastAsia"/>
          <w:color w:val="000000" w:themeColor="text1"/>
          <w:sz w:val="28"/>
          <w:szCs w:val="28"/>
        </w:rPr>
        <w:t>分析高維與</w:t>
      </w:r>
      <w:proofErr w:type="gramEnd"/>
      <w:r w:rsidR="00753562" w:rsidRPr="00C03375">
        <w:rPr>
          <w:rFonts w:ascii="標楷體" w:eastAsia="標楷體" w:hAnsi="標楷體" w:hint="eastAsia"/>
          <w:color w:val="000000" w:themeColor="text1"/>
          <w:sz w:val="28"/>
          <w:szCs w:val="28"/>
        </w:rPr>
        <w:t>複雜資料的模型，廣泛應用於光纖地震監測、環境統計分析、政府統計及醫療決策等領域；（7）原子</w:t>
      </w:r>
      <w:r w:rsidR="00753562" w:rsidRPr="00C03375">
        <w:rPr>
          <w:rFonts w:ascii="標楷體" w:eastAsia="標楷體" w:hAnsi="標楷體" w:hint="eastAsia"/>
          <w:color w:val="000000" w:themeColor="text1"/>
          <w:sz w:val="28"/>
          <w:szCs w:val="28"/>
        </w:rPr>
        <w:lastRenderedPageBreak/>
        <w:t>與分子科學研究所推動物理與化學</w:t>
      </w:r>
      <w:proofErr w:type="gramStart"/>
      <w:r w:rsidR="00753562" w:rsidRPr="00C03375">
        <w:rPr>
          <w:rFonts w:ascii="標楷體" w:eastAsia="標楷體" w:hAnsi="標楷體" w:hint="eastAsia"/>
          <w:color w:val="000000" w:themeColor="text1"/>
          <w:sz w:val="28"/>
          <w:szCs w:val="28"/>
        </w:rPr>
        <w:t>間的頂尖跨域</w:t>
      </w:r>
      <w:proofErr w:type="gramEnd"/>
      <w:r w:rsidR="00753562" w:rsidRPr="00C03375">
        <w:rPr>
          <w:rFonts w:ascii="標楷體" w:eastAsia="標楷體" w:hAnsi="標楷體" w:hint="eastAsia"/>
          <w:color w:val="000000" w:themeColor="text1"/>
          <w:sz w:val="28"/>
          <w:szCs w:val="28"/>
        </w:rPr>
        <w:t>研究，包含</w:t>
      </w:r>
      <w:proofErr w:type="gramStart"/>
      <w:r w:rsidR="00753562" w:rsidRPr="00C03375">
        <w:rPr>
          <w:rFonts w:ascii="標楷體" w:eastAsia="標楷體" w:hAnsi="標楷體" w:hint="eastAsia"/>
          <w:color w:val="000000" w:themeColor="text1"/>
          <w:sz w:val="28"/>
          <w:szCs w:val="28"/>
        </w:rPr>
        <w:t>雙光梳光譜</w:t>
      </w:r>
      <w:proofErr w:type="gramEnd"/>
      <w:r w:rsidR="00753562" w:rsidRPr="00C03375">
        <w:rPr>
          <w:rFonts w:ascii="標楷體" w:eastAsia="標楷體" w:hAnsi="標楷體" w:hint="eastAsia"/>
          <w:color w:val="000000" w:themeColor="text1"/>
          <w:sz w:val="28"/>
          <w:szCs w:val="28"/>
        </w:rPr>
        <w:t>技術優化、生物分子分析工具平台開發、大型離子</w:t>
      </w:r>
      <w:proofErr w:type="gramStart"/>
      <w:r w:rsidR="00753562" w:rsidRPr="00C03375">
        <w:rPr>
          <w:rFonts w:ascii="標楷體" w:eastAsia="標楷體" w:hAnsi="標楷體" w:hint="eastAsia"/>
          <w:color w:val="000000" w:themeColor="text1"/>
          <w:sz w:val="28"/>
          <w:szCs w:val="28"/>
        </w:rPr>
        <w:t>阱</w:t>
      </w:r>
      <w:proofErr w:type="gramEnd"/>
      <w:r w:rsidR="00753562" w:rsidRPr="00C03375">
        <w:rPr>
          <w:rFonts w:ascii="標楷體" w:eastAsia="標楷體" w:hAnsi="標楷體" w:hint="eastAsia"/>
          <w:color w:val="000000" w:themeColor="text1"/>
          <w:sz w:val="28"/>
          <w:szCs w:val="28"/>
        </w:rPr>
        <w:t>系統建置、新一代原子鐘與連續式原子雷射研發，以及創新能源材料；（8）天文及天文物理研究所聚焦於ALMA-T與格陵蘭望遠鏡計畫、黑洞成像、理論天文物理、臺灣宇宙電波</w:t>
      </w:r>
      <w:proofErr w:type="gramStart"/>
      <w:r w:rsidR="00753562" w:rsidRPr="00C03375">
        <w:rPr>
          <w:rFonts w:ascii="標楷體" w:eastAsia="標楷體" w:hAnsi="標楷體" w:hint="eastAsia"/>
          <w:color w:val="000000" w:themeColor="text1"/>
          <w:sz w:val="28"/>
          <w:szCs w:val="28"/>
        </w:rPr>
        <w:t>爆</w:t>
      </w:r>
      <w:proofErr w:type="gramEnd"/>
      <w:r w:rsidR="00753562" w:rsidRPr="00C03375">
        <w:rPr>
          <w:rFonts w:ascii="標楷體" w:eastAsia="標楷體" w:hAnsi="標楷體" w:hint="eastAsia"/>
          <w:color w:val="000000" w:themeColor="text1"/>
          <w:sz w:val="28"/>
          <w:szCs w:val="28"/>
        </w:rPr>
        <w:t>觀測實驗與太陽系演化歷史之研究；（9）應用科學研究中心結合AI技術與自動化系統，發展智慧生物實驗平台、多模組生</w:t>
      </w:r>
      <w:proofErr w:type="gramStart"/>
      <w:r w:rsidR="00753562" w:rsidRPr="00C03375">
        <w:rPr>
          <w:rFonts w:ascii="標楷體" w:eastAsia="標楷體" w:hAnsi="標楷體" w:hint="eastAsia"/>
          <w:color w:val="000000" w:themeColor="text1"/>
          <w:sz w:val="28"/>
          <w:szCs w:val="28"/>
        </w:rPr>
        <w:t>醫</w:t>
      </w:r>
      <w:proofErr w:type="gramEnd"/>
      <w:r w:rsidR="00753562" w:rsidRPr="00C03375">
        <w:rPr>
          <w:rFonts w:ascii="標楷體" w:eastAsia="標楷體" w:hAnsi="標楷體" w:hint="eastAsia"/>
          <w:color w:val="000000" w:themeColor="text1"/>
          <w:sz w:val="28"/>
          <w:szCs w:val="28"/>
        </w:rPr>
        <w:t>影像技術、高</w:t>
      </w:r>
      <w:proofErr w:type="gramStart"/>
      <w:r w:rsidR="00753562" w:rsidRPr="00C03375">
        <w:rPr>
          <w:rFonts w:ascii="標楷體" w:eastAsia="標楷體" w:hAnsi="標楷體" w:hint="eastAsia"/>
          <w:color w:val="000000" w:themeColor="text1"/>
          <w:sz w:val="28"/>
          <w:szCs w:val="28"/>
        </w:rPr>
        <w:t>效光熱化學減碳</w:t>
      </w:r>
      <w:proofErr w:type="gramEnd"/>
      <w:r w:rsidR="00753562" w:rsidRPr="00C03375">
        <w:rPr>
          <w:rFonts w:ascii="標楷體" w:eastAsia="標楷體" w:hAnsi="標楷體" w:hint="eastAsia"/>
          <w:color w:val="000000" w:themeColor="text1"/>
          <w:sz w:val="28"/>
          <w:szCs w:val="28"/>
        </w:rPr>
        <w:t>方法、次世代固態電池電解質技術及量子光電元件等；（10）環境變遷研究中心聚焦於全球暖化、空氣污染、環境韌性與永續發展、</w:t>
      </w:r>
      <w:proofErr w:type="gramStart"/>
      <w:r w:rsidR="00753562" w:rsidRPr="00C03375">
        <w:rPr>
          <w:rFonts w:ascii="標楷體" w:eastAsia="標楷體" w:hAnsi="標楷體" w:hint="eastAsia"/>
          <w:color w:val="000000" w:themeColor="text1"/>
          <w:sz w:val="28"/>
          <w:szCs w:val="28"/>
        </w:rPr>
        <w:t>海洋藍碳及</w:t>
      </w:r>
      <w:proofErr w:type="gramEnd"/>
      <w:r w:rsidR="00753562" w:rsidRPr="00C03375">
        <w:rPr>
          <w:rFonts w:ascii="標楷體" w:eastAsia="標楷體" w:hAnsi="標楷體" w:hint="eastAsia"/>
          <w:color w:val="000000" w:themeColor="text1"/>
          <w:sz w:val="28"/>
          <w:szCs w:val="28"/>
        </w:rPr>
        <w:t>水域污染之深度研究；（11）資訊科技創新研究中心專注於資通安全、</w:t>
      </w:r>
      <w:proofErr w:type="gramStart"/>
      <w:r w:rsidR="00753562" w:rsidRPr="00C03375">
        <w:rPr>
          <w:rFonts w:ascii="標楷體" w:eastAsia="標楷體" w:hAnsi="標楷體" w:hint="eastAsia"/>
          <w:color w:val="000000" w:themeColor="text1"/>
          <w:sz w:val="28"/>
          <w:szCs w:val="28"/>
        </w:rPr>
        <w:t>智慧物聯網</w:t>
      </w:r>
      <w:proofErr w:type="gramEnd"/>
      <w:r w:rsidR="00753562" w:rsidRPr="00C03375">
        <w:rPr>
          <w:rFonts w:ascii="標楷體" w:eastAsia="標楷體" w:hAnsi="標楷體" w:hint="eastAsia"/>
          <w:color w:val="000000" w:themeColor="text1"/>
          <w:sz w:val="28"/>
          <w:szCs w:val="28"/>
        </w:rPr>
        <w:t>與人工智慧於網路與系統的嵌入式應用。</w:t>
      </w:r>
    </w:p>
    <w:p w14:paraId="36CE6920" w14:textId="77777777" w:rsidR="00707E11" w:rsidRPr="00C03375" w:rsidRDefault="00292304" w:rsidP="00707E11">
      <w:pPr>
        <w:numPr>
          <w:ilvl w:val="0"/>
          <w:numId w:val="41"/>
        </w:numPr>
        <w:tabs>
          <w:tab w:val="left" w:pos="1134"/>
        </w:tabs>
        <w:overflowPunct w:val="0"/>
        <w:spacing w:line="440" w:lineRule="exact"/>
        <w:ind w:left="1134" w:hanging="283"/>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生命科學組：</w:t>
      </w:r>
      <w:r w:rsidR="00707E11" w:rsidRPr="00C03375">
        <w:rPr>
          <w:rFonts w:ascii="標楷體" w:eastAsia="標楷體" w:hAnsi="標楷體" w:hint="eastAsia"/>
          <w:color w:val="000000" w:themeColor="text1"/>
          <w:sz w:val="28"/>
          <w:szCs w:val="28"/>
        </w:rPr>
        <w:t>旨在探索生命本質，並將研究成果轉化為實際應用，以因應人類在健康、環境與糧食等方面所面臨的挑戰，其研究範疇多元，涵蓋傳統生物學領域及前沿科技。生命組研究重點摘要如下：（1）植物暨微生物學研究所聚焦於植物與微生物的生物功能，探討染色體基因體、細胞發育、植物環境與病原菌之間的互動，研究成果應用於作物育種、病害防治與永續農業發展；（2）細胞與個體生物學研究所著重細胞功能、細胞間相互作用，以及生物體的發育與適應機制，研究內容包括細胞功能障礙在癌症與阿茲海默症中的機制與治療策略、海洋生物對氣候變遷的適應之生態暨演化與發育研究、大腦功能與神經退化性疾病的神經科學探討、幹細胞與再生生物學在器官再生與細胞基因治療上的應用；（3）生物化學研究所以蛋白質科學與結構生物學為核心，探討微生物與</w:t>
      </w:r>
      <w:proofErr w:type="gramStart"/>
      <w:r w:rsidR="00707E11" w:rsidRPr="00C03375">
        <w:rPr>
          <w:rFonts w:ascii="標楷體" w:eastAsia="標楷體" w:hAnsi="標楷體" w:hint="eastAsia"/>
          <w:color w:val="000000" w:themeColor="text1"/>
          <w:sz w:val="28"/>
          <w:szCs w:val="28"/>
        </w:rPr>
        <w:t>宿主間的交互作用</w:t>
      </w:r>
      <w:proofErr w:type="gramEnd"/>
      <w:r w:rsidR="00707E11" w:rsidRPr="00C03375">
        <w:rPr>
          <w:rFonts w:ascii="標楷體" w:eastAsia="標楷體" w:hAnsi="標楷體" w:hint="eastAsia"/>
          <w:color w:val="000000" w:themeColor="text1"/>
          <w:sz w:val="28"/>
          <w:szCs w:val="28"/>
        </w:rPr>
        <w:t>，為抗生素開發奠定基礎，研究</w:t>
      </w:r>
      <w:proofErr w:type="gramStart"/>
      <w:r w:rsidR="00707E11" w:rsidRPr="00C03375">
        <w:rPr>
          <w:rFonts w:ascii="標楷體" w:eastAsia="標楷體" w:hAnsi="標楷體" w:hint="eastAsia"/>
          <w:color w:val="000000" w:themeColor="text1"/>
          <w:sz w:val="28"/>
          <w:szCs w:val="28"/>
        </w:rPr>
        <w:t>細胞跨膜通訊</w:t>
      </w:r>
      <w:proofErr w:type="gramEnd"/>
      <w:r w:rsidR="00707E11" w:rsidRPr="00C03375">
        <w:rPr>
          <w:rFonts w:ascii="標楷體" w:eastAsia="標楷體" w:hAnsi="標楷體" w:hint="eastAsia"/>
          <w:color w:val="000000" w:themeColor="text1"/>
          <w:sz w:val="28"/>
          <w:szCs w:val="28"/>
        </w:rPr>
        <w:t>機制，期望發展神經退化疾病相關藥物，關注癌症與退化性疾病中的</w:t>
      </w:r>
      <w:proofErr w:type="gramStart"/>
      <w:r w:rsidR="00707E11" w:rsidRPr="00C03375">
        <w:rPr>
          <w:rFonts w:ascii="標楷體" w:eastAsia="標楷體" w:hAnsi="標楷體" w:hint="eastAsia"/>
          <w:color w:val="000000" w:themeColor="text1"/>
          <w:sz w:val="28"/>
          <w:szCs w:val="28"/>
        </w:rPr>
        <w:t>自噬調控</w:t>
      </w:r>
      <w:proofErr w:type="gramEnd"/>
      <w:r w:rsidR="00707E11" w:rsidRPr="00C03375">
        <w:rPr>
          <w:rFonts w:ascii="標楷體" w:eastAsia="標楷體" w:hAnsi="標楷體" w:hint="eastAsia"/>
          <w:color w:val="000000" w:themeColor="text1"/>
          <w:sz w:val="28"/>
          <w:szCs w:val="28"/>
        </w:rPr>
        <w:t>機制，並積極推動轉譯創新，應用基因編輯等技術於生物製藥領域；（4）分子生物研究所運用多元技術探討生物運作機制，涵蓋基礎與應用層面，包括染色體與基因調控、發育與老化、感染與免疫、蛋白質結構分析、植物與糧食科技，以及腦神經科學，聚焦於自閉症與</w:t>
      </w:r>
      <w:proofErr w:type="gramStart"/>
      <w:r w:rsidR="00707E11" w:rsidRPr="00C03375">
        <w:rPr>
          <w:rFonts w:ascii="標楷體" w:eastAsia="標楷體" w:hAnsi="標楷體" w:hint="eastAsia"/>
          <w:color w:val="000000" w:themeColor="text1"/>
          <w:sz w:val="28"/>
          <w:szCs w:val="28"/>
        </w:rPr>
        <w:t>漸凍症等</w:t>
      </w:r>
      <w:proofErr w:type="gramEnd"/>
      <w:r w:rsidR="00707E11" w:rsidRPr="00C03375">
        <w:rPr>
          <w:rFonts w:ascii="標楷體" w:eastAsia="標楷體" w:hAnsi="標楷體" w:hint="eastAsia"/>
          <w:color w:val="000000" w:themeColor="text1"/>
          <w:sz w:val="28"/>
          <w:szCs w:val="28"/>
        </w:rPr>
        <w:t>神經疾病；（5）生物醫學科學研究所以生物醫學為基礎，致力於臨床應用的發展，包括神經科學、心血管與代謝疾病、感染與免疫學，以及癌症相關研究，同時推展數位生物</w:t>
      </w:r>
      <w:r w:rsidR="00707E11" w:rsidRPr="00C03375">
        <w:rPr>
          <w:rFonts w:ascii="標楷體" w:eastAsia="標楷體" w:hAnsi="標楷體" w:hint="eastAsia"/>
          <w:color w:val="000000" w:themeColor="text1"/>
          <w:sz w:val="28"/>
          <w:szCs w:val="28"/>
        </w:rPr>
        <w:lastRenderedPageBreak/>
        <w:t>學、精</w:t>
      </w:r>
      <w:proofErr w:type="gramStart"/>
      <w:r w:rsidR="00707E11" w:rsidRPr="00C03375">
        <w:rPr>
          <w:rFonts w:ascii="標楷體" w:eastAsia="標楷體" w:hAnsi="標楷體" w:hint="eastAsia"/>
          <w:color w:val="000000" w:themeColor="text1"/>
          <w:sz w:val="28"/>
          <w:szCs w:val="28"/>
        </w:rPr>
        <w:t>準</w:t>
      </w:r>
      <w:proofErr w:type="gramEnd"/>
      <w:r w:rsidR="00707E11" w:rsidRPr="00C03375">
        <w:rPr>
          <w:rFonts w:ascii="標楷體" w:eastAsia="標楷體" w:hAnsi="標楷體" w:hint="eastAsia"/>
          <w:color w:val="000000" w:themeColor="text1"/>
          <w:sz w:val="28"/>
          <w:szCs w:val="28"/>
        </w:rPr>
        <w:t>醫療與轉譯醫學等新興技術；（6）農業生物科技研究中心探討植物在逆境中的生理反應與調控機制，以因應氣候變遷挑戰，草藥科學聚焦於化學成分與作用機制，分子疫苗與酵素科技致力於疫苗改良與生物製劑開發，功能性生物小型分子研究則拓展於醫療與農業領域的應用；（7）基因體研究中心進行基因體、蛋白質體、代謝體與醣質體等跨領域整合，針對國人常見重大疾病，如傳染病、癌症、神經退化與代謝性疾病，推動尖端檢測技術、生物標記開發及早期診斷與治療策略；（8）生物多樣性研究中心投入於生態保育、資源永續利用與國際合作，涵</w:t>
      </w:r>
      <w:proofErr w:type="gramStart"/>
      <w:r w:rsidR="00707E11" w:rsidRPr="00C03375">
        <w:rPr>
          <w:rFonts w:ascii="標楷體" w:eastAsia="標楷體" w:hAnsi="標楷體" w:hint="eastAsia"/>
          <w:color w:val="000000" w:themeColor="text1"/>
          <w:sz w:val="28"/>
          <w:szCs w:val="28"/>
        </w:rPr>
        <w:t>括</w:t>
      </w:r>
      <w:proofErr w:type="gramEnd"/>
      <w:r w:rsidR="00707E11" w:rsidRPr="00C03375">
        <w:rPr>
          <w:rFonts w:ascii="標楷體" w:eastAsia="標楷體" w:hAnsi="標楷體" w:hint="eastAsia"/>
          <w:color w:val="000000" w:themeColor="text1"/>
          <w:sz w:val="28"/>
          <w:szCs w:val="28"/>
        </w:rPr>
        <w:t>海洋與陸域生態、演化遺傳及微生物多樣性，重點包括資料整合、分子技術應用、基因庫建置、生技產品開發，以及氣候變遷之影響評估。</w:t>
      </w:r>
    </w:p>
    <w:p w14:paraId="4339CC58" w14:textId="2FA4B577" w:rsidR="00292304" w:rsidRPr="00C03375" w:rsidRDefault="00292304" w:rsidP="00D6365F">
      <w:pPr>
        <w:numPr>
          <w:ilvl w:val="0"/>
          <w:numId w:val="41"/>
        </w:numPr>
        <w:tabs>
          <w:tab w:val="left" w:pos="1134"/>
        </w:tabs>
        <w:overflowPunct w:val="0"/>
        <w:spacing w:line="440" w:lineRule="exact"/>
        <w:ind w:left="1134" w:hanging="283"/>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人文及社會科學組：</w:t>
      </w:r>
      <w:r w:rsidR="00707E11" w:rsidRPr="00C03375">
        <w:rPr>
          <w:rFonts w:ascii="標楷體" w:eastAsia="標楷體" w:hAnsi="標楷體" w:hint="eastAsia"/>
          <w:color w:val="000000" w:themeColor="text1"/>
          <w:sz w:val="28"/>
          <w:szCs w:val="28"/>
        </w:rPr>
        <w:t>研究領域包含考古學、歷史學、語言學、文學、哲學、社會學、經濟學、政治學、法律學等領域，研究範圍從上古至今的歷史、人類社會與文化多樣性、當代社會議題，以及語言學與文哲領域；在研究方法上，人文組重視多元整合，展現出高度的多元性與跨學科整合，例如在社會學與經濟學領域常運用量化數據與經濟計量模型，結合大數據分析，揭示社會現象的規律；而在人類學與語言學，則運用質性田野調查、口述歷史訪談與數位語料庫分析，深入探討個體的生命經驗與語言的變化；</w:t>
      </w:r>
      <w:proofErr w:type="gramStart"/>
      <w:r w:rsidR="00707E11" w:rsidRPr="00C03375">
        <w:rPr>
          <w:rFonts w:ascii="標楷體" w:eastAsia="標楷體" w:hAnsi="標楷體" w:hint="eastAsia"/>
          <w:color w:val="000000" w:themeColor="text1"/>
          <w:sz w:val="28"/>
          <w:szCs w:val="28"/>
        </w:rPr>
        <w:t>此外，</w:t>
      </w:r>
      <w:proofErr w:type="gramEnd"/>
      <w:r w:rsidR="00707E11" w:rsidRPr="00C03375">
        <w:rPr>
          <w:rFonts w:ascii="標楷體" w:eastAsia="標楷體" w:hAnsi="標楷體" w:hint="eastAsia"/>
          <w:color w:val="000000" w:themeColor="text1"/>
          <w:sz w:val="28"/>
          <w:szCs w:val="28"/>
        </w:rPr>
        <w:t>數位人文工具、地理資訊系統與人工智慧技術的結合，為史料解讀、空間分析與社會行為研究提供嶄新的視野與實證支持。人文組研究重點摘要如下：（1）歷史語言研究所結合歷史學、考古學、人類學和文字學，深入探索中外思想史、學術史、環境生活史、社會文化史、宗教文化史及制度與法律史等跨領域主題；（2）民族學研究所以人類學為核心，整合心理學、宗教學、民族音樂學、博物館學等多元領域，關注跨文化與跨領域對話、原民合作、南島民族和漢人宗教實踐與社會參與等議題；（3）近代史研究所聚焦政治、社會、經濟與文化等多元面向，重點探討蔣介石政軍體制、冷戰下的地緣政治、基層制度與產業變遷、城市治理、宗教與族群流動及數位人文的應用；（4）經濟研究所致力於經濟預測、通膨與財政政策、貿易與產業轉型、後</w:t>
      </w:r>
      <w:proofErr w:type="gramStart"/>
      <w:r w:rsidR="00707E11" w:rsidRPr="00C03375">
        <w:rPr>
          <w:rFonts w:ascii="標楷體" w:eastAsia="標楷體" w:hAnsi="標楷體" w:hint="eastAsia"/>
          <w:color w:val="000000" w:themeColor="text1"/>
          <w:sz w:val="28"/>
          <w:szCs w:val="28"/>
        </w:rPr>
        <w:t>疫</w:t>
      </w:r>
      <w:proofErr w:type="gramEnd"/>
      <w:r w:rsidR="00707E11" w:rsidRPr="00C03375">
        <w:rPr>
          <w:rFonts w:ascii="標楷體" w:eastAsia="標楷體" w:hAnsi="標楷體" w:hint="eastAsia"/>
          <w:color w:val="000000" w:themeColor="text1"/>
          <w:sz w:val="28"/>
          <w:szCs w:val="28"/>
        </w:rPr>
        <w:t>情時代家庭財務行為以及邁向</w:t>
      </w:r>
      <w:proofErr w:type="gramStart"/>
      <w:r w:rsidR="00707E11" w:rsidRPr="00C03375">
        <w:rPr>
          <w:rFonts w:ascii="標楷體" w:eastAsia="標楷體" w:hAnsi="標楷體" w:hint="eastAsia"/>
          <w:color w:val="000000" w:themeColor="text1"/>
          <w:sz w:val="28"/>
          <w:szCs w:val="28"/>
        </w:rPr>
        <w:t>淨零碳</w:t>
      </w:r>
      <w:proofErr w:type="gramEnd"/>
      <w:r w:rsidR="00707E11" w:rsidRPr="00C03375">
        <w:rPr>
          <w:rFonts w:ascii="標楷體" w:eastAsia="標楷體" w:hAnsi="標楷體" w:hint="eastAsia"/>
          <w:color w:val="000000" w:themeColor="text1"/>
          <w:sz w:val="28"/>
          <w:szCs w:val="28"/>
        </w:rPr>
        <w:t>的經濟策略；（5）歐美研究所積極推動5大研究計畫與4項觀念實驗室，廣泛涵蓋文化研究、語言與哲學、歐盟政策、美</w:t>
      </w:r>
      <w:proofErr w:type="gramStart"/>
      <w:r w:rsidR="00707E11" w:rsidRPr="00C03375">
        <w:rPr>
          <w:rFonts w:ascii="標楷體" w:eastAsia="標楷體" w:hAnsi="標楷體" w:hint="eastAsia"/>
          <w:color w:val="000000" w:themeColor="text1"/>
          <w:sz w:val="28"/>
          <w:szCs w:val="28"/>
        </w:rPr>
        <w:t>臺</w:t>
      </w:r>
      <w:proofErr w:type="gramEnd"/>
      <w:r w:rsidR="00707E11" w:rsidRPr="00C03375">
        <w:rPr>
          <w:rFonts w:ascii="標楷體" w:eastAsia="標楷體" w:hAnsi="標楷體" w:hint="eastAsia"/>
          <w:color w:val="000000" w:themeColor="text1"/>
          <w:sz w:val="28"/>
          <w:szCs w:val="28"/>
        </w:rPr>
        <w:t>中關係、歐</w:t>
      </w:r>
      <w:r w:rsidR="00707E11" w:rsidRPr="00C03375">
        <w:rPr>
          <w:rFonts w:ascii="標楷體" w:eastAsia="標楷體" w:hAnsi="標楷體" w:hint="eastAsia"/>
          <w:color w:val="000000" w:themeColor="text1"/>
          <w:sz w:val="28"/>
          <w:szCs w:val="28"/>
        </w:rPr>
        <w:lastRenderedPageBreak/>
        <w:t>美社會發展等核心議題；（6）中國文</w:t>
      </w:r>
      <w:proofErr w:type="gramStart"/>
      <w:r w:rsidR="00707E11" w:rsidRPr="00C03375">
        <w:rPr>
          <w:rFonts w:ascii="標楷體" w:eastAsia="標楷體" w:hAnsi="標楷體" w:hint="eastAsia"/>
          <w:color w:val="000000" w:themeColor="text1"/>
          <w:sz w:val="28"/>
          <w:szCs w:val="28"/>
        </w:rPr>
        <w:t>哲</w:t>
      </w:r>
      <w:proofErr w:type="gramEnd"/>
      <w:r w:rsidR="00707E11" w:rsidRPr="00C03375">
        <w:rPr>
          <w:rFonts w:ascii="標楷體" w:eastAsia="標楷體" w:hAnsi="標楷體" w:hint="eastAsia"/>
          <w:color w:val="000000" w:themeColor="text1"/>
          <w:sz w:val="28"/>
          <w:szCs w:val="28"/>
        </w:rPr>
        <w:t>研究所聚焦古典與現當代文學、中國與比較哲學、經學與越南文化等領域，探討修辭策略、烏托邦書寫、東亞物思維及跨文化對話；（7）臺灣史研究所以臺灣歷史為核心，關注從清末城市建設、殖民統治、族群認同、媒體文化到海洋貿易等多元歷史脈絡，同時推動史料數位化；（8）社會學研究所橫跨臺灣、中國、東歐及全球脈絡，探究家庭與人口動態、經濟結構轉變、社會網絡、宗教信仰與醫療照護等多元議題；（9）語言學研究所著眼於形式語言分析、臺灣境內外語言結構與演變並結合語言心理學與AI語言模型，進行語言習得與語意研究；（10）政治學研究所關注臺灣政治制度、比較民主、中國政經轉型、兩岸關係與國際戰略，並引入實證分析與政策評估；（11）法律學研究所重點研究憲法與人權保障、法學方法與實證研究、行政制度與法治，以及科學技術與人工智慧法律等面向；（12）人文社會科學研究中心結合跨領域觀點，深入探討AI倫理、創新經濟、亞洲冷戰、原住民青少年幸福感、</w:t>
      </w:r>
      <w:proofErr w:type="spellStart"/>
      <w:r w:rsidR="00707E11" w:rsidRPr="00C03375">
        <w:rPr>
          <w:rFonts w:ascii="標楷體" w:eastAsia="標楷體" w:hAnsi="標楷體" w:hint="eastAsia"/>
          <w:color w:val="000000" w:themeColor="text1"/>
          <w:sz w:val="28"/>
          <w:szCs w:val="28"/>
        </w:rPr>
        <w:t>GeoAI</w:t>
      </w:r>
      <w:proofErr w:type="spellEnd"/>
      <w:r w:rsidR="00707E11" w:rsidRPr="00C03375">
        <w:rPr>
          <w:rFonts w:ascii="標楷體" w:eastAsia="標楷體" w:hAnsi="標楷體" w:hint="eastAsia"/>
          <w:color w:val="000000" w:themeColor="text1"/>
          <w:sz w:val="28"/>
          <w:szCs w:val="28"/>
        </w:rPr>
        <w:t>應用等新科技的應用。</w:t>
      </w:r>
    </w:p>
    <w:p w14:paraId="1B613565" w14:textId="623AC734" w:rsidR="00292304" w:rsidRPr="00C03375" w:rsidRDefault="00D83DC4" w:rsidP="00707E11">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厚植中研院各領域之研究實力：</w:t>
      </w:r>
      <w:r w:rsidR="00707E11" w:rsidRPr="00C03375">
        <w:rPr>
          <w:rFonts w:ascii="標楷體" w:eastAsia="標楷體" w:hAnsi="標楷體" w:hint="eastAsia"/>
          <w:color w:val="000000" w:themeColor="text1"/>
          <w:sz w:val="28"/>
          <w:szCs w:val="28"/>
        </w:rPr>
        <w:t>對應中研院三大發展目標，重新規劃競爭型學術研究計畫類型，建立高標準審查制度，落實經費執行的</w:t>
      </w:r>
      <w:proofErr w:type="gramStart"/>
      <w:r w:rsidR="00707E11" w:rsidRPr="00C03375">
        <w:rPr>
          <w:rFonts w:ascii="標楷體" w:eastAsia="標楷體" w:hAnsi="標楷體" w:hint="eastAsia"/>
          <w:color w:val="000000" w:themeColor="text1"/>
          <w:sz w:val="28"/>
          <w:szCs w:val="28"/>
        </w:rPr>
        <w:t>可問責性</w:t>
      </w:r>
      <w:proofErr w:type="gramEnd"/>
      <w:r w:rsidR="00707E11" w:rsidRPr="00C03375">
        <w:rPr>
          <w:rFonts w:ascii="標楷體" w:eastAsia="標楷體" w:hAnsi="標楷體" w:hint="eastAsia"/>
          <w:color w:val="000000" w:themeColor="text1"/>
          <w:sz w:val="28"/>
          <w:szCs w:val="28"/>
        </w:rPr>
        <w:t>與研究資源分配的公開性與公平性。依計畫性質與補助規模劃分為：第一類型：穩健基礎、成就頂尖；第二類型：關鍵議題、尋求突破；第三類型：以任務導向為規劃方式。第一類型中，「深耕研究計畫」與「前瞻計畫」分別激勵致力於原創性研究的資深研究人員與具發展潛力的新世代研究人員，在穩定的經費支持下精益求精，進而開拓嶄新的知識領域；並鼓勵院內外團隊合作，整合技術與研究思維，進行具</w:t>
      </w:r>
      <w:proofErr w:type="gramStart"/>
      <w:r w:rsidR="00707E11" w:rsidRPr="00C03375">
        <w:rPr>
          <w:rFonts w:ascii="標楷體" w:eastAsia="標楷體" w:hAnsi="標楷體" w:hint="eastAsia"/>
          <w:color w:val="000000" w:themeColor="text1"/>
          <w:sz w:val="28"/>
          <w:szCs w:val="28"/>
        </w:rPr>
        <w:t>加乘性之</w:t>
      </w:r>
      <w:proofErr w:type="gramEnd"/>
      <w:r w:rsidR="00707E11" w:rsidRPr="00C03375">
        <w:rPr>
          <w:rFonts w:ascii="標楷體" w:eastAsia="標楷體" w:hAnsi="標楷體" w:hint="eastAsia"/>
          <w:color w:val="000000" w:themeColor="text1"/>
          <w:sz w:val="28"/>
          <w:szCs w:val="28"/>
        </w:rPr>
        <w:t>跨學門「主題研究計畫」。第二類型包含「關鍵突破種子計畫」與「關鍵突破研究計畫」，鼓勵研究人員藉由爭取長期穩定經費支持，凝聚資源挑戰較大規模、高風險性的研究議題，尋求創新、突破現有瓶頸，近期重點研究主題包含氣候變遷、建造高效能的量子位元、黑潮海洋能開發、大腦神經迴路變異、無合成分裂的分子及細胞調控機制、植物根部缺磷反應訊息傳遞、控制關鍵發育期的神經元 RNA 剪接、奈</w:t>
      </w:r>
      <w:proofErr w:type="gramStart"/>
      <w:r w:rsidR="00707E11" w:rsidRPr="00C03375">
        <w:rPr>
          <w:rFonts w:ascii="標楷體" w:eastAsia="標楷體" w:hAnsi="標楷體" w:hint="eastAsia"/>
          <w:color w:val="000000" w:themeColor="text1"/>
          <w:sz w:val="28"/>
          <w:szCs w:val="28"/>
        </w:rPr>
        <w:t>米尺度磁機械</w:t>
      </w:r>
      <w:proofErr w:type="gramEnd"/>
      <w:r w:rsidR="00707E11" w:rsidRPr="00C03375">
        <w:rPr>
          <w:rFonts w:ascii="標楷體" w:eastAsia="標楷體" w:hAnsi="標楷體" w:hint="eastAsia"/>
          <w:color w:val="000000" w:themeColor="text1"/>
          <w:sz w:val="28"/>
          <w:szCs w:val="28"/>
        </w:rPr>
        <w:t>能量轉移、細胞</w:t>
      </w:r>
      <w:proofErr w:type="gramStart"/>
      <w:r w:rsidR="00707E11" w:rsidRPr="00C03375">
        <w:rPr>
          <w:rFonts w:ascii="標楷體" w:eastAsia="標楷體" w:hAnsi="標楷體" w:hint="eastAsia"/>
          <w:color w:val="000000" w:themeColor="text1"/>
          <w:sz w:val="28"/>
          <w:szCs w:val="28"/>
        </w:rPr>
        <w:t>邏輯閘與細胞</w:t>
      </w:r>
      <w:proofErr w:type="gramEnd"/>
      <w:r w:rsidR="00707E11" w:rsidRPr="00C03375">
        <w:rPr>
          <w:rFonts w:ascii="標楷體" w:eastAsia="標楷體" w:hAnsi="標楷體" w:hint="eastAsia"/>
          <w:color w:val="000000" w:themeColor="text1"/>
          <w:sz w:val="28"/>
          <w:szCs w:val="28"/>
        </w:rPr>
        <w:t>記憶裝置、捕捉生物機器</w:t>
      </w:r>
      <w:proofErr w:type="gramStart"/>
      <w:r w:rsidR="00707E11" w:rsidRPr="00C03375">
        <w:rPr>
          <w:rFonts w:ascii="標楷體" w:eastAsia="標楷體" w:hAnsi="標楷體" w:hint="eastAsia"/>
          <w:color w:val="000000" w:themeColor="text1"/>
          <w:sz w:val="28"/>
          <w:szCs w:val="28"/>
        </w:rPr>
        <w:t>低溫電顯結構</w:t>
      </w:r>
      <w:proofErr w:type="gramEnd"/>
      <w:r w:rsidR="00707E11" w:rsidRPr="00C03375">
        <w:rPr>
          <w:rFonts w:ascii="標楷體" w:eastAsia="標楷體" w:hAnsi="標楷體" w:hint="eastAsia"/>
          <w:color w:val="000000" w:themeColor="text1"/>
          <w:sz w:val="28"/>
          <w:szCs w:val="28"/>
        </w:rPr>
        <w:t>中靈活元件的電子雲密度、清帝國對明鄭臺灣歷史記憶與族群認同的重構、數位社會的社會與政治信任等。為落實「指導、聯絡</w:t>
      </w:r>
      <w:r w:rsidR="00707E11" w:rsidRPr="00C03375">
        <w:rPr>
          <w:rFonts w:ascii="標楷體" w:eastAsia="標楷體" w:hAnsi="標楷體" w:hint="eastAsia"/>
          <w:color w:val="000000" w:themeColor="text1"/>
          <w:sz w:val="28"/>
          <w:szCs w:val="28"/>
        </w:rPr>
        <w:lastRenderedPageBreak/>
        <w:t>及獎勵學術研究」，提升我國整體學術研究水準，並加強中研院與大學的合作與互動，「中</w:t>
      </w:r>
      <w:proofErr w:type="gramStart"/>
      <w:r w:rsidR="00707E11" w:rsidRPr="00C03375">
        <w:rPr>
          <w:rFonts w:ascii="標楷體" w:eastAsia="標楷體" w:hAnsi="標楷體" w:hint="eastAsia"/>
          <w:color w:val="000000" w:themeColor="text1"/>
          <w:sz w:val="28"/>
          <w:szCs w:val="28"/>
        </w:rPr>
        <w:t>研</w:t>
      </w:r>
      <w:proofErr w:type="gramEnd"/>
      <w:r w:rsidR="00707E11" w:rsidRPr="00C03375">
        <w:rPr>
          <w:rFonts w:ascii="標楷體" w:eastAsia="標楷體" w:hAnsi="標楷體" w:hint="eastAsia"/>
          <w:color w:val="000000" w:themeColor="text1"/>
          <w:sz w:val="28"/>
          <w:szCs w:val="28"/>
        </w:rPr>
        <w:t>學者計畫」提供院內外優秀中生代研究人員多年願景，提出研究構想深耕落實執行，攜手成就頂尖研究。為善盡社會關鍵責任並貫徹中研院中長期政策發展，第三類型包含「永續農學計畫」、「生</w:t>
      </w:r>
      <w:proofErr w:type="gramStart"/>
      <w:r w:rsidR="00707E11" w:rsidRPr="00C03375">
        <w:rPr>
          <w:rFonts w:ascii="標楷體" w:eastAsia="標楷體" w:hAnsi="標楷體" w:hint="eastAsia"/>
          <w:color w:val="000000" w:themeColor="text1"/>
          <w:sz w:val="28"/>
          <w:szCs w:val="28"/>
        </w:rPr>
        <w:t>醫</w:t>
      </w:r>
      <w:proofErr w:type="gramEnd"/>
      <w:r w:rsidR="00707E11" w:rsidRPr="00C03375">
        <w:rPr>
          <w:rFonts w:ascii="標楷體" w:eastAsia="標楷體" w:hAnsi="標楷體" w:hint="eastAsia"/>
          <w:color w:val="000000" w:themeColor="text1"/>
          <w:sz w:val="28"/>
          <w:szCs w:val="28"/>
        </w:rPr>
        <w:t>資料精</w:t>
      </w:r>
      <w:proofErr w:type="gramStart"/>
      <w:r w:rsidR="00707E11" w:rsidRPr="00C03375">
        <w:rPr>
          <w:rFonts w:ascii="標楷體" w:eastAsia="標楷體" w:hAnsi="標楷體" w:hint="eastAsia"/>
          <w:color w:val="000000" w:themeColor="text1"/>
          <w:sz w:val="28"/>
          <w:szCs w:val="28"/>
        </w:rPr>
        <w:t>準</w:t>
      </w:r>
      <w:proofErr w:type="gramEnd"/>
      <w:r w:rsidR="00707E11" w:rsidRPr="00C03375">
        <w:rPr>
          <w:rFonts w:ascii="標楷體" w:eastAsia="標楷體" w:hAnsi="標楷體" w:hint="eastAsia"/>
          <w:color w:val="000000" w:themeColor="text1"/>
          <w:sz w:val="28"/>
          <w:szCs w:val="28"/>
        </w:rPr>
        <w:t>醫療計畫」、「研發</w:t>
      </w:r>
      <w:r w:rsidR="00707E11" w:rsidRPr="00C03375">
        <w:rPr>
          <w:rFonts w:ascii="標楷體" w:eastAsia="標楷體" w:hAnsi="標楷體"/>
          <w:color w:val="000000" w:themeColor="text1"/>
          <w:sz w:val="28"/>
          <w:szCs w:val="28"/>
        </w:rPr>
        <w:t>AI</w:t>
      </w:r>
      <w:r w:rsidR="00707E11" w:rsidRPr="00C03375">
        <w:rPr>
          <w:rFonts w:ascii="標楷體" w:eastAsia="標楷體" w:hAnsi="標楷體" w:hint="eastAsia"/>
          <w:color w:val="000000" w:themeColor="text1"/>
          <w:sz w:val="28"/>
          <w:szCs w:val="28"/>
        </w:rPr>
        <w:t>在人文與科學研究的創新應用」、「永續科學研究計畫」、「數位人文研究計畫」、「因應流行病研究計畫」及「任務導向生技研究計畫」；其中「研發</w:t>
      </w:r>
      <w:proofErr w:type="spellStart"/>
      <w:r w:rsidR="00707E11" w:rsidRPr="00C03375">
        <w:rPr>
          <w:rFonts w:ascii="標楷體" w:eastAsia="標楷體" w:hAnsi="標楷體"/>
          <w:color w:val="000000" w:themeColor="text1"/>
          <w:sz w:val="28"/>
          <w:szCs w:val="28"/>
        </w:rPr>
        <w:t>AI</w:t>
      </w:r>
      <w:proofErr w:type="spellEnd"/>
      <w:r w:rsidR="00707E11" w:rsidRPr="00C03375">
        <w:rPr>
          <w:rFonts w:ascii="標楷體" w:eastAsia="標楷體" w:hAnsi="標楷體" w:hint="eastAsia"/>
          <w:color w:val="000000" w:themeColor="text1"/>
          <w:sz w:val="28"/>
          <w:szCs w:val="28"/>
        </w:rPr>
        <w:t>在人文與科學研究的創新應用」計畫，思考如何促進</w:t>
      </w:r>
      <w:r w:rsidR="00707E11" w:rsidRPr="00C03375">
        <w:rPr>
          <w:rFonts w:ascii="標楷體" w:eastAsia="標楷體" w:hAnsi="標楷體"/>
          <w:color w:val="000000" w:themeColor="text1"/>
          <w:sz w:val="28"/>
          <w:szCs w:val="28"/>
        </w:rPr>
        <w:t>AI</w:t>
      </w:r>
      <w:r w:rsidR="00707E11" w:rsidRPr="00C03375">
        <w:rPr>
          <w:rFonts w:ascii="標楷體" w:eastAsia="標楷體" w:hAnsi="標楷體" w:hint="eastAsia"/>
          <w:color w:val="000000" w:themeColor="text1"/>
          <w:sz w:val="28"/>
          <w:szCs w:val="28"/>
        </w:rPr>
        <w:t>的創新與應用，及有效處理</w:t>
      </w:r>
      <w:r w:rsidR="00707E11" w:rsidRPr="00C03375">
        <w:rPr>
          <w:rFonts w:ascii="標楷體" w:eastAsia="標楷體" w:hAnsi="標楷體"/>
          <w:color w:val="000000" w:themeColor="text1"/>
          <w:sz w:val="28"/>
          <w:szCs w:val="28"/>
        </w:rPr>
        <w:t>AI</w:t>
      </w:r>
      <w:r w:rsidR="00707E11" w:rsidRPr="00C03375">
        <w:rPr>
          <w:rFonts w:ascii="標楷體" w:eastAsia="標楷體" w:hAnsi="標楷體" w:hint="eastAsia"/>
          <w:color w:val="000000" w:themeColor="text1"/>
          <w:sz w:val="28"/>
          <w:szCs w:val="28"/>
        </w:rPr>
        <w:t>所帶來的風險和規範必要性議題，「生</w:t>
      </w:r>
      <w:proofErr w:type="gramStart"/>
      <w:r w:rsidR="00707E11" w:rsidRPr="00C03375">
        <w:rPr>
          <w:rFonts w:ascii="標楷體" w:eastAsia="標楷體" w:hAnsi="標楷體" w:hint="eastAsia"/>
          <w:color w:val="000000" w:themeColor="text1"/>
          <w:sz w:val="28"/>
          <w:szCs w:val="28"/>
        </w:rPr>
        <w:t>醫</w:t>
      </w:r>
      <w:proofErr w:type="gramEnd"/>
      <w:r w:rsidR="00707E11" w:rsidRPr="00C03375">
        <w:rPr>
          <w:rFonts w:ascii="標楷體" w:eastAsia="標楷體" w:hAnsi="標楷體" w:hint="eastAsia"/>
          <w:color w:val="000000" w:themeColor="text1"/>
          <w:sz w:val="28"/>
          <w:szCs w:val="28"/>
        </w:rPr>
        <w:t>資料精</w:t>
      </w:r>
      <w:proofErr w:type="gramStart"/>
      <w:r w:rsidR="00707E11" w:rsidRPr="00C03375">
        <w:rPr>
          <w:rFonts w:ascii="標楷體" w:eastAsia="標楷體" w:hAnsi="標楷體" w:hint="eastAsia"/>
          <w:color w:val="000000" w:themeColor="text1"/>
          <w:sz w:val="28"/>
          <w:szCs w:val="28"/>
        </w:rPr>
        <w:t>準</w:t>
      </w:r>
      <w:proofErr w:type="gramEnd"/>
      <w:r w:rsidR="00707E11" w:rsidRPr="00C03375">
        <w:rPr>
          <w:rFonts w:ascii="標楷體" w:eastAsia="標楷體" w:hAnsi="標楷體" w:hint="eastAsia"/>
          <w:color w:val="000000" w:themeColor="text1"/>
          <w:sz w:val="28"/>
          <w:szCs w:val="28"/>
        </w:rPr>
        <w:t>醫療計畫」在研究層面主要運用中研院已建構的生</w:t>
      </w:r>
      <w:proofErr w:type="gramStart"/>
      <w:r w:rsidR="00707E11" w:rsidRPr="00C03375">
        <w:rPr>
          <w:rFonts w:ascii="標楷體" w:eastAsia="標楷體" w:hAnsi="標楷體" w:hint="eastAsia"/>
          <w:color w:val="000000" w:themeColor="text1"/>
          <w:sz w:val="28"/>
          <w:szCs w:val="28"/>
        </w:rPr>
        <w:t>醫</w:t>
      </w:r>
      <w:proofErr w:type="gramEnd"/>
      <w:r w:rsidR="00707E11" w:rsidRPr="00C03375">
        <w:rPr>
          <w:rFonts w:ascii="標楷體" w:eastAsia="標楷體" w:hAnsi="標楷體" w:hint="eastAsia"/>
          <w:color w:val="000000" w:themeColor="text1"/>
          <w:sz w:val="28"/>
          <w:szCs w:val="28"/>
        </w:rPr>
        <w:t>大數據，挖掘與國人常見疾病的基因變異，以找出更適合的治療方式或分子診斷，在法規層面，則依循現行法規架構並配合人體生物資料庫管理條例修法進程，建置符合倫理原則的資料治理制度，並</w:t>
      </w:r>
      <w:proofErr w:type="gramStart"/>
      <w:r w:rsidR="00707E11" w:rsidRPr="00C03375">
        <w:rPr>
          <w:rFonts w:ascii="標楷體" w:eastAsia="標楷體" w:hAnsi="標楷體" w:hint="eastAsia"/>
          <w:color w:val="000000" w:themeColor="text1"/>
          <w:sz w:val="28"/>
          <w:szCs w:val="28"/>
        </w:rPr>
        <w:t>強化資安機制</w:t>
      </w:r>
      <w:proofErr w:type="gramEnd"/>
      <w:r w:rsidR="00707E11" w:rsidRPr="00C03375">
        <w:rPr>
          <w:rFonts w:ascii="標楷體" w:eastAsia="標楷體" w:hAnsi="標楷體" w:hint="eastAsia"/>
          <w:color w:val="000000" w:themeColor="text1"/>
          <w:sz w:val="28"/>
          <w:szCs w:val="28"/>
        </w:rPr>
        <w:t>，以助研究者在可信且安全的環境下，有效利用生</w:t>
      </w:r>
      <w:proofErr w:type="gramStart"/>
      <w:r w:rsidR="00707E11" w:rsidRPr="00C03375">
        <w:rPr>
          <w:rFonts w:ascii="標楷體" w:eastAsia="標楷體" w:hAnsi="標楷體" w:hint="eastAsia"/>
          <w:color w:val="000000" w:themeColor="text1"/>
          <w:sz w:val="28"/>
          <w:szCs w:val="28"/>
        </w:rPr>
        <w:t>醫</w:t>
      </w:r>
      <w:proofErr w:type="gramEnd"/>
      <w:r w:rsidR="00707E11" w:rsidRPr="00C03375">
        <w:rPr>
          <w:rFonts w:ascii="標楷體" w:eastAsia="標楷體" w:hAnsi="標楷體" w:hint="eastAsia"/>
          <w:color w:val="000000" w:themeColor="text1"/>
          <w:sz w:val="28"/>
          <w:szCs w:val="28"/>
        </w:rPr>
        <w:t>大數據提供科學證據，進而促進生</w:t>
      </w:r>
      <w:proofErr w:type="gramStart"/>
      <w:r w:rsidR="00707E11" w:rsidRPr="00C03375">
        <w:rPr>
          <w:rFonts w:ascii="標楷體" w:eastAsia="標楷體" w:hAnsi="標楷體" w:hint="eastAsia"/>
          <w:color w:val="000000" w:themeColor="text1"/>
          <w:sz w:val="28"/>
          <w:szCs w:val="28"/>
        </w:rPr>
        <w:t>醫</w:t>
      </w:r>
      <w:proofErr w:type="gramEnd"/>
      <w:r w:rsidR="00707E11" w:rsidRPr="00C03375">
        <w:rPr>
          <w:rFonts w:ascii="標楷體" w:eastAsia="標楷體" w:hAnsi="標楷體" w:hint="eastAsia"/>
          <w:color w:val="000000" w:themeColor="text1"/>
          <w:sz w:val="28"/>
          <w:szCs w:val="28"/>
        </w:rPr>
        <w:t>研究發展。</w:t>
      </w:r>
    </w:p>
    <w:p w14:paraId="7B4A2CF8" w14:textId="2B4FC0F3" w:rsidR="00292304" w:rsidRPr="00C03375" w:rsidRDefault="00707E11" w:rsidP="00707E11">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學術論文及專書發表：</w:t>
      </w:r>
      <w:r w:rsidRPr="00C03375">
        <w:rPr>
          <w:rFonts w:ascii="標楷體" w:eastAsia="標楷體" w:hAnsi="標楷體" w:hint="eastAsia"/>
          <w:color w:val="000000" w:themeColor="text1"/>
          <w:sz w:val="28"/>
          <w:szCs w:val="28"/>
        </w:rPr>
        <w:t>持續精進發表的論文篇數及品質，根據基本科學指標（</w:t>
      </w:r>
      <w:r w:rsidRPr="00C03375">
        <w:rPr>
          <w:rFonts w:ascii="標楷體" w:eastAsia="標楷體" w:hAnsi="標楷體"/>
          <w:color w:val="000000" w:themeColor="text1"/>
          <w:sz w:val="28"/>
          <w:szCs w:val="28"/>
        </w:rPr>
        <w:t>ESI</w:t>
      </w:r>
      <w:r w:rsidRPr="00C03375">
        <w:rPr>
          <w:rFonts w:ascii="標楷體" w:eastAsia="標楷體" w:hAnsi="標楷體" w:hint="eastAsia"/>
          <w:color w:val="000000" w:themeColor="text1"/>
          <w:sz w:val="28"/>
          <w:szCs w:val="28"/>
        </w:rPr>
        <w:t>）資料庫統計近</w:t>
      </w:r>
      <w:r w:rsidRPr="00C03375">
        <w:rPr>
          <w:rFonts w:ascii="標楷體" w:eastAsia="標楷體" w:hAnsi="標楷體"/>
          <w:color w:val="000000" w:themeColor="text1"/>
          <w:sz w:val="28"/>
          <w:szCs w:val="28"/>
        </w:rPr>
        <w:t>10</w:t>
      </w:r>
      <w:r w:rsidRPr="00C03375">
        <w:rPr>
          <w:rFonts w:ascii="標楷體" w:eastAsia="標楷體" w:hAnsi="標楷體" w:hint="eastAsia"/>
          <w:color w:val="000000" w:themeColor="text1"/>
          <w:sz w:val="28"/>
          <w:szCs w:val="28"/>
        </w:rPr>
        <w:t>年世界各學術機構論文被引用次數排名（自</w:t>
      </w:r>
      <w:r w:rsidRPr="00C03375">
        <w:rPr>
          <w:rFonts w:ascii="標楷體" w:eastAsia="標楷體" w:hAnsi="標楷體"/>
          <w:color w:val="000000" w:themeColor="text1"/>
          <w:sz w:val="28"/>
          <w:szCs w:val="28"/>
        </w:rPr>
        <w:t>103</w:t>
      </w:r>
      <w:r w:rsidRPr="00C03375">
        <w:rPr>
          <w:rFonts w:ascii="標楷體" w:eastAsia="標楷體" w:hAnsi="標楷體" w:hint="eastAsia"/>
          <w:color w:val="000000" w:themeColor="text1"/>
          <w:sz w:val="28"/>
          <w:szCs w:val="28"/>
        </w:rPr>
        <w:t>年</w:t>
      </w:r>
      <w:r w:rsidRPr="00C03375">
        <w:rPr>
          <w:rFonts w:ascii="標楷體" w:eastAsia="標楷體" w:hAnsi="標楷體"/>
          <w:color w:val="000000" w:themeColor="text1"/>
          <w:sz w:val="28"/>
          <w:szCs w:val="28"/>
        </w:rPr>
        <w:t>1</w:t>
      </w:r>
      <w:r w:rsidRPr="00C03375">
        <w:rPr>
          <w:rFonts w:ascii="標楷體" w:eastAsia="標楷體" w:hAnsi="標楷體" w:hint="eastAsia"/>
          <w:color w:val="000000" w:themeColor="text1"/>
          <w:sz w:val="28"/>
          <w:szCs w:val="28"/>
        </w:rPr>
        <w:t>月</w:t>
      </w:r>
      <w:r w:rsidRPr="00C03375">
        <w:rPr>
          <w:rFonts w:ascii="標楷體" w:eastAsia="標楷體" w:hAnsi="標楷體"/>
          <w:color w:val="000000" w:themeColor="text1"/>
          <w:sz w:val="28"/>
          <w:szCs w:val="28"/>
        </w:rPr>
        <w:t>1</w:t>
      </w:r>
      <w:r w:rsidRPr="00C03375">
        <w:rPr>
          <w:rFonts w:ascii="標楷體" w:eastAsia="標楷體" w:hAnsi="標楷體" w:hint="eastAsia"/>
          <w:color w:val="000000" w:themeColor="text1"/>
          <w:sz w:val="28"/>
          <w:szCs w:val="28"/>
        </w:rPr>
        <w:t>日至</w:t>
      </w:r>
      <w:r w:rsidRPr="00C03375">
        <w:rPr>
          <w:rFonts w:ascii="標楷體" w:eastAsia="標楷體" w:hAnsi="標楷體"/>
          <w:color w:val="000000" w:themeColor="text1"/>
          <w:sz w:val="28"/>
          <w:szCs w:val="28"/>
        </w:rPr>
        <w:t>113</w:t>
      </w:r>
      <w:r w:rsidRPr="00C03375">
        <w:rPr>
          <w:rFonts w:ascii="標楷體" w:eastAsia="標楷體" w:hAnsi="標楷體" w:hint="eastAsia"/>
          <w:color w:val="000000" w:themeColor="text1"/>
          <w:sz w:val="28"/>
          <w:szCs w:val="28"/>
        </w:rPr>
        <w:t>年</w:t>
      </w:r>
      <w:r w:rsidRPr="00C03375">
        <w:rPr>
          <w:rFonts w:ascii="標楷體" w:eastAsia="標楷體" w:hAnsi="標楷體"/>
          <w:color w:val="000000" w:themeColor="text1"/>
          <w:sz w:val="28"/>
          <w:szCs w:val="28"/>
        </w:rPr>
        <w:t>12</w:t>
      </w:r>
      <w:r w:rsidRPr="00C03375">
        <w:rPr>
          <w:rFonts w:ascii="標楷體" w:eastAsia="標楷體" w:hAnsi="標楷體" w:hint="eastAsia"/>
          <w:color w:val="000000" w:themeColor="text1"/>
          <w:sz w:val="28"/>
          <w:szCs w:val="28"/>
        </w:rPr>
        <w:t>月</w:t>
      </w:r>
      <w:r w:rsidRPr="00C03375">
        <w:rPr>
          <w:rFonts w:ascii="標楷體" w:eastAsia="標楷體" w:hAnsi="標楷體"/>
          <w:color w:val="000000" w:themeColor="text1"/>
          <w:sz w:val="28"/>
          <w:szCs w:val="28"/>
        </w:rPr>
        <w:t>31</w:t>
      </w:r>
      <w:r w:rsidRPr="00C03375">
        <w:rPr>
          <w:rFonts w:ascii="標楷體" w:eastAsia="標楷體" w:hAnsi="標楷體" w:hint="eastAsia"/>
          <w:color w:val="000000" w:themeColor="text1"/>
          <w:sz w:val="28"/>
          <w:szCs w:val="28"/>
        </w:rPr>
        <w:t>日），在</w:t>
      </w:r>
      <w:r w:rsidRPr="00C03375">
        <w:rPr>
          <w:rFonts w:ascii="標楷體" w:eastAsia="標楷體" w:hAnsi="標楷體"/>
          <w:color w:val="000000" w:themeColor="text1"/>
          <w:sz w:val="28"/>
          <w:szCs w:val="28"/>
        </w:rPr>
        <w:t>ESI</w:t>
      </w:r>
      <w:r w:rsidRPr="00C03375">
        <w:rPr>
          <w:rFonts w:ascii="標楷體" w:eastAsia="標楷體" w:hAnsi="標楷體" w:hint="eastAsia"/>
          <w:color w:val="000000" w:themeColor="text1"/>
          <w:sz w:val="28"/>
          <w:szCs w:val="28"/>
        </w:rPr>
        <w:t>資料庫所收錄的</w:t>
      </w:r>
      <w:r w:rsidRPr="00C03375">
        <w:rPr>
          <w:rFonts w:ascii="標楷體" w:eastAsia="標楷體" w:hAnsi="標楷體"/>
          <w:color w:val="000000" w:themeColor="text1"/>
          <w:sz w:val="28"/>
          <w:szCs w:val="28"/>
        </w:rPr>
        <w:t>22</w:t>
      </w:r>
      <w:r w:rsidRPr="00C03375">
        <w:rPr>
          <w:rFonts w:ascii="標楷體" w:eastAsia="標楷體" w:hAnsi="標楷體" w:hint="eastAsia"/>
          <w:color w:val="000000" w:themeColor="text1"/>
          <w:sz w:val="28"/>
          <w:szCs w:val="28"/>
        </w:rPr>
        <w:t>個學科領域中，中研院共有</w:t>
      </w:r>
      <w:r w:rsidRPr="00C03375">
        <w:rPr>
          <w:rFonts w:ascii="標楷體" w:eastAsia="標楷體" w:hAnsi="標楷體"/>
          <w:color w:val="000000" w:themeColor="text1"/>
          <w:sz w:val="28"/>
          <w:szCs w:val="28"/>
        </w:rPr>
        <w:t>17</w:t>
      </w:r>
      <w:r w:rsidRPr="00C03375">
        <w:rPr>
          <w:rFonts w:ascii="標楷體" w:eastAsia="標楷體" w:hAnsi="標楷體" w:hint="eastAsia"/>
          <w:color w:val="000000" w:themeColor="text1"/>
          <w:sz w:val="28"/>
          <w:szCs w:val="28"/>
        </w:rPr>
        <w:t>個領域之期刊論文被引用次數進入該領域前</w:t>
      </w:r>
      <w:r w:rsidRPr="00C03375">
        <w:rPr>
          <w:rFonts w:ascii="標楷體" w:eastAsia="標楷體" w:hAnsi="標楷體"/>
          <w:color w:val="000000" w:themeColor="text1"/>
          <w:sz w:val="28"/>
          <w:szCs w:val="28"/>
        </w:rPr>
        <w:t>1</w:t>
      </w:r>
      <w:r w:rsidRPr="00C03375">
        <w:rPr>
          <w:rFonts w:ascii="標楷體" w:eastAsia="標楷體" w:hAnsi="標楷體" w:hint="eastAsia"/>
          <w:color w:val="000000" w:themeColor="text1"/>
          <w:sz w:val="28"/>
          <w:szCs w:val="28"/>
        </w:rPr>
        <w:t>％，而各單位亦就其學術領域，建立專業的規章，出版學術期刊及專書（論文集）</w:t>
      </w:r>
      <w:r w:rsidRPr="00C03375">
        <w:rPr>
          <w:rFonts w:ascii="標楷體" w:eastAsia="標楷體" w:hAnsi="標楷體"/>
          <w:color w:val="000000" w:themeColor="text1"/>
          <w:sz w:val="28"/>
          <w:szCs w:val="28"/>
        </w:rPr>
        <w:t>。</w:t>
      </w:r>
    </w:p>
    <w:p w14:paraId="67AC18A8" w14:textId="3D952535" w:rsidR="00292304" w:rsidRPr="00C03375" w:rsidRDefault="00D83DC4" w:rsidP="003A023B">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辦理</w:t>
      </w:r>
      <w:proofErr w:type="gramStart"/>
      <w:r w:rsidRPr="00C03375">
        <w:rPr>
          <w:rFonts w:ascii="標楷體" w:eastAsia="標楷體" w:hAnsi="標楷體"/>
          <w:color w:val="000000" w:themeColor="text1"/>
          <w:sz w:val="28"/>
          <w:szCs w:val="28"/>
        </w:rPr>
        <w:t>全院性核心</w:t>
      </w:r>
      <w:proofErr w:type="gramEnd"/>
      <w:r w:rsidRPr="00C03375">
        <w:rPr>
          <w:rFonts w:ascii="標楷體" w:eastAsia="標楷體" w:hAnsi="標楷體"/>
          <w:color w:val="000000" w:themeColor="text1"/>
          <w:sz w:val="28"/>
          <w:szCs w:val="28"/>
        </w:rPr>
        <w:t>設施及新創儀器計畫：</w:t>
      </w:r>
      <w:r w:rsidR="00D91095" w:rsidRPr="00C03375">
        <w:rPr>
          <w:rFonts w:ascii="標楷體" w:eastAsia="標楷體" w:hAnsi="標楷體" w:hint="eastAsia"/>
          <w:color w:val="000000" w:themeColor="text1"/>
          <w:sz w:val="28"/>
          <w:szCs w:val="28"/>
        </w:rPr>
        <w:t>多元、完善且有效營運的核心設施為支持尖端科技研發之關鍵要件，中研院積極建置具國際水準之</w:t>
      </w:r>
      <w:proofErr w:type="gramStart"/>
      <w:r w:rsidR="00D91095" w:rsidRPr="00C03375">
        <w:rPr>
          <w:rFonts w:ascii="標楷體" w:eastAsia="標楷體" w:hAnsi="標楷體" w:hint="eastAsia"/>
          <w:color w:val="000000" w:themeColor="text1"/>
          <w:sz w:val="28"/>
          <w:szCs w:val="28"/>
        </w:rPr>
        <w:t>全院性核心</w:t>
      </w:r>
      <w:proofErr w:type="gramEnd"/>
      <w:r w:rsidR="00D91095" w:rsidRPr="00C03375">
        <w:rPr>
          <w:rFonts w:ascii="標楷體" w:eastAsia="標楷體" w:hAnsi="標楷體" w:hint="eastAsia"/>
          <w:color w:val="000000" w:themeColor="text1"/>
          <w:sz w:val="28"/>
          <w:szCs w:val="28"/>
        </w:rPr>
        <w:t>設施，</w:t>
      </w:r>
      <w:proofErr w:type="gramStart"/>
      <w:r w:rsidR="00D91095" w:rsidRPr="00C03375">
        <w:rPr>
          <w:rFonts w:ascii="標楷體" w:eastAsia="標楷體" w:hAnsi="標楷體" w:hint="eastAsia"/>
          <w:color w:val="000000" w:themeColor="text1"/>
          <w:sz w:val="28"/>
          <w:szCs w:val="28"/>
        </w:rPr>
        <w:t>且聘有</w:t>
      </w:r>
      <w:proofErr w:type="gramEnd"/>
      <w:r w:rsidR="00D91095" w:rsidRPr="00C03375">
        <w:rPr>
          <w:rFonts w:ascii="標楷體" w:eastAsia="標楷體" w:hAnsi="標楷體" w:hint="eastAsia"/>
          <w:color w:val="000000" w:themeColor="text1"/>
          <w:sz w:val="28"/>
          <w:szCs w:val="28"/>
        </w:rPr>
        <w:t>高階技術人員操作與維護，並以多面向的服務與合作方式提供進階數據分析及實驗設計諮詢。中研院鼓勵前述核心設施開放服務院外學</w:t>
      </w:r>
      <w:proofErr w:type="gramStart"/>
      <w:r w:rsidR="00D91095" w:rsidRPr="00C03375">
        <w:rPr>
          <w:rFonts w:ascii="標楷體" w:eastAsia="標楷體" w:hAnsi="標楷體" w:hint="eastAsia"/>
          <w:color w:val="000000" w:themeColor="text1"/>
          <w:sz w:val="28"/>
          <w:szCs w:val="28"/>
        </w:rPr>
        <w:t>研</w:t>
      </w:r>
      <w:proofErr w:type="gramEnd"/>
      <w:r w:rsidR="00D91095" w:rsidRPr="00C03375">
        <w:rPr>
          <w:rFonts w:ascii="標楷體" w:eastAsia="標楷體" w:hAnsi="標楷體" w:hint="eastAsia"/>
          <w:color w:val="000000" w:themeColor="text1"/>
          <w:sz w:val="28"/>
          <w:szCs w:val="28"/>
        </w:rPr>
        <w:t>界研究人員，並自113年6月起進一步將</w:t>
      </w:r>
      <w:proofErr w:type="gramStart"/>
      <w:r w:rsidR="00D91095" w:rsidRPr="00C03375">
        <w:rPr>
          <w:rFonts w:ascii="標楷體" w:eastAsia="標楷體" w:hAnsi="標楷體" w:hint="eastAsia"/>
          <w:color w:val="000000" w:themeColor="text1"/>
          <w:sz w:val="28"/>
          <w:szCs w:val="28"/>
        </w:rPr>
        <w:t>全院性核心</w:t>
      </w:r>
      <w:proofErr w:type="gramEnd"/>
      <w:r w:rsidR="00D91095" w:rsidRPr="00C03375">
        <w:rPr>
          <w:rFonts w:ascii="標楷體" w:eastAsia="標楷體" w:hAnsi="標楷體" w:hint="eastAsia"/>
          <w:color w:val="000000" w:themeColor="text1"/>
          <w:sz w:val="28"/>
          <w:szCs w:val="28"/>
        </w:rPr>
        <w:t>設施對全國學</w:t>
      </w:r>
      <w:proofErr w:type="gramStart"/>
      <w:r w:rsidR="00D91095" w:rsidRPr="00C03375">
        <w:rPr>
          <w:rFonts w:ascii="標楷體" w:eastAsia="標楷體" w:hAnsi="標楷體" w:hint="eastAsia"/>
          <w:color w:val="000000" w:themeColor="text1"/>
          <w:sz w:val="28"/>
          <w:szCs w:val="28"/>
        </w:rPr>
        <w:t>研</w:t>
      </w:r>
      <w:proofErr w:type="gramEnd"/>
      <w:r w:rsidR="00D91095" w:rsidRPr="00C03375">
        <w:rPr>
          <w:rFonts w:ascii="標楷體" w:eastAsia="標楷體" w:hAnsi="標楷體" w:hint="eastAsia"/>
          <w:color w:val="000000" w:themeColor="text1"/>
          <w:sz w:val="28"/>
          <w:szCs w:val="28"/>
        </w:rPr>
        <w:t>界服務收費標準一致化，以落實研究資源共享，藉此提升全國整體學術研究水準</w:t>
      </w:r>
      <w:r w:rsidR="00292304" w:rsidRPr="00C03375">
        <w:rPr>
          <w:rFonts w:ascii="標楷體" w:eastAsia="標楷體" w:hAnsi="標楷體"/>
          <w:color w:val="000000" w:themeColor="text1"/>
          <w:sz w:val="28"/>
          <w:szCs w:val="28"/>
        </w:rPr>
        <w:t>。</w:t>
      </w:r>
    </w:p>
    <w:p w14:paraId="12F83C77" w14:textId="5E078220" w:rsidR="00D91095" w:rsidRPr="00C03375" w:rsidRDefault="00D03F6D" w:rsidP="00D03F6D">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強化人工智慧應用</w:t>
      </w:r>
      <w:proofErr w:type="gramStart"/>
      <w:r w:rsidRPr="00C03375">
        <w:rPr>
          <w:rFonts w:ascii="標楷體" w:eastAsia="標楷體" w:hAnsi="標楷體" w:hint="eastAsia"/>
          <w:color w:val="000000" w:themeColor="text1"/>
          <w:sz w:val="28"/>
          <w:szCs w:val="28"/>
        </w:rPr>
        <w:t>與算力</w:t>
      </w:r>
      <w:proofErr w:type="gramEnd"/>
      <w:r w:rsidRPr="00C03375">
        <w:rPr>
          <w:rFonts w:ascii="標楷體" w:eastAsia="標楷體" w:hAnsi="標楷體" w:hint="eastAsia"/>
          <w:color w:val="000000" w:themeColor="text1"/>
          <w:sz w:val="28"/>
          <w:szCs w:val="28"/>
        </w:rPr>
        <w:t>建置：因應全球科</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趨勢，積極規劃以GPU為核心的高效能AI運算服務，打造穩定且高效的運算環境，以提升行政業務效能並推動前瞻學術研究。在行政業務面，將</w:t>
      </w:r>
      <w:proofErr w:type="gramStart"/>
      <w:r w:rsidRPr="00C03375">
        <w:rPr>
          <w:rFonts w:ascii="標楷體" w:eastAsia="標楷體" w:hAnsi="標楷體" w:hint="eastAsia"/>
          <w:color w:val="000000" w:themeColor="text1"/>
          <w:sz w:val="28"/>
          <w:szCs w:val="28"/>
        </w:rPr>
        <w:t>導入全地端</w:t>
      </w:r>
      <w:proofErr w:type="gramEnd"/>
      <w:r w:rsidRPr="00C03375">
        <w:rPr>
          <w:rFonts w:ascii="標楷體" w:eastAsia="標楷體" w:hAnsi="標楷體" w:hint="eastAsia"/>
          <w:color w:val="000000" w:themeColor="text1"/>
          <w:sz w:val="28"/>
          <w:szCs w:val="28"/>
        </w:rPr>
        <w:t>的大語言模型服務、AI</w:t>
      </w:r>
      <w:proofErr w:type="gramStart"/>
      <w:r w:rsidRPr="00C03375">
        <w:rPr>
          <w:rFonts w:ascii="標楷體" w:eastAsia="標楷體" w:hAnsi="標楷體" w:hint="eastAsia"/>
          <w:color w:val="000000" w:themeColor="text1"/>
          <w:sz w:val="28"/>
          <w:szCs w:val="28"/>
        </w:rPr>
        <w:t>逐字稿服務</w:t>
      </w:r>
      <w:proofErr w:type="gramEnd"/>
      <w:r w:rsidRPr="00C03375">
        <w:rPr>
          <w:rFonts w:ascii="標楷體" w:eastAsia="標楷體" w:hAnsi="標楷體" w:hint="eastAsia"/>
          <w:color w:val="000000" w:themeColor="text1"/>
          <w:sz w:val="28"/>
          <w:szCs w:val="28"/>
        </w:rPr>
        <w:t>以及AI智能問答機器人等應用工具，以提升行政效率與品質；在前瞻學術研究方面，除於各領域</w:t>
      </w:r>
      <w:r w:rsidRPr="00C03375">
        <w:rPr>
          <w:rFonts w:ascii="標楷體" w:eastAsia="標楷體" w:hAnsi="標楷體" w:hint="eastAsia"/>
          <w:color w:val="000000" w:themeColor="text1"/>
          <w:sz w:val="28"/>
          <w:szCs w:val="28"/>
        </w:rPr>
        <w:lastRenderedPageBreak/>
        <w:t>推動AI相關研究計畫外，將強化運算基礎設施，支撐在人工智慧、生命科學、環境變遷及人文學科等關鍵領域的跨學科整合研究，使中研院能從容應對 AI 驅動的尖端科學挑戰，進一步鞏固我國在國際科</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領域的核心競爭力</w:t>
      </w:r>
      <w:r w:rsidRPr="00C03375">
        <w:rPr>
          <w:rFonts w:ascii="標楷體" w:eastAsia="標楷體" w:hAnsi="標楷體"/>
          <w:color w:val="000000" w:themeColor="text1"/>
          <w:sz w:val="28"/>
          <w:szCs w:val="28"/>
        </w:rPr>
        <w:t>。</w:t>
      </w:r>
    </w:p>
    <w:p w14:paraId="58344E1D" w14:textId="77777777" w:rsidR="00D91095" w:rsidRPr="00C03375" w:rsidRDefault="00D91095" w:rsidP="00D9109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跨國合作及國際參與：為與國際學術研究趨勢接軌，中研院致力於推動國際學術交流，藉由積極國際組織參與、執行跨國研究合作計畫、推展學</w:t>
      </w:r>
      <w:proofErr w:type="gramStart"/>
      <w:r w:rsidRPr="00C03375">
        <w:rPr>
          <w:rFonts w:ascii="標楷體" w:eastAsia="標楷體" w:hAnsi="標楷體"/>
          <w:color w:val="000000" w:themeColor="text1"/>
          <w:sz w:val="28"/>
          <w:szCs w:val="28"/>
        </w:rPr>
        <w:t>研</w:t>
      </w:r>
      <w:proofErr w:type="gramEnd"/>
      <w:r w:rsidRPr="00C03375">
        <w:rPr>
          <w:rFonts w:ascii="標楷體" w:eastAsia="標楷體" w:hAnsi="標楷體"/>
          <w:color w:val="000000" w:themeColor="text1"/>
          <w:sz w:val="28"/>
          <w:szCs w:val="28"/>
        </w:rPr>
        <w:t>機構合作協議、設置世界級學術講座、舉辦國際會議等方式，強化中研院與全球學術社群的互動交流，期藉由優勢研究領域獲得國際認同，進而躋身國際學術領導地位。</w:t>
      </w:r>
    </w:p>
    <w:p w14:paraId="69A580CE" w14:textId="2B7A94DE" w:rsidR="00D91095" w:rsidRPr="00C03375" w:rsidRDefault="002206FF" w:rsidP="002206FF">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hint="eastAsia"/>
          <w:color w:val="000000" w:themeColor="text1"/>
          <w:sz w:val="28"/>
          <w:szCs w:val="28"/>
        </w:rPr>
        <w:t>延攬並培育卓越人才：中研院致力於網羅國內外傑出研究人才、設置高階講座、並</w:t>
      </w:r>
      <w:proofErr w:type="gramStart"/>
      <w:r w:rsidRPr="00C03375">
        <w:rPr>
          <w:rFonts w:ascii="標楷體" w:eastAsia="標楷體" w:hAnsi="標楷體" w:hint="eastAsia"/>
          <w:color w:val="000000" w:themeColor="text1"/>
          <w:sz w:val="28"/>
          <w:szCs w:val="28"/>
        </w:rPr>
        <w:t>採</w:t>
      </w:r>
      <w:proofErr w:type="gramEnd"/>
      <w:r w:rsidRPr="00C03375">
        <w:rPr>
          <w:rFonts w:ascii="標楷體" w:eastAsia="標楷體" w:hAnsi="標楷體" w:hint="eastAsia"/>
          <w:color w:val="000000" w:themeColor="text1"/>
          <w:sz w:val="28"/>
          <w:szCs w:val="28"/>
        </w:rPr>
        <w:t>合聘、延聘及短期來院訪問等管道引入頂尖人才；為提升國內學生就讀博士班意願，並與國外競爭優秀國際學子，全面提升中研院博士生之獎助金、與國內各大學合作辦理跨領域國際研究生及國內學位學程，亦與國外大學合作培育國際博士生（TIGP-X）、與</w:t>
      </w:r>
      <w:proofErr w:type="gramStart"/>
      <w:r w:rsidRPr="00C03375">
        <w:rPr>
          <w:rFonts w:ascii="標楷體" w:eastAsia="標楷體" w:hAnsi="標楷體" w:hint="eastAsia"/>
          <w:color w:val="000000" w:themeColor="text1"/>
          <w:sz w:val="28"/>
          <w:szCs w:val="28"/>
        </w:rPr>
        <w:t>臺</w:t>
      </w:r>
      <w:proofErr w:type="gramEnd"/>
      <w:r w:rsidRPr="00C03375">
        <w:rPr>
          <w:rFonts w:ascii="標楷體" w:eastAsia="標楷體" w:hAnsi="標楷體" w:hint="eastAsia"/>
          <w:color w:val="000000" w:themeColor="text1"/>
          <w:sz w:val="28"/>
          <w:szCs w:val="28"/>
        </w:rPr>
        <w:t>北醫學大學、國防醫學院、國立陽明交通大學合作推動「中央研究院人文講座」，更在國際政治與經濟局勢的劇烈變動的環境下推出「菁英博士生快速入學試行計畫」，為全球學子敞開科</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深造之門；為提振人文社會科學研究者之士氣，訂有「中央研究院人文社會科學博士生菁英獎學金作業要點」及「中央研究院人文社會科學博士候選人培育計畫」，積極培育國內優秀之人文社會科學領域博士生致力於學術研究；另訂有「中央研究院延聘博士後研究學者作業要點」鼓勵</w:t>
      </w:r>
      <w:proofErr w:type="gramStart"/>
      <w:r w:rsidRPr="00C03375">
        <w:rPr>
          <w:rFonts w:ascii="標楷體" w:eastAsia="標楷體" w:hAnsi="標楷體" w:hint="eastAsia"/>
          <w:color w:val="000000" w:themeColor="text1"/>
          <w:sz w:val="28"/>
          <w:szCs w:val="28"/>
        </w:rPr>
        <w:t>甫</w:t>
      </w:r>
      <w:proofErr w:type="gramEnd"/>
      <w:r w:rsidRPr="00C03375">
        <w:rPr>
          <w:rFonts w:ascii="標楷體" w:eastAsia="標楷體" w:hAnsi="標楷體" w:hint="eastAsia"/>
          <w:color w:val="000000" w:themeColor="text1"/>
          <w:sz w:val="28"/>
          <w:szCs w:val="28"/>
        </w:rPr>
        <w:t>得博士學位之年輕博士投身學術研究。</w:t>
      </w:r>
    </w:p>
    <w:p w14:paraId="61C847BA" w14:textId="77777777" w:rsidR="002206FF" w:rsidRPr="00C03375" w:rsidRDefault="002206FF" w:rsidP="002206FF">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辦理多元獎勵：為落實獎勵學術研究之法定任務，辦理中研院年輕學者研究成果獎、中研院人文及社會科學學術性</w:t>
      </w:r>
      <w:proofErr w:type="gramStart"/>
      <w:r w:rsidRPr="00C03375">
        <w:rPr>
          <w:rFonts w:ascii="標楷體" w:eastAsia="標楷體" w:hAnsi="標楷體"/>
          <w:color w:val="000000" w:themeColor="text1"/>
          <w:sz w:val="28"/>
          <w:szCs w:val="28"/>
        </w:rPr>
        <w:t>專書獎</w:t>
      </w:r>
      <w:proofErr w:type="gramEnd"/>
      <w:r w:rsidRPr="00C03375">
        <w:rPr>
          <w:rFonts w:ascii="標楷體" w:eastAsia="標楷體" w:hAnsi="標楷體"/>
          <w:color w:val="000000" w:themeColor="text1"/>
          <w:sz w:val="28"/>
          <w:szCs w:val="28"/>
        </w:rPr>
        <w:t>。</w:t>
      </w:r>
    </w:p>
    <w:p w14:paraId="1C53B94B" w14:textId="613483EF" w:rsidR="00D91095" w:rsidRPr="00C03375" w:rsidRDefault="00D91095" w:rsidP="00D9109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提政策建議書、辦理公共服務、鼓勵專利技術移轉與產學合作：針對學術發展及社會關切的重要議題，公布政策建議書，並送請政府部門首長、立法委員及各縣市政府首長參考；定期舉辦科普演講與參觀活動、撰寫科普文章及發送電子報，如數位典藏</w:t>
      </w:r>
      <w:proofErr w:type="gramStart"/>
      <w:r w:rsidRPr="00C03375">
        <w:rPr>
          <w:rFonts w:ascii="標楷體" w:eastAsia="標楷體" w:hAnsi="標楷體" w:hint="eastAsia"/>
          <w:color w:val="000000" w:themeColor="text1"/>
          <w:sz w:val="28"/>
          <w:szCs w:val="28"/>
        </w:rPr>
        <w:t>特</w:t>
      </w:r>
      <w:proofErr w:type="gramEnd"/>
      <w:r w:rsidRPr="00C03375">
        <w:rPr>
          <w:rFonts w:ascii="標楷體" w:eastAsia="標楷體" w:hAnsi="標楷體" w:hint="eastAsia"/>
          <w:color w:val="000000" w:themeColor="text1"/>
          <w:sz w:val="28"/>
          <w:szCs w:val="28"/>
        </w:rPr>
        <w:t>展、知識</w:t>
      </w:r>
      <w:proofErr w:type="gramStart"/>
      <w:r w:rsidRPr="00C03375">
        <w:rPr>
          <w:rFonts w:ascii="標楷體" w:eastAsia="標楷體" w:hAnsi="標楷體" w:hint="eastAsia"/>
          <w:color w:val="000000" w:themeColor="text1"/>
          <w:sz w:val="28"/>
          <w:szCs w:val="28"/>
        </w:rPr>
        <w:t>饗宴暨故院長</w:t>
      </w:r>
      <w:proofErr w:type="gramEnd"/>
      <w:r w:rsidRPr="00C03375">
        <w:rPr>
          <w:rFonts w:ascii="標楷體" w:eastAsia="標楷體" w:hAnsi="標楷體" w:hint="eastAsia"/>
          <w:color w:val="000000" w:themeColor="text1"/>
          <w:sz w:val="28"/>
          <w:szCs w:val="28"/>
        </w:rPr>
        <w:t>科普講座、中</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講堂、院區開放參觀活動及院士演講等，回饋於民；將具有社會應用潛力之基礎研發成果，藉由申請專利保護，提高後續開發誘因，以確保未來有償商業應用或無償公益使用之真正實現，同時為協助國家社會因應重大挑戰，提出關鍵問題解方，中研院亦與產業界進行合作研究，促進研發成果產業化。</w:t>
      </w:r>
      <w:r w:rsidRPr="00C03375">
        <w:rPr>
          <w:rFonts w:ascii="標楷體" w:eastAsia="標楷體" w:hAnsi="標楷體" w:hint="eastAsia"/>
          <w:color w:val="000000" w:themeColor="text1"/>
          <w:sz w:val="28"/>
          <w:szCs w:val="28"/>
        </w:rPr>
        <w:lastRenderedPageBreak/>
        <w:t>例如，將mRNA技術與宏碁股份有限公司合作發展個人化癌症疫苗；運用</w:t>
      </w:r>
      <w:proofErr w:type="gramStart"/>
      <w:r w:rsidRPr="00C03375">
        <w:rPr>
          <w:rFonts w:ascii="標楷體" w:eastAsia="標楷體" w:hAnsi="標楷體" w:hint="eastAsia"/>
          <w:color w:val="000000" w:themeColor="text1"/>
          <w:sz w:val="28"/>
          <w:szCs w:val="28"/>
        </w:rPr>
        <w:t>去碳燃氫</w:t>
      </w:r>
      <w:proofErr w:type="gramEnd"/>
      <w:r w:rsidRPr="00C03375">
        <w:rPr>
          <w:rFonts w:ascii="標楷體" w:eastAsia="標楷體" w:hAnsi="標楷體" w:hint="eastAsia"/>
          <w:color w:val="000000" w:themeColor="text1"/>
          <w:sz w:val="28"/>
          <w:szCs w:val="28"/>
        </w:rPr>
        <w:t>技術與</w:t>
      </w:r>
      <w:r w:rsidR="0077660E" w:rsidRPr="00C03375">
        <w:rPr>
          <w:rFonts w:ascii="標楷體" w:eastAsia="標楷體" w:hAnsi="標楷體" w:hint="eastAsia"/>
          <w:color w:val="000000" w:themeColor="text1"/>
          <w:sz w:val="28"/>
          <w:szCs w:val="28"/>
        </w:rPr>
        <w:t>台灣電力股份有限公司</w:t>
      </w:r>
      <w:r w:rsidRPr="00C03375">
        <w:rPr>
          <w:rFonts w:ascii="標楷體" w:eastAsia="標楷體" w:hAnsi="標楷體" w:hint="eastAsia"/>
          <w:color w:val="000000" w:themeColor="text1"/>
          <w:sz w:val="28"/>
          <w:szCs w:val="28"/>
        </w:rPr>
        <w:t>合作串接</w:t>
      </w:r>
      <w:proofErr w:type="gramStart"/>
      <w:r w:rsidRPr="00C03375">
        <w:rPr>
          <w:rFonts w:ascii="標楷體" w:eastAsia="標楷體" w:hAnsi="標楷體" w:hint="eastAsia"/>
          <w:color w:val="000000" w:themeColor="text1"/>
          <w:sz w:val="28"/>
          <w:szCs w:val="28"/>
        </w:rPr>
        <w:t>台電混氫發電</w:t>
      </w:r>
      <w:proofErr w:type="gramEnd"/>
      <w:r w:rsidRPr="00C03375">
        <w:rPr>
          <w:rFonts w:ascii="標楷體" w:eastAsia="標楷體" w:hAnsi="標楷體" w:hint="eastAsia"/>
          <w:color w:val="000000" w:themeColor="text1"/>
          <w:sz w:val="28"/>
          <w:szCs w:val="28"/>
        </w:rPr>
        <w:t>；以新的探</w:t>
      </w:r>
      <w:proofErr w:type="gramStart"/>
      <w:r w:rsidRPr="00C03375">
        <w:rPr>
          <w:rFonts w:ascii="標楷體" w:eastAsia="標楷體" w:hAnsi="標楷體" w:hint="eastAsia"/>
          <w:color w:val="000000" w:themeColor="text1"/>
          <w:sz w:val="28"/>
          <w:szCs w:val="28"/>
        </w:rPr>
        <w:t>勘</w:t>
      </w:r>
      <w:proofErr w:type="gramEnd"/>
      <w:r w:rsidRPr="00C03375">
        <w:rPr>
          <w:rFonts w:ascii="標楷體" w:eastAsia="標楷體" w:hAnsi="標楷體" w:hint="eastAsia"/>
          <w:color w:val="000000" w:themeColor="text1"/>
          <w:sz w:val="28"/>
          <w:szCs w:val="28"/>
        </w:rPr>
        <w:t>技術協助台灣中油股份有限公司進行地熱能源探</w:t>
      </w:r>
      <w:proofErr w:type="gramStart"/>
      <w:r w:rsidRPr="00C03375">
        <w:rPr>
          <w:rFonts w:ascii="標楷體" w:eastAsia="標楷體" w:hAnsi="標楷體" w:hint="eastAsia"/>
          <w:color w:val="000000" w:themeColor="text1"/>
          <w:sz w:val="28"/>
          <w:szCs w:val="28"/>
        </w:rPr>
        <w:t>勘</w:t>
      </w:r>
      <w:proofErr w:type="gramEnd"/>
      <w:r w:rsidRPr="00C03375">
        <w:rPr>
          <w:rFonts w:ascii="標楷體" w:eastAsia="標楷體" w:hAnsi="標楷體" w:hint="eastAsia"/>
          <w:color w:val="000000" w:themeColor="text1"/>
          <w:sz w:val="28"/>
          <w:szCs w:val="28"/>
        </w:rPr>
        <w:t>等。</w:t>
      </w:r>
    </w:p>
    <w:p w14:paraId="52F840FF" w14:textId="6757F804" w:rsidR="00D91095" w:rsidRPr="00C03375" w:rsidRDefault="002206FF" w:rsidP="002206FF">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生</w:t>
      </w:r>
      <w:proofErr w:type="gramStart"/>
      <w:r w:rsidRPr="00C03375">
        <w:rPr>
          <w:rFonts w:ascii="標楷體" w:eastAsia="標楷體" w:hAnsi="標楷體"/>
          <w:color w:val="000000" w:themeColor="text1"/>
          <w:sz w:val="28"/>
          <w:szCs w:val="28"/>
        </w:rPr>
        <w:t>醫</w:t>
      </w:r>
      <w:proofErr w:type="gramEnd"/>
      <w:r w:rsidRPr="00C03375">
        <w:rPr>
          <w:rFonts w:ascii="標楷體" w:eastAsia="標楷體" w:hAnsi="標楷體"/>
          <w:color w:val="000000" w:themeColor="text1"/>
          <w:sz w:val="28"/>
          <w:szCs w:val="28"/>
        </w:rPr>
        <w:t>研究成果化研為用：</w:t>
      </w:r>
      <w:r w:rsidRPr="00C03375">
        <w:rPr>
          <w:rFonts w:ascii="標楷體" w:eastAsia="標楷體" w:hAnsi="標楷體" w:hint="eastAsia"/>
          <w:color w:val="000000" w:themeColor="text1"/>
          <w:sz w:val="28"/>
          <w:szCs w:val="28"/>
        </w:rPr>
        <w:t>「國家生技研究園區」為我國第一個跨部會及產官學</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共同進駐，以「創新研發」為主的新一代國家級生物科技研究園區；中研院成立「生</w:t>
      </w:r>
      <w:proofErr w:type="gramStart"/>
      <w:r w:rsidRPr="00C03375">
        <w:rPr>
          <w:rFonts w:ascii="標楷體" w:eastAsia="標楷體" w:hAnsi="標楷體" w:hint="eastAsia"/>
          <w:color w:val="000000" w:themeColor="text1"/>
          <w:sz w:val="28"/>
          <w:szCs w:val="28"/>
        </w:rPr>
        <w:t>醫</w:t>
      </w:r>
      <w:proofErr w:type="gramEnd"/>
      <w:r w:rsidRPr="00C03375">
        <w:rPr>
          <w:rFonts w:ascii="標楷體" w:eastAsia="標楷體" w:hAnsi="標楷體" w:hint="eastAsia"/>
          <w:color w:val="000000" w:themeColor="text1"/>
          <w:sz w:val="28"/>
          <w:szCs w:val="28"/>
        </w:rPr>
        <w:t>轉譯研究中心」進駐園區，主要任務包含協助轉譯創新研究成果；善盡因應重大傳染病的社會責任、建立跨部會生技醫藥生態系，同時負責園區整體營運、公共設施及生態環境維護等相關運作；完善及管理園區核心設施，提供高階儀器與技術服務，以縮短國內產學</w:t>
      </w:r>
      <w:proofErr w:type="gramStart"/>
      <w:r w:rsidRPr="00C03375">
        <w:rPr>
          <w:rFonts w:ascii="標楷體" w:eastAsia="標楷體" w:hAnsi="標楷體" w:hint="eastAsia"/>
          <w:color w:val="000000" w:themeColor="text1"/>
          <w:sz w:val="28"/>
          <w:szCs w:val="28"/>
        </w:rPr>
        <w:t>研</w:t>
      </w:r>
      <w:proofErr w:type="gramEnd"/>
      <w:r w:rsidRPr="00C03375">
        <w:rPr>
          <w:rFonts w:ascii="標楷體" w:eastAsia="標楷體" w:hAnsi="標楷體" w:hint="eastAsia"/>
          <w:color w:val="000000" w:themeColor="text1"/>
          <w:sz w:val="28"/>
          <w:szCs w:val="28"/>
        </w:rPr>
        <w:t>界進行創新性精</w:t>
      </w:r>
      <w:proofErr w:type="gramStart"/>
      <w:r w:rsidRPr="00C03375">
        <w:rPr>
          <w:rFonts w:ascii="標楷體" w:eastAsia="標楷體" w:hAnsi="標楷體" w:hint="eastAsia"/>
          <w:color w:val="000000" w:themeColor="text1"/>
          <w:sz w:val="28"/>
          <w:szCs w:val="28"/>
        </w:rPr>
        <w:t>準</w:t>
      </w:r>
      <w:proofErr w:type="gramEnd"/>
      <w:r w:rsidRPr="00C03375">
        <w:rPr>
          <w:rFonts w:ascii="標楷體" w:eastAsia="標楷體" w:hAnsi="標楷體" w:hint="eastAsia"/>
          <w:color w:val="000000" w:themeColor="text1"/>
          <w:sz w:val="28"/>
          <w:szCs w:val="28"/>
        </w:rPr>
        <w:t>醫療、</w:t>
      </w:r>
      <w:proofErr w:type="gramStart"/>
      <w:r w:rsidRPr="00C03375">
        <w:rPr>
          <w:rFonts w:ascii="標楷體" w:eastAsia="標楷體" w:hAnsi="標楷體" w:hint="eastAsia"/>
          <w:color w:val="000000" w:themeColor="text1"/>
          <w:sz w:val="28"/>
          <w:szCs w:val="28"/>
        </w:rPr>
        <w:t>醫</w:t>
      </w:r>
      <w:proofErr w:type="gramEnd"/>
      <w:r w:rsidRPr="00C03375">
        <w:rPr>
          <w:rFonts w:ascii="標楷體" w:eastAsia="標楷體" w:hAnsi="標楷體" w:hint="eastAsia"/>
          <w:color w:val="000000" w:themeColor="text1"/>
          <w:sz w:val="28"/>
          <w:szCs w:val="28"/>
        </w:rPr>
        <w:t>材、新藥之轉譯研究及臨床前驗證所需時程。</w:t>
      </w:r>
    </w:p>
    <w:p w14:paraId="2125A8D7" w14:textId="77777777" w:rsidR="00BD1456" w:rsidRPr="00930138" w:rsidRDefault="00BD1456" w:rsidP="00930138">
      <w:pPr>
        <w:numPr>
          <w:ilvl w:val="0"/>
          <w:numId w:val="36"/>
        </w:numPr>
        <w:overflowPunct w:val="0"/>
        <w:spacing w:line="440" w:lineRule="exact"/>
        <w:ind w:left="1276" w:hanging="916"/>
        <w:jc w:val="both"/>
        <w:rPr>
          <w:rFonts w:ascii="標楷體" w:eastAsia="標楷體" w:hAnsi="標楷體"/>
          <w:sz w:val="28"/>
          <w:szCs w:val="28"/>
        </w:rPr>
      </w:pPr>
      <w:r w:rsidRPr="00930138">
        <w:rPr>
          <w:rFonts w:ascii="標楷體" w:eastAsia="標楷體" w:hAnsi="標楷體" w:hint="eastAsia"/>
          <w:sz w:val="28"/>
          <w:szCs w:val="28"/>
        </w:rPr>
        <w:t>依據行政院核定中研院南部院區公共建設開發計畫分別為「南部院區綜合規劃」及「南部院區發展量子科技及興建實驗大樓規劃」</w:t>
      </w:r>
      <w:proofErr w:type="gramStart"/>
      <w:r w:rsidRPr="00930138">
        <w:rPr>
          <w:rFonts w:ascii="標楷體" w:eastAsia="標楷體" w:hAnsi="標楷體" w:hint="eastAsia"/>
          <w:sz w:val="28"/>
          <w:szCs w:val="28"/>
        </w:rPr>
        <w:t>採</w:t>
      </w:r>
      <w:proofErr w:type="gramEnd"/>
      <w:r w:rsidRPr="00930138">
        <w:rPr>
          <w:rFonts w:ascii="標楷體" w:eastAsia="標楷體" w:hAnsi="標楷體" w:hint="eastAsia"/>
          <w:sz w:val="28"/>
          <w:szCs w:val="28"/>
        </w:rPr>
        <w:t>分期開發興建，</w:t>
      </w:r>
      <w:proofErr w:type="gramStart"/>
      <w:r w:rsidRPr="00930138">
        <w:rPr>
          <w:rFonts w:ascii="標楷體" w:eastAsia="標楷體" w:hAnsi="標楷體" w:hint="eastAsia"/>
          <w:sz w:val="28"/>
          <w:szCs w:val="28"/>
        </w:rPr>
        <w:t>第一期跨領域</w:t>
      </w:r>
      <w:proofErr w:type="gramEnd"/>
      <w:r w:rsidRPr="00930138">
        <w:rPr>
          <w:rFonts w:ascii="標楷體" w:eastAsia="標楷體" w:hAnsi="標楷體" w:hint="eastAsia"/>
          <w:sz w:val="28"/>
          <w:szCs w:val="28"/>
        </w:rPr>
        <w:t>研究大樓（I）、精密及玻璃溫室等，已於110年1月陸續進駐營運；</w:t>
      </w:r>
      <w:proofErr w:type="gramStart"/>
      <w:r w:rsidRPr="00930138">
        <w:rPr>
          <w:rFonts w:ascii="標楷體" w:eastAsia="標楷體" w:hAnsi="標楷體" w:hint="eastAsia"/>
          <w:sz w:val="28"/>
          <w:szCs w:val="28"/>
        </w:rPr>
        <w:t>第二期跨領域</w:t>
      </w:r>
      <w:proofErr w:type="gramEnd"/>
      <w:r w:rsidRPr="00930138">
        <w:rPr>
          <w:rFonts w:ascii="標楷體" w:eastAsia="標楷體" w:hAnsi="標楷體" w:hint="eastAsia"/>
          <w:sz w:val="28"/>
          <w:szCs w:val="28"/>
        </w:rPr>
        <w:t>研究大樓（II）及綜合大樓，已於113年1月陸續進駐使用及裝修作業；另第三期量子科技實驗大樓，工程於113年10月決標，同年11月21日開工，預計116年底竣工，117年正式營運。</w:t>
      </w:r>
    </w:p>
    <w:p w14:paraId="3CCB0E42" w14:textId="77777777" w:rsidR="00BD1456" w:rsidRPr="00930138" w:rsidRDefault="00BD1456" w:rsidP="00930138">
      <w:pPr>
        <w:overflowPunct w:val="0"/>
        <w:spacing w:line="440" w:lineRule="exact"/>
        <w:ind w:left="1276"/>
        <w:jc w:val="both"/>
        <w:rPr>
          <w:rFonts w:ascii="標楷體" w:eastAsia="標楷體" w:hAnsi="標楷體"/>
          <w:sz w:val="28"/>
          <w:szCs w:val="28"/>
        </w:rPr>
      </w:pPr>
      <w:r w:rsidRPr="00930138">
        <w:rPr>
          <w:rFonts w:ascii="標楷體" w:eastAsia="標楷體" w:hAnsi="標楷體" w:hint="eastAsia"/>
          <w:sz w:val="28"/>
          <w:szCs w:val="28"/>
        </w:rPr>
        <w:t>南部院區主要發展農業生技、量子科技、淨零永續及人文社會科學研究等專題；農業生技領域於110年進駐南部院區，115年度研究方向將延續對重要糧食作物和觀賞植物的生物技術研發，結合生物資訊和大數據分析，深入探討作物基因體學，植物病原基因體、致病機制及其反制作用的基礎研究及應用，另持續提供先進的生技設施，包括基因原位雜合與蘭花基因轉殖平台，供功能性基因表達和轉譯農學研究使用；南科基因轉殖溫室與南院溫室已整合為溫室核心設施，質譜核心設施提供小分子鑑定、代謝體分析和功能性分析，以上設施服務皆提供南北兩院區及院外研究人員使用；同時藉由與國立成功大學轉譯農業科學博士學位學程以及暑期培訓大專高中生計畫以加強與南部大專院校合作，共同培育研究人才。中研院於113年1月成立關鍵議題研究中心，以合聘方式廣納國內外專家學者，組成垂直整合的團隊進行任務型研究，目前選定「</w:t>
      </w:r>
      <w:proofErr w:type="gramStart"/>
      <w:r w:rsidRPr="00930138">
        <w:rPr>
          <w:rFonts w:ascii="標楷體" w:eastAsia="標楷體" w:hAnsi="標楷體" w:hint="eastAsia"/>
          <w:sz w:val="28"/>
          <w:szCs w:val="28"/>
        </w:rPr>
        <w:t>淨零科技</w:t>
      </w:r>
      <w:proofErr w:type="gramEnd"/>
      <w:r w:rsidRPr="00930138">
        <w:rPr>
          <w:rFonts w:ascii="標楷體" w:eastAsia="標楷體" w:hAnsi="標楷體" w:hint="eastAsia"/>
          <w:sz w:val="28"/>
          <w:szCs w:val="28"/>
        </w:rPr>
        <w:t>」與「量子科技」兩個領域的研究計</w:t>
      </w:r>
      <w:r w:rsidRPr="00930138">
        <w:rPr>
          <w:rFonts w:ascii="標楷體" w:eastAsia="標楷體" w:hAnsi="標楷體" w:hint="eastAsia"/>
          <w:sz w:val="28"/>
          <w:szCs w:val="28"/>
        </w:rPr>
        <w:lastRenderedPageBreak/>
        <w:t>畫與專題中心進駐，並建立相關服務型設施；</w:t>
      </w:r>
      <w:proofErr w:type="gramStart"/>
      <w:r w:rsidRPr="00930138">
        <w:rPr>
          <w:rFonts w:ascii="標楷體" w:eastAsia="標楷體" w:hAnsi="標楷體" w:hint="eastAsia"/>
          <w:sz w:val="28"/>
          <w:szCs w:val="28"/>
        </w:rPr>
        <w:t>淨零科技</w:t>
      </w:r>
      <w:proofErr w:type="gramEnd"/>
      <w:r w:rsidRPr="00930138">
        <w:rPr>
          <w:rFonts w:ascii="標楷體" w:eastAsia="標楷體" w:hAnsi="標楷體" w:hint="eastAsia"/>
          <w:sz w:val="28"/>
          <w:szCs w:val="28"/>
        </w:rPr>
        <w:t>方面在南部院區進行海洋能與下世代太陽能研究，海洋能著重於黑潮發電的相關研究與科技發展，預計115年進行100kW浮游式發電機的黑潮</w:t>
      </w:r>
      <w:proofErr w:type="gramStart"/>
      <w:r w:rsidRPr="00930138">
        <w:rPr>
          <w:rFonts w:ascii="標楷體" w:eastAsia="標楷體" w:hAnsi="標楷體" w:hint="eastAsia"/>
          <w:sz w:val="28"/>
          <w:szCs w:val="28"/>
        </w:rPr>
        <w:t>洋流實海發電</w:t>
      </w:r>
      <w:proofErr w:type="gramEnd"/>
      <w:r w:rsidRPr="00930138">
        <w:rPr>
          <w:rFonts w:ascii="標楷體" w:eastAsia="標楷體" w:hAnsi="標楷體" w:hint="eastAsia"/>
          <w:sz w:val="28"/>
          <w:szCs w:val="28"/>
        </w:rPr>
        <w:t>實驗，下世代太陽能則以製造邊長10公分，光電轉換效率</w:t>
      </w:r>
      <w:r w:rsidRPr="00930138">
        <w:rPr>
          <w:rFonts w:ascii="標楷體" w:eastAsia="標楷體" w:hAnsi="標楷體"/>
          <w:sz w:val="28"/>
          <w:szCs w:val="28"/>
        </w:rPr>
        <w:t>30</w:t>
      </w:r>
      <w:r w:rsidRPr="00930138">
        <w:rPr>
          <w:rFonts w:ascii="標楷體" w:eastAsia="標楷體" w:hAnsi="標楷體" w:hint="eastAsia"/>
          <w:sz w:val="28"/>
          <w:szCs w:val="28"/>
        </w:rPr>
        <w:t>％以上的高效疊層太陽能電池為目標；量子科技方面，持續進行超導量子晶片的製程科學研究，增加量子位元、發展錯誤校正技術、製作高亮度通訊波段單光子光源及高靈敏度單光子偵測器；服務性研發設施方面，臺灣海洋觀測系統核心設施、先進太陽能電池研發與量測設施、量子光電前瞻製程與精密分析設施等，均開放全國大專院校、研究機構與產業界申請使用，另</w:t>
      </w:r>
      <w:r w:rsidRPr="00930138">
        <w:rPr>
          <w:rFonts w:ascii="標楷體" w:eastAsia="標楷體" w:hAnsi="標楷體"/>
          <w:sz w:val="28"/>
          <w:szCs w:val="28"/>
        </w:rPr>
        <w:t>114</w:t>
      </w:r>
      <w:r w:rsidRPr="00930138">
        <w:rPr>
          <w:rFonts w:ascii="標楷體" w:eastAsia="標楷體" w:hAnsi="標楷體" w:hint="eastAsia"/>
          <w:sz w:val="28"/>
          <w:szCs w:val="28"/>
        </w:rPr>
        <w:t>年</w:t>
      </w:r>
      <w:r w:rsidRPr="00930138">
        <w:rPr>
          <w:rFonts w:ascii="標楷體" w:eastAsia="標楷體" w:hAnsi="標楷體"/>
          <w:sz w:val="28"/>
          <w:szCs w:val="28"/>
        </w:rPr>
        <w:t>6</w:t>
      </w:r>
      <w:r w:rsidRPr="00930138">
        <w:rPr>
          <w:rFonts w:ascii="標楷體" w:eastAsia="標楷體" w:hAnsi="標楷體" w:hint="eastAsia"/>
          <w:sz w:val="28"/>
          <w:szCs w:val="28"/>
        </w:rPr>
        <w:t>月揭牌的量子晶片製程研發平台與量子計算測試平台，</w:t>
      </w:r>
      <w:proofErr w:type="gramStart"/>
      <w:r w:rsidRPr="00930138">
        <w:rPr>
          <w:rFonts w:ascii="標楷體" w:eastAsia="標楷體" w:hAnsi="標楷體" w:hint="eastAsia"/>
          <w:sz w:val="28"/>
          <w:szCs w:val="28"/>
        </w:rPr>
        <w:t>賡</w:t>
      </w:r>
      <w:proofErr w:type="gramEnd"/>
      <w:r w:rsidRPr="00930138">
        <w:rPr>
          <w:rFonts w:ascii="標楷體" w:eastAsia="標楷體" w:hAnsi="標楷體" w:hint="eastAsia"/>
          <w:sz w:val="28"/>
          <w:szCs w:val="28"/>
        </w:rPr>
        <w:t>續進行儀器安裝及測試，預計</w:t>
      </w:r>
      <w:r w:rsidRPr="00930138">
        <w:rPr>
          <w:rFonts w:ascii="標楷體" w:eastAsia="標楷體" w:hAnsi="標楷體"/>
          <w:sz w:val="28"/>
          <w:szCs w:val="28"/>
        </w:rPr>
        <w:t>115</w:t>
      </w:r>
      <w:r w:rsidRPr="00930138">
        <w:rPr>
          <w:rFonts w:ascii="標楷體" w:eastAsia="標楷體" w:hAnsi="標楷體" w:hint="eastAsia"/>
          <w:sz w:val="28"/>
          <w:szCs w:val="28"/>
        </w:rPr>
        <w:t>年分階段開放申請使用。在人文社會研究領域方面，量身打造「人文及社會研究基地」，主要從事與南臺灣相關的研究，基地內建「數位圖書檔案室」，對外開放提供圖書數位資源分享服務。</w:t>
      </w:r>
    </w:p>
    <w:p w14:paraId="467B8A05" w14:textId="52B5A615" w:rsidR="00D91095" w:rsidRPr="00C03375" w:rsidRDefault="004B2CBD" w:rsidP="00314581">
      <w:pPr>
        <w:numPr>
          <w:ilvl w:val="0"/>
          <w:numId w:val="36"/>
        </w:numPr>
        <w:overflowPunct w:val="0"/>
        <w:spacing w:line="440" w:lineRule="exact"/>
        <w:ind w:left="1276" w:hanging="916"/>
        <w:jc w:val="both"/>
        <w:rPr>
          <w:rFonts w:ascii="標楷體" w:eastAsia="標楷體" w:hAnsi="標楷體"/>
          <w:color w:val="000000" w:themeColor="text1"/>
          <w:sz w:val="28"/>
          <w:szCs w:val="28"/>
        </w:rPr>
      </w:pPr>
      <w:r w:rsidRPr="00C03375">
        <w:rPr>
          <w:rFonts w:ascii="標楷體" w:eastAsia="標楷體" w:hAnsi="標楷體" w:cs="標楷體" w:hint="eastAsia"/>
          <w:color w:val="000000" w:themeColor="text1"/>
          <w:sz w:val="28"/>
          <w:szCs w:val="28"/>
        </w:rPr>
        <w:t>天然氣</w:t>
      </w:r>
      <w:proofErr w:type="gramStart"/>
      <w:r w:rsidRPr="00C03375">
        <w:rPr>
          <w:rFonts w:ascii="標楷體" w:eastAsia="標楷體" w:hAnsi="標楷體" w:cs="標楷體" w:hint="eastAsia"/>
          <w:color w:val="000000" w:themeColor="text1"/>
          <w:sz w:val="28"/>
          <w:szCs w:val="28"/>
        </w:rPr>
        <w:t>去碳燃氫</w:t>
      </w:r>
      <w:r w:rsidRPr="00C03375">
        <w:rPr>
          <w:rFonts w:ascii="標楷體" w:eastAsia="標楷體" w:hAnsi="標楷體" w:cs="標楷體"/>
          <w:color w:val="000000" w:themeColor="text1"/>
          <w:sz w:val="28"/>
          <w:szCs w:val="28"/>
        </w:rPr>
        <w:t>MW</w:t>
      </w:r>
      <w:r w:rsidRPr="00C03375">
        <w:rPr>
          <w:rFonts w:ascii="標楷體" w:eastAsia="標楷體" w:hAnsi="標楷體" w:cs="標楷體" w:hint="eastAsia"/>
          <w:color w:val="000000" w:themeColor="text1"/>
          <w:sz w:val="28"/>
          <w:szCs w:val="28"/>
        </w:rPr>
        <w:t>級混氫</w:t>
      </w:r>
      <w:proofErr w:type="gramEnd"/>
      <w:r w:rsidRPr="00C03375">
        <w:rPr>
          <w:rFonts w:ascii="標楷體" w:eastAsia="標楷體" w:hAnsi="標楷體" w:cs="標楷體" w:hint="eastAsia"/>
          <w:color w:val="000000" w:themeColor="text1"/>
          <w:sz w:val="28"/>
          <w:szCs w:val="28"/>
        </w:rPr>
        <w:t>發電系統建置及試驗計畫：</w:t>
      </w:r>
      <w:r w:rsidRPr="00C03375">
        <w:rPr>
          <w:rFonts w:ascii="標楷體" w:eastAsia="標楷體" w:hAnsi="標楷體" w:hint="eastAsia"/>
          <w:color w:val="000000" w:themeColor="text1"/>
          <w:sz w:val="28"/>
          <w:szCs w:val="28"/>
        </w:rPr>
        <w:t>中研院</w:t>
      </w:r>
      <w:r w:rsidRPr="00C03375">
        <w:rPr>
          <w:rFonts w:ascii="標楷體" w:eastAsia="標楷體" w:hAnsi="標楷體" w:cs="標楷體" w:hint="eastAsia"/>
          <w:color w:val="000000" w:themeColor="text1"/>
          <w:sz w:val="28"/>
          <w:szCs w:val="28"/>
        </w:rPr>
        <w:t>自主研發的天然氣</w:t>
      </w:r>
      <w:proofErr w:type="gramStart"/>
      <w:r w:rsidRPr="00C03375">
        <w:rPr>
          <w:rFonts w:ascii="標楷體" w:eastAsia="標楷體" w:hAnsi="標楷體" w:cs="標楷體" w:hint="eastAsia"/>
          <w:color w:val="000000" w:themeColor="text1"/>
          <w:sz w:val="28"/>
          <w:szCs w:val="28"/>
        </w:rPr>
        <w:t>去碳燃氫</w:t>
      </w:r>
      <w:proofErr w:type="gramEnd"/>
      <w:r w:rsidRPr="00C03375">
        <w:rPr>
          <w:rFonts w:ascii="標楷體" w:eastAsia="標楷體" w:hAnsi="標楷體" w:cs="標楷體" w:hint="eastAsia"/>
          <w:color w:val="000000" w:themeColor="text1"/>
          <w:sz w:val="28"/>
          <w:szCs w:val="28"/>
        </w:rPr>
        <w:t>發電技術（甲烷裂解技術）與台灣電力股份有限公司合作，於112年達到天然氣</w:t>
      </w:r>
      <w:proofErr w:type="gramStart"/>
      <w:r w:rsidRPr="00C03375">
        <w:rPr>
          <w:rFonts w:ascii="標楷體" w:eastAsia="標楷體" w:hAnsi="標楷體" w:cs="標楷體" w:hint="eastAsia"/>
          <w:color w:val="000000" w:themeColor="text1"/>
          <w:sz w:val="28"/>
          <w:szCs w:val="28"/>
        </w:rPr>
        <w:t>去碳製氫</w:t>
      </w:r>
      <w:proofErr w:type="gramEnd"/>
      <w:r w:rsidRPr="00C03375">
        <w:rPr>
          <w:rFonts w:ascii="標楷體" w:eastAsia="標楷體" w:hAnsi="標楷體" w:cs="標楷體" w:hint="eastAsia"/>
          <w:color w:val="000000" w:themeColor="text1"/>
          <w:sz w:val="28"/>
          <w:szCs w:val="28"/>
        </w:rPr>
        <w:t>機組串接商用65kW燃氣</w:t>
      </w:r>
      <w:proofErr w:type="gramStart"/>
      <w:r w:rsidRPr="00C03375">
        <w:rPr>
          <w:rFonts w:ascii="標楷體" w:eastAsia="標楷體" w:hAnsi="標楷體" w:cs="標楷體" w:hint="eastAsia"/>
          <w:color w:val="000000" w:themeColor="text1"/>
          <w:sz w:val="28"/>
          <w:szCs w:val="28"/>
        </w:rPr>
        <w:t>發電機混氫</w:t>
      </w:r>
      <w:proofErr w:type="gramEnd"/>
      <w:r w:rsidRPr="00C03375">
        <w:rPr>
          <w:rFonts w:ascii="標楷體" w:eastAsia="標楷體" w:hAnsi="標楷體" w:cs="標楷體" w:hint="eastAsia"/>
          <w:color w:val="000000" w:themeColor="text1"/>
          <w:sz w:val="28"/>
          <w:szCs w:val="28"/>
        </w:rPr>
        <w:t>10％發電的技術里程碑。自113年起，持續優化製程與系統，並放大規模，於114年正式啟動「天然氣</w:t>
      </w:r>
      <w:proofErr w:type="gramStart"/>
      <w:r w:rsidRPr="00C03375">
        <w:rPr>
          <w:rFonts w:ascii="標楷體" w:eastAsia="標楷體" w:hAnsi="標楷體" w:cs="標楷體" w:hint="eastAsia"/>
          <w:color w:val="000000" w:themeColor="text1"/>
          <w:sz w:val="28"/>
          <w:szCs w:val="28"/>
        </w:rPr>
        <w:t>去碳燃氫MW級混氫</w:t>
      </w:r>
      <w:proofErr w:type="gramEnd"/>
      <w:r w:rsidRPr="00C03375">
        <w:rPr>
          <w:rFonts w:ascii="標楷體" w:eastAsia="標楷體" w:hAnsi="標楷體" w:cs="標楷體" w:hint="eastAsia"/>
          <w:color w:val="000000" w:themeColor="text1"/>
          <w:sz w:val="28"/>
          <w:szCs w:val="28"/>
        </w:rPr>
        <w:t>發電系統建置及試驗計畫」公共建設計畫，截至114年6月底，已完成放大10倍之單機建置與測試（相較於112年之單機機型），預計於114年底完成放大50至100倍單機建置並進行測試，台電公司並同步進行現場測試場域設計及發電機採購規劃及相關採購作業。</w:t>
      </w:r>
    </w:p>
    <w:p w14:paraId="2088E3B8" w14:textId="02DB8B55" w:rsidR="00E82099" w:rsidRPr="00C03375" w:rsidRDefault="009247C1" w:rsidP="000418E5">
      <w:pPr>
        <w:overflowPunct w:val="0"/>
        <w:spacing w:line="440" w:lineRule="exact"/>
        <w:jc w:val="both"/>
        <w:outlineLvl w:val="0"/>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貳、</w:t>
      </w:r>
      <w:proofErr w:type="gramStart"/>
      <w:r w:rsidR="0084503F" w:rsidRPr="00C03375">
        <w:rPr>
          <w:rFonts w:ascii="標楷體" w:eastAsia="標楷體" w:hAnsi="標楷體"/>
          <w:color w:val="000000" w:themeColor="text1"/>
          <w:sz w:val="28"/>
          <w:szCs w:val="28"/>
        </w:rPr>
        <w:t>1</w:t>
      </w:r>
      <w:r w:rsidR="00220544" w:rsidRPr="00C03375">
        <w:rPr>
          <w:rFonts w:ascii="標楷體" w:eastAsia="標楷體" w:hAnsi="標楷體"/>
          <w:color w:val="000000" w:themeColor="text1"/>
          <w:sz w:val="28"/>
          <w:szCs w:val="28"/>
        </w:rPr>
        <w:t>1</w:t>
      </w:r>
      <w:r w:rsidR="00E544B6" w:rsidRPr="00C03375">
        <w:rPr>
          <w:rFonts w:ascii="標楷體" w:eastAsia="標楷體" w:hAnsi="標楷體" w:hint="eastAsia"/>
          <w:color w:val="000000" w:themeColor="text1"/>
          <w:sz w:val="28"/>
          <w:szCs w:val="28"/>
        </w:rPr>
        <w:t>5</w:t>
      </w:r>
      <w:proofErr w:type="gramEnd"/>
      <w:r w:rsidR="0084503F" w:rsidRPr="00C03375">
        <w:rPr>
          <w:rFonts w:ascii="標楷體" w:eastAsia="標楷體" w:hAnsi="標楷體"/>
          <w:color w:val="000000" w:themeColor="text1"/>
          <w:sz w:val="28"/>
          <w:szCs w:val="28"/>
        </w:rPr>
        <w:t>年度</w:t>
      </w:r>
      <w:r w:rsidR="00F57226" w:rsidRPr="00C03375">
        <w:rPr>
          <w:rFonts w:ascii="標楷體" w:eastAsia="標楷體" w:hAnsi="標楷體"/>
          <w:color w:val="000000" w:themeColor="text1"/>
          <w:sz w:val="28"/>
          <w:szCs w:val="28"/>
        </w:rPr>
        <w:t>預算編列情形</w:t>
      </w:r>
      <w:r w:rsidR="00177ABE" w:rsidRPr="00C03375">
        <w:rPr>
          <w:rFonts w:ascii="標楷體" w:eastAsia="標楷體" w:hAnsi="標楷體"/>
          <w:color w:val="000000" w:themeColor="text1"/>
          <w:sz w:val="28"/>
          <w:szCs w:val="28"/>
        </w:rPr>
        <w:t>：</w:t>
      </w:r>
    </w:p>
    <w:p w14:paraId="3E94BBBF" w14:textId="13257023" w:rsidR="00F57226" w:rsidRPr="00C03375" w:rsidRDefault="00F57226" w:rsidP="003A023B">
      <w:pPr>
        <w:overflowPunct w:val="0"/>
        <w:spacing w:line="440" w:lineRule="exact"/>
        <w:ind w:firstLineChars="200" w:firstLine="560"/>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總統府主管</w:t>
      </w:r>
      <w:proofErr w:type="gramStart"/>
      <w:r w:rsidR="00BD566E" w:rsidRPr="00C03375">
        <w:rPr>
          <w:rFonts w:ascii="標楷體" w:eastAsia="標楷體" w:hAnsi="標楷體"/>
          <w:color w:val="000000" w:themeColor="text1"/>
          <w:sz w:val="28"/>
          <w:szCs w:val="28"/>
        </w:rPr>
        <w:t>1</w:t>
      </w:r>
      <w:r w:rsidR="00FE71AB" w:rsidRPr="00C03375">
        <w:rPr>
          <w:rFonts w:ascii="標楷體" w:eastAsia="標楷體" w:hAnsi="標楷體"/>
          <w:color w:val="000000" w:themeColor="text1"/>
          <w:sz w:val="28"/>
          <w:szCs w:val="28"/>
        </w:rPr>
        <w:t>1</w:t>
      </w:r>
      <w:r w:rsidR="00E544B6" w:rsidRPr="00C03375">
        <w:rPr>
          <w:rFonts w:ascii="標楷體" w:eastAsia="標楷體" w:hAnsi="標楷體" w:hint="eastAsia"/>
          <w:color w:val="000000" w:themeColor="text1"/>
          <w:sz w:val="28"/>
          <w:szCs w:val="28"/>
        </w:rPr>
        <w:t>5</w:t>
      </w:r>
      <w:proofErr w:type="gramEnd"/>
      <w:r w:rsidRPr="00C03375">
        <w:rPr>
          <w:rFonts w:ascii="標楷體" w:eastAsia="標楷體" w:hAnsi="標楷體"/>
          <w:color w:val="000000" w:themeColor="text1"/>
          <w:sz w:val="28"/>
          <w:szCs w:val="28"/>
        </w:rPr>
        <w:t>年度預算</w:t>
      </w:r>
      <w:r w:rsidR="002E4211" w:rsidRPr="00C03375">
        <w:rPr>
          <w:rFonts w:ascii="標楷體" w:eastAsia="標楷體" w:hAnsi="標楷體"/>
          <w:color w:val="000000" w:themeColor="text1"/>
          <w:sz w:val="28"/>
          <w:szCs w:val="28"/>
        </w:rPr>
        <w:t>編列歲入</w:t>
      </w:r>
      <w:r w:rsidR="00044E71" w:rsidRPr="00C03375">
        <w:rPr>
          <w:rFonts w:ascii="標楷體" w:eastAsia="標楷體" w:hAnsi="標楷體"/>
          <w:color w:val="000000" w:themeColor="text1"/>
          <w:sz w:val="28"/>
          <w:szCs w:val="28"/>
        </w:rPr>
        <w:t>1億5,</w:t>
      </w:r>
      <w:r w:rsidR="00E23CCC">
        <w:rPr>
          <w:rFonts w:ascii="標楷體" w:eastAsia="標楷體" w:hAnsi="標楷體" w:hint="eastAsia"/>
          <w:color w:val="000000" w:themeColor="text1"/>
          <w:sz w:val="28"/>
          <w:szCs w:val="28"/>
        </w:rPr>
        <w:t>5</w:t>
      </w:r>
      <w:r w:rsidR="00302104" w:rsidRPr="00C03375">
        <w:rPr>
          <w:rFonts w:ascii="標楷體" w:eastAsia="標楷體" w:hAnsi="標楷體" w:hint="eastAsia"/>
          <w:color w:val="000000" w:themeColor="text1"/>
          <w:sz w:val="28"/>
          <w:szCs w:val="28"/>
        </w:rPr>
        <w:t>82</w:t>
      </w:r>
      <w:r w:rsidR="00044E71" w:rsidRPr="00C03375">
        <w:rPr>
          <w:rFonts w:ascii="標楷體" w:eastAsia="標楷體" w:hAnsi="標楷體"/>
          <w:color w:val="000000" w:themeColor="text1"/>
          <w:sz w:val="28"/>
          <w:szCs w:val="28"/>
        </w:rPr>
        <w:t>萬</w:t>
      </w:r>
      <w:r w:rsidR="00302104" w:rsidRPr="00C03375">
        <w:rPr>
          <w:rFonts w:ascii="標楷體" w:eastAsia="標楷體" w:hAnsi="標楷體" w:hint="eastAsia"/>
          <w:color w:val="000000" w:themeColor="text1"/>
          <w:sz w:val="28"/>
          <w:szCs w:val="28"/>
        </w:rPr>
        <w:t>4</w:t>
      </w:r>
      <w:r w:rsidR="00044E71" w:rsidRPr="00C03375">
        <w:rPr>
          <w:rFonts w:ascii="標楷體" w:eastAsia="標楷體" w:hAnsi="標楷體"/>
          <w:color w:val="000000" w:themeColor="text1"/>
          <w:sz w:val="28"/>
          <w:szCs w:val="28"/>
        </w:rPr>
        <w:t>千元</w:t>
      </w:r>
      <w:r w:rsidR="002E4211" w:rsidRPr="00C03375">
        <w:rPr>
          <w:rFonts w:ascii="標楷體" w:eastAsia="標楷體" w:hAnsi="標楷體"/>
          <w:color w:val="000000" w:themeColor="text1"/>
          <w:sz w:val="28"/>
          <w:szCs w:val="28"/>
        </w:rPr>
        <w:t>，</w:t>
      </w:r>
      <w:r w:rsidRPr="00C03375">
        <w:rPr>
          <w:rFonts w:ascii="標楷體" w:eastAsia="標楷體" w:hAnsi="標楷體"/>
          <w:color w:val="000000" w:themeColor="text1"/>
          <w:sz w:val="28"/>
          <w:szCs w:val="28"/>
        </w:rPr>
        <w:t>歲出</w:t>
      </w:r>
      <w:r w:rsidR="00444708" w:rsidRPr="00C03375">
        <w:rPr>
          <w:rFonts w:ascii="標楷體" w:eastAsia="標楷體" w:hAnsi="標楷體" w:hint="eastAsia"/>
          <w:color w:val="000000" w:themeColor="text1"/>
          <w:sz w:val="28"/>
          <w:szCs w:val="28"/>
        </w:rPr>
        <w:t>1</w:t>
      </w:r>
      <w:r w:rsidR="00E23CCC">
        <w:rPr>
          <w:rFonts w:ascii="標楷體" w:eastAsia="標楷體" w:hAnsi="標楷體" w:hint="eastAsia"/>
          <w:color w:val="000000" w:themeColor="text1"/>
          <w:sz w:val="28"/>
          <w:szCs w:val="28"/>
        </w:rPr>
        <w:t>67</w:t>
      </w:r>
      <w:r w:rsidR="00044E71" w:rsidRPr="00C03375">
        <w:rPr>
          <w:rFonts w:ascii="標楷體" w:eastAsia="標楷體" w:hAnsi="標楷體"/>
          <w:color w:val="000000" w:themeColor="text1"/>
          <w:sz w:val="28"/>
          <w:szCs w:val="28"/>
        </w:rPr>
        <w:t>億</w:t>
      </w:r>
      <w:r w:rsidR="00E23CCC">
        <w:rPr>
          <w:rFonts w:ascii="標楷體" w:eastAsia="標楷體" w:hAnsi="標楷體" w:hint="eastAsia"/>
          <w:color w:val="000000" w:themeColor="text1"/>
          <w:sz w:val="28"/>
          <w:szCs w:val="28"/>
        </w:rPr>
        <w:t>6</w:t>
      </w:r>
      <w:r w:rsidR="00A52CB4" w:rsidRPr="00C03375">
        <w:rPr>
          <w:rFonts w:ascii="標楷體" w:eastAsia="標楷體" w:hAnsi="標楷體"/>
          <w:color w:val="000000" w:themeColor="text1"/>
          <w:sz w:val="28"/>
          <w:szCs w:val="28"/>
        </w:rPr>
        <w:t>,</w:t>
      </w:r>
      <w:r w:rsidR="00E23CCC">
        <w:rPr>
          <w:rFonts w:ascii="標楷體" w:eastAsia="標楷體" w:hAnsi="標楷體" w:hint="eastAsia"/>
          <w:color w:val="000000" w:themeColor="text1"/>
          <w:sz w:val="28"/>
          <w:szCs w:val="28"/>
        </w:rPr>
        <w:t>058</w:t>
      </w:r>
      <w:r w:rsidR="00044E71" w:rsidRPr="00C03375">
        <w:rPr>
          <w:rFonts w:ascii="標楷體" w:eastAsia="標楷體" w:hAnsi="標楷體"/>
          <w:color w:val="000000" w:themeColor="text1"/>
          <w:sz w:val="28"/>
          <w:szCs w:val="28"/>
        </w:rPr>
        <w:t>萬</w:t>
      </w:r>
      <w:r w:rsidR="00E23CCC">
        <w:rPr>
          <w:rFonts w:ascii="標楷體" w:eastAsia="標楷體" w:hAnsi="標楷體" w:hint="eastAsia"/>
          <w:color w:val="000000" w:themeColor="text1"/>
          <w:sz w:val="28"/>
          <w:szCs w:val="28"/>
        </w:rPr>
        <w:t>7</w:t>
      </w:r>
      <w:r w:rsidR="00044E71" w:rsidRPr="00C03375">
        <w:rPr>
          <w:rFonts w:ascii="標楷體" w:eastAsia="標楷體" w:hAnsi="標楷體"/>
          <w:color w:val="000000" w:themeColor="text1"/>
          <w:sz w:val="28"/>
          <w:szCs w:val="28"/>
        </w:rPr>
        <w:t>千元</w:t>
      </w:r>
      <w:r w:rsidRPr="00C03375">
        <w:rPr>
          <w:rFonts w:ascii="標楷體" w:eastAsia="標楷體" w:hAnsi="標楷體"/>
          <w:color w:val="000000" w:themeColor="text1"/>
          <w:sz w:val="28"/>
          <w:szCs w:val="28"/>
        </w:rPr>
        <w:t>，各機關編列情形如</w:t>
      </w:r>
      <w:r w:rsidR="00247F6A" w:rsidRPr="00C03375">
        <w:rPr>
          <w:rFonts w:ascii="標楷體" w:eastAsia="標楷體" w:hAnsi="標楷體"/>
          <w:color w:val="000000" w:themeColor="text1"/>
          <w:sz w:val="28"/>
          <w:szCs w:val="28"/>
          <w:lang w:eastAsia="zh-HK"/>
        </w:rPr>
        <w:t>下</w:t>
      </w:r>
      <w:r w:rsidRPr="00C03375">
        <w:rPr>
          <w:rFonts w:ascii="標楷體" w:eastAsia="標楷體" w:hAnsi="標楷體"/>
          <w:color w:val="000000" w:themeColor="text1"/>
          <w:sz w:val="28"/>
          <w:szCs w:val="28"/>
        </w:rPr>
        <w:t>：</w:t>
      </w:r>
    </w:p>
    <w:p w14:paraId="6AF3672D" w14:textId="6FD5F57A" w:rsidR="00400CC2" w:rsidRPr="00C03375" w:rsidRDefault="00DA15E9" w:rsidP="003A023B">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一</w:t>
      </w:r>
      <w:r w:rsidR="009247C1" w:rsidRPr="00C03375">
        <w:rPr>
          <w:rFonts w:ascii="標楷體" w:eastAsia="標楷體" w:hAnsi="標楷體"/>
          <w:color w:val="000000" w:themeColor="text1"/>
          <w:sz w:val="28"/>
          <w:szCs w:val="28"/>
        </w:rPr>
        <w:t>、</w:t>
      </w:r>
      <w:r w:rsidRPr="00C03375">
        <w:rPr>
          <w:rFonts w:ascii="標楷體" w:eastAsia="標楷體" w:hAnsi="標楷體"/>
          <w:color w:val="000000" w:themeColor="text1"/>
          <w:sz w:val="28"/>
          <w:szCs w:val="28"/>
        </w:rPr>
        <w:tab/>
      </w:r>
      <w:r w:rsidR="006A1B54" w:rsidRPr="00C03375">
        <w:rPr>
          <w:rFonts w:ascii="標楷體" w:eastAsia="標楷體" w:hAnsi="標楷體"/>
          <w:color w:val="000000" w:themeColor="text1"/>
          <w:sz w:val="28"/>
          <w:szCs w:val="28"/>
        </w:rPr>
        <w:t>總統府</w:t>
      </w:r>
      <w:r w:rsidR="00F57226" w:rsidRPr="00C03375">
        <w:rPr>
          <w:rFonts w:ascii="標楷體" w:eastAsia="標楷體" w:hAnsi="標楷體"/>
          <w:color w:val="000000" w:themeColor="text1"/>
          <w:sz w:val="28"/>
          <w:szCs w:val="28"/>
        </w:rPr>
        <w:t>編列</w:t>
      </w:r>
      <w:r w:rsidR="002E4211" w:rsidRPr="00C03375">
        <w:rPr>
          <w:rFonts w:ascii="標楷體" w:eastAsia="標楷體" w:hAnsi="標楷體"/>
          <w:color w:val="000000" w:themeColor="text1"/>
          <w:sz w:val="28"/>
          <w:szCs w:val="28"/>
        </w:rPr>
        <w:t>歲入</w:t>
      </w:r>
      <w:r w:rsidR="00044E71" w:rsidRPr="00C03375">
        <w:rPr>
          <w:rFonts w:ascii="標楷體" w:eastAsia="標楷體" w:hAnsi="標楷體"/>
          <w:color w:val="000000" w:themeColor="text1"/>
          <w:sz w:val="28"/>
          <w:szCs w:val="28"/>
        </w:rPr>
        <w:t>2</w:t>
      </w:r>
      <w:r w:rsidR="00DF2786" w:rsidRPr="00C03375">
        <w:rPr>
          <w:rFonts w:ascii="標楷體" w:eastAsia="標楷體" w:hAnsi="標楷體"/>
          <w:color w:val="000000" w:themeColor="text1"/>
          <w:sz w:val="28"/>
          <w:szCs w:val="28"/>
        </w:rPr>
        <w:t>5</w:t>
      </w:r>
      <w:r w:rsidR="00302104" w:rsidRPr="00C03375">
        <w:rPr>
          <w:rFonts w:ascii="標楷體" w:eastAsia="標楷體" w:hAnsi="標楷體" w:hint="eastAsia"/>
          <w:color w:val="000000" w:themeColor="text1"/>
          <w:sz w:val="28"/>
          <w:szCs w:val="28"/>
        </w:rPr>
        <w:t>8</w:t>
      </w:r>
      <w:r w:rsidR="00044E71" w:rsidRPr="00C03375">
        <w:rPr>
          <w:rFonts w:ascii="標楷體" w:eastAsia="標楷體" w:hAnsi="標楷體"/>
          <w:color w:val="000000" w:themeColor="text1"/>
          <w:sz w:val="28"/>
          <w:szCs w:val="28"/>
        </w:rPr>
        <w:t>萬</w:t>
      </w:r>
      <w:r w:rsidR="00302104" w:rsidRPr="00C03375">
        <w:rPr>
          <w:rFonts w:ascii="標楷體" w:eastAsia="標楷體" w:hAnsi="標楷體" w:hint="eastAsia"/>
          <w:color w:val="000000" w:themeColor="text1"/>
          <w:sz w:val="28"/>
          <w:szCs w:val="28"/>
        </w:rPr>
        <w:t>8</w:t>
      </w:r>
      <w:r w:rsidR="00DF2786" w:rsidRPr="00C03375">
        <w:rPr>
          <w:rFonts w:ascii="標楷體" w:eastAsia="標楷體" w:hAnsi="標楷體" w:hint="eastAsia"/>
          <w:color w:val="000000" w:themeColor="text1"/>
          <w:sz w:val="28"/>
          <w:szCs w:val="28"/>
        </w:rPr>
        <w:t>千</w:t>
      </w:r>
      <w:r w:rsidR="00044E71" w:rsidRPr="00C03375">
        <w:rPr>
          <w:rFonts w:ascii="標楷體" w:eastAsia="標楷體" w:hAnsi="標楷體"/>
          <w:color w:val="000000" w:themeColor="text1"/>
          <w:sz w:val="28"/>
          <w:szCs w:val="28"/>
        </w:rPr>
        <w:t>元</w:t>
      </w:r>
      <w:r w:rsidR="002E4211" w:rsidRPr="00C03375">
        <w:rPr>
          <w:rFonts w:ascii="標楷體" w:eastAsia="標楷體" w:hAnsi="標楷體"/>
          <w:color w:val="000000" w:themeColor="text1"/>
          <w:sz w:val="28"/>
          <w:szCs w:val="28"/>
        </w:rPr>
        <w:t>、歲出</w:t>
      </w:r>
      <w:r w:rsidR="00044E71" w:rsidRPr="00C03375">
        <w:rPr>
          <w:rFonts w:ascii="標楷體" w:eastAsia="標楷體" w:hAnsi="標楷體"/>
          <w:color w:val="000000" w:themeColor="text1"/>
          <w:sz w:val="28"/>
          <w:szCs w:val="28"/>
        </w:rPr>
        <w:t>1</w:t>
      </w:r>
      <w:r w:rsidR="00302104" w:rsidRPr="00C03375">
        <w:rPr>
          <w:rFonts w:ascii="標楷體" w:eastAsia="標楷體" w:hAnsi="標楷體" w:hint="eastAsia"/>
          <w:color w:val="000000" w:themeColor="text1"/>
          <w:sz w:val="28"/>
          <w:szCs w:val="28"/>
        </w:rPr>
        <w:t>1</w:t>
      </w:r>
      <w:r w:rsidR="00044E71" w:rsidRPr="00C03375">
        <w:rPr>
          <w:rFonts w:ascii="標楷體" w:eastAsia="標楷體" w:hAnsi="標楷體"/>
          <w:color w:val="000000" w:themeColor="text1"/>
          <w:sz w:val="28"/>
          <w:szCs w:val="28"/>
        </w:rPr>
        <w:t>億</w:t>
      </w:r>
      <w:r w:rsidR="00E23CCC">
        <w:rPr>
          <w:rFonts w:ascii="標楷體" w:eastAsia="標楷體" w:hAnsi="標楷體" w:hint="eastAsia"/>
          <w:color w:val="000000" w:themeColor="text1"/>
          <w:sz w:val="28"/>
          <w:szCs w:val="28"/>
        </w:rPr>
        <w:t>2</w:t>
      </w:r>
      <w:r w:rsidR="00DF2786" w:rsidRPr="00C03375">
        <w:rPr>
          <w:rFonts w:ascii="標楷體" w:eastAsia="標楷體" w:hAnsi="標楷體"/>
          <w:color w:val="000000" w:themeColor="text1"/>
          <w:sz w:val="28"/>
          <w:szCs w:val="28"/>
        </w:rPr>
        <w:t>,</w:t>
      </w:r>
      <w:r w:rsidR="00E23CCC">
        <w:rPr>
          <w:rFonts w:ascii="標楷體" w:eastAsia="標楷體" w:hAnsi="標楷體" w:hint="eastAsia"/>
          <w:color w:val="000000" w:themeColor="text1"/>
          <w:sz w:val="28"/>
          <w:szCs w:val="28"/>
        </w:rPr>
        <w:t>993</w:t>
      </w:r>
      <w:r w:rsidR="00044E71" w:rsidRPr="00C03375">
        <w:rPr>
          <w:rFonts w:ascii="標楷體" w:eastAsia="標楷體" w:hAnsi="標楷體"/>
          <w:color w:val="000000" w:themeColor="text1"/>
          <w:sz w:val="28"/>
          <w:szCs w:val="28"/>
        </w:rPr>
        <w:t>萬</w:t>
      </w:r>
      <w:r w:rsidR="00E23CCC">
        <w:rPr>
          <w:rFonts w:ascii="標楷體" w:eastAsia="標楷體" w:hAnsi="標楷體" w:hint="eastAsia"/>
          <w:color w:val="000000" w:themeColor="text1"/>
          <w:sz w:val="28"/>
          <w:szCs w:val="28"/>
        </w:rPr>
        <w:t>3</w:t>
      </w:r>
      <w:r w:rsidR="00044E71" w:rsidRPr="00C03375">
        <w:rPr>
          <w:rFonts w:ascii="標楷體" w:eastAsia="標楷體" w:hAnsi="標楷體"/>
          <w:color w:val="000000" w:themeColor="text1"/>
          <w:sz w:val="28"/>
          <w:szCs w:val="28"/>
        </w:rPr>
        <w:t>千元</w:t>
      </w:r>
      <w:r w:rsidR="00F57226" w:rsidRPr="00C03375">
        <w:rPr>
          <w:rFonts w:ascii="標楷體" w:eastAsia="標楷體" w:hAnsi="標楷體"/>
          <w:color w:val="000000" w:themeColor="text1"/>
          <w:sz w:val="28"/>
          <w:szCs w:val="28"/>
        </w:rPr>
        <w:t>。</w:t>
      </w:r>
    </w:p>
    <w:p w14:paraId="16CA0C8E" w14:textId="66C32272" w:rsidR="00400CC2" w:rsidRPr="00C03375" w:rsidRDefault="00DA15E9" w:rsidP="003A023B">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二</w:t>
      </w:r>
      <w:r w:rsidR="009247C1" w:rsidRPr="00C03375">
        <w:rPr>
          <w:rFonts w:ascii="標楷體" w:eastAsia="標楷體" w:hAnsi="標楷體"/>
          <w:color w:val="000000" w:themeColor="text1"/>
          <w:sz w:val="28"/>
          <w:szCs w:val="28"/>
        </w:rPr>
        <w:t>、</w:t>
      </w:r>
      <w:r w:rsidR="00F57226" w:rsidRPr="00C03375">
        <w:rPr>
          <w:rFonts w:ascii="標楷體" w:eastAsia="標楷體" w:hAnsi="標楷體"/>
          <w:color w:val="000000" w:themeColor="text1"/>
          <w:sz w:val="28"/>
          <w:szCs w:val="28"/>
        </w:rPr>
        <w:tab/>
        <w:t>國家安全會議編列</w:t>
      </w:r>
      <w:r w:rsidR="002E4211" w:rsidRPr="00C03375">
        <w:rPr>
          <w:rFonts w:ascii="標楷體" w:eastAsia="標楷體" w:hAnsi="標楷體"/>
          <w:color w:val="000000" w:themeColor="text1"/>
          <w:sz w:val="28"/>
          <w:szCs w:val="28"/>
        </w:rPr>
        <w:t>歲入</w:t>
      </w:r>
      <w:r w:rsidR="00DF2786" w:rsidRPr="00C03375">
        <w:rPr>
          <w:rFonts w:ascii="標楷體" w:eastAsia="標楷體" w:hAnsi="標楷體"/>
          <w:color w:val="000000" w:themeColor="text1"/>
          <w:sz w:val="28"/>
          <w:szCs w:val="28"/>
        </w:rPr>
        <w:t>2</w:t>
      </w:r>
      <w:r w:rsidR="00044E71" w:rsidRPr="00C03375">
        <w:rPr>
          <w:rFonts w:ascii="標楷體" w:eastAsia="標楷體" w:hAnsi="標楷體"/>
          <w:color w:val="000000" w:themeColor="text1"/>
          <w:sz w:val="28"/>
          <w:szCs w:val="28"/>
        </w:rPr>
        <w:t>萬</w:t>
      </w:r>
      <w:r w:rsidR="00DF2786" w:rsidRPr="00C03375">
        <w:rPr>
          <w:rFonts w:ascii="標楷體" w:eastAsia="標楷體" w:hAnsi="標楷體"/>
          <w:color w:val="000000" w:themeColor="text1"/>
          <w:sz w:val="28"/>
          <w:szCs w:val="28"/>
        </w:rPr>
        <w:t>3</w:t>
      </w:r>
      <w:r w:rsidR="00044E71" w:rsidRPr="00C03375">
        <w:rPr>
          <w:rFonts w:ascii="標楷體" w:eastAsia="標楷體" w:hAnsi="標楷體"/>
          <w:color w:val="000000" w:themeColor="text1"/>
          <w:sz w:val="28"/>
          <w:szCs w:val="28"/>
        </w:rPr>
        <w:t>千元</w:t>
      </w:r>
      <w:r w:rsidR="002E4211" w:rsidRPr="00C03375">
        <w:rPr>
          <w:rFonts w:ascii="標楷體" w:eastAsia="標楷體" w:hAnsi="標楷體"/>
          <w:color w:val="000000" w:themeColor="text1"/>
          <w:sz w:val="28"/>
          <w:szCs w:val="28"/>
        </w:rPr>
        <w:t>、歲出</w:t>
      </w:r>
      <w:r w:rsidR="00044E71" w:rsidRPr="00C03375">
        <w:rPr>
          <w:rFonts w:ascii="標楷體" w:eastAsia="標楷體" w:hAnsi="標楷體"/>
          <w:color w:val="000000" w:themeColor="text1"/>
          <w:sz w:val="28"/>
          <w:szCs w:val="28"/>
        </w:rPr>
        <w:t>2億</w:t>
      </w:r>
      <w:r w:rsidR="00302104" w:rsidRPr="00C03375">
        <w:rPr>
          <w:rFonts w:ascii="標楷體" w:eastAsia="標楷體" w:hAnsi="標楷體" w:hint="eastAsia"/>
          <w:color w:val="000000" w:themeColor="text1"/>
          <w:sz w:val="28"/>
          <w:szCs w:val="28"/>
        </w:rPr>
        <w:t>4</w:t>
      </w:r>
      <w:r w:rsidR="00DF2786" w:rsidRPr="00C03375">
        <w:rPr>
          <w:rFonts w:ascii="標楷體" w:eastAsia="標楷體" w:hAnsi="標楷體"/>
          <w:color w:val="000000" w:themeColor="text1"/>
          <w:sz w:val="28"/>
          <w:szCs w:val="28"/>
        </w:rPr>
        <w:t>,</w:t>
      </w:r>
      <w:r w:rsidR="00E23CCC">
        <w:rPr>
          <w:rFonts w:ascii="標楷體" w:eastAsia="標楷體" w:hAnsi="標楷體" w:hint="eastAsia"/>
          <w:color w:val="000000" w:themeColor="text1"/>
          <w:sz w:val="28"/>
          <w:szCs w:val="28"/>
        </w:rPr>
        <w:t>103</w:t>
      </w:r>
      <w:r w:rsidR="00044E71" w:rsidRPr="00C03375">
        <w:rPr>
          <w:rFonts w:ascii="標楷體" w:eastAsia="標楷體" w:hAnsi="標楷體"/>
          <w:color w:val="000000" w:themeColor="text1"/>
          <w:sz w:val="28"/>
          <w:szCs w:val="28"/>
        </w:rPr>
        <w:t>萬</w:t>
      </w:r>
      <w:r w:rsidR="00E23CCC">
        <w:rPr>
          <w:rFonts w:ascii="標楷體" w:eastAsia="標楷體" w:hAnsi="標楷體" w:hint="eastAsia"/>
          <w:color w:val="000000" w:themeColor="text1"/>
          <w:sz w:val="28"/>
          <w:szCs w:val="28"/>
        </w:rPr>
        <w:t>6</w:t>
      </w:r>
      <w:r w:rsidR="00044E71" w:rsidRPr="00C03375">
        <w:rPr>
          <w:rFonts w:ascii="標楷體" w:eastAsia="標楷體" w:hAnsi="標楷體"/>
          <w:color w:val="000000" w:themeColor="text1"/>
          <w:sz w:val="28"/>
          <w:szCs w:val="28"/>
        </w:rPr>
        <w:t>千元</w:t>
      </w:r>
      <w:r w:rsidR="00F57226" w:rsidRPr="00C03375">
        <w:rPr>
          <w:rFonts w:ascii="標楷體" w:eastAsia="標楷體" w:hAnsi="標楷體"/>
          <w:color w:val="000000" w:themeColor="text1"/>
          <w:sz w:val="28"/>
          <w:szCs w:val="28"/>
        </w:rPr>
        <w:t>。</w:t>
      </w:r>
    </w:p>
    <w:p w14:paraId="605069F1" w14:textId="63D428AE" w:rsidR="00F57226" w:rsidRPr="00C03375" w:rsidRDefault="00DA15E9" w:rsidP="000F1AA8">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三</w:t>
      </w:r>
      <w:r w:rsidR="009247C1" w:rsidRPr="00C03375">
        <w:rPr>
          <w:rFonts w:ascii="標楷體" w:eastAsia="標楷體" w:hAnsi="標楷體"/>
          <w:color w:val="000000" w:themeColor="text1"/>
          <w:sz w:val="28"/>
          <w:szCs w:val="28"/>
        </w:rPr>
        <w:t>、</w:t>
      </w:r>
      <w:r w:rsidR="00F57226" w:rsidRPr="00C03375">
        <w:rPr>
          <w:rFonts w:ascii="標楷體" w:eastAsia="標楷體" w:hAnsi="標楷體"/>
          <w:color w:val="000000" w:themeColor="text1"/>
          <w:sz w:val="28"/>
          <w:szCs w:val="28"/>
        </w:rPr>
        <w:tab/>
      </w:r>
      <w:r w:rsidR="000F1AA8" w:rsidRPr="00C03375">
        <w:rPr>
          <w:rFonts w:ascii="標楷體" w:eastAsia="標楷體" w:hAnsi="標楷體"/>
          <w:color w:val="000000" w:themeColor="text1"/>
          <w:sz w:val="28"/>
          <w:szCs w:val="28"/>
        </w:rPr>
        <w:t>國史館編列歲入126萬元、歲出2億</w:t>
      </w:r>
      <w:r w:rsidR="00E23CCC">
        <w:rPr>
          <w:rFonts w:ascii="標楷體" w:eastAsia="標楷體" w:hAnsi="標楷體" w:hint="eastAsia"/>
          <w:color w:val="000000" w:themeColor="text1"/>
          <w:sz w:val="28"/>
          <w:szCs w:val="28"/>
        </w:rPr>
        <w:t>4</w:t>
      </w:r>
      <w:r w:rsidR="000F1AA8" w:rsidRPr="00C03375">
        <w:rPr>
          <w:rFonts w:ascii="標楷體" w:eastAsia="標楷體" w:hAnsi="標楷體"/>
          <w:color w:val="000000" w:themeColor="text1"/>
          <w:sz w:val="28"/>
          <w:szCs w:val="28"/>
        </w:rPr>
        <w:t>,</w:t>
      </w:r>
      <w:r w:rsidR="00E23CCC">
        <w:rPr>
          <w:rFonts w:ascii="標楷體" w:eastAsia="標楷體" w:hAnsi="標楷體" w:hint="eastAsia"/>
          <w:color w:val="000000" w:themeColor="text1"/>
          <w:sz w:val="28"/>
          <w:szCs w:val="28"/>
        </w:rPr>
        <w:t>676</w:t>
      </w:r>
      <w:r w:rsidR="000F1AA8" w:rsidRPr="00C03375">
        <w:rPr>
          <w:rFonts w:ascii="標楷體" w:eastAsia="標楷體" w:hAnsi="標楷體"/>
          <w:color w:val="000000" w:themeColor="text1"/>
          <w:sz w:val="28"/>
          <w:szCs w:val="28"/>
        </w:rPr>
        <w:t>萬</w:t>
      </w:r>
      <w:r w:rsidR="00E23CCC">
        <w:rPr>
          <w:rFonts w:ascii="標楷體" w:eastAsia="標楷體" w:hAnsi="標楷體" w:hint="eastAsia"/>
          <w:color w:val="000000" w:themeColor="text1"/>
          <w:sz w:val="28"/>
          <w:szCs w:val="28"/>
        </w:rPr>
        <w:t>6</w:t>
      </w:r>
      <w:r w:rsidR="000F1AA8" w:rsidRPr="00C03375">
        <w:rPr>
          <w:rFonts w:ascii="標楷體" w:eastAsia="標楷體" w:hAnsi="標楷體"/>
          <w:color w:val="000000" w:themeColor="text1"/>
          <w:sz w:val="28"/>
          <w:szCs w:val="28"/>
        </w:rPr>
        <w:t>千元。</w:t>
      </w:r>
    </w:p>
    <w:p w14:paraId="07FD31E6" w14:textId="1500DD8F" w:rsidR="00F57226" w:rsidRPr="00C03375" w:rsidRDefault="00DA15E9" w:rsidP="003A023B">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C03375">
        <w:rPr>
          <w:rFonts w:ascii="標楷體" w:eastAsia="標楷體" w:hAnsi="標楷體"/>
          <w:color w:val="000000" w:themeColor="text1"/>
          <w:sz w:val="28"/>
          <w:szCs w:val="28"/>
        </w:rPr>
        <w:t>四</w:t>
      </w:r>
      <w:r w:rsidR="009247C1" w:rsidRPr="00C03375">
        <w:rPr>
          <w:rFonts w:ascii="標楷體" w:eastAsia="標楷體" w:hAnsi="標楷體"/>
          <w:color w:val="000000" w:themeColor="text1"/>
          <w:sz w:val="28"/>
          <w:szCs w:val="28"/>
        </w:rPr>
        <w:t>、</w:t>
      </w:r>
      <w:r w:rsidR="00F57226" w:rsidRPr="00C03375">
        <w:rPr>
          <w:rFonts w:ascii="標楷體" w:eastAsia="標楷體" w:hAnsi="標楷體"/>
          <w:color w:val="000000" w:themeColor="text1"/>
          <w:sz w:val="28"/>
          <w:szCs w:val="28"/>
        </w:rPr>
        <w:tab/>
        <w:t>國史館臺灣文獻館編列</w:t>
      </w:r>
      <w:r w:rsidR="002E4211" w:rsidRPr="00C03375">
        <w:rPr>
          <w:rFonts w:ascii="標楷體" w:eastAsia="標楷體" w:hAnsi="標楷體"/>
          <w:color w:val="000000" w:themeColor="text1"/>
          <w:sz w:val="28"/>
          <w:szCs w:val="28"/>
        </w:rPr>
        <w:t>歲入</w:t>
      </w:r>
      <w:r w:rsidR="00044E71" w:rsidRPr="00C03375">
        <w:rPr>
          <w:rFonts w:ascii="標楷體" w:eastAsia="標楷體" w:hAnsi="標楷體"/>
          <w:color w:val="000000" w:themeColor="text1"/>
          <w:sz w:val="28"/>
          <w:szCs w:val="28"/>
        </w:rPr>
        <w:t>11</w:t>
      </w:r>
      <w:r w:rsidR="00DF2786" w:rsidRPr="00C03375">
        <w:rPr>
          <w:rFonts w:ascii="標楷體" w:eastAsia="標楷體" w:hAnsi="標楷體"/>
          <w:color w:val="000000" w:themeColor="text1"/>
          <w:sz w:val="28"/>
          <w:szCs w:val="28"/>
        </w:rPr>
        <w:t>5</w:t>
      </w:r>
      <w:r w:rsidR="00044E71" w:rsidRPr="00C03375">
        <w:rPr>
          <w:rFonts w:ascii="標楷體" w:eastAsia="標楷體" w:hAnsi="標楷體"/>
          <w:color w:val="000000" w:themeColor="text1"/>
          <w:sz w:val="28"/>
          <w:szCs w:val="28"/>
        </w:rPr>
        <w:t>萬</w:t>
      </w:r>
      <w:r w:rsidR="00DF2786" w:rsidRPr="00C03375">
        <w:rPr>
          <w:rFonts w:ascii="標楷體" w:eastAsia="標楷體" w:hAnsi="標楷體" w:hint="eastAsia"/>
          <w:color w:val="000000" w:themeColor="text1"/>
          <w:sz w:val="28"/>
          <w:szCs w:val="28"/>
        </w:rPr>
        <w:t>7千</w:t>
      </w:r>
      <w:r w:rsidR="00044E71" w:rsidRPr="00C03375">
        <w:rPr>
          <w:rFonts w:ascii="標楷體" w:eastAsia="標楷體" w:hAnsi="標楷體"/>
          <w:color w:val="000000" w:themeColor="text1"/>
          <w:sz w:val="28"/>
          <w:szCs w:val="28"/>
        </w:rPr>
        <w:t>元</w:t>
      </w:r>
      <w:r w:rsidR="002E4211" w:rsidRPr="00C03375">
        <w:rPr>
          <w:rFonts w:ascii="標楷體" w:eastAsia="標楷體" w:hAnsi="標楷體"/>
          <w:color w:val="000000" w:themeColor="text1"/>
          <w:sz w:val="28"/>
          <w:szCs w:val="28"/>
        </w:rPr>
        <w:t>、</w:t>
      </w:r>
      <w:r w:rsidR="000F1AA8" w:rsidRPr="00C03375">
        <w:rPr>
          <w:rFonts w:ascii="標楷體" w:eastAsia="標楷體" w:hAnsi="標楷體"/>
          <w:color w:val="000000" w:themeColor="text1"/>
          <w:sz w:val="28"/>
          <w:szCs w:val="28"/>
        </w:rPr>
        <w:t>歲出1億2</w:t>
      </w:r>
      <w:r w:rsidR="000F1AA8" w:rsidRPr="00C03375">
        <w:rPr>
          <w:rFonts w:ascii="標楷體" w:eastAsia="標楷體" w:hAnsi="標楷體" w:hint="eastAsia"/>
          <w:color w:val="000000" w:themeColor="text1"/>
          <w:sz w:val="28"/>
          <w:szCs w:val="28"/>
        </w:rPr>
        <w:t>,</w:t>
      </w:r>
      <w:r w:rsidR="00E23CCC">
        <w:rPr>
          <w:rFonts w:ascii="標楷體" w:eastAsia="標楷體" w:hAnsi="標楷體" w:hint="eastAsia"/>
          <w:color w:val="000000" w:themeColor="text1"/>
          <w:sz w:val="28"/>
          <w:szCs w:val="28"/>
        </w:rPr>
        <w:t>224</w:t>
      </w:r>
      <w:r w:rsidR="000F1AA8" w:rsidRPr="00C03375">
        <w:rPr>
          <w:rFonts w:ascii="標楷體" w:eastAsia="標楷體" w:hAnsi="標楷體"/>
          <w:color w:val="000000" w:themeColor="text1"/>
          <w:sz w:val="28"/>
          <w:szCs w:val="28"/>
        </w:rPr>
        <w:t>萬</w:t>
      </w:r>
      <w:r w:rsidR="00E23CCC">
        <w:rPr>
          <w:rFonts w:ascii="標楷體" w:eastAsia="標楷體" w:hAnsi="標楷體" w:hint="eastAsia"/>
          <w:color w:val="000000" w:themeColor="text1"/>
          <w:sz w:val="28"/>
          <w:szCs w:val="28"/>
        </w:rPr>
        <w:t>9</w:t>
      </w:r>
      <w:r w:rsidR="000F1AA8" w:rsidRPr="00C03375">
        <w:rPr>
          <w:rFonts w:ascii="標楷體" w:eastAsia="標楷體" w:hAnsi="標楷體" w:hint="eastAsia"/>
          <w:color w:val="000000" w:themeColor="text1"/>
          <w:sz w:val="28"/>
          <w:szCs w:val="28"/>
        </w:rPr>
        <w:t>千</w:t>
      </w:r>
      <w:r w:rsidR="000F1AA8" w:rsidRPr="00C03375">
        <w:rPr>
          <w:rFonts w:ascii="標楷體" w:eastAsia="標楷體" w:hAnsi="標楷體"/>
          <w:color w:val="000000" w:themeColor="text1"/>
          <w:sz w:val="28"/>
          <w:szCs w:val="28"/>
        </w:rPr>
        <w:t>元。</w:t>
      </w:r>
    </w:p>
    <w:p w14:paraId="176FF4E3" w14:textId="24F5675A" w:rsidR="00F57226" w:rsidRPr="00833CF0" w:rsidRDefault="00DA15E9" w:rsidP="00302104">
      <w:pPr>
        <w:tabs>
          <w:tab w:val="left" w:pos="540"/>
        </w:tabs>
        <w:overflowPunct w:val="0"/>
        <w:spacing w:line="440" w:lineRule="exact"/>
        <w:ind w:left="574" w:hangingChars="205" w:hanging="574"/>
        <w:jc w:val="both"/>
        <w:rPr>
          <w:rFonts w:ascii="標楷體" w:eastAsia="標楷體" w:hAnsi="標楷體"/>
          <w:color w:val="000000" w:themeColor="text1"/>
          <w:spacing w:val="-6"/>
          <w:sz w:val="28"/>
          <w:szCs w:val="28"/>
        </w:rPr>
      </w:pPr>
      <w:r w:rsidRPr="00C03375">
        <w:rPr>
          <w:rFonts w:ascii="標楷體" w:eastAsia="標楷體" w:hAnsi="標楷體"/>
          <w:color w:val="000000" w:themeColor="text1"/>
          <w:sz w:val="28"/>
          <w:szCs w:val="28"/>
        </w:rPr>
        <w:t>五</w:t>
      </w:r>
      <w:r w:rsidR="009247C1" w:rsidRPr="00C03375">
        <w:rPr>
          <w:rFonts w:ascii="標楷體" w:eastAsia="標楷體" w:hAnsi="標楷體"/>
          <w:color w:val="000000" w:themeColor="text1"/>
          <w:sz w:val="28"/>
          <w:szCs w:val="28"/>
        </w:rPr>
        <w:t>、</w:t>
      </w:r>
      <w:r w:rsidR="00F57226" w:rsidRPr="00833CF0">
        <w:rPr>
          <w:rFonts w:ascii="標楷體" w:eastAsia="標楷體" w:hAnsi="標楷體"/>
          <w:color w:val="000000" w:themeColor="text1"/>
          <w:spacing w:val="-6"/>
          <w:sz w:val="28"/>
          <w:szCs w:val="28"/>
        </w:rPr>
        <w:tab/>
        <w:t>中央研究院編列</w:t>
      </w:r>
      <w:r w:rsidR="002E4211" w:rsidRPr="00833CF0">
        <w:rPr>
          <w:rFonts w:ascii="標楷體" w:eastAsia="標楷體" w:hAnsi="標楷體"/>
          <w:color w:val="000000" w:themeColor="text1"/>
          <w:spacing w:val="-6"/>
          <w:sz w:val="28"/>
          <w:szCs w:val="28"/>
        </w:rPr>
        <w:t>歲入</w:t>
      </w:r>
      <w:r w:rsidR="00BD1456" w:rsidRPr="00833CF0">
        <w:rPr>
          <w:rFonts w:ascii="標楷體" w:eastAsia="標楷體" w:hAnsi="標楷體"/>
          <w:color w:val="000000" w:themeColor="text1"/>
          <w:spacing w:val="-6"/>
          <w:sz w:val="28"/>
          <w:szCs w:val="28"/>
        </w:rPr>
        <w:t>1億</w:t>
      </w:r>
      <w:r w:rsidR="003769FE">
        <w:rPr>
          <w:rFonts w:ascii="標楷體" w:eastAsia="標楷體" w:hAnsi="標楷體" w:hint="eastAsia"/>
          <w:color w:val="000000" w:themeColor="text1"/>
          <w:spacing w:val="-6"/>
          <w:sz w:val="28"/>
          <w:szCs w:val="28"/>
        </w:rPr>
        <w:t>5</w:t>
      </w:r>
      <w:r w:rsidR="00BD1456" w:rsidRPr="00833CF0">
        <w:rPr>
          <w:rFonts w:ascii="標楷體" w:eastAsia="標楷體" w:hAnsi="標楷體"/>
          <w:color w:val="000000" w:themeColor="text1"/>
          <w:spacing w:val="-6"/>
          <w:sz w:val="28"/>
          <w:szCs w:val="28"/>
        </w:rPr>
        <w:t>,</w:t>
      </w:r>
      <w:r w:rsidR="003769FE">
        <w:rPr>
          <w:rFonts w:ascii="標楷體" w:eastAsia="標楷體" w:hAnsi="標楷體" w:hint="eastAsia"/>
          <w:color w:val="000000" w:themeColor="text1"/>
          <w:spacing w:val="-6"/>
          <w:sz w:val="28"/>
          <w:szCs w:val="28"/>
        </w:rPr>
        <w:t>079</w:t>
      </w:r>
      <w:r w:rsidR="00BD1456" w:rsidRPr="00833CF0">
        <w:rPr>
          <w:rFonts w:ascii="標楷體" w:eastAsia="標楷體" w:hAnsi="標楷體"/>
          <w:color w:val="000000" w:themeColor="text1"/>
          <w:spacing w:val="-6"/>
          <w:sz w:val="28"/>
          <w:szCs w:val="28"/>
        </w:rPr>
        <w:t>萬</w:t>
      </w:r>
      <w:r w:rsidR="00BD1456" w:rsidRPr="00833CF0">
        <w:rPr>
          <w:rFonts w:ascii="標楷體" w:eastAsia="標楷體" w:hAnsi="標楷體" w:hint="eastAsia"/>
          <w:color w:val="000000" w:themeColor="text1"/>
          <w:spacing w:val="-6"/>
          <w:sz w:val="28"/>
          <w:szCs w:val="28"/>
        </w:rPr>
        <w:t>6</w:t>
      </w:r>
      <w:r w:rsidR="00BD1456" w:rsidRPr="00833CF0">
        <w:rPr>
          <w:rFonts w:ascii="標楷體" w:eastAsia="標楷體" w:hAnsi="標楷體"/>
          <w:color w:val="000000" w:themeColor="text1"/>
          <w:spacing w:val="-6"/>
          <w:sz w:val="28"/>
          <w:szCs w:val="28"/>
        </w:rPr>
        <w:t>千元、歲出1</w:t>
      </w:r>
      <w:r w:rsidR="00BD1456" w:rsidRPr="00833CF0">
        <w:rPr>
          <w:rFonts w:ascii="標楷體" w:eastAsia="標楷體" w:hAnsi="標楷體" w:hint="eastAsia"/>
          <w:color w:val="000000" w:themeColor="text1"/>
          <w:spacing w:val="-6"/>
          <w:sz w:val="28"/>
          <w:szCs w:val="28"/>
        </w:rPr>
        <w:t>5</w:t>
      </w:r>
      <w:r w:rsidR="00E23CCC">
        <w:rPr>
          <w:rFonts w:ascii="標楷體" w:eastAsia="標楷體" w:hAnsi="標楷體" w:hint="eastAsia"/>
          <w:color w:val="000000" w:themeColor="text1"/>
          <w:spacing w:val="-6"/>
          <w:sz w:val="28"/>
          <w:szCs w:val="28"/>
        </w:rPr>
        <w:t>0</w:t>
      </w:r>
      <w:r w:rsidR="00BD1456" w:rsidRPr="00833CF0">
        <w:rPr>
          <w:rFonts w:ascii="標楷體" w:eastAsia="標楷體" w:hAnsi="標楷體"/>
          <w:color w:val="000000" w:themeColor="text1"/>
          <w:spacing w:val="-6"/>
          <w:sz w:val="28"/>
          <w:szCs w:val="28"/>
        </w:rPr>
        <w:t>億</w:t>
      </w:r>
      <w:r w:rsidR="00E23CCC">
        <w:rPr>
          <w:rFonts w:ascii="標楷體" w:eastAsia="標楷體" w:hAnsi="標楷體" w:hint="eastAsia"/>
          <w:color w:val="000000" w:themeColor="text1"/>
          <w:spacing w:val="-6"/>
          <w:sz w:val="28"/>
          <w:szCs w:val="28"/>
        </w:rPr>
        <w:t>2</w:t>
      </w:r>
      <w:r w:rsidR="00BD1456" w:rsidRPr="00833CF0">
        <w:rPr>
          <w:rFonts w:ascii="標楷體" w:eastAsia="標楷體" w:hAnsi="標楷體"/>
          <w:color w:val="000000" w:themeColor="text1"/>
          <w:spacing w:val="-6"/>
          <w:sz w:val="28"/>
          <w:szCs w:val="28"/>
        </w:rPr>
        <w:t>,</w:t>
      </w:r>
      <w:r w:rsidR="00E23CCC">
        <w:rPr>
          <w:rFonts w:ascii="標楷體" w:eastAsia="標楷體" w:hAnsi="標楷體" w:hint="eastAsia"/>
          <w:color w:val="000000" w:themeColor="text1"/>
          <w:spacing w:val="-6"/>
          <w:sz w:val="28"/>
          <w:szCs w:val="28"/>
        </w:rPr>
        <w:t>060</w:t>
      </w:r>
      <w:r w:rsidR="00BD1456" w:rsidRPr="00833CF0">
        <w:rPr>
          <w:rFonts w:ascii="標楷體" w:eastAsia="標楷體" w:hAnsi="標楷體"/>
          <w:color w:val="000000" w:themeColor="text1"/>
          <w:spacing w:val="-6"/>
          <w:sz w:val="28"/>
          <w:szCs w:val="28"/>
        </w:rPr>
        <w:t>萬</w:t>
      </w:r>
      <w:r w:rsidR="00E23CCC">
        <w:rPr>
          <w:rFonts w:ascii="標楷體" w:eastAsia="標楷體" w:hAnsi="標楷體" w:hint="eastAsia"/>
          <w:color w:val="000000" w:themeColor="text1"/>
          <w:spacing w:val="-6"/>
          <w:sz w:val="28"/>
          <w:szCs w:val="28"/>
        </w:rPr>
        <w:t>3</w:t>
      </w:r>
      <w:r w:rsidR="00BD1456" w:rsidRPr="00833CF0">
        <w:rPr>
          <w:rFonts w:ascii="標楷體" w:eastAsia="標楷體" w:hAnsi="標楷體"/>
          <w:color w:val="000000" w:themeColor="text1"/>
          <w:spacing w:val="-6"/>
          <w:sz w:val="28"/>
          <w:szCs w:val="28"/>
          <w:lang w:eastAsia="zh-HK"/>
        </w:rPr>
        <w:t>千</w:t>
      </w:r>
      <w:r w:rsidR="00BD1456" w:rsidRPr="00833CF0">
        <w:rPr>
          <w:rFonts w:ascii="標楷體" w:eastAsia="標楷體" w:hAnsi="標楷體"/>
          <w:color w:val="000000" w:themeColor="text1"/>
          <w:spacing w:val="-6"/>
          <w:sz w:val="28"/>
          <w:szCs w:val="28"/>
        </w:rPr>
        <w:t>元。</w:t>
      </w:r>
    </w:p>
    <w:sectPr w:rsidR="00F57226" w:rsidRPr="00833CF0" w:rsidSect="00B65769">
      <w:footerReference w:type="even" r:id="rId8"/>
      <w:footerReference w:type="default" r:id="rId9"/>
      <w:pgSz w:w="11907" w:h="16840" w:code="9"/>
      <w:pgMar w:top="1134" w:right="1418" w:bottom="1134" w:left="1418" w:header="964" w:footer="567"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64BF" w14:textId="77777777" w:rsidR="00AA27A9" w:rsidRDefault="00AA27A9">
      <w:r>
        <w:separator/>
      </w:r>
    </w:p>
  </w:endnote>
  <w:endnote w:type="continuationSeparator" w:id="0">
    <w:p w14:paraId="0B8DFFC5" w14:textId="77777777" w:rsidR="00AA27A9" w:rsidRDefault="00AA2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645C" w14:textId="77777777" w:rsidR="00AF24C0" w:rsidRDefault="00AF24C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2CDFD7A5" w14:textId="77777777" w:rsidR="00AF24C0" w:rsidRDefault="00AF24C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999E" w14:textId="30B41370" w:rsidR="00AF24C0" w:rsidRPr="00A11155" w:rsidRDefault="00AF24C0">
    <w:pPr>
      <w:pStyle w:val="a6"/>
      <w:framePr w:wrap="around" w:vAnchor="text" w:hAnchor="margin" w:xAlign="center" w:y="1"/>
      <w:rPr>
        <w:rStyle w:val="a7"/>
        <w:rFonts w:ascii="新細明體" w:eastAsia="新細明體" w:hAnsi="新細明體"/>
        <w:sz w:val="22"/>
        <w:szCs w:val="22"/>
      </w:rPr>
    </w:pPr>
    <w:r w:rsidRPr="00A11155">
      <w:rPr>
        <w:rStyle w:val="a7"/>
        <w:rFonts w:ascii="新細明體" w:eastAsia="新細明體" w:hAnsi="新細明體"/>
        <w:sz w:val="22"/>
        <w:szCs w:val="22"/>
      </w:rPr>
      <w:fldChar w:fldCharType="begin"/>
    </w:r>
    <w:r w:rsidRPr="00A11155">
      <w:rPr>
        <w:rStyle w:val="a7"/>
        <w:rFonts w:ascii="新細明體" w:eastAsia="新細明體" w:hAnsi="新細明體"/>
        <w:sz w:val="22"/>
        <w:szCs w:val="22"/>
      </w:rPr>
      <w:instrText xml:space="preserve">PAGE  </w:instrText>
    </w:r>
    <w:r w:rsidRPr="00A11155">
      <w:rPr>
        <w:rStyle w:val="a7"/>
        <w:rFonts w:ascii="新細明體" w:eastAsia="新細明體" w:hAnsi="新細明體"/>
        <w:sz w:val="22"/>
        <w:szCs w:val="22"/>
      </w:rPr>
      <w:fldChar w:fldCharType="separate"/>
    </w:r>
    <w:r w:rsidR="00854E1E">
      <w:rPr>
        <w:rStyle w:val="a7"/>
        <w:rFonts w:ascii="新細明體" w:eastAsia="新細明體" w:hAnsi="新細明體"/>
        <w:noProof/>
        <w:sz w:val="22"/>
        <w:szCs w:val="22"/>
      </w:rPr>
      <w:t>4</w:t>
    </w:r>
    <w:r w:rsidRPr="00A11155">
      <w:rPr>
        <w:rStyle w:val="a7"/>
        <w:rFonts w:ascii="新細明體" w:eastAsia="新細明體" w:hAnsi="新細明體"/>
        <w:sz w:val="22"/>
        <w:szCs w:val="22"/>
      </w:rPr>
      <w:fldChar w:fldCharType="end"/>
    </w:r>
  </w:p>
  <w:p w14:paraId="3CB83C5F" w14:textId="6F9B37AE" w:rsidR="00657E93" w:rsidRDefault="00657E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04EB9" w14:textId="77777777" w:rsidR="00AA27A9" w:rsidRDefault="00AA27A9">
      <w:r>
        <w:separator/>
      </w:r>
    </w:p>
  </w:footnote>
  <w:footnote w:type="continuationSeparator" w:id="0">
    <w:p w14:paraId="22A19A0E" w14:textId="77777777" w:rsidR="00AA27A9" w:rsidRDefault="00AA2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778C"/>
    <w:multiLevelType w:val="hybridMultilevel"/>
    <w:tmpl w:val="FC1AFBAE"/>
    <w:lvl w:ilvl="0" w:tplc="CC3CC190">
      <w:start w:val="1"/>
      <w:numFmt w:val="decimal"/>
      <w:lvlText w:val="%1."/>
      <w:lvlJc w:val="left"/>
      <w:pPr>
        <w:tabs>
          <w:tab w:val="num" w:pos="4330"/>
        </w:tabs>
        <w:ind w:left="4330" w:hanging="360"/>
      </w:pPr>
      <w:rPr>
        <w:rFonts w:hint="default"/>
        <w:b w:val="0"/>
        <w:color w:val="auto"/>
      </w:rPr>
    </w:lvl>
    <w:lvl w:ilvl="1" w:tplc="04090019">
      <w:start w:val="1"/>
      <w:numFmt w:val="ideographTraditional"/>
      <w:lvlText w:val="%2、"/>
      <w:lvlJc w:val="left"/>
      <w:pPr>
        <w:tabs>
          <w:tab w:val="num" w:pos="4930"/>
        </w:tabs>
        <w:ind w:left="4930" w:hanging="480"/>
      </w:pPr>
    </w:lvl>
    <w:lvl w:ilvl="2" w:tplc="0409001B" w:tentative="1">
      <w:start w:val="1"/>
      <w:numFmt w:val="lowerRoman"/>
      <w:lvlText w:val="%3."/>
      <w:lvlJc w:val="right"/>
      <w:pPr>
        <w:tabs>
          <w:tab w:val="num" w:pos="5410"/>
        </w:tabs>
        <w:ind w:left="5410" w:hanging="480"/>
      </w:pPr>
    </w:lvl>
    <w:lvl w:ilvl="3" w:tplc="0409000F" w:tentative="1">
      <w:start w:val="1"/>
      <w:numFmt w:val="decimal"/>
      <w:lvlText w:val="%4."/>
      <w:lvlJc w:val="left"/>
      <w:pPr>
        <w:tabs>
          <w:tab w:val="num" w:pos="5890"/>
        </w:tabs>
        <w:ind w:left="5890" w:hanging="480"/>
      </w:pPr>
    </w:lvl>
    <w:lvl w:ilvl="4" w:tplc="04090019" w:tentative="1">
      <w:start w:val="1"/>
      <w:numFmt w:val="ideographTraditional"/>
      <w:lvlText w:val="%5、"/>
      <w:lvlJc w:val="left"/>
      <w:pPr>
        <w:tabs>
          <w:tab w:val="num" w:pos="6370"/>
        </w:tabs>
        <w:ind w:left="6370" w:hanging="480"/>
      </w:pPr>
    </w:lvl>
    <w:lvl w:ilvl="5" w:tplc="0409001B" w:tentative="1">
      <w:start w:val="1"/>
      <w:numFmt w:val="lowerRoman"/>
      <w:lvlText w:val="%6."/>
      <w:lvlJc w:val="right"/>
      <w:pPr>
        <w:tabs>
          <w:tab w:val="num" w:pos="6850"/>
        </w:tabs>
        <w:ind w:left="6850" w:hanging="480"/>
      </w:pPr>
    </w:lvl>
    <w:lvl w:ilvl="6" w:tplc="0409000F" w:tentative="1">
      <w:start w:val="1"/>
      <w:numFmt w:val="decimal"/>
      <w:lvlText w:val="%7."/>
      <w:lvlJc w:val="left"/>
      <w:pPr>
        <w:tabs>
          <w:tab w:val="num" w:pos="7330"/>
        </w:tabs>
        <w:ind w:left="7330" w:hanging="480"/>
      </w:pPr>
    </w:lvl>
    <w:lvl w:ilvl="7" w:tplc="04090019" w:tentative="1">
      <w:start w:val="1"/>
      <w:numFmt w:val="ideographTraditional"/>
      <w:lvlText w:val="%8、"/>
      <w:lvlJc w:val="left"/>
      <w:pPr>
        <w:tabs>
          <w:tab w:val="num" w:pos="7810"/>
        </w:tabs>
        <w:ind w:left="7810" w:hanging="480"/>
      </w:pPr>
    </w:lvl>
    <w:lvl w:ilvl="8" w:tplc="0409001B" w:tentative="1">
      <w:start w:val="1"/>
      <w:numFmt w:val="lowerRoman"/>
      <w:lvlText w:val="%9."/>
      <w:lvlJc w:val="right"/>
      <w:pPr>
        <w:tabs>
          <w:tab w:val="num" w:pos="8290"/>
        </w:tabs>
        <w:ind w:left="8290" w:hanging="480"/>
      </w:pPr>
    </w:lvl>
  </w:abstractNum>
  <w:abstractNum w:abstractNumId="1" w15:restartNumberingAfterBreak="0">
    <w:nsid w:val="057500F1"/>
    <w:multiLevelType w:val="hybridMultilevel"/>
    <w:tmpl w:val="BECADBD4"/>
    <w:lvl w:ilvl="0" w:tplc="CC3CC190">
      <w:start w:val="1"/>
      <w:numFmt w:val="decimal"/>
      <w:lvlText w:val="%1."/>
      <w:lvlJc w:val="left"/>
      <w:pPr>
        <w:tabs>
          <w:tab w:val="num" w:pos="4330"/>
        </w:tabs>
        <w:ind w:left="4330" w:hanging="360"/>
      </w:pPr>
      <w:rPr>
        <w:rFonts w:hint="default"/>
        <w:b w:val="0"/>
        <w:color w:val="auto"/>
      </w:rPr>
    </w:lvl>
    <w:lvl w:ilvl="1" w:tplc="04090019">
      <w:start w:val="1"/>
      <w:numFmt w:val="ideographTraditional"/>
      <w:lvlText w:val="%2、"/>
      <w:lvlJc w:val="left"/>
      <w:pPr>
        <w:tabs>
          <w:tab w:val="num" w:pos="4930"/>
        </w:tabs>
        <w:ind w:left="4930" w:hanging="480"/>
      </w:pPr>
    </w:lvl>
    <w:lvl w:ilvl="2" w:tplc="0409001B" w:tentative="1">
      <w:start w:val="1"/>
      <w:numFmt w:val="lowerRoman"/>
      <w:lvlText w:val="%3."/>
      <w:lvlJc w:val="right"/>
      <w:pPr>
        <w:tabs>
          <w:tab w:val="num" w:pos="5410"/>
        </w:tabs>
        <w:ind w:left="5410" w:hanging="480"/>
      </w:pPr>
    </w:lvl>
    <w:lvl w:ilvl="3" w:tplc="0409000F" w:tentative="1">
      <w:start w:val="1"/>
      <w:numFmt w:val="decimal"/>
      <w:lvlText w:val="%4."/>
      <w:lvlJc w:val="left"/>
      <w:pPr>
        <w:tabs>
          <w:tab w:val="num" w:pos="5890"/>
        </w:tabs>
        <w:ind w:left="5890" w:hanging="480"/>
      </w:pPr>
    </w:lvl>
    <w:lvl w:ilvl="4" w:tplc="04090019" w:tentative="1">
      <w:start w:val="1"/>
      <w:numFmt w:val="ideographTraditional"/>
      <w:lvlText w:val="%5、"/>
      <w:lvlJc w:val="left"/>
      <w:pPr>
        <w:tabs>
          <w:tab w:val="num" w:pos="6370"/>
        </w:tabs>
        <w:ind w:left="6370" w:hanging="480"/>
      </w:pPr>
    </w:lvl>
    <w:lvl w:ilvl="5" w:tplc="0409001B" w:tentative="1">
      <w:start w:val="1"/>
      <w:numFmt w:val="lowerRoman"/>
      <w:lvlText w:val="%6."/>
      <w:lvlJc w:val="right"/>
      <w:pPr>
        <w:tabs>
          <w:tab w:val="num" w:pos="6850"/>
        </w:tabs>
        <w:ind w:left="6850" w:hanging="480"/>
      </w:pPr>
    </w:lvl>
    <w:lvl w:ilvl="6" w:tplc="0409000F" w:tentative="1">
      <w:start w:val="1"/>
      <w:numFmt w:val="decimal"/>
      <w:lvlText w:val="%7."/>
      <w:lvlJc w:val="left"/>
      <w:pPr>
        <w:tabs>
          <w:tab w:val="num" w:pos="7330"/>
        </w:tabs>
        <w:ind w:left="7330" w:hanging="480"/>
      </w:pPr>
    </w:lvl>
    <w:lvl w:ilvl="7" w:tplc="04090019" w:tentative="1">
      <w:start w:val="1"/>
      <w:numFmt w:val="ideographTraditional"/>
      <w:lvlText w:val="%8、"/>
      <w:lvlJc w:val="left"/>
      <w:pPr>
        <w:tabs>
          <w:tab w:val="num" w:pos="7810"/>
        </w:tabs>
        <w:ind w:left="7810" w:hanging="480"/>
      </w:pPr>
    </w:lvl>
    <w:lvl w:ilvl="8" w:tplc="0409001B" w:tentative="1">
      <w:start w:val="1"/>
      <w:numFmt w:val="lowerRoman"/>
      <w:lvlText w:val="%9."/>
      <w:lvlJc w:val="right"/>
      <w:pPr>
        <w:tabs>
          <w:tab w:val="num" w:pos="8290"/>
        </w:tabs>
        <w:ind w:left="8290" w:hanging="480"/>
      </w:pPr>
    </w:lvl>
  </w:abstractNum>
  <w:abstractNum w:abstractNumId="2" w15:restartNumberingAfterBreak="0">
    <w:nsid w:val="13C115AD"/>
    <w:multiLevelType w:val="hybridMultilevel"/>
    <w:tmpl w:val="6B1CA10A"/>
    <w:lvl w:ilvl="0" w:tplc="F766C790">
      <w:start w:val="1"/>
      <w:numFmt w:val="taiwaneseCountingThousand"/>
      <w:lvlText w:val="(%1)"/>
      <w:lvlJc w:val="left"/>
      <w:pPr>
        <w:tabs>
          <w:tab w:val="num" w:pos="1104"/>
        </w:tabs>
        <w:ind w:left="1104" w:hanging="720"/>
      </w:pPr>
      <w:rPr>
        <w:rFonts w:hAnsi="Times New Roman" w:hint="eastAsia"/>
      </w:rPr>
    </w:lvl>
    <w:lvl w:ilvl="1" w:tplc="04090019" w:tentative="1">
      <w:start w:val="1"/>
      <w:numFmt w:val="ideographTraditional"/>
      <w:lvlText w:val="%2、"/>
      <w:lvlJc w:val="left"/>
      <w:pPr>
        <w:tabs>
          <w:tab w:val="num" w:pos="1344"/>
        </w:tabs>
        <w:ind w:left="1344" w:hanging="480"/>
      </w:pPr>
    </w:lvl>
    <w:lvl w:ilvl="2" w:tplc="0409001B" w:tentative="1">
      <w:start w:val="1"/>
      <w:numFmt w:val="lowerRoman"/>
      <w:lvlText w:val="%3."/>
      <w:lvlJc w:val="right"/>
      <w:pPr>
        <w:tabs>
          <w:tab w:val="num" w:pos="1824"/>
        </w:tabs>
        <w:ind w:left="1824" w:hanging="480"/>
      </w:pPr>
    </w:lvl>
    <w:lvl w:ilvl="3" w:tplc="0409000F" w:tentative="1">
      <w:start w:val="1"/>
      <w:numFmt w:val="decimal"/>
      <w:lvlText w:val="%4."/>
      <w:lvlJc w:val="left"/>
      <w:pPr>
        <w:tabs>
          <w:tab w:val="num" w:pos="2304"/>
        </w:tabs>
        <w:ind w:left="2304" w:hanging="480"/>
      </w:pPr>
    </w:lvl>
    <w:lvl w:ilvl="4" w:tplc="04090019" w:tentative="1">
      <w:start w:val="1"/>
      <w:numFmt w:val="ideographTraditional"/>
      <w:lvlText w:val="%5、"/>
      <w:lvlJc w:val="left"/>
      <w:pPr>
        <w:tabs>
          <w:tab w:val="num" w:pos="2784"/>
        </w:tabs>
        <w:ind w:left="2784" w:hanging="480"/>
      </w:pPr>
    </w:lvl>
    <w:lvl w:ilvl="5" w:tplc="0409001B" w:tentative="1">
      <w:start w:val="1"/>
      <w:numFmt w:val="lowerRoman"/>
      <w:lvlText w:val="%6."/>
      <w:lvlJc w:val="right"/>
      <w:pPr>
        <w:tabs>
          <w:tab w:val="num" w:pos="3264"/>
        </w:tabs>
        <w:ind w:left="3264" w:hanging="480"/>
      </w:pPr>
    </w:lvl>
    <w:lvl w:ilvl="6" w:tplc="0409000F" w:tentative="1">
      <w:start w:val="1"/>
      <w:numFmt w:val="decimal"/>
      <w:lvlText w:val="%7."/>
      <w:lvlJc w:val="left"/>
      <w:pPr>
        <w:tabs>
          <w:tab w:val="num" w:pos="3744"/>
        </w:tabs>
        <w:ind w:left="3744" w:hanging="480"/>
      </w:pPr>
    </w:lvl>
    <w:lvl w:ilvl="7" w:tplc="04090019" w:tentative="1">
      <w:start w:val="1"/>
      <w:numFmt w:val="ideographTraditional"/>
      <w:lvlText w:val="%8、"/>
      <w:lvlJc w:val="left"/>
      <w:pPr>
        <w:tabs>
          <w:tab w:val="num" w:pos="4224"/>
        </w:tabs>
        <w:ind w:left="4224" w:hanging="480"/>
      </w:pPr>
    </w:lvl>
    <w:lvl w:ilvl="8" w:tplc="0409001B" w:tentative="1">
      <w:start w:val="1"/>
      <w:numFmt w:val="lowerRoman"/>
      <w:lvlText w:val="%9."/>
      <w:lvlJc w:val="right"/>
      <w:pPr>
        <w:tabs>
          <w:tab w:val="num" w:pos="4704"/>
        </w:tabs>
        <w:ind w:left="4704" w:hanging="480"/>
      </w:pPr>
    </w:lvl>
  </w:abstractNum>
  <w:abstractNum w:abstractNumId="3" w15:restartNumberingAfterBreak="0">
    <w:nsid w:val="1AB41FB5"/>
    <w:multiLevelType w:val="hybridMultilevel"/>
    <w:tmpl w:val="42820246"/>
    <w:lvl w:ilvl="0" w:tplc="30582210">
      <w:start w:val="1"/>
      <w:numFmt w:val="decimal"/>
      <w:lvlText w:val="%1."/>
      <w:lvlJc w:val="left"/>
      <w:pPr>
        <w:tabs>
          <w:tab w:val="num" w:pos="1248"/>
        </w:tabs>
        <w:ind w:left="1248" w:hanging="360"/>
      </w:pPr>
      <w:rPr>
        <w:rFonts w:hint="eastAsia"/>
      </w:rPr>
    </w:lvl>
    <w:lvl w:ilvl="1" w:tplc="04090019" w:tentative="1">
      <w:start w:val="1"/>
      <w:numFmt w:val="ideographTraditional"/>
      <w:lvlText w:val="%2、"/>
      <w:lvlJc w:val="left"/>
      <w:pPr>
        <w:tabs>
          <w:tab w:val="num" w:pos="1848"/>
        </w:tabs>
        <w:ind w:left="1848" w:hanging="480"/>
      </w:pPr>
    </w:lvl>
    <w:lvl w:ilvl="2" w:tplc="0409001B" w:tentative="1">
      <w:start w:val="1"/>
      <w:numFmt w:val="lowerRoman"/>
      <w:lvlText w:val="%3."/>
      <w:lvlJc w:val="right"/>
      <w:pPr>
        <w:tabs>
          <w:tab w:val="num" w:pos="2328"/>
        </w:tabs>
        <w:ind w:left="2328" w:hanging="480"/>
      </w:pPr>
    </w:lvl>
    <w:lvl w:ilvl="3" w:tplc="0409000F" w:tentative="1">
      <w:start w:val="1"/>
      <w:numFmt w:val="decimal"/>
      <w:lvlText w:val="%4."/>
      <w:lvlJc w:val="left"/>
      <w:pPr>
        <w:tabs>
          <w:tab w:val="num" w:pos="2808"/>
        </w:tabs>
        <w:ind w:left="2808" w:hanging="480"/>
      </w:pPr>
    </w:lvl>
    <w:lvl w:ilvl="4" w:tplc="04090019" w:tentative="1">
      <w:start w:val="1"/>
      <w:numFmt w:val="ideographTraditional"/>
      <w:lvlText w:val="%5、"/>
      <w:lvlJc w:val="left"/>
      <w:pPr>
        <w:tabs>
          <w:tab w:val="num" w:pos="3288"/>
        </w:tabs>
        <w:ind w:left="3288" w:hanging="480"/>
      </w:pPr>
    </w:lvl>
    <w:lvl w:ilvl="5" w:tplc="0409001B" w:tentative="1">
      <w:start w:val="1"/>
      <w:numFmt w:val="lowerRoman"/>
      <w:lvlText w:val="%6."/>
      <w:lvlJc w:val="right"/>
      <w:pPr>
        <w:tabs>
          <w:tab w:val="num" w:pos="3768"/>
        </w:tabs>
        <w:ind w:left="3768" w:hanging="480"/>
      </w:pPr>
    </w:lvl>
    <w:lvl w:ilvl="6" w:tplc="0409000F" w:tentative="1">
      <w:start w:val="1"/>
      <w:numFmt w:val="decimal"/>
      <w:lvlText w:val="%7."/>
      <w:lvlJc w:val="left"/>
      <w:pPr>
        <w:tabs>
          <w:tab w:val="num" w:pos="4248"/>
        </w:tabs>
        <w:ind w:left="4248" w:hanging="480"/>
      </w:pPr>
    </w:lvl>
    <w:lvl w:ilvl="7" w:tplc="04090019" w:tentative="1">
      <w:start w:val="1"/>
      <w:numFmt w:val="ideographTraditional"/>
      <w:lvlText w:val="%8、"/>
      <w:lvlJc w:val="left"/>
      <w:pPr>
        <w:tabs>
          <w:tab w:val="num" w:pos="4728"/>
        </w:tabs>
        <w:ind w:left="4728" w:hanging="480"/>
      </w:pPr>
    </w:lvl>
    <w:lvl w:ilvl="8" w:tplc="0409001B" w:tentative="1">
      <w:start w:val="1"/>
      <w:numFmt w:val="lowerRoman"/>
      <w:lvlText w:val="%9."/>
      <w:lvlJc w:val="right"/>
      <w:pPr>
        <w:tabs>
          <w:tab w:val="num" w:pos="5208"/>
        </w:tabs>
        <w:ind w:left="5208" w:hanging="480"/>
      </w:pPr>
    </w:lvl>
  </w:abstractNum>
  <w:abstractNum w:abstractNumId="4" w15:restartNumberingAfterBreak="0">
    <w:nsid w:val="1B9B5017"/>
    <w:multiLevelType w:val="hybridMultilevel"/>
    <w:tmpl w:val="28F0D352"/>
    <w:lvl w:ilvl="0" w:tplc="FC68DEE4">
      <w:start w:val="1"/>
      <w:numFmt w:val="decimal"/>
      <w:lvlText w:val="(%1)"/>
      <w:lvlJc w:val="left"/>
      <w:pPr>
        <w:ind w:left="1480" w:hanging="480"/>
      </w:pPr>
      <w:rPr>
        <w:rFonts w:hint="eastAsia"/>
      </w:rPr>
    </w:lvl>
    <w:lvl w:ilvl="1" w:tplc="FC68DEE4">
      <w:start w:val="1"/>
      <w:numFmt w:val="decimal"/>
      <w:lvlText w:val="(%2)"/>
      <w:lvlJc w:val="left"/>
      <w:pPr>
        <w:ind w:left="1960" w:hanging="480"/>
      </w:pPr>
      <w:rPr>
        <w:rFonts w:hint="eastAsia"/>
      </w:r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5" w15:restartNumberingAfterBreak="0">
    <w:nsid w:val="1EC94A16"/>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22611786"/>
    <w:multiLevelType w:val="hybridMultilevel"/>
    <w:tmpl w:val="FC1AFBAE"/>
    <w:lvl w:ilvl="0" w:tplc="CC3CC190">
      <w:start w:val="1"/>
      <w:numFmt w:val="decimal"/>
      <w:lvlText w:val="%1."/>
      <w:lvlJc w:val="left"/>
      <w:pPr>
        <w:tabs>
          <w:tab w:val="num" w:pos="4330"/>
        </w:tabs>
        <w:ind w:left="4330" w:hanging="360"/>
      </w:pPr>
      <w:rPr>
        <w:rFonts w:hint="default"/>
        <w:b w:val="0"/>
        <w:color w:val="auto"/>
      </w:rPr>
    </w:lvl>
    <w:lvl w:ilvl="1" w:tplc="04090019">
      <w:start w:val="1"/>
      <w:numFmt w:val="ideographTraditional"/>
      <w:lvlText w:val="%2、"/>
      <w:lvlJc w:val="left"/>
      <w:pPr>
        <w:tabs>
          <w:tab w:val="num" w:pos="4930"/>
        </w:tabs>
        <w:ind w:left="4930" w:hanging="480"/>
      </w:pPr>
    </w:lvl>
    <w:lvl w:ilvl="2" w:tplc="0409001B" w:tentative="1">
      <w:start w:val="1"/>
      <w:numFmt w:val="lowerRoman"/>
      <w:lvlText w:val="%3."/>
      <w:lvlJc w:val="right"/>
      <w:pPr>
        <w:tabs>
          <w:tab w:val="num" w:pos="5410"/>
        </w:tabs>
        <w:ind w:left="5410" w:hanging="480"/>
      </w:pPr>
    </w:lvl>
    <w:lvl w:ilvl="3" w:tplc="0409000F" w:tentative="1">
      <w:start w:val="1"/>
      <w:numFmt w:val="decimal"/>
      <w:lvlText w:val="%4."/>
      <w:lvlJc w:val="left"/>
      <w:pPr>
        <w:tabs>
          <w:tab w:val="num" w:pos="5890"/>
        </w:tabs>
        <w:ind w:left="5890" w:hanging="480"/>
      </w:pPr>
    </w:lvl>
    <w:lvl w:ilvl="4" w:tplc="04090019" w:tentative="1">
      <w:start w:val="1"/>
      <w:numFmt w:val="ideographTraditional"/>
      <w:lvlText w:val="%5、"/>
      <w:lvlJc w:val="left"/>
      <w:pPr>
        <w:tabs>
          <w:tab w:val="num" w:pos="6370"/>
        </w:tabs>
        <w:ind w:left="6370" w:hanging="480"/>
      </w:pPr>
    </w:lvl>
    <w:lvl w:ilvl="5" w:tplc="0409001B" w:tentative="1">
      <w:start w:val="1"/>
      <w:numFmt w:val="lowerRoman"/>
      <w:lvlText w:val="%6."/>
      <w:lvlJc w:val="right"/>
      <w:pPr>
        <w:tabs>
          <w:tab w:val="num" w:pos="6850"/>
        </w:tabs>
        <w:ind w:left="6850" w:hanging="480"/>
      </w:pPr>
    </w:lvl>
    <w:lvl w:ilvl="6" w:tplc="0409000F" w:tentative="1">
      <w:start w:val="1"/>
      <w:numFmt w:val="decimal"/>
      <w:lvlText w:val="%7."/>
      <w:lvlJc w:val="left"/>
      <w:pPr>
        <w:tabs>
          <w:tab w:val="num" w:pos="7330"/>
        </w:tabs>
        <w:ind w:left="7330" w:hanging="480"/>
      </w:pPr>
    </w:lvl>
    <w:lvl w:ilvl="7" w:tplc="04090019" w:tentative="1">
      <w:start w:val="1"/>
      <w:numFmt w:val="ideographTraditional"/>
      <w:lvlText w:val="%8、"/>
      <w:lvlJc w:val="left"/>
      <w:pPr>
        <w:tabs>
          <w:tab w:val="num" w:pos="7810"/>
        </w:tabs>
        <w:ind w:left="7810" w:hanging="480"/>
      </w:pPr>
    </w:lvl>
    <w:lvl w:ilvl="8" w:tplc="0409001B" w:tentative="1">
      <w:start w:val="1"/>
      <w:numFmt w:val="lowerRoman"/>
      <w:lvlText w:val="%9."/>
      <w:lvlJc w:val="right"/>
      <w:pPr>
        <w:tabs>
          <w:tab w:val="num" w:pos="8290"/>
        </w:tabs>
        <w:ind w:left="8290" w:hanging="480"/>
      </w:pPr>
    </w:lvl>
  </w:abstractNum>
  <w:abstractNum w:abstractNumId="7" w15:restartNumberingAfterBreak="0">
    <w:nsid w:val="26DF05F3"/>
    <w:multiLevelType w:val="hybridMultilevel"/>
    <w:tmpl w:val="B1A0CEEA"/>
    <w:lvl w:ilvl="0" w:tplc="B274C176">
      <w:start w:val="1"/>
      <w:numFmt w:val="decimal"/>
      <w:lvlText w:val="%1."/>
      <w:lvlJc w:val="left"/>
      <w:pPr>
        <w:tabs>
          <w:tab w:val="num" w:pos="1746"/>
        </w:tabs>
        <w:ind w:left="1746"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918350F"/>
    <w:multiLevelType w:val="hybridMultilevel"/>
    <w:tmpl w:val="53E02C54"/>
    <w:lvl w:ilvl="0" w:tplc="48B82148">
      <w:start w:val="1"/>
      <w:numFmt w:val="taiwaneseCountingThousand"/>
      <w:lvlText w:val="(%1)"/>
      <w:lvlJc w:val="left"/>
      <w:pPr>
        <w:ind w:left="1080" w:hanging="720"/>
      </w:pPr>
      <w:rPr>
        <w:rFonts w:hint="default"/>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2A0703CB"/>
    <w:multiLevelType w:val="hybridMultilevel"/>
    <w:tmpl w:val="F6442880"/>
    <w:lvl w:ilvl="0" w:tplc="0BDAF23C">
      <w:start w:val="1"/>
      <w:numFmt w:val="decimal"/>
      <w:lvlText w:val="%1."/>
      <w:lvlJc w:val="left"/>
      <w:pPr>
        <w:tabs>
          <w:tab w:val="num" w:pos="1000"/>
        </w:tabs>
        <w:ind w:left="1000" w:hanging="360"/>
      </w:pPr>
      <w:rPr>
        <w:rFonts w:hint="default"/>
        <w:color w:val="auto"/>
      </w:rPr>
    </w:lvl>
    <w:lvl w:ilvl="1" w:tplc="2A267F8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1940DF"/>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2D0F64A1"/>
    <w:multiLevelType w:val="hybridMultilevel"/>
    <w:tmpl w:val="C1DA812A"/>
    <w:lvl w:ilvl="0" w:tplc="0DA02B8A">
      <w:start w:val="1"/>
      <w:numFmt w:val="decimal"/>
      <w:lvlText w:val="(%1)"/>
      <w:lvlJc w:val="left"/>
      <w:pPr>
        <w:ind w:left="2453" w:hanging="720"/>
      </w:pPr>
      <w:rPr>
        <w:rFonts w:hint="default"/>
      </w:rPr>
    </w:lvl>
    <w:lvl w:ilvl="1" w:tplc="04090019" w:tentative="1">
      <w:start w:val="1"/>
      <w:numFmt w:val="ideographTraditional"/>
      <w:lvlText w:val="%2、"/>
      <w:lvlJc w:val="left"/>
      <w:pPr>
        <w:ind w:left="2693" w:hanging="480"/>
      </w:pPr>
    </w:lvl>
    <w:lvl w:ilvl="2" w:tplc="0409001B" w:tentative="1">
      <w:start w:val="1"/>
      <w:numFmt w:val="lowerRoman"/>
      <w:lvlText w:val="%3."/>
      <w:lvlJc w:val="right"/>
      <w:pPr>
        <w:ind w:left="3173" w:hanging="480"/>
      </w:pPr>
    </w:lvl>
    <w:lvl w:ilvl="3" w:tplc="0409000F" w:tentative="1">
      <w:start w:val="1"/>
      <w:numFmt w:val="decimal"/>
      <w:lvlText w:val="%4."/>
      <w:lvlJc w:val="left"/>
      <w:pPr>
        <w:ind w:left="3653" w:hanging="480"/>
      </w:pPr>
    </w:lvl>
    <w:lvl w:ilvl="4" w:tplc="04090019" w:tentative="1">
      <w:start w:val="1"/>
      <w:numFmt w:val="ideographTraditional"/>
      <w:lvlText w:val="%5、"/>
      <w:lvlJc w:val="left"/>
      <w:pPr>
        <w:ind w:left="4133" w:hanging="480"/>
      </w:pPr>
    </w:lvl>
    <w:lvl w:ilvl="5" w:tplc="0409001B" w:tentative="1">
      <w:start w:val="1"/>
      <w:numFmt w:val="lowerRoman"/>
      <w:lvlText w:val="%6."/>
      <w:lvlJc w:val="right"/>
      <w:pPr>
        <w:ind w:left="4613" w:hanging="480"/>
      </w:pPr>
    </w:lvl>
    <w:lvl w:ilvl="6" w:tplc="0409000F" w:tentative="1">
      <w:start w:val="1"/>
      <w:numFmt w:val="decimal"/>
      <w:lvlText w:val="%7."/>
      <w:lvlJc w:val="left"/>
      <w:pPr>
        <w:ind w:left="5093" w:hanging="480"/>
      </w:pPr>
    </w:lvl>
    <w:lvl w:ilvl="7" w:tplc="04090019" w:tentative="1">
      <w:start w:val="1"/>
      <w:numFmt w:val="ideographTraditional"/>
      <w:lvlText w:val="%8、"/>
      <w:lvlJc w:val="left"/>
      <w:pPr>
        <w:ind w:left="5573" w:hanging="480"/>
      </w:pPr>
    </w:lvl>
    <w:lvl w:ilvl="8" w:tplc="0409001B" w:tentative="1">
      <w:start w:val="1"/>
      <w:numFmt w:val="lowerRoman"/>
      <w:lvlText w:val="%9."/>
      <w:lvlJc w:val="right"/>
      <w:pPr>
        <w:ind w:left="6053" w:hanging="480"/>
      </w:pPr>
    </w:lvl>
  </w:abstractNum>
  <w:abstractNum w:abstractNumId="12" w15:restartNumberingAfterBreak="0">
    <w:nsid w:val="301C521A"/>
    <w:multiLevelType w:val="singleLevel"/>
    <w:tmpl w:val="C8061C1C"/>
    <w:lvl w:ilvl="0">
      <w:start w:val="1"/>
      <w:numFmt w:val="decimal"/>
      <w:lvlText w:val="(%1)"/>
      <w:lvlJc w:val="left"/>
      <w:pPr>
        <w:tabs>
          <w:tab w:val="num" w:pos="960"/>
        </w:tabs>
        <w:ind w:left="960" w:hanging="360"/>
      </w:pPr>
      <w:rPr>
        <w:rFonts w:hint="eastAsia"/>
      </w:rPr>
    </w:lvl>
  </w:abstractNum>
  <w:abstractNum w:abstractNumId="13" w15:restartNumberingAfterBreak="0">
    <w:nsid w:val="3255258B"/>
    <w:multiLevelType w:val="hybridMultilevel"/>
    <w:tmpl w:val="A240EFAC"/>
    <w:lvl w:ilvl="0" w:tplc="60483C3E">
      <w:start w:val="1"/>
      <w:numFmt w:val="decimal"/>
      <w:lvlText w:val="%1."/>
      <w:lvlJc w:val="left"/>
      <w:pPr>
        <w:tabs>
          <w:tab w:val="num" w:pos="1267"/>
        </w:tabs>
        <w:ind w:left="1267" w:hanging="360"/>
      </w:pPr>
      <w:rPr>
        <w:rFonts w:hAnsi="Courier New" w:hint="eastAsia"/>
      </w:rPr>
    </w:lvl>
    <w:lvl w:ilvl="1" w:tplc="04090019" w:tentative="1">
      <w:start w:val="1"/>
      <w:numFmt w:val="ideographTraditional"/>
      <w:lvlText w:val="%2、"/>
      <w:lvlJc w:val="left"/>
      <w:pPr>
        <w:tabs>
          <w:tab w:val="num" w:pos="1867"/>
        </w:tabs>
        <w:ind w:left="1867" w:hanging="480"/>
      </w:pPr>
    </w:lvl>
    <w:lvl w:ilvl="2" w:tplc="0409001B" w:tentative="1">
      <w:start w:val="1"/>
      <w:numFmt w:val="lowerRoman"/>
      <w:lvlText w:val="%3."/>
      <w:lvlJc w:val="right"/>
      <w:pPr>
        <w:tabs>
          <w:tab w:val="num" w:pos="2347"/>
        </w:tabs>
        <w:ind w:left="2347" w:hanging="480"/>
      </w:pPr>
    </w:lvl>
    <w:lvl w:ilvl="3" w:tplc="0409000F" w:tentative="1">
      <w:start w:val="1"/>
      <w:numFmt w:val="decimal"/>
      <w:lvlText w:val="%4."/>
      <w:lvlJc w:val="left"/>
      <w:pPr>
        <w:tabs>
          <w:tab w:val="num" w:pos="2827"/>
        </w:tabs>
        <w:ind w:left="2827" w:hanging="480"/>
      </w:pPr>
    </w:lvl>
    <w:lvl w:ilvl="4" w:tplc="04090019" w:tentative="1">
      <w:start w:val="1"/>
      <w:numFmt w:val="ideographTraditional"/>
      <w:lvlText w:val="%5、"/>
      <w:lvlJc w:val="left"/>
      <w:pPr>
        <w:tabs>
          <w:tab w:val="num" w:pos="3307"/>
        </w:tabs>
        <w:ind w:left="3307" w:hanging="480"/>
      </w:pPr>
    </w:lvl>
    <w:lvl w:ilvl="5" w:tplc="0409001B" w:tentative="1">
      <w:start w:val="1"/>
      <w:numFmt w:val="lowerRoman"/>
      <w:lvlText w:val="%6."/>
      <w:lvlJc w:val="right"/>
      <w:pPr>
        <w:tabs>
          <w:tab w:val="num" w:pos="3787"/>
        </w:tabs>
        <w:ind w:left="3787" w:hanging="480"/>
      </w:pPr>
    </w:lvl>
    <w:lvl w:ilvl="6" w:tplc="0409000F" w:tentative="1">
      <w:start w:val="1"/>
      <w:numFmt w:val="decimal"/>
      <w:lvlText w:val="%7."/>
      <w:lvlJc w:val="left"/>
      <w:pPr>
        <w:tabs>
          <w:tab w:val="num" w:pos="4267"/>
        </w:tabs>
        <w:ind w:left="4267" w:hanging="480"/>
      </w:pPr>
    </w:lvl>
    <w:lvl w:ilvl="7" w:tplc="04090019" w:tentative="1">
      <w:start w:val="1"/>
      <w:numFmt w:val="ideographTraditional"/>
      <w:lvlText w:val="%8、"/>
      <w:lvlJc w:val="left"/>
      <w:pPr>
        <w:tabs>
          <w:tab w:val="num" w:pos="4747"/>
        </w:tabs>
        <w:ind w:left="4747" w:hanging="480"/>
      </w:pPr>
    </w:lvl>
    <w:lvl w:ilvl="8" w:tplc="0409001B" w:tentative="1">
      <w:start w:val="1"/>
      <w:numFmt w:val="lowerRoman"/>
      <w:lvlText w:val="%9."/>
      <w:lvlJc w:val="right"/>
      <w:pPr>
        <w:tabs>
          <w:tab w:val="num" w:pos="5227"/>
        </w:tabs>
        <w:ind w:left="5227" w:hanging="480"/>
      </w:pPr>
    </w:lvl>
  </w:abstractNum>
  <w:abstractNum w:abstractNumId="14" w15:restartNumberingAfterBreak="0">
    <w:nsid w:val="32825624"/>
    <w:multiLevelType w:val="hybridMultilevel"/>
    <w:tmpl w:val="D68418E2"/>
    <w:lvl w:ilvl="0" w:tplc="EF0ADC30">
      <w:start w:val="1"/>
      <w:numFmt w:val="decimal"/>
      <w:suff w:val="nothing"/>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5" w15:restartNumberingAfterBreak="0">
    <w:nsid w:val="33CF46C5"/>
    <w:multiLevelType w:val="singleLevel"/>
    <w:tmpl w:val="567C275A"/>
    <w:lvl w:ilvl="0">
      <w:start w:val="1"/>
      <w:numFmt w:val="decimal"/>
      <w:lvlText w:val="(%1)"/>
      <w:lvlJc w:val="left"/>
      <w:pPr>
        <w:tabs>
          <w:tab w:val="num" w:pos="1080"/>
        </w:tabs>
        <w:ind w:left="1080" w:hanging="360"/>
      </w:pPr>
      <w:rPr>
        <w:rFonts w:hint="eastAsia"/>
      </w:rPr>
    </w:lvl>
  </w:abstractNum>
  <w:abstractNum w:abstractNumId="16" w15:restartNumberingAfterBreak="0">
    <w:nsid w:val="343C209D"/>
    <w:multiLevelType w:val="singleLevel"/>
    <w:tmpl w:val="C1FC6DA8"/>
    <w:lvl w:ilvl="0">
      <w:start w:val="1"/>
      <w:numFmt w:val="decimal"/>
      <w:lvlText w:val="(%1)"/>
      <w:lvlJc w:val="left"/>
      <w:pPr>
        <w:tabs>
          <w:tab w:val="num" w:pos="1320"/>
        </w:tabs>
        <w:ind w:left="1320" w:hanging="360"/>
      </w:pPr>
      <w:rPr>
        <w:rFonts w:hint="eastAsia"/>
      </w:rPr>
    </w:lvl>
  </w:abstractNum>
  <w:abstractNum w:abstractNumId="17" w15:restartNumberingAfterBreak="0">
    <w:nsid w:val="394A7DC3"/>
    <w:multiLevelType w:val="hybridMultilevel"/>
    <w:tmpl w:val="CEC056EE"/>
    <w:lvl w:ilvl="0" w:tplc="CBCE47C2">
      <w:start w:val="1"/>
      <w:numFmt w:val="decimal"/>
      <w:lvlText w:val="%1."/>
      <w:lvlJc w:val="left"/>
      <w:pPr>
        <w:tabs>
          <w:tab w:val="num" w:pos="4330"/>
        </w:tabs>
        <w:ind w:left="4330"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D330D33"/>
    <w:multiLevelType w:val="hybridMultilevel"/>
    <w:tmpl w:val="433EF900"/>
    <w:lvl w:ilvl="0" w:tplc="FC68DEE4">
      <w:start w:val="1"/>
      <w:numFmt w:val="decimal"/>
      <w:lvlText w:val="(%1)"/>
      <w:lvlJc w:val="left"/>
      <w:pPr>
        <w:ind w:left="1960" w:hanging="480"/>
      </w:pPr>
      <w:rPr>
        <w:rFonts w:hint="eastAsia"/>
      </w:rPr>
    </w:lvl>
    <w:lvl w:ilvl="1" w:tplc="04090019" w:tentative="1">
      <w:start w:val="1"/>
      <w:numFmt w:val="ideographTraditional"/>
      <w:lvlText w:val="%2、"/>
      <w:lvlJc w:val="left"/>
      <w:pPr>
        <w:ind w:left="2440" w:hanging="480"/>
      </w:pPr>
    </w:lvl>
    <w:lvl w:ilvl="2" w:tplc="0409001B" w:tentative="1">
      <w:start w:val="1"/>
      <w:numFmt w:val="lowerRoman"/>
      <w:lvlText w:val="%3."/>
      <w:lvlJc w:val="right"/>
      <w:pPr>
        <w:ind w:left="2920" w:hanging="480"/>
      </w:pPr>
    </w:lvl>
    <w:lvl w:ilvl="3" w:tplc="0409000F" w:tentative="1">
      <w:start w:val="1"/>
      <w:numFmt w:val="decimal"/>
      <w:lvlText w:val="%4."/>
      <w:lvlJc w:val="left"/>
      <w:pPr>
        <w:ind w:left="3400" w:hanging="480"/>
      </w:pPr>
    </w:lvl>
    <w:lvl w:ilvl="4" w:tplc="04090019" w:tentative="1">
      <w:start w:val="1"/>
      <w:numFmt w:val="ideographTraditional"/>
      <w:lvlText w:val="%5、"/>
      <w:lvlJc w:val="left"/>
      <w:pPr>
        <w:ind w:left="3880" w:hanging="480"/>
      </w:pPr>
    </w:lvl>
    <w:lvl w:ilvl="5" w:tplc="0409001B" w:tentative="1">
      <w:start w:val="1"/>
      <w:numFmt w:val="lowerRoman"/>
      <w:lvlText w:val="%6."/>
      <w:lvlJc w:val="right"/>
      <w:pPr>
        <w:ind w:left="4360" w:hanging="480"/>
      </w:pPr>
    </w:lvl>
    <w:lvl w:ilvl="6" w:tplc="0409000F" w:tentative="1">
      <w:start w:val="1"/>
      <w:numFmt w:val="decimal"/>
      <w:lvlText w:val="%7."/>
      <w:lvlJc w:val="left"/>
      <w:pPr>
        <w:ind w:left="4840" w:hanging="480"/>
      </w:pPr>
    </w:lvl>
    <w:lvl w:ilvl="7" w:tplc="04090019" w:tentative="1">
      <w:start w:val="1"/>
      <w:numFmt w:val="ideographTraditional"/>
      <w:lvlText w:val="%8、"/>
      <w:lvlJc w:val="left"/>
      <w:pPr>
        <w:ind w:left="5320" w:hanging="480"/>
      </w:pPr>
    </w:lvl>
    <w:lvl w:ilvl="8" w:tplc="0409001B" w:tentative="1">
      <w:start w:val="1"/>
      <w:numFmt w:val="lowerRoman"/>
      <w:lvlText w:val="%9."/>
      <w:lvlJc w:val="right"/>
      <w:pPr>
        <w:ind w:left="5800" w:hanging="480"/>
      </w:pPr>
    </w:lvl>
  </w:abstractNum>
  <w:abstractNum w:abstractNumId="19" w15:restartNumberingAfterBreak="0">
    <w:nsid w:val="3FC078F7"/>
    <w:multiLevelType w:val="singleLevel"/>
    <w:tmpl w:val="CAF4693C"/>
    <w:lvl w:ilvl="0">
      <w:start w:val="1"/>
      <w:numFmt w:val="decimal"/>
      <w:lvlText w:val="%1."/>
      <w:lvlJc w:val="left"/>
      <w:pPr>
        <w:tabs>
          <w:tab w:val="num" w:pos="270"/>
        </w:tabs>
        <w:ind w:left="270" w:hanging="270"/>
      </w:pPr>
      <w:rPr>
        <w:rFonts w:hint="eastAsia"/>
      </w:rPr>
    </w:lvl>
  </w:abstractNum>
  <w:abstractNum w:abstractNumId="20" w15:restartNumberingAfterBreak="0">
    <w:nsid w:val="41BA4AD0"/>
    <w:multiLevelType w:val="singleLevel"/>
    <w:tmpl w:val="CA162556"/>
    <w:lvl w:ilvl="0">
      <w:start w:val="1"/>
      <w:numFmt w:val="decimal"/>
      <w:lvlText w:val="(%1)"/>
      <w:lvlJc w:val="left"/>
      <w:pPr>
        <w:tabs>
          <w:tab w:val="num" w:pos="1524"/>
        </w:tabs>
        <w:ind w:left="1524" w:hanging="390"/>
      </w:pPr>
      <w:rPr>
        <w:rFonts w:ascii="細明體" w:hint="eastAsia"/>
      </w:rPr>
    </w:lvl>
  </w:abstractNum>
  <w:abstractNum w:abstractNumId="21" w15:restartNumberingAfterBreak="0">
    <w:nsid w:val="429642F3"/>
    <w:multiLevelType w:val="hybridMultilevel"/>
    <w:tmpl w:val="9E1E869E"/>
    <w:lvl w:ilvl="0" w:tplc="FE56C54C">
      <w:start w:val="1"/>
      <w:numFmt w:val="decimal"/>
      <w:lvlText w:val="（%1）"/>
      <w:lvlJc w:val="left"/>
      <w:pPr>
        <w:ind w:left="1752" w:hanging="480"/>
      </w:pPr>
      <w:rPr>
        <w:rFonts w:ascii="Times New Roman" w:eastAsia="Times New Roman" w:hAnsi="Times New Roman" w:cs="Times New Roman" w:hint="default"/>
      </w:rPr>
    </w:lvl>
    <w:lvl w:ilvl="1" w:tplc="04090019" w:tentative="1">
      <w:start w:val="1"/>
      <w:numFmt w:val="ideographTraditional"/>
      <w:lvlText w:val="%2、"/>
      <w:lvlJc w:val="left"/>
      <w:pPr>
        <w:ind w:left="2232" w:hanging="480"/>
      </w:pPr>
      <w:rPr>
        <w:rFonts w:cs="Times New Roman"/>
      </w:rPr>
    </w:lvl>
    <w:lvl w:ilvl="2" w:tplc="0409001B" w:tentative="1">
      <w:start w:val="1"/>
      <w:numFmt w:val="lowerRoman"/>
      <w:lvlText w:val="%3."/>
      <w:lvlJc w:val="right"/>
      <w:pPr>
        <w:ind w:left="2712" w:hanging="480"/>
      </w:pPr>
      <w:rPr>
        <w:rFonts w:cs="Times New Roman"/>
      </w:rPr>
    </w:lvl>
    <w:lvl w:ilvl="3" w:tplc="0409000F" w:tentative="1">
      <w:start w:val="1"/>
      <w:numFmt w:val="decimal"/>
      <w:lvlText w:val="%4."/>
      <w:lvlJc w:val="left"/>
      <w:pPr>
        <w:ind w:left="3192" w:hanging="480"/>
      </w:pPr>
      <w:rPr>
        <w:rFonts w:cs="Times New Roman"/>
      </w:rPr>
    </w:lvl>
    <w:lvl w:ilvl="4" w:tplc="04090019" w:tentative="1">
      <w:start w:val="1"/>
      <w:numFmt w:val="ideographTraditional"/>
      <w:lvlText w:val="%5、"/>
      <w:lvlJc w:val="left"/>
      <w:pPr>
        <w:ind w:left="3672" w:hanging="480"/>
      </w:pPr>
      <w:rPr>
        <w:rFonts w:cs="Times New Roman"/>
      </w:rPr>
    </w:lvl>
    <w:lvl w:ilvl="5" w:tplc="0409001B" w:tentative="1">
      <w:start w:val="1"/>
      <w:numFmt w:val="lowerRoman"/>
      <w:lvlText w:val="%6."/>
      <w:lvlJc w:val="right"/>
      <w:pPr>
        <w:ind w:left="4152" w:hanging="480"/>
      </w:pPr>
      <w:rPr>
        <w:rFonts w:cs="Times New Roman"/>
      </w:rPr>
    </w:lvl>
    <w:lvl w:ilvl="6" w:tplc="0409000F" w:tentative="1">
      <w:start w:val="1"/>
      <w:numFmt w:val="decimal"/>
      <w:lvlText w:val="%7."/>
      <w:lvlJc w:val="left"/>
      <w:pPr>
        <w:ind w:left="4632" w:hanging="480"/>
      </w:pPr>
      <w:rPr>
        <w:rFonts w:cs="Times New Roman"/>
      </w:rPr>
    </w:lvl>
    <w:lvl w:ilvl="7" w:tplc="04090019" w:tentative="1">
      <w:start w:val="1"/>
      <w:numFmt w:val="ideographTraditional"/>
      <w:lvlText w:val="%8、"/>
      <w:lvlJc w:val="left"/>
      <w:pPr>
        <w:ind w:left="5112" w:hanging="480"/>
      </w:pPr>
      <w:rPr>
        <w:rFonts w:cs="Times New Roman"/>
      </w:rPr>
    </w:lvl>
    <w:lvl w:ilvl="8" w:tplc="0409001B" w:tentative="1">
      <w:start w:val="1"/>
      <w:numFmt w:val="lowerRoman"/>
      <w:lvlText w:val="%9."/>
      <w:lvlJc w:val="right"/>
      <w:pPr>
        <w:ind w:left="5592" w:hanging="480"/>
      </w:pPr>
      <w:rPr>
        <w:rFonts w:cs="Times New Roman"/>
      </w:rPr>
    </w:lvl>
  </w:abstractNum>
  <w:abstractNum w:abstractNumId="22" w15:restartNumberingAfterBreak="0">
    <w:nsid w:val="43A95A40"/>
    <w:multiLevelType w:val="hybridMultilevel"/>
    <w:tmpl w:val="2E6C453E"/>
    <w:lvl w:ilvl="0" w:tplc="04E63332">
      <w:start w:val="1"/>
      <w:numFmt w:val="decimal"/>
      <w:lvlText w:val="%1."/>
      <w:lvlJc w:val="left"/>
      <w:pPr>
        <w:tabs>
          <w:tab w:val="num" w:pos="4330"/>
        </w:tabs>
        <w:ind w:left="4330"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531F36"/>
    <w:multiLevelType w:val="hybridMultilevel"/>
    <w:tmpl w:val="08002856"/>
    <w:lvl w:ilvl="0" w:tplc="B70CB792">
      <w:start w:val="1"/>
      <w:numFmt w:val="taiwaneseCountingThousand"/>
      <w:suff w:val="nothing"/>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4" w15:restartNumberingAfterBreak="0">
    <w:nsid w:val="48896E65"/>
    <w:multiLevelType w:val="singleLevel"/>
    <w:tmpl w:val="DF72B9E8"/>
    <w:lvl w:ilvl="0">
      <w:start w:val="1"/>
      <w:numFmt w:val="decimal"/>
      <w:lvlText w:val=""/>
      <w:lvlJc w:val="left"/>
      <w:pPr>
        <w:tabs>
          <w:tab w:val="num" w:pos="360"/>
        </w:tabs>
        <w:ind w:left="360" w:hanging="360"/>
      </w:pPr>
      <w:rPr>
        <w:rFonts w:ascii="Times New Roman" w:hint="default"/>
      </w:rPr>
    </w:lvl>
  </w:abstractNum>
  <w:abstractNum w:abstractNumId="25" w15:restartNumberingAfterBreak="0">
    <w:nsid w:val="48B923F5"/>
    <w:multiLevelType w:val="hybridMultilevel"/>
    <w:tmpl w:val="64B00DB2"/>
    <w:lvl w:ilvl="0" w:tplc="81003E46">
      <w:start w:val="1"/>
      <w:numFmt w:val="decimal"/>
      <w:lvlText w:val="%1."/>
      <w:lvlJc w:val="left"/>
      <w:pPr>
        <w:tabs>
          <w:tab w:val="num" w:pos="4330"/>
        </w:tabs>
        <w:ind w:left="4330"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A03122B"/>
    <w:multiLevelType w:val="singleLevel"/>
    <w:tmpl w:val="71008BA4"/>
    <w:lvl w:ilvl="0">
      <w:start w:val="1"/>
      <w:numFmt w:val="decimal"/>
      <w:lvlText w:val="%1."/>
      <w:lvlJc w:val="left"/>
      <w:pPr>
        <w:tabs>
          <w:tab w:val="num" w:pos="1245"/>
        </w:tabs>
        <w:ind w:left="1245" w:hanging="255"/>
      </w:pPr>
      <w:rPr>
        <w:rFonts w:hint="default"/>
      </w:rPr>
    </w:lvl>
  </w:abstractNum>
  <w:abstractNum w:abstractNumId="27" w15:restartNumberingAfterBreak="0">
    <w:nsid w:val="4C7B5AFF"/>
    <w:multiLevelType w:val="hybridMultilevel"/>
    <w:tmpl w:val="9E1E869E"/>
    <w:lvl w:ilvl="0" w:tplc="FE56C54C">
      <w:start w:val="1"/>
      <w:numFmt w:val="decimal"/>
      <w:lvlText w:val="（%1）"/>
      <w:lvlJc w:val="left"/>
      <w:pPr>
        <w:ind w:left="1752" w:hanging="480"/>
      </w:pPr>
      <w:rPr>
        <w:rFonts w:ascii="Times New Roman" w:eastAsia="Times New Roman" w:hAnsi="Times New Roman" w:cs="Times New Roman" w:hint="default"/>
      </w:rPr>
    </w:lvl>
    <w:lvl w:ilvl="1" w:tplc="04090019" w:tentative="1">
      <w:start w:val="1"/>
      <w:numFmt w:val="ideographTraditional"/>
      <w:lvlText w:val="%2、"/>
      <w:lvlJc w:val="left"/>
      <w:pPr>
        <w:ind w:left="2232" w:hanging="480"/>
      </w:pPr>
      <w:rPr>
        <w:rFonts w:cs="Times New Roman"/>
      </w:rPr>
    </w:lvl>
    <w:lvl w:ilvl="2" w:tplc="0409001B" w:tentative="1">
      <w:start w:val="1"/>
      <w:numFmt w:val="lowerRoman"/>
      <w:lvlText w:val="%3."/>
      <w:lvlJc w:val="right"/>
      <w:pPr>
        <w:ind w:left="2712" w:hanging="480"/>
      </w:pPr>
      <w:rPr>
        <w:rFonts w:cs="Times New Roman"/>
      </w:rPr>
    </w:lvl>
    <w:lvl w:ilvl="3" w:tplc="0409000F" w:tentative="1">
      <w:start w:val="1"/>
      <w:numFmt w:val="decimal"/>
      <w:lvlText w:val="%4."/>
      <w:lvlJc w:val="left"/>
      <w:pPr>
        <w:ind w:left="3192" w:hanging="480"/>
      </w:pPr>
      <w:rPr>
        <w:rFonts w:cs="Times New Roman"/>
      </w:rPr>
    </w:lvl>
    <w:lvl w:ilvl="4" w:tplc="04090019" w:tentative="1">
      <w:start w:val="1"/>
      <w:numFmt w:val="ideographTraditional"/>
      <w:lvlText w:val="%5、"/>
      <w:lvlJc w:val="left"/>
      <w:pPr>
        <w:ind w:left="3672" w:hanging="480"/>
      </w:pPr>
      <w:rPr>
        <w:rFonts w:cs="Times New Roman"/>
      </w:rPr>
    </w:lvl>
    <w:lvl w:ilvl="5" w:tplc="0409001B" w:tentative="1">
      <w:start w:val="1"/>
      <w:numFmt w:val="lowerRoman"/>
      <w:lvlText w:val="%6."/>
      <w:lvlJc w:val="right"/>
      <w:pPr>
        <w:ind w:left="4152" w:hanging="480"/>
      </w:pPr>
      <w:rPr>
        <w:rFonts w:cs="Times New Roman"/>
      </w:rPr>
    </w:lvl>
    <w:lvl w:ilvl="6" w:tplc="0409000F" w:tentative="1">
      <w:start w:val="1"/>
      <w:numFmt w:val="decimal"/>
      <w:lvlText w:val="%7."/>
      <w:lvlJc w:val="left"/>
      <w:pPr>
        <w:ind w:left="4632" w:hanging="480"/>
      </w:pPr>
      <w:rPr>
        <w:rFonts w:cs="Times New Roman"/>
      </w:rPr>
    </w:lvl>
    <w:lvl w:ilvl="7" w:tplc="04090019" w:tentative="1">
      <w:start w:val="1"/>
      <w:numFmt w:val="ideographTraditional"/>
      <w:lvlText w:val="%8、"/>
      <w:lvlJc w:val="left"/>
      <w:pPr>
        <w:ind w:left="5112" w:hanging="480"/>
      </w:pPr>
      <w:rPr>
        <w:rFonts w:cs="Times New Roman"/>
      </w:rPr>
    </w:lvl>
    <w:lvl w:ilvl="8" w:tplc="0409001B" w:tentative="1">
      <w:start w:val="1"/>
      <w:numFmt w:val="lowerRoman"/>
      <w:lvlText w:val="%9."/>
      <w:lvlJc w:val="right"/>
      <w:pPr>
        <w:ind w:left="5592" w:hanging="480"/>
      </w:pPr>
      <w:rPr>
        <w:rFonts w:cs="Times New Roman"/>
      </w:rPr>
    </w:lvl>
  </w:abstractNum>
  <w:abstractNum w:abstractNumId="28" w15:restartNumberingAfterBreak="0">
    <w:nsid w:val="4DA21179"/>
    <w:multiLevelType w:val="hybridMultilevel"/>
    <w:tmpl w:val="186EBA2A"/>
    <w:lvl w:ilvl="0" w:tplc="0409000F">
      <w:start w:val="1"/>
      <w:numFmt w:val="decimal"/>
      <w:lvlText w:val="%1."/>
      <w:lvlJc w:val="left"/>
      <w:pPr>
        <w:ind w:left="4025" w:hanging="480"/>
      </w:pPr>
      <w:rPr>
        <w:rFonts w:cs="Times New Roman"/>
      </w:rPr>
    </w:lvl>
    <w:lvl w:ilvl="1" w:tplc="04090019" w:tentative="1">
      <w:start w:val="1"/>
      <w:numFmt w:val="ideographTraditional"/>
      <w:lvlText w:val="%2、"/>
      <w:lvlJc w:val="left"/>
      <w:pPr>
        <w:ind w:left="4505" w:hanging="480"/>
      </w:pPr>
      <w:rPr>
        <w:rFonts w:cs="Times New Roman"/>
      </w:rPr>
    </w:lvl>
    <w:lvl w:ilvl="2" w:tplc="0409001B" w:tentative="1">
      <w:start w:val="1"/>
      <w:numFmt w:val="lowerRoman"/>
      <w:lvlText w:val="%3."/>
      <w:lvlJc w:val="right"/>
      <w:pPr>
        <w:ind w:left="4985" w:hanging="480"/>
      </w:pPr>
      <w:rPr>
        <w:rFonts w:cs="Times New Roman"/>
      </w:rPr>
    </w:lvl>
    <w:lvl w:ilvl="3" w:tplc="0409000F" w:tentative="1">
      <w:start w:val="1"/>
      <w:numFmt w:val="decimal"/>
      <w:lvlText w:val="%4."/>
      <w:lvlJc w:val="left"/>
      <w:pPr>
        <w:ind w:left="5465" w:hanging="480"/>
      </w:pPr>
      <w:rPr>
        <w:rFonts w:cs="Times New Roman"/>
      </w:rPr>
    </w:lvl>
    <w:lvl w:ilvl="4" w:tplc="04090019" w:tentative="1">
      <w:start w:val="1"/>
      <w:numFmt w:val="ideographTraditional"/>
      <w:lvlText w:val="%5、"/>
      <w:lvlJc w:val="left"/>
      <w:pPr>
        <w:ind w:left="5945" w:hanging="480"/>
      </w:pPr>
      <w:rPr>
        <w:rFonts w:cs="Times New Roman"/>
      </w:rPr>
    </w:lvl>
    <w:lvl w:ilvl="5" w:tplc="0409001B" w:tentative="1">
      <w:start w:val="1"/>
      <w:numFmt w:val="lowerRoman"/>
      <w:lvlText w:val="%6."/>
      <w:lvlJc w:val="right"/>
      <w:pPr>
        <w:ind w:left="6425" w:hanging="480"/>
      </w:pPr>
      <w:rPr>
        <w:rFonts w:cs="Times New Roman"/>
      </w:rPr>
    </w:lvl>
    <w:lvl w:ilvl="6" w:tplc="0409000F" w:tentative="1">
      <w:start w:val="1"/>
      <w:numFmt w:val="decimal"/>
      <w:lvlText w:val="%7."/>
      <w:lvlJc w:val="left"/>
      <w:pPr>
        <w:ind w:left="6905" w:hanging="480"/>
      </w:pPr>
      <w:rPr>
        <w:rFonts w:cs="Times New Roman"/>
      </w:rPr>
    </w:lvl>
    <w:lvl w:ilvl="7" w:tplc="04090019" w:tentative="1">
      <w:start w:val="1"/>
      <w:numFmt w:val="ideographTraditional"/>
      <w:lvlText w:val="%8、"/>
      <w:lvlJc w:val="left"/>
      <w:pPr>
        <w:ind w:left="7385" w:hanging="480"/>
      </w:pPr>
      <w:rPr>
        <w:rFonts w:cs="Times New Roman"/>
      </w:rPr>
    </w:lvl>
    <w:lvl w:ilvl="8" w:tplc="0409001B" w:tentative="1">
      <w:start w:val="1"/>
      <w:numFmt w:val="lowerRoman"/>
      <w:lvlText w:val="%9."/>
      <w:lvlJc w:val="right"/>
      <w:pPr>
        <w:ind w:left="7865" w:hanging="480"/>
      </w:pPr>
      <w:rPr>
        <w:rFonts w:cs="Times New Roman"/>
      </w:rPr>
    </w:lvl>
  </w:abstractNum>
  <w:abstractNum w:abstractNumId="29" w15:restartNumberingAfterBreak="0">
    <w:nsid w:val="4E3F7D92"/>
    <w:multiLevelType w:val="hybridMultilevel"/>
    <w:tmpl w:val="6EDC7C50"/>
    <w:lvl w:ilvl="0" w:tplc="6010C58A">
      <w:start w:val="1"/>
      <w:numFmt w:val="decimal"/>
      <w:lvlText w:val="%1."/>
      <w:lvlJc w:val="left"/>
      <w:pPr>
        <w:ind w:left="1656" w:hanging="360"/>
      </w:pPr>
      <w:rPr>
        <w:rFonts w:hint="default"/>
      </w:rPr>
    </w:lvl>
    <w:lvl w:ilvl="1" w:tplc="04090019" w:tentative="1">
      <w:start w:val="1"/>
      <w:numFmt w:val="ideographTraditional"/>
      <w:lvlText w:val="%2、"/>
      <w:lvlJc w:val="left"/>
      <w:pPr>
        <w:ind w:left="2256" w:hanging="480"/>
      </w:pPr>
    </w:lvl>
    <w:lvl w:ilvl="2" w:tplc="0409001B" w:tentative="1">
      <w:start w:val="1"/>
      <w:numFmt w:val="lowerRoman"/>
      <w:lvlText w:val="%3."/>
      <w:lvlJc w:val="right"/>
      <w:pPr>
        <w:ind w:left="2736" w:hanging="480"/>
      </w:pPr>
    </w:lvl>
    <w:lvl w:ilvl="3" w:tplc="0409000F" w:tentative="1">
      <w:start w:val="1"/>
      <w:numFmt w:val="decimal"/>
      <w:lvlText w:val="%4."/>
      <w:lvlJc w:val="left"/>
      <w:pPr>
        <w:ind w:left="3216" w:hanging="480"/>
      </w:pPr>
    </w:lvl>
    <w:lvl w:ilvl="4" w:tplc="04090019" w:tentative="1">
      <w:start w:val="1"/>
      <w:numFmt w:val="ideographTraditional"/>
      <w:lvlText w:val="%5、"/>
      <w:lvlJc w:val="left"/>
      <w:pPr>
        <w:ind w:left="3696" w:hanging="480"/>
      </w:pPr>
    </w:lvl>
    <w:lvl w:ilvl="5" w:tplc="0409001B" w:tentative="1">
      <w:start w:val="1"/>
      <w:numFmt w:val="lowerRoman"/>
      <w:lvlText w:val="%6."/>
      <w:lvlJc w:val="right"/>
      <w:pPr>
        <w:ind w:left="4176" w:hanging="480"/>
      </w:pPr>
    </w:lvl>
    <w:lvl w:ilvl="6" w:tplc="0409000F" w:tentative="1">
      <w:start w:val="1"/>
      <w:numFmt w:val="decimal"/>
      <w:lvlText w:val="%7."/>
      <w:lvlJc w:val="left"/>
      <w:pPr>
        <w:ind w:left="4656" w:hanging="480"/>
      </w:pPr>
    </w:lvl>
    <w:lvl w:ilvl="7" w:tplc="04090019" w:tentative="1">
      <w:start w:val="1"/>
      <w:numFmt w:val="ideographTraditional"/>
      <w:lvlText w:val="%8、"/>
      <w:lvlJc w:val="left"/>
      <w:pPr>
        <w:ind w:left="5136" w:hanging="480"/>
      </w:pPr>
    </w:lvl>
    <w:lvl w:ilvl="8" w:tplc="0409001B" w:tentative="1">
      <w:start w:val="1"/>
      <w:numFmt w:val="lowerRoman"/>
      <w:lvlText w:val="%9."/>
      <w:lvlJc w:val="right"/>
      <w:pPr>
        <w:ind w:left="5616" w:hanging="480"/>
      </w:pPr>
    </w:lvl>
  </w:abstractNum>
  <w:abstractNum w:abstractNumId="30" w15:restartNumberingAfterBreak="0">
    <w:nsid w:val="4E876359"/>
    <w:multiLevelType w:val="hybridMultilevel"/>
    <w:tmpl w:val="1D5EFAA8"/>
    <w:lvl w:ilvl="0" w:tplc="0409000F">
      <w:start w:val="1"/>
      <w:numFmt w:val="decimal"/>
      <w:lvlText w:val="%1."/>
      <w:lvlJc w:val="left"/>
      <w:pPr>
        <w:ind w:left="1626" w:hanging="480"/>
      </w:pPr>
    </w:lvl>
    <w:lvl w:ilvl="1" w:tplc="BEDC733C">
      <w:start w:val="2"/>
      <w:numFmt w:val="taiwaneseCountingThousand"/>
      <w:lvlText w:val="%2、"/>
      <w:lvlJc w:val="left"/>
      <w:pPr>
        <w:ind w:left="504" w:hanging="504"/>
      </w:pPr>
      <w:rPr>
        <w:rFonts w:hint="default"/>
      </w:rPr>
    </w:lvl>
    <w:lvl w:ilvl="2" w:tplc="0409001B" w:tentative="1">
      <w:start w:val="1"/>
      <w:numFmt w:val="lowerRoman"/>
      <w:lvlText w:val="%3."/>
      <w:lvlJc w:val="right"/>
      <w:pPr>
        <w:ind w:left="2586" w:hanging="480"/>
      </w:pPr>
    </w:lvl>
    <w:lvl w:ilvl="3" w:tplc="0409000F" w:tentative="1">
      <w:start w:val="1"/>
      <w:numFmt w:val="decimal"/>
      <w:lvlText w:val="%4."/>
      <w:lvlJc w:val="left"/>
      <w:pPr>
        <w:ind w:left="3066" w:hanging="480"/>
      </w:pPr>
    </w:lvl>
    <w:lvl w:ilvl="4" w:tplc="04090019" w:tentative="1">
      <w:start w:val="1"/>
      <w:numFmt w:val="ideographTraditional"/>
      <w:lvlText w:val="%5、"/>
      <w:lvlJc w:val="left"/>
      <w:pPr>
        <w:ind w:left="3546" w:hanging="480"/>
      </w:pPr>
    </w:lvl>
    <w:lvl w:ilvl="5" w:tplc="0409001B" w:tentative="1">
      <w:start w:val="1"/>
      <w:numFmt w:val="lowerRoman"/>
      <w:lvlText w:val="%6."/>
      <w:lvlJc w:val="right"/>
      <w:pPr>
        <w:ind w:left="4026" w:hanging="480"/>
      </w:pPr>
    </w:lvl>
    <w:lvl w:ilvl="6" w:tplc="0409000F" w:tentative="1">
      <w:start w:val="1"/>
      <w:numFmt w:val="decimal"/>
      <w:lvlText w:val="%7."/>
      <w:lvlJc w:val="left"/>
      <w:pPr>
        <w:ind w:left="4506" w:hanging="480"/>
      </w:pPr>
    </w:lvl>
    <w:lvl w:ilvl="7" w:tplc="04090019" w:tentative="1">
      <w:start w:val="1"/>
      <w:numFmt w:val="ideographTraditional"/>
      <w:lvlText w:val="%8、"/>
      <w:lvlJc w:val="left"/>
      <w:pPr>
        <w:ind w:left="4986" w:hanging="480"/>
      </w:pPr>
    </w:lvl>
    <w:lvl w:ilvl="8" w:tplc="0409001B" w:tentative="1">
      <w:start w:val="1"/>
      <w:numFmt w:val="lowerRoman"/>
      <w:lvlText w:val="%9."/>
      <w:lvlJc w:val="right"/>
      <w:pPr>
        <w:ind w:left="5466" w:hanging="480"/>
      </w:pPr>
    </w:lvl>
  </w:abstractNum>
  <w:abstractNum w:abstractNumId="31" w15:restartNumberingAfterBreak="0">
    <w:nsid w:val="4EAB4207"/>
    <w:multiLevelType w:val="singleLevel"/>
    <w:tmpl w:val="CA162556"/>
    <w:lvl w:ilvl="0">
      <w:start w:val="1"/>
      <w:numFmt w:val="decimal"/>
      <w:lvlText w:val="(%1)"/>
      <w:lvlJc w:val="left"/>
      <w:pPr>
        <w:tabs>
          <w:tab w:val="num" w:pos="1524"/>
        </w:tabs>
        <w:ind w:left="1524" w:hanging="390"/>
      </w:pPr>
      <w:rPr>
        <w:rFonts w:ascii="細明體" w:hint="eastAsia"/>
      </w:rPr>
    </w:lvl>
  </w:abstractNum>
  <w:abstractNum w:abstractNumId="32" w15:restartNumberingAfterBreak="0">
    <w:nsid w:val="52165AA7"/>
    <w:multiLevelType w:val="hybridMultilevel"/>
    <w:tmpl w:val="FC1AFBAE"/>
    <w:lvl w:ilvl="0" w:tplc="CC3CC190">
      <w:start w:val="1"/>
      <w:numFmt w:val="decimal"/>
      <w:lvlText w:val="%1."/>
      <w:lvlJc w:val="left"/>
      <w:pPr>
        <w:tabs>
          <w:tab w:val="num" w:pos="4330"/>
        </w:tabs>
        <w:ind w:left="4330" w:hanging="360"/>
      </w:pPr>
      <w:rPr>
        <w:rFonts w:hint="default"/>
        <w:b w:val="0"/>
        <w:color w:val="auto"/>
      </w:rPr>
    </w:lvl>
    <w:lvl w:ilvl="1" w:tplc="04090019">
      <w:start w:val="1"/>
      <w:numFmt w:val="ideographTraditional"/>
      <w:lvlText w:val="%2、"/>
      <w:lvlJc w:val="left"/>
      <w:pPr>
        <w:tabs>
          <w:tab w:val="num" w:pos="4930"/>
        </w:tabs>
        <w:ind w:left="4930" w:hanging="480"/>
      </w:pPr>
    </w:lvl>
    <w:lvl w:ilvl="2" w:tplc="0409001B" w:tentative="1">
      <w:start w:val="1"/>
      <w:numFmt w:val="lowerRoman"/>
      <w:lvlText w:val="%3."/>
      <w:lvlJc w:val="right"/>
      <w:pPr>
        <w:tabs>
          <w:tab w:val="num" w:pos="5410"/>
        </w:tabs>
        <w:ind w:left="5410" w:hanging="480"/>
      </w:pPr>
    </w:lvl>
    <w:lvl w:ilvl="3" w:tplc="0409000F" w:tentative="1">
      <w:start w:val="1"/>
      <w:numFmt w:val="decimal"/>
      <w:lvlText w:val="%4."/>
      <w:lvlJc w:val="left"/>
      <w:pPr>
        <w:tabs>
          <w:tab w:val="num" w:pos="5890"/>
        </w:tabs>
        <w:ind w:left="5890" w:hanging="480"/>
      </w:pPr>
    </w:lvl>
    <w:lvl w:ilvl="4" w:tplc="04090019" w:tentative="1">
      <w:start w:val="1"/>
      <w:numFmt w:val="ideographTraditional"/>
      <w:lvlText w:val="%5、"/>
      <w:lvlJc w:val="left"/>
      <w:pPr>
        <w:tabs>
          <w:tab w:val="num" w:pos="6370"/>
        </w:tabs>
        <w:ind w:left="6370" w:hanging="480"/>
      </w:pPr>
    </w:lvl>
    <w:lvl w:ilvl="5" w:tplc="0409001B" w:tentative="1">
      <w:start w:val="1"/>
      <w:numFmt w:val="lowerRoman"/>
      <w:lvlText w:val="%6."/>
      <w:lvlJc w:val="right"/>
      <w:pPr>
        <w:tabs>
          <w:tab w:val="num" w:pos="6850"/>
        </w:tabs>
        <w:ind w:left="6850" w:hanging="480"/>
      </w:pPr>
    </w:lvl>
    <w:lvl w:ilvl="6" w:tplc="0409000F" w:tentative="1">
      <w:start w:val="1"/>
      <w:numFmt w:val="decimal"/>
      <w:lvlText w:val="%7."/>
      <w:lvlJc w:val="left"/>
      <w:pPr>
        <w:tabs>
          <w:tab w:val="num" w:pos="7330"/>
        </w:tabs>
        <w:ind w:left="7330" w:hanging="480"/>
      </w:pPr>
    </w:lvl>
    <w:lvl w:ilvl="7" w:tplc="04090019" w:tentative="1">
      <w:start w:val="1"/>
      <w:numFmt w:val="ideographTraditional"/>
      <w:lvlText w:val="%8、"/>
      <w:lvlJc w:val="left"/>
      <w:pPr>
        <w:tabs>
          <w:tab w:val="num" w:pos="7810"/>
        </w:tabs>
        <w:ind w:left="7810" w:hanging="480"/>
      </w:pPr>
    </w:lvl>
    <w:lvl w:ilvl="8" w:tplc="0409001B" w:tentative="1">
      <w:start w:val="1"/>
      <w:numFmt w:val="lowerRoman"/>
      <w:lvlText w:val="%9."/>
      <w:lvlJc w:val="right"/>
      <w:pPr>
        <w:tabs>
          <w:tab w:val="num" w:pos="8290"/>
        </w:tabs>
        <w:ind w:left="8290" w:hanging="480"/>
      </w:pPr>
    </w:lvl>
  </w:abstractNum>
  <w:abstractNum w:abstractNumId="33" w15:restartNumberingAfterBreak="0">
    <w:nsid w:val="57895A30"/>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5BAE650D"/>
    <w:multiLevelType w:val="hybridMultilevel"/>
    <w:tmpl w:val="C924FC22"/>
    <w:lvl w:ilvl="0" w:tplc="AB486442">
      <w:start w:val="1"/>
      <w:numFmt w:val="decimal"/>
      <w:lvlText w:val="%1."/>
      <w:lvlJc w:val="left"/>
      <w:pPr>
        <w:tabs>
          <w:tab w:val="num" w:pos="1267"/>
        </w:tabs>
        <w:ind w:left="1267" w:hanging="360"/>
      </w:pPr>
      <w:rPr>
        <w:rFonts w:hint="eastAsia"/>
      </w:rPr>
    </w:lvl>
    <w:lvl w:ilvl="1" w:tplc="04090019" w:tentative="1">
      <w:start w:val="1"/>
      <w:numFmt w:val="ideographTraditional"/>
      <w:lvlText w:val="%2、"/>
      <w:lvlJc w:val="left"/>
      <w:pPr>
        <w:tabs>
          <w:tab w:val="num" w:pos="1867"/>
        </w:tabs>
        <w:ind w:left="1867" w:hanging="480"/>
      </w:pPr>
    </w:lvl>
    <w:lvl w:ilvl="2" w:tplc="0409001B" w:tentative="1">
      <w:start w:val="1"/>
      <w:numFmt w:val="lowerRoman"/>
      <w:lvlText w:val="%3."/>
      <w:lvlJc w:val="right"/>
      <w:pPr>
        <w:tabs>
          <w:tab w:val="num" w:pos="2347"/>
        </w:tabs>
        <w:ind w:left="2347" w:hanging="480"/>
      </w:pPr>
    </w:lvl>
    <w:lvl w:ilvl="3" w:tplc="0409000F" w:tentative="1">
      <w:start w:val="1"/>
      <w:numFmt w:val="decimal"/>
      <w:lvlText w:val="%4."/>
      <w:lvlJc w:val="left"/>
      <w:pPr>
        <w:tabs>
          <w:tab w:val="num" w:pos="2827"/>
        </w:tabs>
        <w:ind w:left="2827" w:hanging="480"/>
      </w:pPr>
    </w:lvl>
    <w:lvl w:ilvl="4" w:tplc="04090019" w:tentative="1">
      <w:start w:val="1"/>
      <w:numFmt w:val="ideographTraditional"/>
      <w:lvlText w:val="%5、"/>
      <w:lvlJc w:val="left"/>
      <w:pPr>
        <w:tabs>
          <w:tab w:val="num" w:pos="3307"/>
        </w:tabs>
        <w:ind w:left="3307" w:hanging="480"/>
      </w:pPr>
    </w:lvl>
    <w:lvl w:ilvl="5" w:tplc="0409001B" w:tentative="1">
      <w:start w:val="1"/>
      <w:numFmt w:val="lowerRoman"/>
      <w:lvlText w:val="%6."/>
      <w:lvlJc w:val="right"/>
      <w:pPr>
        <w:tabs>
          <w:tab w:val="num" w:pos="3787"/>
        </w:tabs>
        <w:ind w:left="3787" w:hanging="480"/>
      </w:pPr>
    </w:lvl>
    <w:lvl w:ilvl="6" w:tplc="0409000F" w:tentative="1">
      <w:start w:val="1"/>
      <w:numFmt w:val="decimal"/>
      <w:lvlText w:val="%7."/>
      <w:lvlJc w:val="left"/>
      <w:pPr>
        <w:tabs>
          <w:tab w:val="num" w:pos="4267"/>
        </w:tabs>
        <w:ind w:left="4267" w:hanging="480"/>
      </w:pPr>
    </w:lvl>
    <w:lvl w:ilvl="7" w:tplc="04090019" w:tentative="1">
      <w:start w:val="1"/>
      <w:numFmt w:val="ideographTraditional"/>
      <w:lvlText w:val="%8、"/>
      <w:lvlJc w:val="left"/>
      <w:pPr>
        <w:tabs>
          <w:tab w:val="num" w:pos="4747"/>
        </w:tabs>
        <w:ind w:left="4747" w:hanging="480"/>
      </w:pPr>
    </w:lvl>
    <w:lvl w:ilvl="8" w:tplc="0409001B" w:tentative="1">
      <w:start w:val="1"/>
      <w:numFmt w:val="lowerRoman"/>
      <w:lvlText w:val="%9."/>
      <w:lvlJc w:val="right"/>
      <w:pPr>
        <w:tabs>
          <w:tab w:val="num" w:pos="5227"/>
        </w:tabs>
        <w:ind w:left="5227" w:hanging="480"/>
      </w:pPr>
    </w:lvl>
  </w:abstractNum>
  <w:abstractNum w:abstractNumId="35" w15:restartNumberingAfterBreak="0">
    <w:nsid w:val="5DAB3B9E"/>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6" w15:restartNumberingAfterBreak="0">
    <w:nsid w:val="5E0E7DA0"/>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7" w15:restartNumberingAfterBreak="0">
    <w:nsid w:val="64F14848"/>
    <w:multiLevelType w:val="singleLevel"/>
    <w:tmpl w:val="76285906"/>
    <w:lvl w:ilvl="0">
      <w:start w:val="1"/>
      <w:numFmt w:val="decimal"/>
      <w:lvlText w:val="%1."/>
      <w:lvlJc w:val="left"/>
      <w:pPr>
        <w:tabs>
          <w:tab w:val="num" w:pos="1177"/>
        </w:tabs>
        <w:ind w:left="1177" w:hanging="270"/>
      </w:pPr>
      <w:rPr>
        <w:rFonts w:hint="eastAsia"/>
      </w:rPr>
    </w:lvl>
  </w:abstractNum>
  <w:abstractNum w:abstractNumId="38" w15:restartNumberingAfterBreak="0">
    <w:nsid w:val="748E38CA"/>
    <w:multiLevelType w:val="hybridMultilevel"/>
    <w:tmpl w:val="CE2CFA82"/>
    <w:lvl w:ilvl="0" w:tplc="75F4A7D2">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9" w15:restartNumberingAfterBreak="0">
    <w:nsid w:val="796D1950"/>
    <w:multiLevelType w:val="hybridMultilevel"/>
    <w:tmpl w:val="8940EA14"/>
    <w:lvl w:ilvl="0" w:tplc="A282EB50">
      <w:start w:val="1"/>
      <w:numFmt w:val="taiwaneseCountingThousand"/>
      <w:lvlText w:val="(%1)"/>
      <w:lvlJc w:val="left"/>
      <w:pPr>
        <w:ind w:left="1080" w:hanging="720"/>
      </w:pPr>
      <w:rPr>
        <w:rFonts w:hint="default"/>
        <w:color w:val="auto"/>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0" w15:restartNumberingAfterBreak="0">
    <w:nsid w:val="7EAE38C1"/>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26"/>
  </w:num>
  <w:num w:numId="2">
    <w:abstractNumId w:val="16"/>
  </w:num>
  <w:num w:numId="3">
    <w:abstractNumId w:val="24"/>
  </w:num>
  <w:num w:numId="4">
    <w:abstractNumId w:val="15"/>
  </w:num>
  <w:num w:numId="5">
    <w:abstractNumId w:val="12"/>
  </w:num>
  <w:num w:numId="6">
    <w:abstractNumId w:val="19"/>
  </w:num>
  <w:num w:numId="7">
    <w:abstractNumId w:val="20"/>
  </w:num>
  <w:num w:numId="8">
    <w:abstractNumId w:val="31"/>
  </w:num>
  <w:num w:numId="9">
    <w:abstractNumId w:val="37"/>
  </w:num>
  <w:num w:numId="10">
    <w:abstractNumId w:val="34"/>
  </w:num>
  <w:num w:numId="11">
    <w:abstractNumId w:val="2"/>
  </w:num>
  <w:num w:numId="12">
    <w:abstractNumId w:val="13"/>
  </w:num>
  <w:num w:numId="13">
    <w:abstractNumId w:val="3"/>
  </w:num>
  <w:num w:numId="14">
    <w:abstractNumId w:val="38"/>
  </w:num>
  <w:num w:numId="15">
    <w:abstractNumId w:val="28"/>
  </w:num>
  <w:num w:numId="16">
    <w:abstractNumId w:val="21"/>
  </w:num>
  <w:num w:numId="17">
    <w:abstractNumId w:val="27"/>
  </w:num>
  <w:num w:numId="18">
    <w:abstractNumId w:val="11"/>
  </w:num>
  <w:num w:numId="19">
    <w:abstractNumId w:val="29"/>
  </w:num>
  <w:num w:numId="20">
    <w:abstractNumId w:val="6"/>
  </w:num>
  <w:num w:numId="21">
    <w:abstractNumId w:val="9"/>
  </w:num>
  <w:num w:numId="22">
    <w:abstractNumId w:val="4"/>
  </w:num>
  <w:num w:numId="23">
    <w:abstractNumId w:val="18"/>
  </w:num>
  <w:num w:numId="24">
    <w:abstractNumId w:val="7"/>
  </w:num>
  <w:num w:numId="25">
    <w:abstractNumId w:val="32"/>
  </w:num>
  <w:num w:numId="26">
    <w:abstractNumId w:val="1"/>
  </w:num>
  <w:num w:numId="27">
    <w:abstractNumId w:val="30"/>
  </w:num>
  <w:num w:numId="28">
    <w:abstractNumId w:val="0"/>
  </w:num>
  <w:num w:numId="29">
    <w:abstractNumId w:val="25"/>
  </w:num>
  <w:num w:numId="30">
    <w:abstractNumId w:val="22"/>
  </w:num>
  <w:num w:numId="31">
    <w:abstractNumId w:val="17"/>
  </w:num>
  <w:num w:numId="32">
    <w:abstractNumId w:val="39"/>
  </w:num>
  <w:num w:numId="33">
    <w:abstractNumId w:val="5"/>
  </w:num>
  <w:num w:numId="34">
    <w:abstractNumId w:val="10"/>
  </w:num>
  <w:num w:numId="35">
    <w:abstractNumId w:val="36"/>
  </w:num>
  <w:num w:numId="36">
    <w:abstractNumId w:val="8"/>
  </w:num>
  <w:num w:numId="37">
    <w:abstractNumId w:val="33"/>
  </w:num>
  <w:num w:numId="38">
    <w:abstractNumId w:val="40"/>
  </w:num>
  <w:num w:numId="39">
    <w:abstractNumId w:val="35"/>
  </w:num>
  <w:num w:numId="40">
    <w:abstractNumId w:val="23"/>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956"/>
    <w:rsid w:val="00003E70"/>
    <w:rsid w:val="00006226"/>
    <w:rsid w:val="00007C48"/>
    <w:rsid w:val="000117D2"/>
    <w:rsid w:val="00013D5B"/>
    <w:rsid w:val="00021274"/>
    <w:rsid w:val="00021CE4"/>
    <w:rsid w:val="000239AD"/>
    <w:rsid w:val="000257B6"/>
    <w:rsid w:val="00026B2F"/>
    <w:rsid w:val="0002787B"/>
    <w:rsid w:val="00031366"/>
    <w:rsid w:val="000324F4"/>
    <w:rsid w:val="00035861"/>
    <w:rsid w:val="0003763E"/>
    <w:rsid w:val="000404A2"/>
    <w:rsid w:val="000418E5"/>
    <w:rsid w:val="00044E71"/>
    <w:rsid w:val="00050967"/>
    <w:rsid w:val="00056D1E"/>
    <w:rsid w:val="00056F48"/>
    <w:rsid w:val="00060CFA"/>
    <w:rsid w:val="000617FB"/>
    <w:rsid w:val="00061DEB"/>
    <w:rsid w:val="000629ED"/>
    <w:rsid w:val="00062A6B"/>
    <w:rsid w:val="00067F65"/>
    <w:rsid w:val="000714AD"/>
    <w:rsid w:val="00071C78"/>
    <w:rsid w:val="0007222A"/>
    <w:rsid w:val="0007301A"/>
    <w:rsid w:val="00084E42"/>
    <w:rsid w:val="000905A4"/>
    <w:rsid w:val="00094290"/>
    <w:rsid w:val="00097EAC"/>
    <w:rsid w:val="000A5599"/>
    <w:rsid w:val="000C1A15"/>
    <w:rsid w:val="000D4931"/>
    <w:rsid w:val="000D65E7"/>
    <w:rsid w:val="000E34E7"/>
    <w:rsid w:val="000F1AA8"/>
    <w:rsid w:val="000F629C"/>
    <w:rsid w:val="00107974"/>
    <w:rsid w:val="0011156C"/>
    <w:rsid w:val="0011321A"/>
    <w:rsid w:val="001137BE"/>
    <w:rsid w:val="001169C2"/>
    <w:rsid w:val="00117BE3"/>
    <w:rsid w:val="001212ED"/>
    <w:rsid w:val="00124EA5"/>
    <w:rsid w:val="001251C0"/>
    <w:rsid w:val="00125A97"/>
    <w:rsid w:val="00143A4B"/>
    <w:rsid w:val="00152DC7"/>
    <w:rsid w:val="00167F04"/>
    <w:rsid w:val="00170B3C"/>
    <w:rsid w:val="0017145D"/>
    <w:rsid w:val="00174425"/>
    <w:rsid w:val="001759CF"/>
    <w:rsid w:val="00177ABE"/>
    <w:rsid w:val="00185B04"/>
    <w:rsid w:val="00187002"/>
    <w:rsid w:val="001949F5"/>
    <w:rsid w:val="00194B0B"/>
    <w:rsid w:val="00195EE4"/>
    <w:rsid w:val="00196049"/>
    <w:rsid w:val="001A1FA8"/>
    <w:rsid w:val="001A37D1"/>
    <w:rsid w:val="001A3E96"/>
    <w:rsid w:val="001B408B"/>
    <w:rsid w:val="001B4B0A"/>
    <w:rsid w:val="001B77E9"/>
    <w:rsid w:val="001B7970"/>
    <w:rsid w:val="001C33FF"/>
    <w:rsid w:val="001C4012"/>
    <w:rsid w:val="001C434F"/>
    <w:rsid w:val="001C5E73"/>
    <w:rsid w:val="001D0F55"/>
    <w:rsid w:val="001D7651"/>
    <w:rsid w:val="001E4A2A"/>
    <w:rsid w:val="001F0448"/>
    <w:rsid w:val="001F4CEA"/>
    <w:rsid w:val="002062E4"/>
    <w:rsid w:val="00214D87"/>
    <w:rsid w:val="00215CF6"/>
    <w:rsid w:val="00220544"/>
    <w:rsid w:val="002206FF"/>
    <w:rsid w:val="00240470"/>
    <w:rsid w:val="00241184"/>
    <w:rsid w:val="00241935"/>
    <w:rsid w:val="00247F6A"/>
    <w:rsid w:val="00250648"/>
    <w:rsid w:val="0025407F"/>
    <w:rsid w:val="00254BFF"/>
    <w:rsid w:val="00255FD6"/>
    <w:rsid w:val="002710F9"/>
    <w:rsid w:val="00275CEA"/>
    <w:rsid w:val="00276FC2"/>
    <w:rsid w:val="0028103C"/>
    <w:rsid w:val="00283011"/>
    <w:rsid w:val="00283587"/>
    <w:rsid w:val="00283763"/>
    <w:rsid w:val="002876C9"/>
    <w:rsid w:val="00292304"/>
    <w:rsid w:val="00294614"/>
    <w:rsid w:val="002A4B51"/>
    <w:rsid w:val="002C1E95"/>
    <w:rsid w:val="002C32C6"/>
    <w:rsid w:val="002C6F4B"/>
    <w:rsid w:val="002D39F5"/>
    <w:rsid w:val="002D7238"/>
    <w:rsid w:val="002D7FD6"/>
    <w:rsid w:val="002E238C"/>
    <w:rsid w:val="002E4211"/>
    <w:rsid w:val="002E5AF3"/>
    <w:rsid w:val="00301585"/>
    <w:rsid w:val="00302104"/>
    <w:rsid w:val="00302242"/>
    <w:rsid w:val="0030289F"/>
    <w:rsid w:val="00305739"/>
    <w:rsid w:val="00310614"/>
    <w:rsid w:val="00314581"/>
    <w:rsid w:val="00316BE9"/>
    <w:rsid w:val="003177C2"/>
    <w:rsid w:val="00323625"/>
    <w:rsid w:val="003306EC"/>
    <w:rsid w:val="0033489F"/>
    <w:rsid w:val="003512B6"/>
    <w:rsid w:val="0035222C"/>
    <w:rsid w:val="00353835"/>
    <w:rsid w:val="00365C9F"/>
    <w:rsid w:val="00371945"/>
    <w:rsid w:val="00373AA0"/>
    <w:rsid w:val="00374CCF"/>
    <w:rsid w:val="003769FE"/>
    <w:rsid w:val="00377A73"/>
    <w:rsid w:val="0038165C"/>
    <w:rsid w:val="00385922"/>
    <w:rsid w:val="003923DD"/>
    <w:rsid w:val="00392681"/>
    <w:rsid w:val="00393E60"/>
    <w:rsid w:val="003957A1"/>
    <w:rsid w:val="003A023B"/>
    <w:rsid w:val="003A0ABB"/>
    <w:rsid w:val="003A0ECE"/>
    <w:rsid w:val="003A3201"/>
    <w:rsid w:val="003A3D21"/>
    <w:rsid w:val="003A7E04"/>
    <w:rsid w:val="003B04F5"/>
    <w:rsid w:val="003B36D1"/>
    <w:rsid w:val="003C18A1"/>
    <w:rsid w:val="003C3A60"/>
    <w:rsid w:val="003D0243"/>
    <w:rsid w:val="003D4A24"/>
    <w:rsid w:val="003E7025"/>
    <w:rsid w:val="003F12F4"/>
    <w:rsid w:val="00400CC2"/>
    <w:rsid w:val="00401168"/>
    <w:rsid w:val="00403C8F"/>
    <w:rsid w:val="0040592B"/>
    <w:rsid w:val="004061CA"/>
    <w:rsid w:val="0040751B"/>
    <w:rsid w:val="00407B47"/>
    <w:rsid w:val="00411E21"/>
    <w:rsid w:val="00422035"/>
    <w:rsid w:val="00422491"/>
    <w:rsid w:val="00430BA9"/>
    <w:rsid w:val="004312AE"/>
    <w:rsid w:val="004330C1"/>
    <w:rsid w:val="00435711"/>
    <w:rsid w:val="004408CE"/>
    <w:rsid w:val="00442772"/>
    <w:rsid w:val="00444708"/>
    <w:rsid w:val="00444E6F"/>
    <w:rsid w:val="00446099"/>
    <w:rsid w:val="00450CB9"/>
    <w:rsid w:val="004547CE"/>
    <w:rsid w:val="0045483B"/>
    <w:rsid w:val="00457DE2"/>
    <w:rsid w:val="0047146A"/>
    <w:rsid w:val="0047248D"/>
    <w:rsid w:val="004727EA"/>
    <w:rsid w:val="0048139A"/>
    <w:rsid w:val="0049199A"/>
    <w:rsid w:val="004920E7"/>
    <w:rsid w:val="004A03C7"/>
    <w:rsid w:val="004A6776"/>
    <w:rsid w:val="004B2CBD"/>
    <w:rsid w:val="004B2F68"/>
    <w:rsid w:val="004B4EB8"/>
    <w:rsid w:val="004B7DA4"/>
    <w:rsid w:val="004C3071"/>
    <w:rsid w:val="004C6980"/>
    <w:rsid w:val="004C710B"/>
    <w:rsid w:val="004D06D8"/>
    <w:rsid w:val="004D14C6"/>
    <w:rsid w:val="004D1583"/>
    <w:rsid w:val="004E16F7"/>
    <w:rsid w:val="004E21D7"/>
    <w:rsid w:val="004E2D6F"/>
    <w:rsid w:val="004E4018"/>
    <w:rsid w:val="004E4E13"/>
    <w:rsid w:val="004E5C1E"/>
    <w:rsid w:val="004F1777"/>
    <w:rsid w:val="004F346F"/>
    <w:rsid w:val="004F4A65"/>
    <w:rsid w:val="0050317B"/>
    <w:rsid w:val="00512F69"/>
    <w:rsid w:val="00514E1B"/>
    <w:rsid w:val="005216D6"/>
    <w:rsid w:val="00522094"/>
    <w:rsid w:val="00531CEE"/>
    <w:rsid w:val="00532DF1"/>
    <w:rsid w:val="00546FEE"/>
    <w:rsid w:val="005534BF"/>
    <w:rsid w:val="00556069"/>
    <w:rsid w:val="005606A3"/>
    <w:rsid w:val="00562F15"/>
    <w:rsid w:val="005645C0"/>
    <w:rsid w:val="0056738B"/>
    <w:rsid w:val="00571687"/>
    <w:rsid w:val="005726F5"/>
    <w:rsid w:val="005747FD"/>
    <w:rsid w:val="00576B76"/>
    <w:rsid w:val="005878B8"/>
    <w:rsid w:val="005916BE"/>
    <w:rsid w:val="00592244"/>
    <w:rsid w:val="0059760C"/>
    <w:rsid w:val="005A39D1"/>
    <w:rsid w:val="005B1830"/>
    <w:rsid w:val="005B2100"/>
    <w:rsid w:val="005B247D"/>
    <w:rsid w:val="005C006F"/>
    <w:rsid w:val="005D0C59"/>
    <w:rsid w:val="005D5BEA"/>
    <w:rsid w:val="005F1DCD"/>
    <w:rsid w:val="005F4E7F"/>
    <w:rsid w:val="0060231F"/>
    <w:rsid w:val="00603598"/>
    <w:rsid w:val="00603D86"/>
    <w:rsid w:val="00607E75"/>
    <w:rsid w:val="00610B3C"/>
    <w:rsid w:val="00611725"/>
    <w:rsid w:val="00612626"/>
    <w:rsid w:val="006200E5"/>
    <w:rsid w:val="00632770"/>
    <w:rsid w:val="00637396"/>
    <w:rsid w:val="006378EA"/>
    <w:rsid w:val="006406F6"/>
    <w:rsid w:val="00640793"/>
    <w:rsid w:val="00643123"/>
    <w:rsid w:val="0064495A"/>
    <w:rsid w:val="00651E05"/>
    <w:rsid w:val="00657E93"/>
    <w:rsid w:val="006621C9"/>
    <w:rsid w:val="0066763A"/>
    <w:rsid w:val="006678B2"/>
    <w:rsid w:val="0067182A"/>
    <w:rsid w:val="00677956"/>
    <w:rsid w:val="006825A0"/>
    <w:rsid w:val="00684E13"/>
    <w:rsid w:val="006918F8"/>
    <w:rsid w:val="00692C55"/>
    <w:rsid w:val="006951E2"/>
    <w:rsid w:val="00697C32"/>
    <w:rsid w:val="00697C3F"/>
    <w:rsid w:val="006A1B54"/>
    <w:rsid w:val="006B2F40"/>
    <w:rsid w:val="006B37FC"/>
    <w:rsid w:val="006B4722"/>
    <w:rsid w:val="006B5944"/>
    <w:rsid w:val="006B5E8B"/>
    <w:rsid w:val="006C59D0"/>
    <w:rsid w:val="006C71E0"/>
    <w:rsid w:val="006E612B"/>
    <w:rsid w:val="006E65F5"/>
    <w:rsid w:val="006E7BC2"/>
    <w:rsid w:val="006F702B"/>
    <w:rsid w:val="00701310"/>
    <w:rsid w:val="00705730"/>
    <w:rsid w:val="007068CD"/>
    <w:rsid w:val="00707E11"/>
    <w:rsid w:val="00712BFB"/>
    <w:rsid w:val="00715911"/>
    <w:rsid w:val="007215A8"/>
    <w:rsid w:val="00722393"/>
    <w:rsid w:val="00723E12"/>
    <w:rsid w:val="0072471F"/>
    <w:rsid w:val="00726D43"/>
    <w:rsid w:val="007274E9"/>
    <w:rsid w:val="0073214D"/>
    <w:rsid w:val="00744659"/>
    <w:rsid w:val="00753562"/>
    <w:rsid w:val="00755E81"/>
    <w:rsid w:val="00757B17"/>
    <w:rsid w:val="00763038"/>
    <w:rsid w:val="0076333A"/>
    <w:rsid w:val="007637DA"/>
    <w:rsid w:val="00772CCD"/>
    <w:rsid w:val="0077660E"/>
    <w:rsid w:val="00786123"/>
    <w:rsid w:val="00786BFF"/>
    <w:rsid w:val="0079102D"/>
    <w:rsid w:val="00791239"/>
    <w:rsid w:val="007913E2"/>
    <w:rsid w:val="00797071"/>
    <w:rsid w:val="007A0FE6"/>
    <w:rsid w:val="007A226E"/>
    <w:rsid w:val="007A2D77"/>
    <w:rsid w:val="007A3254"/>
    <w:rsid w:val="007A5896"/>
    <w:rsid w:val="007B0D22"/>
    <w:rsid w:val="007B0EB4"/>
    <w:rsid w:val="007B4353"/>
    <w:rsid w:val="007B6DAA"/>
    <w:rsid w:val="007C3D9F"/>
    <w:rsid w:val="007C73F8"/>
    <w:rsid w:val="007D0392"/>
    <w:rsid w:val="007D365C"/>
    <w:rsid w:val="007D4FBA"/>
    <w:rsid w:val="007D52D2"/>
    <w:rsid w:val="007E221E"/>
    <w:rsid w:val="007E5C22"/>
    <w:rsid w:val="007E7A37"/>
    <w:rsid w:val="007F1A65"/>
    <w:rsid w:val="007F4C42"/>
    <w:rsid w:val="007F7026"/>
    <w:rsid w:val="00800BD2"/>
    <w:rsid w:val="00807ED7"/>
    <w:rsid w:val="00810E9A"/>
    <w:rsid w:val="00813265"/>
    <w:rsid w:val="00821EF0"/>
    <w:rsid w:val="00833CF0"/>
    <w:rsid w:val="00835D1F"/>
    <w:rsid w:val="0084503F"/>
    <w:rsid w:val="00847063"/>
    <w:rsid w:val="00851FAC"/>
    <w:rsid w:val="008525DF"/>
    <w:rsid w:val="00854E1E"/>
    <w:rsid w:val="00860203"/>
    <w:rsid w:val="008767FB"/>
    <w:rsid w:val="008872E5"/>
    <w:rsid w:val="00887FFB"/>
    <w:rsid w:val="00890F5E"/>
    <w:rsid w:val="008A1291"/>
    <w:rsid w:val="008A2656"/>
    <w:rsid w:val="008B412E"/>
    <w:rsid w:val="008B6DEC"/>
    <w:rsid w:val="008C2264"/>
    <w:rsid w:val="008C2635"/>
    <w:rsid w:val="008C271E"/>
    <w:rsid w:val="008C50B3"/>
    <w:rsid w:val="008C777B"/>
    <w:rsid w:val="008D4496"/>
    <w:rsid w:val="008D585B"/>
    <w:rsid w:val="008D77CE"/>
    <w:rsid w:val="008D79A9"/>
    <w:rsid w:val="008E3A9C"/>
    <w:rsid w:val="008F1951"/>
    <w:rsid w:val="008F1D81"/>
    <w:rsid w:val="008F77EB"/>
    <w:rsid w:val="00910FB5"/>
    <w:rsid w:val="009116E2"/>
    <w:rsid w:val="009247C1"/>
    <w:rsid w:val="00924C02"/>
    <w:rsid w:val="00930138"/>
    <w:rsid w:val="00937644"/>
    <w:rsid w:val="00941D2D"/>
    <w:rsid w:val="009441D9"/>
    <w:rsid w:val="009476B2"/>
    <w:rsid w:val="00950D7C"/>
    <w:rsid w:val="00960F25"/>
    <w:rsid w:val="00961D42"/>
    <w:rsid w:val="009628AD"/>
    <w:rsid w:val="0096317D"/>
    <w:rsid w:val="009704A2"/>
    <w:rsid w:val="009757B5"/>
    <w:rsid w:val="00980FB9"/>
    <w:rsid w:val="00982B3F"/>
    <w:rsid w:val="00986DB9"/>
    <w:rsid w:val="0098714D"/>
    <w:rsid w:val="00993702"/>
    <w:rsid w:val="009A101E"/>
    <w:rsid w:val="009A530C"/>
    <w:rsid w:val="009A6B04"/>
    <w:rsid w:val="009B330D"/>
    <w:rsid w:val="009B62C7"/>
    <w:rsid w:val="009C1E6F"/>
    <w:rsid w:val="009C6E8F"/>
    <w:rsid w:val="009D6242"/>
    <w:rsid w:val="009D6569"/>
    <w:rsid w:val="009E53D6"/>
    <w:rsid w:val="009E646A"/>
    <w:rsid w:val="009F37AC"/>
    <w:rsid w:val="009F66AB"/>
    <w:rsid w:val="009F7DFF"/>
    <w:rsid w:val="00A00FB3"/>
    <w:rsid w:val="00A03B8D"/>
    <w:rsid w:val="00A03F7D"/>
    <w:rsid w:val="00A06489"/>
    <w:rsid w:val="00A07079"/>
    <w:rsid w:val="00A11155"/>
    <w:rsid w:val="00A119FE"/>
    <w:rsid w:val="00A13DC4"/>
    <w:rsid w:val="00A14425"/>
    <w:rsid w:val="00A17A92"/>
    <w:rsid w:val="00A272AB"/>
    <w:rsid w:val="00A32144"/>
    <w:rsid w:val="00A34F67"/>
    <w:rsid w:val="00A404D3"/>
    <w:rsid w:val="00A4592D"/>
    <w:rsid w:val="00A50A44"/>
    <w:rsid w:val="00A5134F"/>
    <w:rsid w:val="00A52CB4"/>
    <w:rsid w:val="00A53302"/>
    <w:rsid w:val="00A5720A"/>
    <w:rsid w:val="00A611BC"/>
    <w:rsid w:val="00A611F2"/>
    <w:rsid w:val="00A6163A"/>
    <w:rsid w:val="00A819F9"/>
    <w:rsid w:val="00A824B4"/>
    <w:rsid w:val="00A87848"/>
    <w:rsid w:val="00A90A3D"/>
    <w:rsid w:val="00AA27A9"/>
    <w:rsid w:val="00AA3526"/>
    <w:rsid w:val="00AA6B01"/>
    <w:rsid w:val="00AB14E2"/>
    <w:rsid w:val="00AC1BBC"/>
    <w:rsid w:val="00AC7808"/>
    <w:rsid w:val="00AC7E34"/>
    <w:rsid w:val="00AD15C1"/>
    <w:rsid w:val="00AF24C0"/>
    <w:rsid w:val="00AF45B3"/>
    <w:rsid w:val="00AF7A83"/>
    <w:rsid w:val="00B01558"/>
    <w:rsid w:val="00B031CA"/>
    <w:rsid w:val="00B03B2A"/>
    <w:rsid w:val="00B04616"/>
    <w:rsid w:val="00B119F9"/>
    <w:rsid w:val="00B14AD3"/>
    <w:rsid w:val="00B164F0"/>
    <w:rsid w:val="00B24DFD"/>
    <w:rsid w:val="00B30CB5"/>
    <w:rsid w:val="00B3182F"/>
    <w:rsid w:val="00B35A3B"/>
    <w:rsid w:val="00B360CE"/>
    <w:rsid w:val="00B368E1"/>
    <w:rsid w:val="00B378E4"/>
    <w:rsid w:val="00B421CF"/>
    <w:rsid w:val="00B42D5A"/>
    <w:rsid w:val="00B42FCE"/>
    <w:rsid w:val="00B53E68"/>
    <w:rsid w:val="00B54319"/>
    <w:rsid w:val="00B60243"/>
    <w:rsid w:val="00B617F7"/>
    <w:rsid w:val="00B65769"/>
    <w:rsid w:val="00B65E91"/>
    <w:rsid w:val="00B718DC"/>
    <w:rsid w:val="00B77118"/>
    <w:rsid w:val="00B8751E"/>
    <w:rsid w:val="00B904CD"/>
    <w:rsid w:val="00B91090"/>
    <w:rsid w:val="00B92E1E"/>
    <w:rsid w:val="00B933EB"/>
    <w:rsid w:val="00B94BDD"/>
    <w:rsid w:val="00B963B2"/>
    <w:rsid w:val="00B96D31"/>
    <w:rsid w:val="00BA1914"/>
    <w:rsid w:val="00BA33DB"/>
    <w:rsid w:val="00BA34A3"/>
    <w:rsid w:val="00BA3F0D"/>
    <w:rsid w:val="00BB5578"/>
    <w:rsid w:val="00BC0A81"/>
    <w:rsid w:val="00BC1B6E"/>
    <w:rsid w:val="00BC4DDF"/>
    <w:rsid w:val="00BC7790"/>
    <w:rsid w:val="00BD1456"/>
    <w:rsid w:val="00BD1BF7"/>
    <w:rsid w:val="00BD566E"/>
    <w:rsid w:val="00BD614B"/>
    <w:rsid w:val="00BE0C60"/>
    <w:rsid w:val="00BE1856"/>
    <w:rsid w:val="00BE4F03"/>
    <w:rsid w:val="00BF1716"/>
    <w:rsid w:val="00BF36E8"/>
    <w:rsid w:val="00BF4727"/>
    <w:rsid w:val="00BF584D"/>
    <w:rsid w:val="00C03375"/>
    <w:rsid w:val="00C10BD3"/>
    <w:rsid w:val="00C11504"/>
    <w:rsid w:val="00C1439A"/>
    <w:rsid w:val="00C14490"/>
    <w:rsid w:val="00C202F9"/>
    <w:rsid w:val="00C25001"/>
    <w:rsid w:val="00C30319"/>
    <w:rsid w:val="00C361FE"/>
    <w:rsid w:val="00C40739"/>
    <w:rsid w:val="00C41880"/>
    <w:rsid w:val="00C4686B"/>
    <w:rsid w:val="00C5323E"/>
    <w:rsid w:val="00C602A9"/>
    <w:rsid w:val="00C6330F"/>
    <w:rsid w:val="00C65EDB"/>
    <w:rsid w:val="00C73FD2"/>
    <w:rsid w:val="00C7541A"/>
    <w:rsid w:val="00C86C84"/>
    <w:rsid w:val="00CA13C7"/>
    <w:rsid w:val="00CA5CCD"/>
    <w:rsid w:val="00CB1AF1"/>
    <w:rsid w:val="00CC0380"/>
    <w:rsid w:val="00CC0898"/>
    <w:rsid w:val="00CC3B5A"/>
    <w:rsid w:val="00CC65E2"/>
    <w:rsid w:val="00CC669F"/>
    <w:rsid w:val="00CD0484"/>
    <w:rsid w:val="00CD0D7D"/>
    <w:rsid w:val="00CE7EC4"/>
    <w:rsid w:val="00CF373B"/>
    <w:rsid w:val="00CF54D7"/>
    <w:rsid w:val="00CF6276"/>
    <w:rsid w:val="00CF7D0C"/>
    <w:rsid w:val="00D03F6D"/>
    <w:rsid w:val="00D07DF3"/>
    <w:rsid w:val="00D1429F"/>
    <w:rsid w:val="00D1464B"/>
    <w:rsid w:val="00D173FD"/>
    <w:rsid w:val="00D17A24"/>
    <w:rsid w:val="00D2248C"/>
    <w:rsid w:val="00D24A4F"/>
    <w:rsid w:val="00D31363"/>
    <w:rsid w:val="00D400BD"/>
    <w:rsid w:val="00D5220F"/>
    <w:rsid w:val="00D54025"/>
    <w:rsid w:val="00D54A09"/>
    <w:rsid w:val="00D65375"/>
    <w:rsid w:val="00D66B79"/>
    <w:rsid w:val="00D66CDC"/>
    <w:rsid w:val="00D66DC2"/>
    <w:rsid w:val="00D673FD"/>
    <w:rsid w:val="00D67C4E"/>
    <w:rsid w:val="00D722A5"/>
    <w:rsid w:val="00D73F4B"/>
    <w:rsid w:val="00D81114"/>
    <w:rsid w:val="00D83DC4"/>
    <w:rsid w:val="00D84FD3"/>
    <w:rsid w:val="00D90759"/>
    <w:rsid w:val="00D91095"/>
    <w:rsid w:val="00DA04DB"/>
    <w:rsid w:val="00DA15E9"/>
    <w:rsid w:val="00DA1666"/>
    <w:rsid w:val="00DA269B"/>
    <w:rsid w:val="00DA7062"/>
    <w:rsid w:val="00DB3B85"/>
    <w:rsid w:val="00DB45CD"/>
    <w:rsid w:val="00DC043D"/>
    <w:rsid w:val="00DD456C"/>
    <w:rsid w:val="00DD45AB"/>
    <w:rsid w:val="00DD464B"/>
    <w:rsid w:val="00DD4EF6"/>
    <w:rsid w:val="00DD6D94"/>
    <w:rsid w:val="00DE3DA4"/>
    <w:rsid w:val="00DE4E3C"/>
    <w:rsid w:val="00DE5B4B"/>
    <w:rsid w:val="00DF1D6F"/>
    <w:rsid w:val="00DF2786"/>
    <w:rsid w:val="00DF60BD"/>
    <w:rsid w:val="00E0327F"/>
    <w:rsid w:val="00E17527"/>
    <w:rsid w:val="00E23CCC"/>
    <w:rsid w:val="00E2408E"/>
    <w:rsid w:val="00E24E26"/>
    <w:rsid w:val="00E27460"/>
    <w:rsid w:val="00E27B23"/>
    <w:rsid w:val="00E50A57"/>
    <w:rsid w:val="00E53A7D"/>
    <w:rsid w:val="00E544B6"/>
    <w:rsid w:val="00E615FF"/>
    <w:rsid w:val="00E70205"/>
    <w:rsid w:val="00E7295C"/>
    <w:rsid w:val="00E76A3F"/>
    <w:rsid w:val="00E8116A"/>
    <w:rsid w:val="00E82099"/>
    <w:rsid w:val="00E833B3"/>
    <w:rsid w:val="00E83771"/>
    <w:rsid w:val="00E8717D"/>
    <w:rsid w:val="00E92C4B"/>
    <w:rsid w:val="00E93471"/>
    <w:rsid w:val="00E942D4"/>
    <w:rsid w:val="00E94572"/>
    <w:rsid w:val="00E96D66"/>
    <w:rsid w:val="00EA0E95"/>
    <w:rsid w:val="00EA10B0"/>
    <w:rsid w:val="00EB1B58"/>
    <w:rsid w:val="00EB3717"/>
    <w:rsid w:val="00EB6A90"/>
    <w:rsid w:val="00ED4F04"/>
    <w:rsid w:val="00EE4C2C"/>
    <w:rsid w:val="00EF1E12"/>
    <w:rsid w:val="00EF33B0"/>
    <w:rsid w:val="00EF41B4"/>
    <w:rsid w:val="00EF74D7"/>
    <w:rsid w:val="00F00702"/>
    <w:rsid w:val="00F02B07"/>
    <w:rsid w:val="00F1029A"/>
    <w:rsid w:val="00F11CFE"/>
    <w:rsid w:val="00F11D00"/>
    <w:rsid w:val="00F12C07"/>
    <w:rsid w:val="00F138F6"/>
    <w:rsid w:val="00F37E95"/>
    <w:rsid w:val="00F427CA"/>
    <w:rsid w:val="00F43011"/>
    <w:rsid w:val="00F43806"/>
    <w:rsid w:val="00F43CD1"/>
    <w:rsid w:val="00F50316"/>
    <w:rsid w:val="00F5484F"/>
    <w:rsid w:val="00F552B4"/>
    <w:rsid w:val="00F57226"/>
    <w:rsid w:val="00F616BE"/>
    <w:rsid w:val="00F61734"/>
    <w:rsid w:val="00F626E5"/>
    <w:rsid w:val="00F673B9"/>
    <w:rsid w:val="00F71765"/>
    <w:rsid w:val="00F734AD"/>
    <w:rsid w:val="00F74D78"/>
    <w:rsid w:val="00F77694"/>
    <w:rsid w:val="00F82835"/>
    <w:rsid w:val="00F828E6"/>
    <w:rsid w:val="00F86D5F"/>
    <w:rsid w:val="00F87ED1"/>
    <w:rsid w:val="00F91D51"/>
    <w:rsid w:val="00F94BF6"/>
    <w:rsid w:val="00F94D6F"/>
    <w:rsid w:val="00FA1F69"/>
    <w:rsid w:val="00FA4C60"/>
    <w:rsid w:val="00FA7712"/>
    <w:rsid w:val="00FB704A"/>
    <w:rsid w:val="00FB7425"/>
    <w:rsid w:val="00FB7E08"/>
    <w:rsid w:val="00FC4D31"/>
    <w:rsid w:val="00FD24DE"/>
    <w:rsid w:val="00FD6D59"/>
    <w:rsid w:val="00FE71AB"/>
    <w:rsid w:val="00FF098A"/>
    <w:rsid w:val="00FF3B1F"/>
    <w:rsid w:val="00FF4F0F"/>
    <w:rsid w:val="00FF4F68"/>
    <w:rsid w:val="00FF5C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CDEB5C2"/>
  <w15:chartTrackingRefBased/>
  <w15:docId w15:val="{161D1025-8660-40BB-9771-D63786445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5CF6"/>
    <w:pPr>
      <w:widowControl w:val="0"/>
      <w:adjustRightInd w:val="0"/>
      <w:spacing w:line="360" w:lineRule="atLeast"/>
      <w:textAlignment w:val="baseline"/>
    </w:pPr>
    <w:rPr>
      <w:sz w:val="24"/>
    </w:rPr>
  </w:style>
  <w:style w:type="paragraph" w:styleId="1">
    <w:name w:val="heading 1"/>
    <w:basedOn w:val="a"/>
    <w:next w:val="a"/>
    <w:qFormat/>
    <w:pPr>
      <w:keepNext/>
      <w:spacing w:before="180" w:after="180" w:line="720" w:lineRule="atLeast"/>
      <w:outlineLvl w:val="0"/>
    </w:pPr>
    <w:rPr>
      <w:rFonts w:ascii="Arial" w:eastAsia="新細明體" w:hAnsi="Arial"/>
      <w:b/>
      <w:kern w:val="52"/>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純文字1"/>
    <w:basedOn w:val="a"/>
    <w:pPr>
      <w:spacing w:line="0" w:lineRule="atLeast"/>
    </w:pPr>
    <w:rPr>
      <w:rFonts w:ascii="細明體"/>
      <w:noProof/>
    </w:rPr>
  </w:style>
  <w:style w:type="paragraph" w:styleId="a3">
    <w:name w:val="Plain Text"/>
    <w:basedOn w:val="a"/>
    <w:pPr>
      <w:adjustRightInd/>
      <w:spacing w:line="240" w:lineRule="auto"/>
      <w:textAlignment w:val="auto"/>
    </w:pPr>
    <w:rPr>
      <w:rFonts w:ascii="細明體" w:hAnsi="Courier New"/>
      <w:kern w:val="2"/>
    </w:rPr>
  </w:style>
  <w:style w:type="paragraph" w:styleId="a4">
    <w:name w:val="Body Text Indent"/>
    <w:basedOn w:val="a"/>
    <w:pPr>
      <w:adjustRightInd/>
      <w:spacing w:before="120" w:line="360" w:lineRule="auto"/>
      <w:ind w:left="960" w:hanging="960"/>
      <w:jc w:val="both"/>
      <w:textAlignment w:val="auto"/>
    </w:pPr>
    <w:rPr>
      <w:rFonts w:eastAsia="華康楷書體W5"/>
      <w:kern w:val="2"/>
      <w:sz w:val="32"/>
    </w:rPr>
  </w:style>
  <w:style w:type="paragraph" w:styleId="2">
    <w:name w:val="Body Text 2"/>
    <w:basedOn w:val="a"/>
    <w:pPr>
      <w:adjustRightInd/>
      <w:spacing w:before="120" w:line="240" w:lineRule="atLeast"/>
      <w:jc w:val="both"/>
      <w:textAlignment w:val="auto"/>
    </w:pPr>
    <w:rPr>
      <w:rFonts w:eastAsia="華康楷書體W5"/>
      <w:kern w:val="2"/>
      <w:sz w:val="20"/>
    </w:rPr>
  </w:style>
  <w:style w:type="paragraph" w:styleId="20">
    <w:name w:val="Body Text Indent 2"/>
    <w:basedOn w:val="a"/>
    <w:pPr>
      <w:spacing w:line="240" w:lineRule="atLeast"/>
      <w:ind w:firstLine="600"/>
    </w:pPr>
    <w:rPr>
      <w:b/>
      <w:sz w:val="28"/>
    </w:rPr>
  </w:style>
  <w:style w:type="paragraph" w:styleId="3">
    <w:name w:val="Body Text Indent 3"/>
    <w:basedOn w:val="a"/>
    <w:pPr>
      <w:ind w:left="1134"/>
    </w:pPr>
    <w:rPr>
      <w:b/>
    </w:rPr>
  </w:style>
  <w:style w:type="paragraph" w:styleId="a5">
    <w:name w:val="header"/>
    <w:basedOn w:val="a"/>
    <w:pPr>
      <w:tabs>
        <w:tab w:val="center" w:pos="4153"/>
        <w:tab w:val="right" w:pos="8306"/>
      </w:tabs>
      <w:snapToGrid w:val="0"/>
    </w:pPr>
    <w:rPr>
      <w:sz w:val="20"/>
    </w:rPr>
  </w:style>
  <w:style w:type="paragraph" w:styleId="a6">
    <w:name w:val="footer"/>
    <w:basedOn w:val="a"/>
    <w:pPr>
      <w:tabs>
        <w:tab w:val="center" w:pos="4153"/>
        <w:tab w:val="right" w:pos="8306"/>
      </w:tabs>
      <w:snapToGrid w:val="0"/>
    </w:pPr>
    <w:rPr>
      <w:sz w:val="20"/>
    </w:rPr>
  </w:style>
  <w:style w:type="character" w:styleId="a7">
    <w:name w:val="page number"/>
    <w:basedOn w:val="a0"/>
  </w:style>
  <w:style w:type="paragraph" w:styleId="a8">
    <w:name w:val="List Paragraph"/>
    <w:basedOn w:val="a"/>
    <w:uiPriority w:val="34"/>
    <w:qFormat/>
    <w:rsid w:val="007C73F8"/>
    <w:pPr>
      <w:adjustRightInd/>
      <w:spacing w:line="240" w:lineRule="auto"/>
      <w:ind w:leftChars="200" w:left="480"/>
      <w:textAlignment w:val="auto"/>
    </w:pPr>
    <w:rPr>
      <w:rFonts w:ascii="Calibri" w:eastAsia="新細明體" w:hAnsi="Calibri"/>
      <w:kern w:val="2"/>
      <w:szCs w:val="22"/>
    </w:rPr>
  </w:style>
  <w:style w:type="paragraph" w:styleId="a9">
    <w:name w:val="Balloon Text"/>
    <w:basedOn w:val="a"/>
    <w:link w:val="aa"/>
    <w:rsid w:val="00BC7790"/>
    <w:pPr>
      <w:spacing w:line="240" w:lineRule="auto"/>
    </w:pPr>
    <w:rPr>
      <w:rFonts w:ascii="Calibri Light" w:eastAsia="新細明體" w:hAnsi="Calibri Light"/>
      <w:sz w:val="18"/>
      <w:szCs w:val="18"/>
    </w:rPr>
  </w:style>
  <w:style w:type="character" w:customStyle="1" w:styleId="aa">
    <w:name w:val="註解方塊文字 字元"/>
    <w:link w:val="a9"/>
    <w:rsid w:val="00BC7790"/>
    <w:rPr>
      <w:rFonts w:ascii="Calibri Light" w:eastAsia="新細明體" w:hAnsi="Calibri Light" w:cs="Times New Roman"/>
      <w:sz w:val="18"/>
      <w:szCs w:val="18"/>
    </w:rPr>
  </w:style>
  <w:style w:type="paragraph" w:styleId="ab">
    <w:name w:val="Revision"/>
    <w:hidden/>
    <w:uiPriority w:val="99"/>
    <w:semiHidden/>
    <w:rsid w:val="0007301A"/>
    <w:rPr>
      <w:sz w:val="24"/>
    </w:rPr>
  </w:style>
  <w:style w:type="paragraph" w:styleId="ac">
    <w:name w:val="Document Map"/>
    <w:basedOn w:val="a"/>
    <w:semiHidden/>
    <w:rsid w:val="00247F6A"/>
    <w:pPr>
      <w:shd w:val="clear" w:color="auto" w:fill="000080"/>
    </w:pPr>
    <w:rPr>
      <w:rFonts w:ascii="Arial" w:eastAsia="新細明體" w:hAnsi="Arial"/>
    </w:rPr>
  </w:style>
  <w:style w:type="paragraph" w:customStyle="1" w:styleId="Default">
    <w:name w:val="Default"/>
    <w:rsid w:val="003A0ECE"/>
    <w:pPr>
      <w:widowControl w:val="0"/>
      <w:autoSpaceDE w:val="0"/>
      <w:autoSpaceDN w:val="0"/>
      <w:adjustRightInd w:val="0"/>
    </w:pPr>
    <w:rPr>
      <w:rFonts w:ascii="標楷體" w:eastAsia="標楷體" w:hAnsi="Calibri"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441181">
      <w:bodyDiv w:val="1"/>
      <w:marLeft w:val="0"/>
      <w:marRight w:val="0"/>
      <w:marTop w:val="0"/>
      <w:marBottom w:val="0"/>
      <w:divBdr>
        <w:top w:val="none" w:sz="0" w:space="0" w:color="auto"/>
        <w:left w:val="none" w:sz="0" w:space="0" w:color="auto"/>
        <w:bottom w:val="none" w:sz="0" w:space="0" w:color="auto"/>
        <w:right w:val="none" w:sz="0" w:space="0" w:color="auto"/>
      </w:divBdr>
    </w:div>
    <w:div w:id="889457106">
      <w:bodyDiv w:val="1"/>
      <w:marLeft w:val="0"/>
      <w:marRight w:val="0"/>
      <w:marTop w:val="0"/>
      <w:marBottom w:val="0"/>
      <w:divBdr>
        <w:top w:val="none" w:sz="0" w:space="0" w:color="auto"/>
        <w:left w:val="none" w:sz="0" w:space="0" w:color="auto"/>
        <w:bottom w:val="none" w:sz="0" w:space="0" w:color="auto"/>
        <w:right w:val="none" w:sz="0" w:space="0" w:color="auto"/>
      </w:divBdr>
    </w:div>
    <w:div w:id="120640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F5752-1221-4441-B8E3-39D5159D4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9946</Words>
  <Characters>128</Characters>
  <Application>Microsoft Office Word</Application>
  <DocSecurity>0</DocSecurity>
  <Lines>1</Lines>
  <Paragraphs>20</Paragraphs>
  <ScaleCrop>false</ScaleCrop>
  <Company>總統府</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總統府主管八十八年度工作計畫及預算重點說明</dc:title>
  <dc:subject/>
  <dc:creator>總統府</dc:creator>
  <cp:keywords/>
  <dc:description>國安會、國史館及中央研究院尚未修改</dc:description>
  <cp:lastModifiedBy>許馨尹</cp:lastModifiedBy>
  <cp:revision>3</cp:revision>
  <cp:lastPrinted>2025-08-04T13:08:00Z</cp:lastPrinted>
  <dcterms:created xsi:type="dcterms:W3CDTF">2026-08-17T01:20:00Z</dcterms:created>
  <dcterms:modified xsi:type="dcterms:W3CDTF">2026-08-17T01:23:00Z</dcterms:modified>
</cp:coreProperties>
</file>