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56C5C" w14:textId="08728D29" w:rsidR="00603598" w:rsidRPr="00BC55B4" w:rsidRDefault="00167F04" w:rsidP="003A023B">
      <w:pPr>
        <w:overflowPunct w:val="0"/>
        <w:spacing w:line="440" w:lineRule="exact"/>
        <w:ind w:firstLine="680"/>
        <w:jc w:val="center"/>
        <w:rPr>
          <w:rFonts w:ascii="標楷體" w:eastAsia="標楷體" w:hAnsi="標楷體"/>
          <w:b/>
          <w:color w:val="000000" w:themeColor="text1"/>
          <w:sz w:val="36"/>
          <w:szCs w:val="36"/>
        </w:rPr>
      </w:pPr>
      <w:r w:rsidRPr="00BC55B4">
        <w:rPr>
          <w:rFonts w:ascii="標楷體" w:eastAsia="標楷體" w:hAnsi="標楷體"/>
          <w:b/>
          <w:color w:val="000000" w:themeColor="text1"/>
          <w:sz w:val="36"/>
          <w:szCs w:val="36"/>
        </w:rPr>
        <w:t>總統府主管</w:t>
      </w:r>
      <w:proofErr w:type="gramStart"/>
      <w:r w:rsidR="00056D1E" w:rsidRPr="00BC55B4">
        <w:rPr>
          <w:rFonts w:ascii="標楷體" w:eastAsia="標楷體" w:hAnsi="標楷體"/>
          <w:b/>
          <w:color w:val="000000" w:themeColor="text1"/>
          <w:sz w:val="36"/>
          <w:szCs w:val="36"/>
        </w:rPr>
        <w:t>1</w:t>
      </w:r>
      <w:r w:rsidR="00FE71AB" w:rsidRPr="00BC55B4">
        <w:rPr>
          <w:rFonts w:ascii="標楷體" w:eastAsia="標楷體" w:hAnsi="標楷體"/>
          <w:b/>
          <w:color w:val="000000" w:themeColor="text1"/>
          <w:sz w:val="36"/>
          <w:szCs w:val="36"/>
        </w:rPr>
        <w:t>1</w:t>
      </w:r>
      <w:r w:rsidR="00D56EA4" w:rsidRPr="00BC55B4">
        <w:rPr>
          <w:rFonts w:ascii="標楷體" w:eastAsia="標楷體" w:hAnsi="標楷體" w:hint="eastAsia"/>
          <w:b/>
          <w:color w:val="000000" w:themeColor="text1"/>
          <w:sz w:val="36"/>
          <w:szCs w:val="36"/>
        </w:rPr>
        <w:t>6</w:t>
      </w:r>
      <w:proofErr w:type="gramEnd"/>
      <w:r w:rsidRPr="00BC55B4">
        <w:rPr>
          <w:rFonts w:ascii="標楷體" w:eastAsia="標楷體" w:hAnsi="標楷體"/>
          <w:b/>
          <w:color w:val="000000" w:themeColor="text1"/>
          <w:sz w:val="36"/>
          <w:szCs w:val="36"/>
        </w:rPr>
        <w:t>年度施政</w:t>
      </w:r>
      <w:r w:rsidR="00603598" w:rsidRPr="00BC55B4">
        <w:rPr>
          <w:rFonts w:ascii="標楷體" w:eastAsia="標楷體" w:hAnsi="標楷體"/>
          <w:b/>
          <w:color w:val="000000" w:themeColor="text1"/>
          <w:sz w:val="36"/>
          <w:szCs w:val="36"/>
        </w:rPr>
        <w:t>及預算重點說明</w:t>
      </w:r>
    </w:p>
    <w:p w14:paraId="5EEAFB5C" w14:textId="77777777" w:rsidR="00F673B9" w:rsidRPr="00BC55B4" w:rsidRDefault="00F673B9" w:rsidP="003A023B">
      <w:pPr>
        <w:overflowPunct w:val="0"/>
        <w:spacing w:line="440" w:lineRule="exact"/>
        <w:ind w:firstLine="680"/>
        <w:jc w:val="center"/>
        <w:rPr>
          <w:rFonts w:ascii="標楷體" w:eastAsia="標楷體" w:hAnsi="標楷體"/>
          <w:color w:val="000000" w:themeColor="text1"/>
          <w:szCs w:val="24"/>
        </w:rPr>
      </w:pPr>
    </w:p>
    <w:p w14:paraId="77B9CE83" w14:textId="59B7861F" w:rsidR="00603598" w:rsidRPr="00BC55B4" w:rsidRDefault="00603598" w:rsidP="003A023B">
      <w:pPr>
        <w:pStyle w:val="20"/>
        <w:overflowPunct w:val="0"/>
        <w:spacing w:line="440" w:lineRule="exact"/>
        <w:ind w:firstLine="567"/>
        <w:jc w:val="both"/>
        <w:rPr>
          <w:rFonts w:ascii="標楷體" w:eastAsia="標楷體" w:hAnsi="標楷體"/>
          <w:b w:val="0"/>
          <w:color w:val="000000" w:themeColor="text1"/>
          <w:szCs w:val="28"/>
        </w:rPr>
      </w:pPr>
      <w:r w:rsidRPr="00BC55B4">
        <w:rPr>
          <w:rFonts w:ascii="標楷體" w:eastAsia="標楷體" w:hAnsi="標楷體"/>
          <w:b w:val="0"/>
          <w:color w:val="000000" w:themeColor="text1"/>
          <w:szCs w:val="28"/>
        </w:rPr>
        <w:t>總統府主管</w:t>
      </w:r>
      <w:r w:rsidR="001D7651" w:rsidRPr="00BC55B4">
        <w:rPr>
          <w:rFonts w:ascii="標楷體" w:eastAsia="標楷體" w:hAnsi="標楷體"/>
          <w:b w:val="0"/>
          <w:color w:val="000000" w:themeColor="text1"/>
          <w:szCs w:val="28"/>
        </w:rPr>
        <w:t>包括總統府、國家安全會議、國史館、國史館臺灣文獻館</w:t>
      </w:r>
      <w:r w:rsidR="006918F8" w:rsidRPr="00BC55B4">
        <w:rPr>
          <w:rFonts w:ascii="標楷體" w:eastAsia="標楷體" w:hAnsi="標楷體"/>
          <w:b w:val="0"/>
          <w:color w:val="000000" w:themeColor="text1"/>
          <w:szCs w:val="28"/>
        </w:rPr>
        <w:t>及</w:t>
      </w:r>
      <w:r w:rsidR="001D7651" w:rsidRPr="00BC55B4">
        <w:rPr>
          <w:rFonts w:ascii="標楷體" w:eastAsia="標楷體" w:hAnsi="標楷體"/>
          <w:b w:val="0"/>
          <w:color w:val="000000" w:themeColor="text1"/>
          <w:szCs w:val="28"/>
        </w:rPr>
        <w:t>中央研究院，</w:t>
      </w:r>
      <w:r w:rsidR="00A30A35" w:rsidRPr="00BC55B4">
        <w:rPr>
          <w:rFonts w:ascii="標楷體" w:eastAsia="標楷體" w:hAnsi="標楷體" w:hint="eastAsia"/>
          <w:b w:val="0"/>
          <w:color w:val="000000" w:themeColor="text1"/>
          <w:szCs w:val="28"/>
        </w:rPr>
        <w:t>辦理</w:t>
      </w:r>
      <w:r w:rsidR="001D7651" w:rsidRPr="00BC55B4">
        <w:rPr>
          <w:rFonts w:ascii="標楷體" w:eastAsia="標楷體" w:hAnsi="標楷體"/>
          <w:b w:val="0"/>
          <w:color w:val="000000" w:themeColor="text1"/>
          <w:szCs w:val="28"/>
        </w:rPr>
        <w:t>業務重點</w:t>
      </w:r>
      <w:r w:rsidRPr="00BC55B4">
        <w:rPr>
          <w:rFonts w:ascii="標楷體" w:eastAsia="標楷體" w:hAnsi="標楷體"/>
          <w:b w:val="0"/>
          <w:color w:val="000000" w:themeColor="text1"/>
          <w:szCs w:val="28"/>
        </w:rPr>
        <w:t>為公布法律、任免文武官員、</w:t>
      </w:r>
      <w:r w:rsidR="00D1464B" w:rsidRPr="00BC55B4">
        <w:rPr>
          <w:rFonts w:ascii="標楷體" w:eastAsia="標楷體" w:hAnsi="標楷體"/>
          <w:b w:val="0"/>
          <w:color w:val="000000" w:themeColor="text1"/>
          <w:szCs w:val="28"/>
        </w:rPr>
        <w:t>辦理國家慶典及新聞發布、</w:t>
      </w:r>
      <w:r w:rsidRPr="00BC55B4">
        <w:rPr>
          <w:rFonts w:ascii="標楷體" w:eastAsia="標楷體" w:hAnsi="標楷體"/>
          <w:b w:val="0"/>
          <w:color w:val="000000" w:themeColor="text1"/>
          <w:szCs w:val="28"/>
        </w:rPr>
        <w:t>國家發展研究及諮詢、公報編印及印信勳章鑄造；國家安全有關大政方針之諮詢；總統暨副總統文物、國家重要</w:t>
      </w:r>
      <w:r w:rsidR="00705730" w:rsidRPr="00BC55B4">
        <w:rPr>
          <w:rFonts w:ascii="標楷體" w:eastAsia="標楷體" w:hAnsi="標楷體"/>
          <w:b w:val="0"/>
          <w:color w:val="000000" w:themeColor="text1"/>
          <w:szCs w:val="28"/>
        </w:rPr>
        <w:t>檔案</w:t>
      </w:r>
      <w:r w:rsidRPr="00BC55B4">
        <w:rPr>
          <w:rFonts w:ascii="標楷體" w:eastAsia="標楷體" w:hAnsi="標楷體"/>
          <w:b w:val="0"/>
          <w:color w:val="000000" w:themeColor="text1"/>
          <w:szCs w:val="28"/>
        </w:rPr>
        <w:t>史料及</w:t>
      </w:r>
      <w:r w:rsidR="005C006F" w:rsidRPr="00BC55B4">
        <w:rPr>
          <w:rFonts w:ascii="標楷體" w:eastAsia="標楷體" w:hAnsi="標楷體"/>
          <w:b w:val="0"/>
          <w:color w:val="000000" w:themeColor="text1"/>
          <w:szCs w:val="28"/>
        </w:rPr>
        <w:t>臺灣文獻之採集、整編、典藏、研究與開放應用</w:t>
      </w:r>
      <w:r w:rsidRPr="00BC55B4">
        <w:rPr>
          <w:rFonts w:ascii="標楷體" w:eastAsia="標楷體" w:hAnsi="標楷體"/>
          <w:b w:val="0"/>
          <w:color w:val="000000" w:themeColor="text1"/>
          <w:szCs w:val="28"/>
        </w:rPr>
        <w:t>；積極從事人文及科學研究，指導、聯絡及獎勵學術研究，培養高級學術研究人才等。</w:t>
      </w:r>
    </w:p>
    <w:p w14:paraId="2E346C7B" w14:textId="1E7DC282" w:rsidR="00603598" w:rsidRPr="00BC55B4" w:rsidRDefault="0047248D" w:rsidP="003A023B">
      <w:pPr>
        <w:overflowPunct w:val="0"/>
        <w:spacing w:line="440" w:lineRule="exact"/>
        <w:jc w:val="both"/>
        <w:outlineLvl w:val="0"/>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壹</w:t>
      </w:r>
      <w:r w:rsidR="00603598" w:rsidRPr="00BC55B4">
        <w:rPr>
          <w:rFonts w:ascii="標楷體" w:eastAsia="標楷體" w:hAnsi="標楷體"/>
          <w:color w:val="000000" w:themeColor="text1"/>
          <w:sz w:val="28"/>
          <w:szCs w:val="28"/>
        </w:rPr>
        <w:t>、</w:t>
      </w:r>
      <w:proofErr w:type="gramStart"/>
      <w:r w:rsidR="0084503F" w:rsidRPr="00BC55B4">
        <w:rPr>
          <w:rFonts w:ascii="標楷體" w:eastAsia="標楷體" w:hAnsi="標楷體"/>
          <w:color w:val="000000" w:themeColor="text1"/>
          <w:sz w:val="28"/>
          <w:szCs w:val="28"/>
        </w:rPr>
        <w:t>1</w:t>
      </w:r>
      <w:r w:rsidR="00FE71AB" w:rsidRPr="00BC55B4">
        <w:rPr>
          <w:rFonts w:ascii="標楷體" w:eastAsia="標楷體" w:hAnsi="標楷體"/>
          <w:color w:val="000000" w:themeColor="text1"/>
          <w:sz w:val="28"/>
          <w:szCs w:val="28"/>
        </w:rPr>
        <w:t>1</w:t>
      </w:r>
      <w:r w:rsidR="00613A43" w:rsidRPr="00BC55B4">
        <w:rPr>
          <w:rFonts w:ascii="標楷體" w:eastAsia="標楷體" w:hAnsi="標楷體" w:hint="eastAsia"/>
          <w:color w:val="000000" w:themeColor="text1"/>
          <w:sz w:val="28"/>
          <w:szCs w:val="28"/>
        </w:rPr>
        <w:t>6</w:t>
      </w:r>
      <w:proofErr w:type="gramEnd"/>
      <w:r w:rsidR="0084503F" w:rsidRPr="00BC55B4">
        <w:rPr>
          <w:rFonts w:ascii="標楷體" w:eastAsia="標楷體" w:hAnsi="標楷體"/>
          <w:color w:val="000000" w:themeColor="text1"/>
          <w:sz w:val="28"/>
          <w:szCs w:val="28"/>
        </w:rPr>
        <w:t>年度施</w:t>
      </w:r>
      <w:r w:rsidR="00035861" w:rsidRPr="00BC55B4">
        <w:rPr>
          <w:rFonts w:ascii="標楷體" w:eastAsia="標楷體" w:hAnsi="標楷體"/>
          <w:color w:val="000000" w:themeColor="text1"/>
          <w:sz w:val="28"/>
          <w:szCs w:val="28"/>
        </w:rPr>
        <w:t>政目標</w:t>
      </w:r>
      <w:r w:rsidR="00177ABE" w:rsidRPr="00BC55B4">
        <w:rPr>
          <w:rFonts w:ascii="標楷體" w:eastAsia="標楷體" w:hAnsi="標楷體"/>
          <w:color w:val="000000" w:themeColor="text1"/>
          <w:sz w:val="28"/>
          <w:szCs w:val="28"/>
        </w:rPr>
        <w:t>：</w:t>
      </w:r>
    </w:p>
    <w:p w14:paraId="2C326BF3" w14:textId="7CD144E5" w:rsidR="001D7651" w:rsidRPr="00BC55B4" w:rsidRDefault="0047248D" w:rsidP="00BD1456">
      <w:pPr>
        <w:overflowPunct w:val="0"/>
        <w:spacing w:line="440" w:lineRule="exact"/>
        <w:ind w:left="490" w:hangingChars="175" w:hanging="49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一、</w:t>
      </w:r>
      <w:r w:rsidR="00BD1456" w:rsidRPr="00BC55B4">
        <w:rPr>
          <w:rFonts w:ascii="標楷體" w:eastAsia="標楷體" w:hAnsi="標楷體"/>
          <w:color w:val="000000" w:themeColor="text1"/>
          <w:sz w:val="28"/>
          <w:szCs w:val="28"/>
        </w:rPr>
        <w:t>總統府為總統依據憲法行使職權之幕僚機關，承命辦理有關事項，輔弼總統行使職權，促成國家大政之順利推行。目標及重點如下：</w:t>
      </w:r>
    </w:p>
    <w:p w14:paraId="03E5EB21" w14:textId="44082BAB" w:rsidR="00495CAF" w:rsidRPr="00BC55B4" w:rsidRDefault="00B56581"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辦理一般經常性之行政管理業務，提升業務發展，增進行政效率：依業務職掌處理一般經常性之事務管理，</w:t>
      </w:r>
      <w:proofErr w:type="gramStart"/>
      <w:r w:rsidRPr="00BC55B4">
        <w:rPr>
          <w:rFonts w:ascii="標楷體" w:eastAsia="標楷體" w:hAnsi="標楷體" w:hint="eastAsia"/>
          <w:color w:val="000000" w:themeColor="text1"/>
          <w:sz w:val="28"/>
          <w:szCs w:val="28"/>
        </w:rPr>
        <w:t>賡</w:t>
      </w:r>
      <w:proofErr w:type="gramEnd"/>
      <w:r w:rsidRPr="00BC55B4">
        <w:rPr>
          <w:rFonts w:ascii="標楷體" w:eastAsia="標楷體" w:hAnsi="標楷體" w:hint="eastAsia"/>
          <w:color w:val="000000" w:themeColor="text1"/>
          <w:sz w:val="28"/>
          <w:szCs w:val="28"/>
        </w:rPr>
        <w:t>續辦理建築、設備與環境之維護管理，適時</w:t>
      </w:r>
      <w:proofErr w:type="gramStart"/>
      <w:r w:rsidRPr="00BC55B4">
        <w:rPr>
          <w:rFonts w:ascii="標楷體" w:eastAsia="標楷體" w:hAnsi="標楷體" w:hint="eastAsia"/>
          <w:color w:val="000000" w:themeColor="text1"/>
          <w:sz w:val="28"/>
          <w:szCs w:val="28"/>
        </w:rPr>
        <w:t>汰</w:t>
      </w:r>
      <w:proofErr w:type="gramEnd"/>
      <w:r w:rsidRPr="00BC55B4">
        <w:rPr>
          <w:rFonts w:ascii="標楷體" w:eastAsia="標楷體" w:hAnsi="標楷體" w:hint="eastAsia"/>
          <w:color w:val="000000" w:themeColor="text1"/>
          <w:sz w:val="28"/>
          <w:szCs w:val="28"/>
        </w:rPr>
        <w:t>換老舊設備及公務車輛，妥善管理並活化</w:t>
      </w:r>
      <w:r w:rsidR="007106D4" w:rsidRPr="00BC55B4">
        <w:rPr>
          <w:rFonts w:ascii="標楷體" w:eastAsia="標楷體" w:hAnsi="標楷體" w:hint="eastAsia"/>
          <w:color w:val="000000" w:themeColor="text1"/>
          <w:sz w:val="28"/>
          <w:szCs w:val="28"/>
        </w:rPr>
        <w:t>總統</w:t>
      </w:r>
      <w:r w:rsidRPr="00BC55B4">
        <w:rPr>
          <w:rFonts w:ascii="標楷體" w:eastAsia="標楷體" w:hAnsi="標楷體" w:hint="eastAsia"/>
          <w:color w:val="000000" w:themeColor="text1"/>
          <w:sz w:val="28"/>
          <w:szCs w:val="28"/>
        </w:rPr>
        <w:t>府國定古蹟建物；</w:t>
      </w:r>
      <w:proofErr w:type="gramStart"/>
      <w:r w:rsidRPr="00BC55B4">
        <w:rPr>
          <w:rFonts w:ascii="標楷體" w:eastAsia="標楷體" w:hAnsi="標楷體" w:hint="eastAsia"/>
          <w:color w:val="000000" w:themeColor="text1"/>
          <w:sz w:val="28"/>
          <w:szCs w:val="28"/>
        </w:rPr>
        <w:t>健全資安</w:t>
      </w:r>
      <w:proofErr w:type="gramEnd"/>
      <w:r w:rsidRPr="00BC55B4">
        <w:rPr>
          <w:rFonts w:ascii="標楷體" w:eastAsia="標楷體" w:hAnsi="標楷體" w:hint="eastAsia"/>
          <w:color w:val="000000" w:themeColor="text1"/>
          <w:sz w:val="28"/>
          <w:szCs w:val="28"/>
        </w:rPr>
        <w:t>防護能力，建構可信賴安全的數位環境；強化</w:t>
      </w:r>
      <w:proofErr w:type="gramStart"/>
      <w:r w:rsidRPr="00BC55B4">
        <w:rPr>
          <w:rFonts w:ascii="標楷體" w:eastAsia="標楷體" w:hAnsi="標楷體" w:hint="eastAsia"/>
          <w:color w:val="000000" w:themeColor="text1"/>
          <w:sz w:val="28"/>
          <w:szCs w:val="28"/>
        </w:rPr>
        <w:t>侍</w:t>
      </w:r>
      <w:proofErr w:type="gramEnd"/>
      <w:r w:rsidRPr="00BC55B4">
        <w:rPr>
          <w:rFonts w:ascii="標楷體" w:eastAsia="標楷體" w:hAnsi="標楷體" w:hint="eastAsia"/>
          <w:color w:val="000000" w:themeColor="text1"/>
          <w:sz w:val="28"/>
          <w:szCs w:val="28"/>
        </w:rPr>
        <w:t>警衛人員教育訓練及精進專業技能，以確保國家元首、副元首之安全。</w:t>
      </w:r>
    </w:p>
    <w:p w14:paraId="59D3FB2C" w14:textId="26274123" w:rsidR="00495CAF" w:rsidRPr="00BC55B4" w:rsidRDefault="00B56581"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規劃辦理國家重要慶典及各項禮賓事務：籌辦國家重要慶典，接待來訪友邦元首政要及國內各界代表等各項禮賓事務，透過交流對話，傳達總統施政理念，增進國人支持，提升我國國際能見度，並推展對外友好關係。</w:t>
      </w:r>
    </w:p>
    <w:p w14:paraId="1E39E789" w14:textId="21C7FC93" w:rsidR="00495CAF" w:rsidRPr="00BC55B4" w:rsidRDefault="00B56581"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辦理總統行使職權幕僚業務，協助總統推動治國方針：辦理總統公布法律、任免文武官員及提名工作等幕僚作業，</w:t>
      </w:r>
      <w:proofErr w:type="gramStart"/>
      <w:r w:rsidRPr="00BC55B4">
        <w:rPr>
          <w:rFonts w:ascii="標楷體" w:eastAsia="標楷體" w:hAnsi="標楷體" w:hint="eastAsia"/>
          <w:color w:val="000000" w:themeColor="text1"/>
          <w:sz w:val="28"/>
          <w:szCs w:val="28"/>
        </w:rPr>
        <w:t>俾</w:t>
      </w:r>
      <w:proofErr w:type="gramEnd"/>
      <w:r w:rsidRPr="00BC55B4">
        <w:rPr>
          <w:rFonts w:ascii="標楷體" w:eastAsia="標楷體" w:hAnsi="標楷體" w:hint="eastAsia"/>
          <w:color w:val="000000" w:themeColor="text1"/>
          <w:sz w:val="28"/>
          <w:szCs w:val="28"/>
        </w:rPr>
        <w:t>利憲政體制穩定運作，國家機關發揮組織功能；因應全球政經情勢挑戰，協助總統</w:t>
      </w:r>
      <w:proofErr w:type="gramStart"/>
      <w:r w:rsidRPr="00BC55B4">
        <w:rPr>
          <w:rFonts w:ascii="標楷體" w:eastAsia="標楷體" w:hAnsi="標楷體" w:hint="eastAsia"/>
          <w:color w:val="000000" w:themeColor="text1"/>
          <w:sz w:val="28"/>
          <w:szCs w:val="28"/>
        </w:rPr>
        <w:t>擘</w:t>
      </w:r>
      <w:proofErr w:type="gramEnd"/>
      <w:r w:rsidRPr="00BC55B4">
        <w:rPr>
          <w:rFonts w:ascii="標楷體" w:eastAsia="標楷體" w:hAnsi="標楷體" w:hint="eastAsia"/>
          <w:color w:val="000000" w:themeColor="text1"/>
          <w:sz w:val="28"/>
          <w:szCs w:val="28"/>
        </w:rPr>
        <w:t>劃國家發展方針，經由設置任務編組、召開專案議題會議，增進社會各界參與，凝聚行動策略共識，提升政策執行效能；辦理民眾陳情業務、彙整民情，供政府做為施政參考。</w:t>
      </w:r>
    </w:p>
    <w:p w14:paraId="239ADB12" w14:textId="6F496BBE" w:rsidR="00495CAF" w:rsidRPr="00BC55B4" w:rsidRDefault="00B56581"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辦理總統施政理念及政策訊息發布：適時辦理總統、</w:t>
      </w:r>
      <w:r w:rsidR="00E921E9" w:rsidRPr="00BC55B4">
        <w:rPr>
          <w:rFonts w:ascii="標楷體" w:eastAsia="標楷體" w:hAnsi="標楷體" w:hint="eastAsia"/>
          <w:color w:val="000000" w:themeColor="text1"/>
          <w:sz w:val="28"/>
          <w:szCs w:val="28"/>
        </w:rPr>
        <w:t>總統</w:t>
      </w:r>
      <w:r w:rsidRPr="00BC55B4">
        <w:rPr>
          <w:rFonts w:ascii="標楷體" w:eastAsia="標楷體" w:hAnsi="標楷體" w:hint="eastAsia"/>
          <w:color w:val="000000" w:themeColor="text1"/>
          <w:sz w:val="28"/>
          <w:szCs w:val="28"/>
        </w:rPr>
        <w:t>府新聞記者會，處理政策訊息發布、新聞聯繫及精進「總統府全球資訊網」內容，以增進國人及國際社會對總統施政理念與國家發展之認識。</w:t>
      </w:r>
    </w:p>
    <w:p w14:paraId="1B67CAEE" w14:textId="79394CF7" w:rsidR="00495CAF" w:rsidRPr="00BC55B4" w:rsidRDefault="00B56581"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依法辦理卸任禮遇事項：依據「卸任總統副總統禮遇條例」規定，提供各項卸任禮遇事項。</w:t>
      </w:r>
    </w:p>
    <w:p w14:paraId="521D9079" w14:textId="77777777" w:rsidR="00B56581" w:rsidRPr="00BC55B4" w:rsidRDefault="00B56581"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發行總統府公報</w:t>
      </w:r>
      <w:proofErr w:type="gramStart"/>
      <w:r w:rsidRPr="00BC55B4">
        <w:rPr>
          <w:rFonts w:ascii="標楷體" w:eastAsia="標楷體" w:hAnsi="標楷體" w:hint="eastAsia"/>
          <w:color w:val="000000" w:themeColor="text1"/>
          <w:sz w:val="28"/>
          <w:szCs w:val="28"/>
        </w:rPr>
        <w:t>及鑄發機關</w:t>
      </w:r>
      <w:proofErr w:type="gramEnd"/>
      <w:r w:rsidRPr="00BC55B4">
        <w:rPr>
          <w:rFonts w:ascii="標楷體" w:eastAsia="標楷體" w:hAnsi="標楷體" w:hint="eastAsia"/>
          <w:color w:val="000000" w:themeColor="text1"/>
          <w:sz w:val="28"/>
          <w:szCs w:val="28"/>
        </w:rPr>
        <w:t>印信：發行總統府公報，使各機關公務</w:t>
      </w:r>
      <w:r w:rsidRPr="00BC55B4">
        <w:rPr>
          <w:rFonts w:ascii="標楷體" w:eastAsia="標楷體" w:hAnsi="標楷體" w:hint="eastAsia"/>
          <w:color w:val="000000" w:themeColor="text1"/>
          <w:sz w:val="28"/>
          <w:szCs w:val="28"/>
        </w:rPr>
        <w:lastRenderedPageBreak/>
        <w:t>人員與民眾對政府公布、修正及廢止法律、命令等周知遵行；依機關實際</w:t>
      </w:r>
      <w:proofErr w:type="gramStart"/>
      <w:r w:rsidRPr="00BC55B4">
        <w:rPr>
          <w:rFonts w:ascii="標楷體" w:eastAsia="標楷體" w:hAnsi="標楷體" w:hint="eastAsia"/>
          <w:color w:val="000000" w:themeColor="text1"/>
          <w:sz w:val="28"/>
          <w:szCs w:val="28"/>
        </w:rPr>
        <w:t>需要鑄發</w:t>
      </w:r>
      <w:proofErr w:type="gramEnd"/>
      <w:r w:rsidRPr="00BC55B4">
        <w:rPr>
          <w:rFonts w:ascii="標楷體" w:eastAsia="標楷體" w:hAnsi="標楷體" w:hint="eastAsia"/>
          <w:color w:val="000000" w:themeColor="text1"/>
          <w:sz w:val="28"/>
          <w:szCs w:val="28"/>
        </w:rPr>
        <w:t>印信。</w:t>
      </w:r>
    </w:p>
    <w:p w14:paraId="3404B916" w14:textId="5A3E2845" w:rsidR="00BD1456" w:rsidRPr="00BC55B4" w:rsidRDefault="00B56581" w:rsidP="00BD1456">
      <w:pPr>
        <w:numPr>
          <w:ilvl w:val="0"/>
          <w:numId w:val="32"/>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辦理授予榮典：配合總統依憲法行使榮典權，頒贈勳章予國內、外對國家或社會有勳勞之人士，以敦睦邦交、激勵國人。</w:t>
      </w:r>
    </w:p>
    <w:p w14:paraId="60C37940" w14:textId="46882B37" w:rsidR="000714AD" w:rsidRPr="00BC55B4" w:rsidRDefault="0047248D" w:rsidP="0025224E">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二、</w:t>
      </w:r>
      <w:r w:rsidRPr="00BC55B4">
        <w:rPr>
          <w:rFonts w:ascii="標楷體" w:eastAsia="標楷體" w:hAnsi="標楷體"/>
          <w:color w:val="000000" w:themeColor="text1"/>
          <w:sz w:val="28"/>
          <w:szCs w:val="28"/>
        </w:rPr>
        <w:tab/>
      </w:r>
      <w:r w:rsidR="0025224E" w:rsidRPr="00BC55B4">
        <w:rPr>
          <w:rFonts w:ascii="標楷體" w:eastAsia="標楷體" w:hAnsi="標楷體"/>
          <w:color w:val="000000" w:themeColor="text1"/>
          <w:sz w:val="28"/>
          <w:szCs w:val="28"/>
        </w:rPr>
        <w:t>國家安全會議依據憲法及國家安全會議組織法，針對當前國防、外交、兩岸關係及國家重大變故之相關事項，透過規劃</w:t>
      </w:r>
      <w:proofErr w:type="gramStart"/>
      <w:r w:rsidR="0025224E" w:rsidRPr="00BC55B4">
        <w:rPr>
          <w:rFonts w:ascii="標楷體" w:eastAsia="標楷體" w:hAnsi="標楷體"/>
          <w:color w:val="000000" w:themeColor="text1"/>
          <w:sz w:val="28"/>
          <w:szCs w:val="28"/>
        </w:rPr>
        <w:t>研</w:t>
      </w:r>
      <w:proofErr w:type="gramEnd"/>
      <w:r w:rsidR="0025224E" w:rsidRPr="00BC55B4">
        <w:rPr>
          <w:rFonts w:ascii="標楷體" w:eastAsia="標楷體" w:hAnsi="標楷體"/>
          <w:color w:val="000000" w:themeColor="text1"/>
          <w:sz w:val="28"/>
          <w:szCs w:val="28"/>
        </w:rPr>
        <w:t>議、協調整合及諮詢分析之運作方式，提供總統決策之參考。目標及重點如下：</w:t>
      </w:r>
    </w:p>
    <w:p w14:paraId="460F857C" w14:textId="530BF664" w:rsidR="00D2248C" w:rsidRPr="00BC55B4" w:rsidRDefault="0047248D" w:rsidP="0025224E">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ab/>
      </w:r>
      <w:r w:rsidR="0025224E" w:rsidRPr="00BC55B4">
        <w:rPr>
          <w:rFonts w:ascii="標楷體" w:eastAsia="標楷體" w:hAnsi="標楷體" w:hint="eastAsia"/>
          <w:color w:val="000000" w:themeColor="text1"/>
          <w:sz w:val="28"/>
          <w:szCs w:val="28"/>
        </w:rPr>
        <w:t>協助</w:t>
      </w:r>
      <w:proofErr w:type="gramStart"/>
      <w:r w:rsidR="0025224E" w:rsidRPr="00BC55B4">
        <w:rPr>
          <w:rFonts w:ascii="標楷體" w:eastAsia="標楷體" w:hAnsi="標楷體" w:hint="eastAsia"/>
          <w:color w:val="000000" w:themeColor="text1"/>
          <w:sz w:val="28"/>
          <w:szCs w:val="28"/>
        </w:rPr>
        <w:t>研</w:t>
      </w:r>
      <w:proofErr w:type="gramEnd"/>
      <w:r w:rsidR="0025224E" w:rsidRPr="00BC55B4">
        <w:rPr>
          <w:rFonts w:ascii="標楷體" w:eastAsia="標楷體" w:hAnsi="標楷體" w:hint="eastAsia"/>
          <w:color w:val="000000" w:themeColor="text1"/>
          <w:sz w:val="28"/>
          <w:szCs w:val="28"/>
        </w:rPr>
        <w:t>析國防事務及強化戰力：因應現代戰爭型態改變及國內外戰略態勢的變動，</w:t>
      </w:r>
      <w:proofErr w:type="gramStart"/>
      <w:r w:rsidR="0025224E" w:rsidRPr="00BC55B4">
        <w:rPr>
          <w:rFonts w:ascii="標楷體" w:eastAsia="標楷體" w:hAnsi="標楷體" w:hint="eastAsia"/>
          <w:color w:val="000000" w:themeColor="text1"/>
          <w:sz w:val="28"/>
          <w:szCs w:val="28"/>
        </w:rPr>
        <w:t>研</w:t>
      </w:r>
      <w:proofErr w:type="gramEnd"/>
      <w:r w:rsidR="0025224E" w:rsidRPr="00BC55B4">
        <w:rPr>
          <w:rFonts w:ascii="標楷體" w:eastAsia="標楷體" w:hAnsi="標楷體" w:hint="eastAsia"/>
          <w:color w:val="000000" w:themeColor="text1"/>
          <w:sz w:val="28"/>
          <w:szCs w:val="28"/>
        </w:rPr>
        <w:t>析國防力量與韌性，持續整合總體資源與分配，秉持新訓練、新思維、新裝備、新科技的理念，建構現代化國防戰力，以有效確保</w:t>
      </w:r>
      <w:proofErr w:type="gramStart"/>
      <w:r w:rsidR="0025224E" w:rsidRPr="00BC55B4">
        <w:rPr>
          <w:rFonts w:ascii="標楷體" w:eastAsia="標楷體" w:hAnsi="標楷體" w:hint="eastAsia"/>
          <w:color w:val="000000" w:themeColor="text1"/>
          <w:sz w:val="28"/>
          <w:szCs w:val="28"/>
        </w:rPr>
        <w:t>臺</w:t>
      </w:r>
      <w:proofErr w:type="gramEnd"/>
      <w:r w:rsidR="0025224E" w:rsidRPr="00BC55B4">
        <w:rPr>
          <w:rFonts w:ascii="標楷體" w:eastAsia="標楷體" w:hAnsi="標楷體" w:hint="eastAsia"/>
          <w:color w:val="000000" w:themeColor="text1"/>
          <w:sz w:val="28"/>
          <w:szCs w:val="28"/>
        </w:rPr>
        <w:t>海周邊安全及區域和平穩定。</w:t>
      </w:r>
    </w:p>
    <w:p w14:paraId="5C80BBD7" w14:textId="4D63F270" w:rsidR="00D2248C" w:rsidRPr="00BC55B4" w:rsidRDefault="0025224E" w:rsidP="0025224E">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協助拓展我國際參與並深化</w:t>
      </w:r>
      <w:proofErr w:type="gramStart"/>
      <w:r w:rsidRPr="00BC55B4">
        <w:rPr>
          <w:rFonts w:ascii="標楷體" w:eastAsia="標楷體" w:hAnsi="標楷體" w:hint="eastAsia"/>
          <w:color w:val="000000" w:themeColor="text1"/>
          <w:sz w:val="28"/>
          <w:szCs w:val="28"/>
        </w:rPr>
        <w:t>與友盟夥伴</w:t>
      </w:r>
      <w:proofErr w:type="gramEnd"/>
      <w:r w:rsidRPr="00BC55B4">
        <w:rPr>
          <w:rFonts w:ascii="標楷體" w:eastAsia="標楷體" w:hAnsi="標楷體" w:hint="eastAsia"/>
          <w:color w:val="000000" w:themeColor="text1"/>
          <w:sz w:val="28"/>
          <w:szCs w:val="28"/>
        </w:rPr>
        <w:t>關係：因應全球地緣政治及區域情勢變化，我國作為負責任的國際社會成員，將秉持民主、自由、人權等核心價值，強化國際合作與連結，積極參與國際組織及相關活動，並結合理念相近國家，共同強化區域安全與經貿韌性，持續擴展國際友我能量、鞏固邦交關係，並提升各項實質合作。</w:t>
      </w:r>
    </w:p>
    <w:p w14:paraId="51B3001F" w14:textId="44F3932B" w:rsidR="00D2248C" w:rsidRPr="00BC55B4" w:rsidRDefault="0025224E" w:rsidP="0025224E">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協助應處美中</w:t>
      </w:r>
      <w:proofErr w:type="gramStart"/>
      <w:r w:rsidRPr="00BC55B4">
        <w:rPr>
          <w:rFonts w:ascii="標楷體" w:eastAsia="標楷體" w:hAnsi="標楷體" w:hint="eastAsia"/>
          <w:color w:val="000000" w:themeColor="text1"/>
          <w:sz w:val="28"/>
          <w:szCs w:val="28"/>
        </w:rPr>
        <w:t>臺</w:t>
      </w:r>
      <w:proofErr w:type="gramEnd"/>
      <w:r w:rsidRPr="00BC55B4">
        <w:rPr>
          <w:rFonts w:ascii="標楷體" w:eastAsia="標楷體" w:hAnsi="標楷體" w:hint="eastAsia"/>
          <w:color w:val="000000" w:themeColor="text1"/>
          <w:sz w:val="28"/>
          <w:szCs w:val="28"/>
        </w:rPr>
        <w:t>關係及兩岸政策等事務：關注川普總統第二任期國安、外交、經貿等政策，對國際政經秩序、區域安全、美中</w:t>
      </w:r>
      <w:proofErr w:type="gramStart"/>
      <w:r w:rsidRPr="00BC55B4">
        <w:rPr>
          <w:rFonts w:ascii="標楷體" w:eastAsia="標楷體" w:hAnsi="標楷體" w:hint="eastAsia"/>
          <w:color w:val="000000" w:themeColor="text1"/>
          <w:sz w:val="28"/>
          <w:szCs w:val="28"/>
        </w:rPr>
        <w:t>臺</w:t>
      </w:r>
      <w:proofErr w:type="gramEnd"/>
      <w:r w:rsidRPr="00BC55B4">
        <w:rPr>
          <w:rFonts w:ascii="標楷體" w:eastAsia="標楷體" w:hAnsi="標楷體" w:hint="eastAsia"/>
          <w:color w:val="000000" w:themeColor="text1"/>
          <w:sz w:val="28"/>
          <w:szCs w:val="28"/>
        </w:rPr>
        <w:t>及兩岸關係之影響；掌握中國政治局勢、外部情勢、社經發展及對</w:t>
      </w:r>
      <w:proofErr w:type="gramStart"/>
      <w:r w:rsidRPr="00BC55B4">
        <w:rPr>
          <w:rFonts w:ascii="標楷體" w:eastAsia="標楷體" w:hAnsi="標楷體" w:hint="eastAsia"/>
          <w:color w:val="000000" w:themeColor="text1"/>
          <w:sz w:val="28"/>
          <w:szCs w:val="28"/>
        </w:rPr>
        <w:t>臺</w:t>
      </w:r>
      <w:proofErr w:type="gramEnd"/>
      <w:r w:rsidRPr="00BC55B4">
        <w:rPr>
          <w:rFonts w:ascii="標楷體" w:eastAsia="標楷體" w:hAnsi="標楷體" w:hint="eastAsia"/>
          <w:color w:val="000000" w:themeColor="text1"/>
          <w:sz w:val="28"/>
          <w:szCs w:val="28"/>
        </w:rPr>
        <w:t>策略；觀察印</w:t>
      </w:r>
      <w:proofErr w:type="gramStart"/>
      <w:r w:rsidRPr="00BC55B4">
        <w:rPr>
          <w:rFonts w:ascii="標楷體" w:eastAsia="標楷體" w:hAnsi="標楷體" w:hint="eastAsia"/>
          <w:color w:val="000000" w:themeColor="text1"/>
          <w:sz w:val="28"/>
          <w:szCs w:val="28"/>
        </w:rPr>
        <w:t>太</w:t>
      </w:r>
      <w:proofErr w:type="gramEnd"/>
      <w:r w:rsidRPr="00BC55B4">
        <w:rPr>
          <w:rFonts w:ascii="標楷體" w:eastAsia="標楷體" w:hAnsi="標楷體" w:hint="eastAsia"/>
          <w:color w:val="000000" w:themeColor="text1"/>
          <w:sz w:val="28"/>
          <w:szCs w:val="28"/>
        </w:rPr>
        <w:t>區域安全情勢與經貿發展；協處兩岸事務，推動兩岸健康有序交流。</w:t>
      </w:r>
    </w:p>
    <w:p w14:paraId="725B86C9" w14:textId="77777777" w:rsidR="0025224E" w:rsidRPr="00BC55B4" w:rsidRDefault="0025224E" w:rsidP="0025224E">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協助推動國家資通安全戰略：因應新興科技挑戰及複合式網路攻擊威脅，立基全社會防衛韌性的思維，提升公部門與關鍵基礎設施防護韌性；深化與國際公私部門之合作，</w:t>
      </w:r>
      <w:proofErr w:type="gramStart"/>
      <w:r w:rsidRPr="00BC55B4">
        <w:rPr>
          <w:rFonts w:ascii="標楷體" w:eastAsia="標楷體" w:hAnsi="標楷體" w:hint="eastAsia"/>
          <w:color w:val="000000" w:themeColor="text1"/>
          <w:sz w:val="28"/>
          <w:szCs w:val="28"/>
        </w:rPr>
        <w:t>加強情資分享</w:t>
      </w:r>
      <w:proofErr w:type="gramEnd"/>
      <w:r w:rsidRPr="00BC55B4">
        <w:rPr>
          <w:rFonts w:ascii="標楷體" w:eastAsia="標楷體" w:hAnsi="標楷體" w:hint="eastAsia"/>
          <w:color w:val="000000" w:themeColor="text1"/>
          <w:sz w:val="28"/>
          <w:szCs w:val="28"/>
        </w:rPr>
        <w:t>與聯防機制；大力</w:t>
      </w:r>
      <w:proofErr w:type="gramStart"/>
      <w:r w:rsidRPr="00BC55B4">
        <w:rPr>
          <w:rFonts w:ascii="標楷體" w:eastAsia="標楷體" w:hAnsi="標楷體" w:hint="eastAsia"/>
          <w:color w:val="000000" w:themeColor="text1"/>
          <w:sz w:val="28"/>
          <w:szCs w:val="28"/>
        </w:rPr>
        <w:t>培育資安人才</w:t>
      </w:r>
      <w:proofErr w:type="gramEnd"/>
      <w:r w:rsidRPr="00BC55B4">
        <w:rPr>
          <w:rFonts w:ascii="標楷體" w:eastAsia="標楷體" w:hAnsi="標楷體" w:hint="eastAsia"/>
          <w:color w:val="000000" w:themeColor="text1"/>
          <w:sz w:val="28"/>
          <w:szCs w:val="28"/>
        </w:rPr>
        <w:t>，提升國內各關鍵產業及供應鏈</w:t>
      </w:r>
      <w:proofErr w:type="gramStart"/>
      <w:r w:rsidRPr="00BC55B4">
        <w:rPr>
          <w:rFonts w:ascii="標楷體" w:eastAsia="標楷體" w:hAnsi="標楷體" w:hint="eastAsia"/>
          <w:color w:val="000000" w:themeColor="text1"/>
          <w:sz w:val="28"/>
          <w:szCs w:val="28"/>
        </w:rPr>
        <w:t>的資安防護</w:t>
      </w:r>
      <w:proofErr w:type="gramEnd"/>
      <w:r w:rsidRPr="00BC55B4">
        <w:rPr>
          <w:rFonts w:ascii="標楷體" w:eastAsia="標楷體" w:hAnsi="標楷體" w:hint="eastAsia"/>
          <w:color w:val="000000" w:themeColor="text1"/>
          <w:sz w:val="28"/>
          <w:szCs w:val="28"/>
        </w:rPr>
        <w:t>，厚實應變防禦量能；另持續</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析國內外局勢、混合戰及灰色地帶襲擾相關情境處置態樣，作為未來預警、</w:t>
      </w:r>
      <w:proofErr w:type="gramStart"/>
      <w:r w:rsidRPr="00BC55B4">
        <w:rPr>
          <w:rFonts w:ascii="標楷體" w:eastAsia="標楷體" w:hAnsi="標楷體" w:hint="eastAsia"/>
          <w:color w:val="000000" w:themeColor="text1"/>
          <w:sz w:val="28"/>
          <w:szCs w:val="28"/>
        </w:rPr>
        <w:t>預判及預</w:t>
      </w:r>
      <w:proofErr w:type="gramEnd"/>
      <w:r w:rsidRPr="00BC55B4">
        <w:rPr>
          <w:rFonts w:ascii="標楷體" w:eastAsia="標楷體" w:hAnsi="標楷體" w:hint="eastAsia"/>
          <w:color w:val="000000" w:themeColor="text1"/>
          <w:sz w:val="28"/>
          <w:szCs w:val="28"/>
        </w:rPr>
        <w:t>擬之應處作為。</w:t>
      </w:r>
    </w:p>
    <w:p w14:paraId="320E8098" w14:textId="48594442" w:rsidR="0025224E" w:rsidRPr="00BC55B4" w:rsidRDefault="0025224E" w:rsidP="0025224E">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協助</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擬戰略溝通策略及應處機制：即時因應國際情勢變化，持續強化我對國內外各式威脅預判，並協調、整合跨部門及專家學者等，共同</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擬戰略溝通應對策略及作為。</w:t>
      </w:r>
    </w:p>
    <w:p w14:paraId="41D5E6F9" w14:textId="77777777" w:rsidR="0025224E" w:rsidRPr="00BC55B4" w:rsidRDefault="0025224E" w:rsidP="0025224E">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協助深化全社會防衛韌性：為應處當前國際情勢演變及國家安全挑戰，我國須強化全民自我防衛意識，並提升社會整體韌性，以健全應對各類緊急災害能力。同時，深化與國際智庫交流合作，拓展臺</w:t>
      </w:r>
      <w:r w:rsidRPr="00BC55B4">
        <w:rPr>
          <w:rFonts w:ascii="標楷體" w:eastAsia="標楷體" w:hAnsi="標楷體" w:hint="eastAsia"/>
          <w:color w:val="000000" w:themeColor="text1"/>
          <w:sz w:val="28"/>
          <w:szCs w:val="28"/>
        </w:rPr>
        <w:lastRenderedPageBreak/>
        <w:t>灣國際參與，藉掌握國際社會政策走向與發展趨勢，據以研判國際局勢暨擬定全社會韌性政策。</w:t>
      </w:r>
    </w:p>
    <w:p w14:paraId="60D4C91C" w14:textId="78D1B8CA" w:rsidR="00050967" w:rsidRPr="00BC55B4" w:rsidRDefault="0025224E" w:rsidP="0025224E">
      <w:pPr>
        <w:numPr>
          <w:ilvl w:val="0"/>
          <w:numId w:val="33"/>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協助</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處及盤點涉及國家安全相關法制事宜，並</w:t>
      </w:r>
      <w:proofErr w:type="gramStart"/>
      <w:r w:rsidRPr="00BC55B4">
        <w:rPr>
          <w:rFonts w:ascii="標楷體" w:eastAsia="標楷體" w:hAnsi="標楷體" w:hint="eastAsia"/>
          <w:color w:val="000000" w:themeColor="text1"/>
          <w:sz w:val="28"/>
          <w:szCs w:val="28"/>
        </w:rPr>
        <w:t>蒐</w:t>
      </w:r>
      <w:proofErr w:type="gramEnd"/>
      <w:r w:rsidRPr="00BC55B4">
        <w:rPr>
          <w:rFonts w:ascii="標楷體" w:eastAsia="標楷體" w:hAnsi="標楷體" w:hint="eastAsia"/>
          <w:color w:val="000000" w:themeColor="text1"/>
          <w:sz w:val="28"/>
          <w:szCs w:val="28"/>
        </w:rPr>
        <w:t>整國際法、國際公約相關規範，以促進國安法令之完備：隨著國際情勢變化，以及人工智慧之快速發展，相關涉及國家安全之法制事項亦應與時俱進，以因應可能之威脅；藉由法規之盤點、國際法與國際公約之比較，</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處我國在面對國安威脅情況下，可採取之法令工具，並</w:t>
      </w:r>
      <w:proofErr w:type="gramStart"/>
      <w:r w:rsidRPr="00BC55B4">
        <w:rPr>
          <w:rFonts w:ascii="標楷體" w:eastAsia="標楷體" w:hAnsi="標楷體" w:hint="eastAsia"/>
          <w:color w:val="000000" w:themeColor="text1"/>
          <w:sz w:val="28"/>
          <w:szCs w:val="28"/>
        </w:rPr>
        <w:t>研擬精</w:t>
      </w:r>
      <w:proofErr w:type="gramEnd"/>
      <w:r w:rsidRPr="00BC55B4">
        <w:rPr>
          <w:rFonts w:ascii="標楷體" w:eastAsia="標楷體" w:hAnsi="標楷體" w:hint="eastAsia"/>
          <w:color w:val="000000" w:themeColor="text1"/>
          <w:sz w:val="28"/>
          <w:szCs w:val="28"/>
        </w:rPr>
        <w:t>進措施，以作為決策之參考。</w:t>
      </w:r>
    </w:p>
    <w:p w14:paraId="4297DE19" w14:textId="4C7620AD" w:rsidR="000714AD" w:rsidRPr="00BC55B4" w:rsidRDefault="001D7651" w:rsidP="00C53E78">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三</w:t>
      </w:r>
      <w:r w:rsidR="0047248D" w:rsidRPr="00BC55B4">
        <w:rPr>
          <w:rFonts w:ascii="標楷體" w:eastAsia="標楷體" w:hAnsi="標楷體"/>
          <w:color w:val="000000" w:themeColor="text1"/>
          <w:sz w:val="28"/>
          <w:szCs w:val="28"/>
        </w:rPr>
        <w:t>、</w:t>
      </w:r>
      <w:r w:rsidR="009B330D" w:rsidRPr="00BC55B4">
        <w:rPr>
          <w:rFonts w:ascii="標楷體" w:eastAsia="標楷體" w:hAnsi="標楷體"/>
          <w:color w:val="000000" w:themeColor="text1"/>
          <w:sz w:val="28"/>
          <w:szCs w:val="28"/>
        </w:rPr>
        <w:tab/>
      </w:r>
      <w:r w:rsidR="00C53E78" w:rsidRPr="00BC55B4">
        <w:rPr>
          <w:rFonts w:ascii="標楷體" w:eastAsia="標楷體" w:hAnsi="標楷體"/>
          <w:color w:val="000000" w:themeColor="text1"/>
          <w:sz w:val="28"/>
          <w:szCs w:val="28"/>
        </w:rPr>
        <w:t>國史館為落實「開放政府」與「轉型正義」之施政目標，編輯出版各類史籍與學術期刊，建置主題資料庫、強化檔案數位化、修裱維護作業及資訊管理平台，並將典藏史料文物公開流通，以供國人理解歷史及進一步之學術研究。目標及重點如下：</w:t>
      </w:r>
    </w:p>
    <w:p w14:paraId="577925B0" w14:textId="77777777" w:rsidR="00C53E78" w:rsidRPr="00BC55B4" w:rsidRDefault="00C53E78" w:rsidP="00C53E78">
      <w:pPr>
        <w:numPr>
          <w:ilvl w:val="0"/>
          <w:numId w:val="38"/>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研究修</w:t>
      </w:r>
      <w:proofErr w:type="gramStart"/>
      <w:r w:rsidRPr="00BC55B4">
        <w:rPr>
          <w:rFonts w:ascii="標楷體" w:eastAsia="標楷體" w:hAnsi="標楷體"/>
          <w:color w:val="000000" w:themeColor="text1"/>
          <w:sz w:val="28"/>
          <w:szCs w:val="28"/>
        </w:rPr>
        <w:t>纂</w:t>
      </w:r>
      <w:proofErr w:type="gramEnd"/>
      <w:r w:rsidRPr="00BC55B4">
        <w:rPr>
          <w:rFonts w:ascii="標楷體" w:eastAsia="標楷體" w:hAnsi="標楷體"/>
          <w:color w:val="000000" w:themeColor="text1"/>
          <w:sz w:val="28"/>
          <w:szCs w:val="28"/>
        </w:rPr>
        <w:t>國史，開放政府資料，</w:t>
      </w:r>
      <w:proofErr w:type="gramStart"/>
      <w:r w:rsidRPr="00BC55B4">
        <w:rPr>
          <w:rFonts w:ascii="標楷體" w:eastAsia="標楷體" w:hAnsi="標楷體"/>
          <w:color w:val="000000" w:themeColor="text1"/>
          <w:sz w:val="28"/>
          <w:szCs w:val="28"/>
        </w:rPr>
        <w:t>釐</w:t>
      </w:r>
      <w:proofErr w:type="gramEnd"/>
      <w:r w:rsidRPr="00BC55B4">
        <w:rPr>
          <w:rFonts w:ascii="標楷體" w:eastAsia="標楷體" w:hAnsi="標楷體"/>
          <w:color w:val="000000" w:themeColor="text1"/>
          <w:sz w:val="28"/>
          <w:szCs w:val="28"/>
        </w:rPr>
        <w:t>清歷史真相：研究、編纂和出版國史及總統</w:t>
      </w:r>
      <w:r w:rsidRPr="00BC55B4">
        <w:rPr>
          <w:rFonts w:ascii="標楷體" w:eastAsia="標楷體" w:hAnsi="標楷體" w:hint="eastAsia"/>
          <w:color w:val="000000" w:themeColor="text1"/>
          <w:sz w:val="28"/>
          <w:szCs w:val="28"/>
        </w:rPr>
        <w:t>、</w:t>
      </w:r>
      <w:r w:rsidRPr="00BC55B4">
        <w:rPr>
          <w:rFonts w:ascii="標楷體" w:eastAsia="標楷體" w:hAnsi="標楷體"/>
          <w:color w:val="000000" w:themeColor="text1"/>
          <w:sz w:val="28"/>
          <w:szCs w:val="28"/>
        </w:rPr>
        <w:t>副總統專書，並建置主題資料庫，以推廣運用。</w:t>
      </w:r>
    </w:p>
    <w:p w14:paraId="46352EB0" w14:textId="47AC3255" w:rsidR="00B3182F" w:rsidRPr="00BC55B4" w:rsidRDefault="00C53E78" w:rsidP="00C53E78">
      <w:pPr>
        <w:numPr>
          <w:ilvl w:val="0"/>
          <w:numId w:val="38"/>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館藏檔案史料便捷應用：辦理館藏檔案史料整理編目，增加館藏數位化數量及規劃永續典藏機制，開放數位</w:t>
      </w:r>
      <w:proofErr w:type="gramStart"/>
      <w:r w:rsidRPr="00BC55B4">
        <w:rPr>
          <w:rFonts w:ascii="標楷體" w:eastAsia="標楷體" w:hAnsi="標楷體"/>
          <w:color w:val="000000" w:themeColor="text1"/>
          <w:sz w:val="28"/>
          <w:szCs w:val="28"/>
        </w:rPr>
        <w:t>檔線上</w:t>
      </w:r>
      <w:proofErr w:type="gramEnd"/>
      <w:r w:rsidRPr="00BC55B4">
        <w:rPr>
          <w:rFonts w:ascii="標楷體" w:eastAsia="標楷體" w:hAnsi="標楷體"/>
          <w:color w:val="000000" w:themeColor="text1"/>
          <w:sz w:val="28"/>
          <w:szCs w:val="28"/>
        </w:rPr>
        <w:t>閱覽，提升閱覽服務品質。</w:t>
      </w:r>
    </w:p>
    <w:p w14:paraId="6EDCAD12" w14:textId="2F22CBA2" w:rsidR="001212ED" w:rsidRPr="00BC55B4" w:rsidRDefault="00C53E78" w:rsidP="00C53E78">
      <w:pPr>
        <w:numPr>
          <w:ilvl w:val="0"/>
          <w:numId w:val="38"/>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健全總統副總統文物管理：妥善典藏與維護文物，確保國有財產之安全，加速總統</w:t>
      </w:r>
      <w:r w:rsidRPr="00BC55B4">
        <w:rPr>
          <w:rFonts w:ascii="標楷體" w:eastAsia="標楷體" w:hAnsi="標楷體" w:hint="eastAsia"/>
          <w:color w:val="000000" w:themeColor="text1"/>
          <w:sz w:val="28"/>
          <w:szCs w:val="28"/>
        </w:rPr>
        <w:t>、</w:t>
      </w:r>
      <w:r w:rsidRPr="00BC55B4">
        <w:rPr>
          <w:rFonts w:ascii="標楷體" w:eastAsia="標楷體" w:hAnsi="標楷體"/>
          <w:color w:val="000000" w:themeColor="text1"/>
          <w:sz w:val="28"/>
          <w:szCs w:val="28"/>
        </w:rPr>
        <w:t>副總統文物編目建檔，以利開放應用。</w:t>
      </w:r>
    </w:p>
    <w:p w14:paraId="4C3D8141" w14:textId="4900373D" w:rsidR="00FD24DE" w:rsidRPr="00BC55B4" w:rsidRDefault="00125A97" w:rsidP="00C53E78">
      <w:pPr>
        <w:numPr>
          <w:ilvl w:val="0"/>
          <w:numId w:val="38"/>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ab/>
      </w:r>
      <w:r w:rsidR="00C53E78" w:rsidRPr="00BC55B4">
        <w:rPr>
          <w:rFonts w:ascii="標楷體" w:eastAsia="標楷體" w:hAnsi="標楷體"/>
          <w:color w:val="000000" w:themeColor="text1"/>
          <w:sz w:val="28"/>
          <w:szCs w:val="28"/>
        </w:rPr>
        <w:t>促進檔案文物史料之推廣應用：辦理史料採集、系列演講及館藏展示，增進民眾應用文物史料。</w:t>
      </w:r>
    </w:p>
    <w:p w14:paraId="6E946C95" w14:textId="2C4E5CA1" w:rsidR="002E4211" w:rsidRPr="00BC55B4" w:rsidRDefault="006A1B54" w:rsidP="004B2F68">
      <w:pPr>
        <w:overflowPunct w:val="0"/>
        <w:spacing w:line="440" w:lineRule="exact"/>
        <w:ind w:left="518" w:hangingChars="185" w:hanging="518"/>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四</w:t>
      </w:r>
      <w:r w:rsidR="00835D1F" w:rsidRPr="00BC55B4">
        <w:rPr>
          <w:rFonts w:ascii="標楷體" w:eastAsia="標楷體" w:hAnsi="標楷體"/>
          <w:color w:val="000000" w:themeColor="text1"/>
          <w:sz w:val="28"/>
          <w:szCs w:val="28"/>
        </w:rPr>
        <w:t>、</w:t>
      </w:r>
      <w:r w:rsidR="004B2F68" w:rsidRPr="00BC55B4">
        <w:rPr>
          <w:rFonts w:ascii="標楷體" w:eastAsia="標楷體" w:hAnsi="標楷體"/>
          <w:color w:val="000000" w:themeColor="text1"/>
          <w:sz w:val="28"/>
          <w:szCs w:val="28"/>
        </w:rPr>
        <w:t>國史館臺灣文獻館為推廣臺灣歷史文化，強</w:t>
      </w:r>
      <w:r w:rsidR="004B2F68" w:rsidRPr="00BC55B4">
        <w:rPr>
          <w:rFonts w:ascii="標楷體" w:eastAsia="標楷體" w:hAnsi="標楷體" w:hint="eastAsia"/>
          <w:color w:val="000000" w:themeColor="text1"/>
          <w:sz w:val="28"/>
          <w:szCs w:val="28"/>
        </w:rPr>
        <w:t>化</w:t>
      </w:r>
      <w:r w:rsidR="004B2F68" w:rsidRPr="00BC55B4">
        <w:rPr>
          <w:rFonts w:ascii="標楷體" w:eastAsia="標楷體" w:hAnsi="標楷體"/>
          <w:color w:val="000000" w:themeColor="text1"/>
          <w:sz w:val="28"/>
          <w:szCs w:val="28"/>
        </w:rPr>
        <w:t>館藏檔案、民俗文物之整理、建檔、數位化及裱褙修護、優化</w:t>
      </w:r>
      <w:r w:rsidR="004B2F68" w:rsidRPr="00BC55B4">
        <w:rPr>
          <w:rFonts w:ascii="標楷體" w:eastAsia="標楷體" w:hAnsi="標楷體" w:hint="eastAsia"/>
          <w:color w:val="000000" w:themeColor="text1"/>
          <w:sz w:val="28"/>
          <w:szCs w:val="28"/>
        </w:rPr>
        <w:t>及深化</w:t>
      </w:r>
      <w:r w:rsidR="004B2F68" w:rsidRPr="00BC55B4">
        <w:rPr>
          <w:rFonts w:ascii="標楷體" w:eastAsia="標楷體" w:hAnsi="標楷體"/>
          <w:color w:val="000000" w:themeColor="text1"/>
          <w:sz w:val="28"/>
          <w:szCs w:val="28"/>
        </w:rPr>
        <w:t>資料庫、出版臺灣史研究刊物，並持續進行原住民族史與客家族群史之研究。將臺灣</w:t>
      </w:r>
      <w:proofErr w:type="gramStart"/>
      <w:r w:rsidR="004B2F68" w:rsidRPr="00BC55B4">
        <w:rPr>
          <w:rFonts w:ascii="標楷體" w:eastAsia="標楷體" w:hAnsi="標楷體"/>
          <w:color w:val="000000" w:themeColor="text1"/>
          <w:sz w:val="28"/>
          <w:szCs w:val="28"/>
        </w:rPr>
        <w:t>文獻館形塑</w:t>
      </w:r>
      <w:proofErr w:type="gramEnd"/>
      <w:r w:rsidR="004B2F68" w:rsidRPr="00BC55B4">
        <w:rPr>
          <w:rFonts w:ascii="標楷體" w:eastAsia="標楷體" w:hAnsi="標楷體"/>
          <w:color w:val="000000" w:themeColor="text1"/>
          <w:sz w:val="28"/>
          <w:szCs w:val="28"/>
        </w:rPr>
        <w:t>為臺灣文獻史料</w:t>
      </w:r>
      <w:r w:rsidR="004B2F68" w:rsidRPr="00BC55B4">
        <w:rPr>
          <w:rFonts w:ascii="標楷體" w:eastAsia="標楷體" w:hAnsi="標楷體" w:hint="eastAsia"/>
          <w:color w:val="000000" w:themeColor="text1"/>
          <w:sz w:val="28"/>
          <w:szCs w:val="28"/>
        </w:rPr>
        <w:t>研究</w:t>
      </w:r>
      <w:r w:rsidR="004B2F68" w:rsidRPr="00BC55B4">
        <w:rPr>
          <w:rFonts w:ascii="標楷體" w:eastAsia="標楷體" w:hAnsi="標楷體"/>
          <w:color w:val="000000" w:themeColor="text1"/>
          <w:sz w:val="28"/>
          <w:szCs w:val="28"/>
        </w:rPr>
        <w:t>中心，提供便捷之閱覽服務及強化臺灣史研究。目標及重點如下：</w:t>
      </w:r>
    </w:p>
    <w:p w14:paraId="3A058DFC" w14:textId="77777777" w:rsidR="004B2F68" w:rsidRPr="00BC55B4" w:rsidRDefault="004B2F68" w:rsidP="004B2F68">
      <w:pPr>
        <w:numPr>
          <w:ilvl w:val="0"/>
          <w:numId w:val="35"/>
        </w:numPr>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蒐集民俗文物、文獻史料採集及強化展場營運：持續蒐集臺灣地方民俗文物、古文書、碑碣拓本、手稿、圖書、期刊、圖片、地圖、地方志書、族譜及寺廟教會等文獻史料，充實圖書館藏、強化</w:t>
      </w:r>
      <w:r w:rsidRPr="00BC55B4">
        <w:rPr>
          <w:rFonts w:ascii="標楷體" w:eastAsia="標楷體" w:hAnsi="標楷體" w:hint="eastAsia"/>
          <w:color w:val="000000" w:themeColor="text1"/>
          <w:sz w:val="28"/>
          <w:szCs w:val="28"/>
        </w:rPr>
        <w:t>館藏展示</w:t>
      </w:r>
      <w:r w:rsidRPr="00BC55B4">
        <w:rPr>
          <w:rFonts w:ascii="標楷體" w:eastAsia="標楷體" w:hAnsi="標楷體"/>
          <w:color w:val="000000" w:themeColor="text1"/>
          <w:sz w:val="28"/>
          <w:szCs w:val="28"/>
        </w:rPr>
        <w:t>。</w:t>
      </w:r>
    </w:p>
    <w:p w14:paraId="72C97A7F" w14:textId="77777777" w:rsidR="004B2F68" w:rsidRPr="00BC55B4" w:rsidRDefault="004B2F68" w:rsidP="004B2F68">
      <w:pPr>
        <w:numPr>
          <w:ilvl w:val="0"/>
          <w:numId w:val="35"/>
        </w:numPr>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加速文獻檔案整理、數位化及便捷開放應用：辦理文獻檔案蒐集、整理編目、數位化</w:t>
      </w:r>
      <w:proofErr w:type="gramStart"/>
      <w:r w:rsidRPr="00BC55B4">
        <w:rPr>
          <w:rFonts w:ascii="標楷體" w:eastAsia="標楷體" w:hAnsi="標楷體"/>
          <w:color w:val="000000" w:themeColor="text1"/>
          <w:sz w:val="28"/>
          <w:szCs w:val="28"/>
        </w:rPr>
        <w:t>及線上閱覽</w:t>
      </w:r>
      <w:proofErr w:type="gramEnd"/>
      <w:r w:rsidRPr="00BC55B4">
        <w:rPr>
          <w:rFonts w:ascii="標楷體" w:eastAsia="標楷體" w:hAnsi="標楷體"/>
          <w:color w:val="000000" w:themeColor="text1"/>
          <w:sz w:val="28"/>
          <w:szCs w:val="28"/>
        </w:rPr>
        <w:t>，提升系統功能，</w:t>
      </w:r>
      <w:r w:rsidRPr="00BC55B4">
        <w:rPr>
          <w:rFonts w:ascii="標楷體" w:eastAsia="標楷體" w:hAnsi="標楷體" w:hint="eastAsia"/>
          <w:color w:val="000000" w:themeColor="text1"/>
          <w:sz w:val="28"/>
          <w:szCs w:val="28"/>
        </w:rPr>
        <w:t>優化及深化</w:t>
      </w:r>
      <w:r w:rsidRPr="00BC55B4">
        <w:rPr>
          <w:rFonts w:ascii="標楷體" w:eastAsia="標楷體" w:hAnsi="標楷體"/>
          <w:color w:val="000000" w:themeColor="text1"/>
          <w:sz w:val="28"/>
          <w:szCs w:val="28"/>
        </w:rPr>
        <w:t>資料庫內容，</w:t>
      </w:r>
      <w:r w:rsidRPr="00BC55B4">
        <w:rPr>
          <w:rFonts w:ascii="標楷體" w:eastAsia="標楷體" w:hAnsi="標楷體" w:hint="eastAsia"/>
          <w:color w:val="000000" w:themeColor="text1"/>
          <w:sz w:val="28"/>
          <w:szCs w:val="28"/>
        </w:rPr>
        <w:t>提升</w:t>
      </w:r>
      <w:r w:rsidRPr="00BC55B4">
        <w:rPr>
          <w:rFonts w:ascii="標楷體" w:eastAsia="標楷體" w:hAnsi="標楷體"/>
          <w:color w:val="000000" w:themeColor="text1"/>
          <w:sz w:val="28"/>
          <w:szCs w:val="28"/>
        </w:rPr>
        <w:t>閱覽服務效能；妥善保存修護文獻檔案，建立良好典藏</w:t>
      </w:r>
      <w:r w:rsidRPr="00BC55B4">
        <w:rPr>
          <w:rFonts w:ascii="標楷體" w:eastAsia="標楷體" w:hAnsi="標楷體"/>
          <w:color w:val="000000" w:themeColor="text1"/>
          <w:sz w:val="28"/>
          <w:szCs w:val="28"/>
        </w:rPr>
        <w:lastRenderedPageBreak/>
        <w:t>環境；推廣文獻檔案加值應用。</w:t>
      </w:r>
    </w:p>
    <w:p w14:paraId="24AF168B" w14:textId="77777777" w:rsidR="004B2F68" w:rsidRPr="00BC55B4" w:rsidRDefault="004B2F68" w:rsidP="004B2F68">
      <w:pPr>
        <w:numPr>
          <w:ilvl w:val="0"/>
          <w:numId w:val="35"/>
        </w:numPr>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推廣臺灣歷史文獻，研究出版臺灣史、原住民族及客家</w:t>
      </w:r>
      <w:r w:rsidRPr="00BC55B4">
        <w:rPr>
          <w:rFonts w:ascii="標楷體" w:eastAsia="標楷體" w:hAnsi="標楷體" w:hint="eastAsia"/>
          <w:color w:val="000000" w:themeColor="text1"/>
          <w:sz w:val="28"/>
          <w:szCs w:val="28"/>
        </w:rPr>
        <w:t>等族群調查研究</w:t>
      </w:r>
      <w:r w:rsidRPr="00BC55B4">
        <w:rPr>
          <w:rFonts w:ascii="標楷體" w:eastAsia="標楷體" w:hAnsi="標楷體"/>
          <w:color w:val="000000" w:themeColor="text1"/>
          <w:sz w:val="28"/>
          <w:szCs w:val="28"/>
        </w:rPr>
        <w:t>專書；編輯出版《臺灣文獻》季刊；辦理系列演講、口述歷史訪談、學術研討會及獎勵出版文獻書刊，以保存臺灣文獻史料及</w:t>
      </w:r>
      <w:r w:rsidRPr="00BC55B4">
        <w:rPr>
          <w:rFonts w:ascii="標楷體" w:eastAsia="標楷體" w:hAnsi="標楷體" w:hint="eastAsia"/>
          <w:color w:val="000000" w:themeColor="text1"/>
          <w:sz w:val="28"/>
          <w:szCs w:val="28"/>
        </w:rPr>
        <w:t>各</w:t>
      </w:r>
      <w:r w:rsidRPr="00BC55B4">
        <w:rPr>
          <w:rFonts w:ascii="標楷體" w:eastAsia="標楷體" w:hAnsi="標楷體"/>
          <w:color w:val="000000" w:themeColor="text1"/>
          <w:sz w:val="28"/>
          <w:szCs w:val="28"/>
        </w:rPr>
        <w:t>族群歷史文化。</w:t>
      </w:r>
    </w:p>
    <w:p w14:paraId="0130218D" w14:textId="5D114028" w:rsidR="006A1B54" w:rsidRPr="00BC55B4" w:rsidRDefault="006A1B54" w:rsidP="00EA56B1">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五</w:t>
      </w:r>
      <w:r w:rsidR="00B963B2" w:rsidRPr="00BC55B4">
        <w:rPr>
          <w:rFonts w:ascii="標楷體" w:eastAsia="標楷體" w:hAnsi="標楷體"/>
          <w:color w:val="000000" w:themeColor="text1"/>
          <w:sz w:val="28"/>
          <w:szCs w:val="28"/>
        </w:rPr>
        <w:t>、</w:t>
      </w:r>
      <w:r w:rsidR="009B330D" w:rsidRPr="00BC55B4">
        <w:rPr>
          <w:rFonts w:ascii="標楷體" w:eastAsia="標楷體" w:hAnsi="標楷體"/>
          <w:color w:val="000000" w:themeColor="text1"/>
          <w:sz w:val="28"/>
          <w:szCs w:val="28"/>
        </w:rPr>
        <w:tab/>
      </w:r>
      <w:r w:rsidR="00EA56B1" w:rsidRPr="00BC55B4">
        <w:rPr>
          <w:rFonts w:ascii="標楷體" w:eastAsia="標楷體" w:hAnsi="標楷體"/>
          <w:color w:val="000000" w:themeColor="text1"/>
          <w:sz w:val="28"/>
          <w:szCs w:val="28"/>
        </w:rPr>
        <w:t>中央研究院（以下簡稱中研院）為全國學術研究最高機關，任務為人文及科學研究，指導、聯絡及獎勵學術研究，培養高級學術研究人才。為讓三大法定任務更貼近時代脈動，善用寶貴的國家資源，並積極回應各界對我國學術研究最高機關的期許，</w:t>
      </w:r>
      <w:r w:rsidR="00EA56B1" w:rsidRPr="00BC55B4">
        <w:rPr>
          <w:rFonts w:ascii="標楷體" w:eastAsia="標楷體" w:hAnsi="標楷體" w:hint="eastAsia"/>
          <w:color w:val="000000" w:themeColor="text1"/>
          <w:sz w:val="28"/>
          <w:szCs w:val="28"/>
        </w:rPr>
        <w:t>訂定院</w:t>
      </w:r>
      <w:proofErr w:type="gramStart"/>
      <w:r w:rsidR="00EA56B1" w:rsidRPr="00BC55B4">
        <w:rPr>
          <w:rFonts w:ascii="標楷體" w:eastAsia="標楷體" w:hAnsi="標楷體" w:hint="eastAsia"/>
          <w:color w:val="000000" w:themeColor="text1"/>
          <w:sz w:val="28"/>
          <w:szCs w:val="28"/>
        </w:rPr>
        <w:t>務</w:t>
      </w:r>
      <w:proofErr w:type="gramEnd"/>
      <w:r w:rsidR="00EA56B1" w:rsidRPr="00BC55B4">
        <w:rPr>
          <w:rFonts w:ascii="標楷體" w:eastAsia="標楷體" w:hAnsi="標楷體" w:hint="eastAsia"/>
          <w:color w:val="000000" w:themeColor="text1"/>
          <w:sz w:val="28"/>
          <w:szCs w:val="28"/>
        </w:rPr>
        <w:t>發展五大願景，「持續追求學術卓越」、「打造亞太卓越研究機構」、「回應國家與全球關鍵需求」、「推動知識傳承與公共溝通」，以及「建構負責任的AI與資料治理」</w:t>
      </w:r>
      <w:r w:rsidR="00EA56B1" w:rsidRPr="00BC55B4">
        <w:rPr>
          <w:rFonts w:ascii="標楷體" w:eastAsia="標楷體" w:hAnsi="標楷體"/>
          <w:color w:val="000000" w:themeColor="text1"/>
          <w:sz w:val="28"/>
          <w:szCs w:val="28"/>
        </w:rPr>
        <w:t>，作為院</w:t>
      </w:r>
      <w:proofErr w:type="gramStart"/>
      <w:r w:rsidR="00EA56B1" w:rsidRPr="00BC55B4">
        <w:rPr>
          <w:rFonts w:ascii="標楷體" w:eastAsia="標楷體" w:hAnsi="標楷體"/>
          <w:color w:val="000000" w:themeColor="text1"/>
          <w:sz w:val="28"/>
          <w:szCs w:val="28"/>
        </w:rPr>
        <w:t>務</w:t>
      </w:r>
      <w:proofErr w:type="gramEnd"/>
      <w:r w:rsidR="00EA56B1" w:rsidRPr="00BC55B4">
        <w:rPr>
          <w:rFonts w:ascii="標楷體" w:eastAsia="標楷體" w:hAnsi="標楷體"/>
          <w:color w:val="000000" w:themeColor="text1"/>
          <w:sz w:val="28"/>
          <w:szCs w:val="28"/>
        </w:rPr>
        <w:t>推動指南。目標及重點如下：</w:t>
      </w:r>
    </w:p>
    <w:p w14:paraId="01FBDFF7" w14:textId="77777777" w:rsidR="00EA56B1" w:rsidRPr="00BC55B4" w:rsidRDefault="00EA56B1" w:rsidP="00EA56B1">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中研院以基礎研究為核心，兼顧數理科學、生命科學及人文社會科學之均衡發展，並透過跨領域整合與國際合作，將研究成果對接國家政策、產業需求與社會關鍵議題。將持續深化跨領域合作機制，強化與國內外頂尖研究機構及大學之合作鏈結，發揮國家最高學術研究機關之功能，提升臺灣於全球學術研究之影響力與國際能見度</w:t>
      </w:r>
      <w:r w:rsidRPr="00BC55B4">
        <w:rPr>
          <w:rFonts w:ascii="標楷體" w:eastAsia="標楷體" w:hAnsi="標楷體"/>
          <w:color w:val="000000" w:themeColor="text1"/>
          <w:sz w:val="28"/>
          <w:szCs w:val="28"/>
        </w:rPr>
        <w:t>。中研院</w:t>
      </w:r>
      <w:r w:rsidRPr="00BC55B4">
        <w:rPr>
          <w:rFonts w:ascii="標楷體" w:eastAsia="標楷體" w:hAnsi="標楷體" w:hint="eastAsia"/>
          <w:color w:val="000000" w:themeColor="text1"/>
          <w:sz w:val="28"/>
          <w:szCs w:val="28"/>
        </w:rPr>
        <w:t>數理、生命及人文</w:t>
      </w:r>
      <w:proofErr w:type="gramStart"/>
      <w:r w:rsidRPr="00BC55B4">
        <w:rPr>
          <w:rFonts w:ascii="標楷體" w:eastAsia="標楷體" w:hAnsi="標楷體"/>
          <w:color w:val="000000" w:themeColor="text1"/>
          <w:sz w:val="28"/>
          <w:szCs w:val="28"/>
        </w:rPr>
        <w:t>三</w:t>
      </w:r>
      <w:proofErr w:type="gramEnd"/>
      <w:r w:rsidRPr="00BC55B4">
        <w:rPr>
          <w:rFonts w:ascii="標楷體" w:eastAsia="標楷體" w:hAnsi="標楷體"/>
          <w:color w:val="000000" w:themeColor="text1"/>
          <w:sz w:val="28"/>
          <w:szCs w:val="28"/>
        </w:rPr>
        <w:t>大學組</w:t>
      </w:r>
      <w:proofErr w:type="gramStart"/>
      <w:r w:rsidRPr="00BC55B4">
        <w:rPr>
          <w:rFonts w:ascii="標楷體" w:eastAsia="標楷體" w:hAnsi="標楷體" w:hint="eastAsia"/>
          <w:color w:val="000000" w:themeColor="text1"/>
          <w:sz w:val="28"/>
          <w:szCs w:val="28"/>
        </w:rPr>
        <w:t>116</w:t>
      </w:r>
      <w:proofErr w:type="gramEnd"/>
      <w:r w:rsidRPr="00BC55B4">
        <w:rPr>
          <w:rFonts w:ascii="標楷體" w:eastAsia="標楷體" w:hAnsi="標楷體"/>
          <w:color w:val="000000" w:themeColor="text1"/>
          <w:sz w:val="28"/>
          <w:szCs w:val="28"/>
        </w:rPr>
        <w:t>年</w:t>
      </w:r>
      <w:r w:rsidRPr="00BC55B4">
        <w:rPr>
          <w:rFonts w:ascii="標楷體" w:eastAsia="標楷體" w:hAnsi="標楷體" w:hint="eastAsia"/>
          <w:color w:val="000000" w:themeColor="text1"/>
          <w:sz w:val="28"/>
          <w:szCs w:val="28"/>
        </w:rPr>
        <w:t>度</w:t>
      </w:r>
      <w:r w:rsidRPr="00BC55B4">
        <w:rPr>
          <w:rFonts w:ascii="標楷體" w:eastAsia="標楷體" w:hAnsi="標楷體"/>
          <w:color w:val="000000" w:themeColor="text1"/>
          <w:sz w:val="28"/>
          <w:szCs w:val="28"/>
        </w:rPr>
        <w:t>研究重點</w:t>
      </w:r>
      <w:r w:rsidRPr="00BC55B4">
        <w:rPr>
          <w:rFonts w:ascii="標楷體" w:eastAsia="標楷體" w:hAnsi="標楷體" w:hint="eastAsia"/>
          <w:color w:val="000000" w:themeColor="text1"/>
          <w:sz w:val="28"/>
          <w:szCs w:val="28"/>
        </w:rPr>
        <w:t>，擇要說明</w:t>
      </w:r>
      <w:r w:rsidRPr="00BC55B4">
        <w:rPr>
          <w:rFonts w:ascii="標楷體" w:eastAsia="標楷體" w:hAnsi="標楷體"/>
          <w:color w:val="000000" w:themeColor="text1"/>
          <w:sz w:val="28"/>
          <w:szCs w:val="28"/>
        </w:rPr>
        <w:t>如下：</w:t>
      </w:r>
    </w:p>
    <w:p w14:paraId="548D9E1C" w14:textId="77777777" w:rsidR="00EA56B1" w:rsidRPr="00BC55B4" w:rsidRDefault="00EA56B1" w:rsidP="00EA56B1">
      <w:pPr>
        <w:numPr>
          <w:ilvl w:val="0"/>
          <w:numId w:val="41"/>
        </w:numPr>
        <w:tabs>
          <w:tab w:val="left" w:pos="1120"/>
        </w:tabs>
        <w:overflowPunct w:val="0"/>
        <w:spacing w:line="440" w:lineRule="exact"/>
        <w:ind w:left="1134" w:hanging="283"/>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數理科學組：</w:t>
      </w:r>
      <w:r w:rsidRPr="00BC55B4">
        <w:rPr>
          <w:rFonts w:ascii="標楷體" w:eastAsia="標楷體" w:hAnsi="標楷體" w:hint="eastAsia"/>
          <w:color w:val="000000" w:themeColor="text1"/>
          <w:sz w:val="28"/>
          <w:szCs w:val="28"/>
        </w:rPr>
        <w:t>持續深化基礎科學研究，並結合人工智慧與關鍵技術回應國家前瞻需求，重點方向包含量子科技、</w:t>
      </w:r>
      <w:proofErr w:type="gramStart"/>
      <w:r w:rsidRPr="00BC55B4">
        <w:rPr>
          <w:rFonts w:ascii="標楷體" w:eastAsia="標楷體" w:hAnsi="標楷體" w:hint="eastAsia"/>
          <w:color w:val="000000" w:themeColor="text1"/>
          <w:sz w:val="28"/>
          <w:szCs w:val="28"/>
        </w:rPr>
        <w:t>淨零永</w:t>
      </w:r>
      <w:proofErr w:type="gramEnd"/>
      <w:r w:rsidRPr="00BC55B4">
        <w:rPr>
          <w:rFonts w:ascii="標楷體" w:eastAsia="標楷體" w:hAnsi="標楷體" w:hint="eastAsia"/>
          <w:color w:val="000000" w:themeColor="text1"/>
          <w:sz w:val="28"/>
          <w:szCs w:val="28"/>
        </w:rPr>
        <w:t>續、精</w:t>
      </w:r>
      <w:proofErr w:type="gramStart"/>
      <w:r w:rsidRPr="00BC55B4">
        <w:rPr>
          <w:rFonts w:ascii="標楷體" w:eastAsia="標楷體" w:hAnsi="標楷體" w:hint="eastAsia"/>
          <w:color w:val="000000" w:themeColor="text1"/>
          <w:sz w:val="28"/>
          <w:szCs w:val="28"/>
        </w:rPr>
        <w:t>準</w:t>
      </w:r>
      <w:proofErr w:type="gramEnd"/>
      <w:r w:rsidRPr="00BC55B4">
        <w:rPr>
          <w:rFonts w:ascii="標楷體" w:eastAsia="標楷體" w:hAnsi="標楷體" w:hint="eastAsia"/>
          <w:color w:val="000000" w:themeColor="text1"/>
          <w:sz w:val="28"/>
          <w:szCs w:val="28"/>
        </w:rPr>
        <w:t>醫療、資通安全及跨領域資料科學等。數理組研究重點摘要如下：（1）數學研究所延攬頂尖人才並深化國際合作，推進表現理論、</w:t>
      </w:r>
      <w:proofErr w:type="gramStart"/>
      <w:r w:rsidRPr="00BC55B4">
        <w:rPr>
          <w:rFonts w:ascii="標楷體" w:eastAsia="標楷體" w:hAnsi="標楷體" w:hint="eastAsia"/>
          <w:color w:val="000000" w:themeColor="text1"/>
          <w:sz w:val="28"/>
          <w:szCs w:val="28"/>
        </w:rPr>
        <w:t>數論與</w:t>
      </w:r>
      <w:proofErr w:type="gramEnd"/>
      <w:r w:rsidRPr="00BC55B4">
        <w:rPr>
          <w:rFonts w:ascii="標楷體" w:eastAsia="標楷體" w:hAnsi="標楷體" w:hint="eastAsia"/>
          <w:color w:val="000000" w:themeColor="text1"/>
          <w:sz w:val="28"/>
          <w:szCs w:val="28"/>
        </w:rPr>
        <w:t>組合學、幾何與數學物理、微分方程及機率與幾何分析等領域研究；（2）物理研究所以量子科技與材料、動態系統與生命物質、中高能基礎物理為三大主軸，並結合AI計算、國際合作實驗與重力波研究；（3）化學研究所聚焦光電能源材料、合成與催化化學、化學生物學，以及AI分子模擬四大方向，支援國家永續與新藥研發；（4）地球科學研究所運用地質、地球物理與化學跨領域方法，執行火山與地震監測、深層地熱探</w:t>
      </w:r>
      <w:proofErr w:type="gramStart"/>
      <w:r w:rsidRPr="00BC55B4">
        <w:rPr>
          <w:rFonts w:ascii="標楷體" w:eastAsia="標楷體" w:hAnsi="標楷體" w:hint="eastAsia"/>
          <w:color w:val="000000" w:themeColor="text1"/>
          <w:sz w:val="28"/>
          <w:szCs w:val="28"/>
        </w:rPr>
        <w:t>勘</w:t>
      </w:r>
      <w:proofErr w:type="gramEnd"/>
      <w:r w:rsidRPr="00BC55B4">
        <w:rPr>
          <w:rFonts w:ascii="標楷體" w:eastAsia="標楷體" w:hAnsi="標楷體" w:hint="eastAsia"/>
          <w:color w:val="000000" w:themeColor="text1"/>
          <w:sz w:val="28"/>
          <w:szCs w:val="28"/>
        </w:rPr>
        <w:t>、地體構造及極端氣候碳循環研究；（5）資訊科學研究所主攻人工智慧（含多模態大語言模型、智慧醫療與YOLO即時物件偵測）及量子計算（含後量子密碼學與量子密碼理論）；（6）統計科學研究所</w:t>
      </w:r>
      <w:proofErr w:type="gramStart"/>
      <w:r w:rsidRPr="00BC55B4">
        <w:rPr>
          <w:rFonts w:ascii="標楷體" w:eastAsia="標楷體" w:hAnsi="標楷體" w:hint="eastAsia"/>
          <w:color w:val="000000" w:themeColor="text1"/>
          <w:sz w:val="28"/>
          <w:szCs w:val="28"/>
        </w:rPr>
        <w:t>開發高維度</w:t>
      </w:r>
      <w:proofErr w:type="gramEnd"/>
      <w:r w:rsidRPr="00BC55B4">
        <w:rPr>
          <w:rFonts w:ascii="標楷體" w:eastAsia="標楷體" w:hAnsi="標楷體" w:hint="eastAsia"/>
          <w:color w:val="000000" w:themeColor="text1"/>
          <w:sz w:val="28"/>
          <w:szCs w:val="28"/>
        </w:rPr>
        <w:t>與</w:t>
      </w:r>
      <w:r w:rsidRPr="00BC55B4">
        <w:rPr>
          <w:rFonts w:ascii="標楷體" w:eastAsia="標楷體" w:hAnsi="標楷體" w:hint="eastAsia"/>
          <w:color w:val="000000" w:themeColor="text1"/>
          <w:sz w:val="28"/>
          <w:szCs w:val="28"/>
        </w:rPr>
        <w:lastRenderedPageBreak/>
        <w:t>複雜資料的統計分析方法，擴充GPU</w:t>
      </w:r>
      <w:proofErr w:type="gramStart"/>
      <w:r w:rsidRPr="00BC55B4">
        <w:rPr>
          <w:rFonts w:ascii="標楷體" w:eastAsia="標楷體" w:hAnsi="標楷體" w:hint="eastAsia"/>
          <w:color w:val="000000" w:themeColor="text1"/>
          <w:sz w:val="28"/>
          <w:szCs w:val="28"/>
        </w:rPr>
        <w:t>算力平台</w:t>
      </w:r>
      <w:proofErr w:type="gramEnd"/>
      <w:r w:rsidRPr="00BC55B4">
        <w:rPr>
          <w:rFonts w:ascii="標楷體" w:eastAsia="標楷體" w:hAnsi="標楷體" w:hint="eastAsia"/>
          <w:color w:val="000000" w:themeColor="text1"/>
          <w:sz w:val="28"/>
          <w:szCs w:val="28"/>
        </w:rPr>
        <w:t>，並推進生</w:t>
      </w:r>
      <w:proofErr w:type="gramStart"/>
      <w:r w:rsidRPr="00BC55B4">
        <w:rPr>
          <w:rFonts w:ascii="標楷體" w:eastAsia="標楷體" w:hAnsi="標楷體" w:hint="eastAsia"/>
          <w:color w:val="000000" w:themeColor="text1"/>
          <w:sz w:val="28"/>
          <w:szCs w:val="28"/>
        </w:rPr>
        <w:t>醫</w:t>
      </w:r>
      <w:proofErr w:type="gramEnd"/>
      <w:r w:rsidRPr="00BC55B4">
        <w:rPr>
          <w:rFonts w:ascii="標楷體" w:eastAsia="標楷體" w:hAnsi="標楷體" w:hint="eastAsia"/>
          <w:color w:val="000000" w:themeColor="text1"/>
          <w:sz w:val="28"/>
          <w:szCs w:val="28"/>
        </w:rPr>
        <w:t>健康、氣候環境及政府政策等應用研究；（7）原子與分子科學研究所專注原子與分子精密量測，推動</w:t>
      </w:r>
      <w:proofErr w:type="gramStart"/>
      <w:r w:rsidRPr="00BC55B4">
        <w:rPr>
          <w:rFonts w:ascii="標楷體" w:eastAsia="標楷體" w:hAnsi="標楷體" w:hint="eastAsia"/>
          <w:color w:val="000000" w:themeColor="text1"/>
          <w:sz w:val="28"/>
          <w:szCs w:val="28"/>
        </w:rPr>
        <w:t>醣</w:t>
      </w:r>
      <w:proofErr w:type="gramEnd"/>
      <w:r w:rsidRPr="00BC55B4">
        <w:rPr>
          <w:rFonts w:ascii="標楷體" w:eastAsia="標楷體" w:hAnsi="標楷體" w:hint="eastAsia"/>
          <w:color w:val="000000" w:themeColor="text1"/>
          <w:sz w:val="28"/>
          <w:szCs w:val="28"/>
        </w:rPr>
        <w:t>分子結構鑑定、量子電動力學、</w:t>
      </w:r>
      <w:proofErr w:type="gramStart"/>
      <w:r w:rsidRPr="00BC55B4">
        <w:rPr>
          <w:rFonts w:ascii="標楷體" w:eastAsia="標楷體" w:hAnsi="標楷體" w:hint="eastAsia"/>
          <w:color w:val="000000" w:themeColor="text1"/>
          <w:sz w:val="28"/>
          <w:szCs w:val="28"/>
        </w:rPr>
        <w:t>雙光梳光譜</w:t>
      </w:r>
      <w:proofErr w:type="gramEnd"/>
      <w:r w:rsidRPr="00BC55B4">
        <w:rPr>
          <w:rFonts w:ascii="標楷體" w:eastAsia="標楷體" w:hAnsi="標楷體" w:hint="eastAsia"/>
          <w:color w:val="000000" w:themeColor="text1"/>
          <w:sz w:val="28"/>
          <w:szCs w:val="28"/>
        </w:rPr>
        <w:t>、活細胞</w:t>
      </w:r>
      <w:proofErr w:type="gramStart"/>
      <w:r w:rsidRPr="00BC55B4">
        <w:rPr>
          <w:rFonts w:ascii="標楷體" w:eastAsia="標楷體" w:hAnsi="標楷體" w:hint="eastAsia"/>
          <w:color w:val="000000" w:themeColor="text1"/>
          <w:sz w:val="28"/>
          <w:szCs w:val="28"/>
        </w:rPr>
        <w:t>顯微與量子</w:t>
      </w:r>
      <w:proofErr w:type="gramEnd"/>
      <w:r w:rsidRPr="00BC55B4">
        <w:rPr>
          <w:rFonts w:ascii="標楷體" w:eastAsia="標楷體" w:hAnsi="標楷體" w:hint="eastAsia"/>
          <w:color w:val="000000" w:themeColor="text1"/>
          <w:sz w:val="28"/>
          <w:szCs w:val="28"/>
        </w:rPr>
        <w:t>處理器研發；（8）天文及天文物理研究所運用ALMA、格陵蘭望遠鏡、Subaru及BURSTT等大型儀器設施與國際計畫，推進黑洞影像、宇宙學、星系與恆星形成及快速</w:t>
      </w:r>
      <w:proofErr w:type="gramStart"/>
      <w:r w:rsidRPr="00BC55B4">
        <w:rPr>
          <w:rFonts w:ascii="標楷體" w:eastAsia="標楷體" w:hAnsi="標楷體" w:hint="eastAsia"/>
          <w:color w:val="000000" w:themeColor="text1"/>
          <w:sz w:val="28"/>
          <w:szCs w:val="28"/>
        </w:rPr>
        <w:t>電波爆等觀測</w:t>
      </w:r>
      <w:proofErr w:type="gramEnd"/>
      <w:r w:rsidRPr="00BC55B4">
        <w:rPr>
          <w:rFonts w:ascii="標楷體" w:eastAsia="標楷體" w:hAnsi="標楷體" w:hint="eastAsia"/>
          <w:color w:val="000000" w:themeColor="text1"/>
          <w:sz w:val="28"/>
          <w:szCs w:val="28"/>
        </w:rPr>
        <w:t>與理論研究；（9）應用科學研究中心聚焦智慧生物工程、綠色科技及量子光電三大領域，開發AI藥物篩選、固態電池、</w:t>
      </w:r>
      <w:proofErr w:type="gramStart"/>
      <w:r w:rsidRPr="00BC55B4">
        <w:rPr>
          <w:rFonts w:ascii="標楷體" w:eastAsia="標楷體" w:hAnsi="標楷體" w:hint="eastAsia"/>
          <w:color w:val="000000" w:themeColor="text1"/>
          <w:sz w:val="28"/>
          <w:szCs w:val="28"/>
        </w:rPr>
        <w:t>熱載子</w:t>
      </w:r>
      <w:proofErr w:type="gramEnd"/>
      <w:r w:rsidRPr="00BC55B4">
        <w:rPr>
          <w:rFonts w:ascii="標楷體" w:eastAsia="標楷體" w:hAnsi="標楷體" w:hint="eastAsia"/>
          <w:color w:val="000000" w:themeColor="text1"/>
          <w:sz w:val="28"/>
          <w:szCs w:val="28"/>
        </w:rPr>
        <w:t>光催化及光量子晶片等關鍵應用技術；（10）環境變遷研究中心定版新世代臺灣地球系統模式，並針對空污影響降水、南臺灣永續健康策略及深海海藻碳</w:t>
      </w:r>
      <w:proofErr w:type="gramStart"/>
      <w:r w:rsidRPr="00BC55B4">
        <w:rPr>
          <w:rFonts w:ascii="標楷體" w:eastAsia="標楷體" w:hAnsi="標楷體" w:hint="eastAsia"/>
          <w:color w:val="000000" w:themeColor="text1"/>
          <w:sz w:val="28"/>
          <w:szCs w:val="28"/>
        </w:rPr>
        <w:t>匯</w:t>
      </w:r>
      <w:proofErr w:type="gramEnd"/>
      <w:r w:rsidRPr="00BC55B4">
        <w:rPr>
          <w:rFonts w:ascii="標楷體" w:eastAsia="標楷體" w:hAnsi="標楷體" w:hint="eastAsia"/>
          <w:color w:val="000000" w:themeColor="text1"/>
          <w:sz w:val="28"/>
          <w:szCs w:val="28"/>
        </w:rPr>
        <w:t>開展研究；（11）資訊科技創新研究中心聚焦資訊安全、</w:t>
      </w:r>
      <w:proofErr w:type="gramStart"/>
      <w:r w:rsidRPr="00BC55B4">
        <w:rPr>
          <w:rFonts w:ascii="標楷體" w:eastAsia="標楷體" w:hAnsi="標楷體" w:hint="eastAsia"/>
          <w:color w:val="000000" w:themeColor="text1"/>
          <w:sz w:val="28"/>
          <w:szCs w:val="28"/>
        </w:rPr>
        <w:t>智慧物聯網</w:t>
      </w:r>
      <w:proofErr w:type="gramEnd"/>
      <w:r w:rsidRPr="00BC55B4">
        <w:rPr>
          <w:rFonts w:ascii="標楷體" w:eastAsia="標楷體" w:hAnsi="標楷體" w:hint="eastAsia"/>
          <w:color w:val="000000" w:themeColor="text1"/>
          <w:sz w:val="28"/>
          <w:szCs w:val="28"/>
        </w:rPr>
        <w:t>及人工智慧創新應用，布局AI隱私防護、</w:t>
      </w:r>
      <w:proofErr w:type="gramStart"/>
      <w:r w:rsidRPr="00BC55B4">
        <w:rPr>
          <w:rFonts w:ascii="標楷體" w:eastAsia="標楷體" w:hAnsi="標楷體" w:hint="eastAsia"/>
          <w:color w:val="000000" w:themeColor="text1"/>
          <w:sz w:val="28"/>
          <w:szCs w:val="28"/>
        </w:rPr>
        <w:t>低功耗</w:t>
      </w:r>
      <w:proofErr w:type="gramEnd"/>
      <w:r w:rsidRPr="00BC55B4">
        <w:rPr>
          <w:rFonts w:ascii="標楷體" w:eastAsia="標楷體" w:hAnsi="標楷體" w:hint="eastAsia"/>
          <w:color w:val="000000" w:themeColor="text1"/>
          <w:sz w:val="28"/>
          <w:szCs w:val="28"/>
        </w:rPr>
        <w:t>通訊、數位孿生與綠色AI，並推進創新醫療與金融科技落地。</w:t>
      </w:r>
    </w:p>
    <w:p w14:paraId="767E05E2" w14:textId="77777777" w:rsidR="00EA56B1" w:rsidRPr="00BC55B4" w:rsidRDefault="00EA56B1" w:rsidP="00EA56B1">
      <w:pPr>
        <w:numPr>
          <w:ilvl w:val="0"/>
          <w:numId w:val="41"/>
        </w:numPr>
        <w:tabs>
          <w:tab w:val="left" w:pos="1134"/>
        </w:tabs>
        <w:overflowPunct w:val="0"/>
        <w:spacing w:line="440" w:lineRule="exact"/>
        <w:ind w:left="1134" w:hanging="283"/>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生命科學組：</w:t>
      </w:r>
      <w:r w:rsidRPr="00BC55B4">
        <w:rPr>
          <w:rFonts w:ascii="標楷體" w:eastAsia="標楷體" w:hAnsi="標楷體" w:hint="eastAsia"/>
          <w:color w:val="000000" w:themeColor="text1"/>
          <w:sz w:val="28"/>
          <w:szCs w:val="28"/>
        </w:rPr>
        <w:t>聚焦生命現象之分子機制解析與跨領域應用，重點涵蓋生技創新與新藥疫苗開發、解碼疾病機制與精</w:t>
      </w:r>
      <w:proofErr w:type="gramStart"/>
      <w:r w:rsidRPr="00BC55B4">
        <w:rPr>
          <w:rFonts w:ascii="標楷體" w:eastAsia="標楷體" w:hAnsi="標楷體" w:hint="eastAsia"/>
          <w:color w:val="000000" w:themeColor="text1"/>
          <w:sz w:val="28"/>
          <w:szCs w:val="28"/>
        </w:rPr>
        <w:t>準</w:t>
      </w:r>
      <w:proofErr w:type="gramEnd"/>
      <w:r w:rsidRPr="00BC55B4">
        <w:rPr>
          <w:rFonts w:ascii="標楷體" w:eastAsia="標楷體" w:hAnsi="標楷體" w:hint="eastAsia"/>
          <w:color w:val="000000" w:themeColor="text1"/>
          <w:sz w:val="28"/>
          <w:szCs w:val="28"/>
        </w:rPr>
        <w:t>診療、神經與再生醫學、前瞻農業生技、生態保育及因應氣候變遷的調適等面向。生命組研究重點摘要如下：（1）植物暨微生物學研究所聚焦染色體與系統生物學、細胞發育、環境逆境及植物與微生物互動研究，以提升作物抗逆境與面對病害的生長韌性；（2）細胞與個體生物學研究所解析細胞功能障礙的致病機轉、海洋生物演化機制、神經大腦迴路與幹細胞再生生物學，回應疾病治療策略與氣候變遷調適；（3）生物化學研究所以蛋白質科學與結構生物學為核心，解析宿主與微生物互動、細胞訊號傳遞、腫瘤微環境重塑及神經疾病分子探針開發；（4）分子生物研究所聚焦核酸生物學、腦發育與神經疾病、蛋白質穩定性、癌細胞增殖、細胞死亡機制、植物肥料利用率及神經科技安全；（5）生物醫學科學研究所深入神經科學、感染與免疫、心血管與代謝疾病及癌症致病機制，並</w:t>
      </w:r>
      <w:proofErr w:type="gramStart"/>
      <w:r w:rsidRPr="00BC55B4">
        <w:rPr>
          <w:rFonts w:ascii="標楷體" w:eastAsia="標楷體" w:hAnsi="標楷體" w:hint="eastAsia"/>
          <w:color w:val="000000" w:themeColor="text1"/>
          <w:sz w:val="28"/>
          <w:szCs w:val="28"/>
        </w:rPr>
        <w:t>發展奈</w:t>
      </w:r>
      <w:proofErr w:type="gramEnd"/>
      <w:r w:rsidRPr="00BC55B4">
        <w:rPr>
          <w:rFonts w:ascii="標楷體" w:eastAsia="標楷體" w:hAnsi="標楷體" w:hint="eastAsia"/>
          <w:color w:val="000000" w:themeColor="text1"/>
          <w:sz w:val="28"/>
          <w:szCs w:val="28"/>
        </w:rPr>
        <w:t>米醫學與精</w:t>
      </w:r>
      <w:proofErr w:type="gramStart"/>
      <w:r w:rsidRPr="00BC55B4">
        <w:rPr>
          <w:rFonts w:ascii="標楷體" w:eastAsia="標楷體" w:hAnsi="標楷體" w:hint="eastAsia"/>
          <w:color w:val="000000" w:themeColor="text1"/>
          <w:sz w:val="28"/>
          <w:szCs w:val="28"/>
        </w:rPr>
        <w:t>準</w:t>
      </w:r>
      <w:proofErr w:type="gramEnd"/>
      <w:r w:rsidRPr="00BC55B4">
        <w:rPr>
          <w:rFonts w:ascii="標楷體" w:eastAsia="標楷體" w:hAnsi="標楷體" w:hint="eastAsia"/>
          <w:color w:val="000000" w:themeColor="text1"/>
          <w:sz w:val="28"/>
          <w:szCs w:val="28"/>
        </w:rPr>
        <w:t>個人化醫療；（6）農業生物科技研究中心推進植物環境逆境應變、草藥有效成分鑑定與作用機制、類病毒顆粒疫苗開發，以及功能性小型生物分子機制驗證；（7）基因體研究中心跨足基因體、蛋白質體、代謝體與醣質體研究，針對癌症、傳染病、神經退化與代謝疾病開發早期診斷標記、新藥及疫苗；（8）生物多樣性</w:t>
      </w:r>
      <w:r w:rsidRPr="00BC55B4">
        <w:rPr>
          <w:rFonts w:ascii="標楷體" w:eastAsia="標楷體" w:hAnsi="標楷體" w:hint="eastAsia"/>
          <w:color w:val="000000" w:themeColor="text1"/>
          <w:sz w:val="28"/>
          <w:szCs w:val="28"/>
        </w:rPr>
        <w:lastRenderedPageBreak/>
        <w:t>研究中心結合分子技術建置遺傳基因庫，運用AI與遙測評估森林</w:t>
      </w:r>
      <w:proofErr w:type="gramStart"/>
      <w:r w:rsidRPr="00BC55B4">
        <w:rPr>
          <w:rFonts w:ascii="標楷體" w:eastAsia="標楷體" w:hAnsi="標楷體" w:hint="eastAsia"/>
          <w:color w:val="000000" w:themeColor="text1"/>
          <w:sz w:val="28"/>
          <w:szCs w:val="28"/>
        </w:rPr>
        <w:t>碳吸存</w:t>
      </w:r>
      <w:proofErr w:type="gramEnd"/>
      <w:r w:rsidRPr="00BC55B4">
        <w:rPr>
          <w:rFonts w:ascii="標楷體" w:eastAsia="標楷體" w:hAnsi="標楷體" w:hint="eastAsia"/>
          <w:color w:val="000000" w:themeColor="text1"/>
          <w:sz w:val="28"/>
          <w:szCs w:val="28"/>
        </w:rPr>
        <w:t>，並深入氣候變遷對海洋與陸域生態系之影響。</w:t>
      </w:r>
    </w:p>
    <w:p w14:paraId="7E70DFB3" w14:textId="77777777" w:rsidR="00EA56B1" w:rsidRPr="00BC55B4" w:rsidRDefault="00EA56B1" w:rsidP="00EA56B1">
      <w:pPr>
        <w:numPr>
          <w:ilvl w:val="0"/>
          <w:numId w:val="41"/>
        </w:numPr>
        <w:tabs>
          <w:tab w:val="left" w:pos="1134"/>
        </w:tabs>
        <w:overflowPunct w:val="0"/>
        <w:spacing w:line="440" w:lineRule="exact"/>
        <w:ind w:left="1134" w:hanging="283"/>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人文及社會科學組：</w:t>
      </w:r>
      <w:r w:rsidRPr="00BC55B4">
        <w:rPr>
          <w:rFonts w:ascii="標楷體" w:eastAsia="標楷體" w:hAnsi="標楷體" w:hint="eastAsia"/>
          <w:color w:val="000000" w:themeColor="text1"/>
          <w:sz w:val="28"/>
          <w:szCs w:val="28"/>
        </w:rPr>
        <w:t>持續發揮學門專長，並結合田野調查、歷史文獻、實證分析與數位人文工具，重點涵蓋</w:t>
      </w:r>
      <w:proofErr w:type="gramStart"/>
      <w:r w:rsidRPr="00BC55B4">
        <w:rPr>
          <w:rFonts w:ascii="標楷體" w:eastAsia="標楷體" w:hAnsi="標楷體" w:hint="eastAsia"/>
          <w:color w:val="000000" w:themeColor="text1"/>
          <w:sz w:val="28"/>
          <w:szCs w:val="28"/>
        </w:rPr>
        <w:t>地緣政經</w:t>
      </w:r>
      <w:proofErr w:type="gramEnd"/>
      <w:r w:rsidRPr="00BC55B4">
        <w:rPr>
          <w:rFonts w:ascii="標楷體" w:eastAsia="標楷體" w:hAnsi="標楷體" w:hint="eastAsia"/>
          <w:color w:val="000000" w:themeColor="text1"/>
          <w:sz w:val="28"/>
          <w:szCs w:val="28"/>
        </w:rPr>
        <w:t>情勢、公共政策評估、人口與社會變遷、語言文化傳承，以及科技倫理與法治等面向。人文組研究重點摘要如下：（1）歷史語言研究所深耕歷史、考古、人類學及文字學，涵蓋知識史、史前文化、醫療與宗教史、出土文獻及人工智慧在人文研究之應用</w:t>
      </w:r>
      <w:proofErr w:type="gramStart"/>
      <w:r w:rsidRPr="00BC55B4">
        <w:rPr>
          <w:rFonts w:ascii="標楷體" w:eastAsia="標楷體" w:hAnsi="標楷體" w:hint="eastAsia"/>
          <w:color w:val="000000" w:themeColor="text1"/>
          <w:sz w:val="28"/>
          <w:szCs w:val="28"/>
        </w:rPr>
        <w:t>等跨域主題</w:t>
      </w:r>
      <w:proofErr w:type="gramEnd"/>
      <w:r w:rsidRPr="00BC55B4">
        <w:rPr>
          <w:rFonts w:ascii="標楷體" w:eastAsia="標楷體" w:hAnsi="標楷體" w:hint="eastAsia"/>
          <w:color w:val="000000" w:themeColor="text1"/>
          <w:sz w:val="28"/>
          <w:szCs w:val="28"/>
        </w:rPr>
        <w:t>；（2）民族學研究所關注跨文化、南島民族與原住民族及漢人宗教研究，結合文化心理、神經科學、部落合作等研究，並積極推動社會實踐與公共關懷；（3）近代史研究所致力於近代中國、東亞及中西文化交流史研究，探究冷戰兩岸關係、抗戰、近代經濟發展與社會文化、AI歷史文本辨識等議題；（4）經濟研究所聚焦總體經濟、勞動市場、計量經濟、家庭經濟及永續發展研究，探討經濟預測、</w:t>
      </w:r>
      <w:proofErr w:type="gramStart"/>
      <w:r w:rsidRPr="00BC55B4">
        <w:rPr>
          <w:rFonts w:ascii="標楷體" w:eastAsia="標楷體" w:hAnsi="標楷體" w:hint="eastAsia"/>
          <w:color w:val="000000" w:themeColor="text1"/>
          <w:sz w:val="28"/>
          <w:szCs w:val="28"/>
        </w:rPr>
        <w:t>少子化</w:t>
      </w:r>
      <w:proofErr w:type="gramEnd"/>
      <w:r w:rsidRPr="00BC55B4">
        <w:rPr>
          <w:rFonts w:ascii="標楷體" w:eastAsia="標楷體" w:hAnsi="標楷體" w:hint="eastAsia"/>
          <w:color w:val="000000" w:themeColor="text1"/>
          <w:sz w:val="28"/>
          <w:szCs w:val="28"/>
        </w:rPr>
        <w:t>、</w:t>
      </w:r>
      <w:proofErr w:type="gramStart"/>
      <w:r w:rsidRPr="00BC55B4">
        <w:rPr>
          <w:rFonts w:ascii="標楷體" w:eastAsia="標楷體" w:hAnsi="標楷體" w:hint="eastAsia"/>
          <w:color w:val="000000" w:themeColor="text1"/>
          <w:sz w:val="28"/>
          <w:szCs w:val="28"/>
        </w:rPr>
        <w:t>淨零轉型</w:t>
      </w:r>
      <w:proofErr w:type="gramEnd"/>
      <w:r w:rsidRPr="00BC55B4">
        <w:rPr>
          <w:rFonts w:ascii="標楷體" w:eastAsia="標楷體" w:hAnsi="標楷體" w:hint="eastAsia"/>
          <w:color w:val="000000" w:themeColor="text1"/>
          <w:sz w:val="28"/>
          <w:szCs w:val="28"/>
        </w:rPr>
        <w:t>、碳定價及公共政策評估的經濟策略等範疇；（5）歐美研究所著重文化研究、語言與認知、歐盟研究、美</w:t>
      </w:r>
      <w:proofErr w:type="gramStart"/>
      <w:r w:rsidRPr="00BC55B4">
        <w:rPr>
          <w:rFonts w:ascii="標楷體" w:eastAsia="標楷體" w:hAnsi="標楷體" w:hint="eastAsia"/>
          <w:color w:val="000000" w:themeColor="text1"/>
          <w:sz w:val="28"/>
          <w:szCs w:val="28"/>
        </w:rPr>
        <w:t>臺</w:t>
      </w:r>
      <w:proofErr w:type="gramEnd"/>
      <w:r w:rsidRPr="00BC55B4">
        <w:rPr>
          <w:rFonts w:ascii="標楷體" w:eastAsia="標楷體" w:hAnsi="標楷體" w:hint="eastAsia"/>
          <w:color w:val="000000" w:themeColor="text1"/>
          <w:sz w:val="28"/>
          <w:szCs w:val="28"/>
        </w:rPr>
        <w:t>中關係及社會政策，從跨學科視角探討當代歐美社會發展、全球治理及國際局勢變遷；（6）中國文</w:t>
      </w:r>
      <w:proofErr w:type="gramStart"/>
      <w:r w:rsidRPr="00BC55B4">
        <w:rPr>
          <w:rFonts w:ascii="標楷體" w:eastAsia="標楷體" w:hAnsi="標楷體" w:hint="eastAsia"/>
          <w:color w:val="000000" w:themeColor="text1"/>
          <w:sz w:val="28"/>
          <w:szCs w:val="28"/>
        </w:rPr>
        <w:t>哲</w:t>
      </w:r>
      <w:proofErr w:type="gramEnd"/>
      <w:r w:rsidRPr="00BC55B4">
        <w:rPr>
          <w:rFonts w:ascii="標楷體" w:eastAsia="標楷體" w:hAnsi="標楷體" w:hint="eastAsia"/>
          <w:color w:val="000000" w:themeColor="text1"/>
          <w:sz w:val="28"/>
          <w:szCs w:val="28"/>
        </w:rPr>
        <w:t>研究所涵蓋古典與近現代文學、中國與比較哲學及經學文獻研究，探索感官危機、文學現代性、物思維、經典詮釋，並以異思維開創前瞻性議題；（7）臺灣史研究所以社會經濟、殖民、族群、文化、環境及海洋史為主軸，探究臺灣歷史發展與全球互動；（8）社會學研究所著眼於家庭人口、經濟、社會網絡、族群政治、宗教及長照醫療研究，結合人口變遷、AI社會分析與大型資料庫建置，深化跨國比較與公共政策研究；（9）語言學研究所推動語言田野調查與多語語料分析，深化句法、語意及音韻研究，推動語言學與計算、數位人文及認知神經科學</w:t>
      </w:r>
      <w:proofErr w:type="gramStart"/>
      <w:r w:rsidRPr="00BC55B4">
        <w:rPr>
          <w:rFonts w:ascii="標楷體" w:eastAsia="標楷體" w:hAnsi="標楷體" w:hint="eastAsia"/>
          <w:color w:val="000000" w:themeColor="text1"/>
          <w:sz w:val="28"/>
          <w:szCs w:val="28"/>
        </w:rPr>
        <w:t>之跨域整合</w:t>
      </w:r>
      <w:proofErr w:type="gramEnd"/>
      <w:r w:rsidRPr="00BC55B4">
        <w:rPr>
          <w:rFonts w:ascii="標楷體" w:eastAsia="標楷體" w:hAnsi="標楷體" w:hint="eastAsia"/>
          <w:color w:val="000000" w:themeColor="text1"/>
          <w:sz w:val="28"/>
          <w:szCs w:val="28"/>
        </w:rPr>
        <w:t>；（10）政治學研究所關注臺灣、中國及兩岸政治，國際關係、亞洲政經及政治方法，探討中共菁英政治、川普2.0與冷戰2.0、女性主義外交及民主政治極化等議題；（11）法律學研究所研究憲政人權、法律哲學、行政法制、中國大陸法制及科技法等新興主題；（12）人文社會科學研究中心整合政治思想、制度與行為、亞太區域、調查方法及地理資訊科學，發展AI倫理、</w:t>
      </w:r>
      <w:proofErr w:type="gramStart"/>
      <w:r w:rsidRPr="00BC55B4">
        <w:rPr>
          <w:rFonts w:ascii="標楷體" w:eastAsia="標楷體" w:hAnsi="標楷體" w:hint="eastAsia"/>
          <w:color w:val="000000" w:themeColor="text1"/>
          <w:sz w:val="28"/>
          <w:szCs w:val="28"/>
        </w:rPr>
        <w:t>循證治理</w:t>
      </w:r>
      <w:proofErr w:type="gramEnd"/>
      <w:r w:rsidRPr="00BC55B4">
        <w:rPr>
          <w:rFonts w:ascii="標楷體" w:eastAsia="標楷體" w:hAnsi="標楷體" w:hint="eastAsia"/>
          <w:color w:val="000000" w:themeColor="text1"/>
          <w:sz w:val="28"/>
          <w:szCs w:val="28"/>
        </w:rPr>
        <w:t>、亞際研究、多模態輿情分析等研究。</w:t>
      </w:r>
    </w:p>
    <w:p w14:paraId="1FCF4076" w14:textId="4292E4F7" w:rsidR="00EA56B1" w:rsidRPr="00BC55B4" w:rsidRDefault="00EA56B1" w:rsidP="00EA56B1">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lastRenderedPageBreak/>
        <w:t>厚植中研院各領域之研究實力：</w:t>
      </w:r>
      <w:r w:rsidRPr="00BC55B4">
        <w:rPr>
          <w:rFonts w:ascii="標楷體" w:eastAsia="標楷體" w:hAnsi="標楷體" w:hint="eastAsia"/>
          <w:color w:val="000000" w:themeColor="text1"/>
          <w:sz w:val="28"/>
          <w:szCs w:val="28"/>
        </w:rPr>
        <w:t>對應中研院發展目標，重新規劃競爭型學術研究計畫類型，建立高標準審查制度，落實經費執行的</w:t>
      </w:r>
      <w:proofErr w:type="gramStart"/>
      <w:r w:rsidRPr="00BC55B4">
        <w:rPr>
          <w:rFonts w:ascii="標楷體" w:eastAsia="標楷體" w:hAnsi="標楷體" w:hint="eastAsia"/>
          <w:color w:val="000000" w:themeColor="text1"/>
          <w:sz w:val="28"/>
          <w:szCs w:val="28"/>
        </w:rPr>
        <w:t>可問責性</w:t>
      </w:r>
      <w:proofErr w:type="gramEnd"/>
      <w:r w:rsidRPr="00BC55B4">
        <w:rPr>
          <w:rFonts w:ascii="標楷體" w:eastAsia="標楷體" w:hAnsi="標楷體" w:hint="eastAsia"/>
          <w:color w:val="000000" w:themeColor="text1"/>
          <w:sz w:val="28"/>
          <w:szCs w:val="28"/>
        </w:rPr>
        <w:t>與研究資源分配的公開性與公平性；同時，持續完善長期研究支持制度，鼓勵原創性、前瞻性及高潛力研究，並透過青年人才培育、跨世代學術傳承及跨領域合作機制，厚植中研院永續發展之研究能量。</w:t>
      </w:r>
    </w:p>
    <w:p w14:paraId="6CE8A8A2" w14:textId="72CE4EE2" w:rsidR="00EA56B1" w:rsidRPr="00BC55B4" w:rsidRDefault="00EA56B1" w:rsidP="00EA56B1">
      <w:pPr>
        <w:tabs>
          <w:tab w:val="left" w:pos="960"/>
        </w:tabs>
        <w:overflowPunct w:val="0"/>
        <w:spacing w:line="440" w:lineRule="exact"/>
        <w:ind w:left="964"/>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依計畫性質與補助規模劃分為：第一類型：穩健基礎、成就頂尖；第二類型：關鍵議題、尋求突破；第三類型：以任務導向為規劃方式。第一類型中，「深耕研究計畫」與「前瞻計畫」分別激勵致力於原創性研究的資深研究人員與具發展潛力的新世代研究人員，在穩定的經費支持下精益求精，進而開拓嶄新的知識領域；並鼓勵院內外團隊合作，整合技術與研究思維，進行具</w:t>
      </w:r>
      <w:proofErr w:type="gramStart"/>
      <w:r w:rsidRPr="00BC55B4">
        <w:rPr>
          <w:rFonts w:ascii="標楷體" w:eastAsia="標楷體" w:hAnsi="標楷體" w:hint="eastAsia"/>
          <w:color w:val="000000" w:themeColor="text1"/>
          <w:sz w:val="28"/>
          <w:szCs w:val="28"/>
        </w:rPr>
        <w:t>加乘性之</w:t>
      </w:r>
      <w:proofErr w:type="gramEnd"/>
      <w:r w:rsidRPr="00BC55B4">
        <w:rPr>
          <w:rFonts w:ascii="標楷體" w:eastAsia="標楷體" w:hAnsi="標楷體" w:hint="eastAsia"/>
          <w:color w:val="000000" w:themeColor="text1"/>
          <w:sz w:val="28"/>
          <w:szCs w:val="28"/>
        </w:rPr>
        <w:t>跨學門「主題研究計畫」。第二類型包含「關鍵突破種子計畫」與「關鍵突破研究計畫」，鼓勵研究人員藉由爭取長期穩定經費支持，凝聚資源挑戰較大規模、高風險性的研究議題，尋求創新、突破現有瓶頸，近期重點研究主題包含氣候變遷、建造高效能的量子位元、黑潮海洋能開發、大腦神經迴路變異、無合成分裂的分子及細胞調控機制、植物根部缺磷反應訊息傳遞、控制關鍵發育期的神經元RNA剪接、奈</w:t>
      </w:r>
      <w:proofErr w:type="gramStart"/>
      <w:r w:rsidRPr="00BC55B4">
        <w:rPr>
          <w:rFonts w:ascii="標楷體" w:eastAsia="標楷體" w:hAnsi="標楷體" w:hint="eastAsia"/>
          <w:color w:val="000000" w:themeColor="text1"/>
          <w:sz w:val="28"/>
          <w:szCs w:val="28"/>
        </w:rPr>
        <w:t>米尺度磁機械</w:t>
      </w:r>
      <w:proofErr w:type="gramEnd"/>
      <w:r w:rsidRPr="00BC55B4">
        <w:rPr>
          <w:rFonts w:ascii="標楷體" w:eastAsia="標楷體" w:hAnsi="標楷體" w:hint="eastAsia"/>
          <w:color w:val="000000" w:themeColor="text1"/>
          <w:sz w:val="28"/>
          <w:szCs w:val="28"/>
        </w:rPr>
        <w:t>能量轉移、細胞</w:t>
      </w:r>
      <w:proofErr w:type="gramStart"/>
      <w:r w:rsidRPr="00BC55B4">
        <w:rPr>
          <w:rFonts w:ascii="標楷體" w:eastAsia="標楷體" w:hAnsi="標楷體" w:hint="eastAsia"/>
          <w:color w:val="000000" w:themeColor="text1"/>
          <w:sz w:val="28"/>
          <w:szCs w:val="28"/>
        </w:rPr>
        <w:t>邏輯閘與細胞</w:t>
      </w:r>
      <w:proofErr w:type="gramEnd"/>
      <w:r w:rsidRPr="00BC55B4">
        <w:rPr>
          <w:rFonts w:ascii="標楷體" w:eastAsia="標楷體" w:hAnsi="標楷體" w:hint="eastAsia"/>
          <w:color w:val="000000" w:themeColor="text1"/>
          <w:sz w:val="28"/>
          <w:szCs w:val="28"/>
        </w:rPr>
        <w:t>記憶裝置、捕捉生物機器</w:t>
      </w:r>
      <w:proofErr w:type="gramStart"/>
      <w:r w:rsidRPr="00BC55B4">
        <w:rPr>
          <w:rFonts w:ascii="標楷體" w:eastAsia="標楷體" w:hAnsi="標楷體" w:hint="eastAsia"/>
          <w:color w:val="000000" w:themeColor="text1"/>
          <w:sz w:val="28"/>
          <w:szCs w:val="28"/>
        </w:rPr>
        <w:t>低溫電顯結構</w:t>
      </w:r>
      <w:proofErr w:type="gramEnd"/>
      <w:r w:rsidRPr="00BC55B4">
        <w:rPr>
          <w:rFonts w:ascii="標楷體" w:eastAsia="標楷體" w:hAnsi="標楷體" w:hint="eastAsia"/>
          <w:color w:val="000000" w:themeColor="text1"/>
          <w:sz w:val="28"/>
          <w:szCs w:val="28"/>
        </w:rPr>
        <w:t>中靈活元件的電子雲密度、清帝國對明鄭臺灣歷史記憶與族群認同的重構、數位社會的社會與政治信任等。為落實「指導、聯絡及獎勵學術研究」，提升我國整體學術研究水準，並加強中研院與大學的合作與互動，「中</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學者計畫」提供院內外優秀中生代研究人員多年願景，提出研究構想深耕落實執行，攜手成就頂尖研究。為善盡社會關鍵責任並貫徹中研院中長期政策發展，第三類型包含「永續農學計畫」、「生</w:t>
      </w:r>
      <w:proofErr w:type="gramStart"/>
      <w:r w:rsidRPr="00BC55B4">
        <w:rPr>
          <w:rFonts w:ascii="標楷體" w:eastAsia="標楷體" w:hAnsi="標楷體" w:hint="eastAsia"/>
          <w:color w:val="000000" w:themeColor="text1"/>
          <w:sz w:val="28"/>
          <w:szCs w:val="28"/>
        </w:rPr>
        <w:t>醫</w:t>
      </w:r>
      <w:proofErr w:type="gramEnd"/>
      <w:r w:rsidRPr="00BC55B4">
        <w:rPr>
          <w:rFonts w:ascii="標楷體" w:eastAsia="標楷體" w:hAnsi="標楷體" w:hint="eastAsia"/>
          <w:color w:val="000000" w:themeColor="text1"/>
          <w:sz w:val="28"/>
          <w:szCs w:val="28"/>
        </w:rPr>
        <w:t>資料科</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運用計畫」、「台灣精</w:t>
      </w:r>
      <w:proofErr w:type="gramStart"/>
      <w:r w:rsidRPr="00BC55B4">
        <w:rPr>
          <w:rFonts w:ascii="標楷體" w:eastAsia="標楷體" w:hAnsi="標楷體" w:hint="eastAsia"/>
          <w:color w:val="000000" w:themeColor="text1"/>
          <w:sz w:val="28"/>
          <w:szCs w:val="28"/>
        </w:rPr>
        <w:t>準</w:t>
      </w:r>
      <w:proofErr w:type="gramEnd"/>
      <w:r w:rsidRPr="00BC55B4">
        <w:rPr>
          <w:rFonts w:ascii="標楷體" w:eastAsia="標楷體" w:hAnsi="標楷體" w:hint="eastAsia"/>
          <w:color w:val="000000" w:themeColor="text1"/>
          <w:sz w:val="28"/>
          <w:szCs w:val="28"/>
        </w:rPr>
        <w:t>醫療計畫（</w:t>
      </w:r>
      <w:r w:rsidRPr="00BC55B4">
        <w:rPr>
          <w:rFonts w:ascii="標楷體" w:eastAsia="標楷體" w:hAnsi="標楷體"/>
          <w:color w:val="000000" w:themeColor="text1"/>
          <w:sz w:val="28"/>
          <w:szCs w:val="28"/>
        </w:rPr>
        <w:t>TPMI</w:t>
      </w:r>
      <w:r w:rsidRPr="00BC55B4">
        <w:rPr>
          <w:rFonts w:ascii="標楷體" w:eastAsia="標楷體" w:hAnsi="標楷體" w:hint="eastAsia"/>
          <w:color w:val="000000" w:themeColor="text1"/>
          <w:sz w:val="28"/>
          <w:szCs w:val="28"/>
        </w:rPr>
        <w:t>）」、「研發</w:t>
      </w:r>
      <w:r w:rsidRPr="00BC55B4">
        <w:rPr>
          <w:rFonts w:ascii="標楷體" w:eastAsia="標楷體" w:hAnsi="標楷體"/>
          <w:color w:val="000000" w:themeColor="text1"/>
          <w:sz w:val="28"/>
          <w:szCs w:val="28"/>
        </w:rPr>
        <w:t>AI</w:t>
      </w:r>
      <w:r w:rsidRPr="00BC55B4">
        <w:rPr>
          <w:rFonts w:ascii="標楷體" w:eastAsia="標楷體" w:hAnsi="標楷體" w:hint="eastAsia"/>
          <w:color w:val="000000" w:themeColor="text1"/>
          <w:sz w:val="28"/>
          <w:szCs w:val="28"/>
        </w:rPr>
        <w:t>在人文與科學研究的創新應用」、「永續科學研究計畫」、「數位人文研究計畫」、「因應流行病研究計畫」及「任務導向生技研究計畫」；因應人工智慧及數位科技快速發展，各項任務導向研究計畫持續運用</w:t>
      </w:r>
      <w:r w:rsidRPr="00BC55B4">
        <w:rPr>
          <w:rFonts w:ascii="標楷體" w:eastAsia="標楷體" w:hAnsi="標楷體"/>
          <w:color w:val="000000" w:themeColor="text1"/>
          <w:sz w:val="28"/>
          <w:szCs w:val="28"/>
        </w:rPr>
        <w:t>AI</w:t>
      </w:r>
      <w:r w:rsidRPr="00BC55B4">
        <w:rPr>
          <w:rFonts w:ascii="標楷體" w:eastAsia="標楷體" w:hAnsi="標楷體" w:hint="eastAsia"/>
          <w:color w:val="000000" w:themeColor="text1"/>
          <w:sz w:val="28"/>
          <w:szCs w:val="28"/>
        </w:rPr>
        <w:t>、大數據分析及高效能運算等數位研究工具，推動跨領域研究創新，並兼顧研究倫理、資料治理、隱私保護及社會信任，促進科技創新與責任治理並進。其中「研發AI在人文與科學研究的創新應用」計畫，著重推</w:t>
      </w:r>
      <w:r w:rsidRPr="00BC55B4">
        <w:rPr>
          <w:rFonts w:ascii="標楷體" w:eastAsia="標楷體" w:hAnsi="標楷體" w:hint="eastAsia"/>
          <w:color w:val="000000" w:themeColor="text1"/>
          <w:sz w:val="28"/>
          <w:szCs w:val="28"/>
        </w:rPr>
        <w:lastRenderedPageBreak/>
        <w:t>動AI的創新與應用，及關注AI所衍生之風險及相關規範議題，「生</w:t>
      </w:r>
      <w:proofErr w:type="gramStart"/>
      <w:r w:rsidRPr="00BC55B4">
        <w:rPr>
          <w:rFonts w:ascii="標楷體" w:eastAsia="標楷體" w:hAnsi="標楷體" w:hint="eastAsia"/>
          <w:color w:val="000000" w:themeColor="text1"/>
          <w:sz w:val="28"/>
          <w:szCs w:val="28"/>
        </w:rPr>
        <w:t>醫</w:t>
      </w:r>
      <w:proofErr w:type="gramEnd"/>
      <w:r w:rsidRPr="00BC55B4">
        <w:rPr>
          <w:rFonts w:ascii="標楷體" w:eastAsia="標楷體" w:hAnsi="標楷體" w:hint="eastAsia"/>
          <w:color w:val="000000" w:themeColor="text1"/>
          <w:sz w:val="28"/>
          <w:szCs w:val="28"/>
        </w:rPr>
        <w:t>資料科</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運用計畫」在研究層面主要運用中研院已建構的生</w:t>
      </w:r>
      <w:proofErr w:type="gramStart"/>
      <w:r w:rsidRPr="00BC55B4">
        <w:rPr>
          <w:rFonts w:ascii="標楷體" w:eastAsia="標楷體" w:hAnsi="標楷體" w:hint="eastAsia"/>
          <w:color w:val="000000" w:themeColor="text1"/>
          <w:sz w:val="28"/>
          <w:szCs w:val="28"/>
        </w:rPr>
        <w:t>醫</w:t>
      </w:r>
      <w:proofErr w:type="gramEnd"/>
      <w:r w:rsidRPr="00BC55B4">
        <w:rPr>
          <w:rFonts w:ascii="標楷體" w:eastAsia="標楷體" w:hAnsi="標楷體" w:hint="eastAsia"/>
          <w:color w:val="000000" w:themeColor="text1"/>
          <w:sz w:val="28"/>
          <w:szCs w:val="28"/>
        </w:rPr>
        <w:t>大數據，挖掘與國人常見疾病的基因變異，以找出更適合的治療方式或分子診斷，在法規層面，則依循現行法規架構並配合人體生物資料庫管理條例修法進程，建置符合倫理原則的資料治理制度，並</w:t>
      </w:r>
      <w:proofErr w:type="gramStart"/>
      <w:r w:rsidRPr="00BC55B4">
        <w:rPr>
          <w:rFonts w:ascii="標楷體" w:eastAsia="標楷體" w:hAnsi="標楷體" w:hint="eastAsia"/>
          <w:color w:val="000000" w:themeColor="text1"/>
          <w:sz w:val="28"/>
          <w:szCs w:val="28"/>
        </w:rPr>
        <w:t>強化資安機制</w:t>
      </w:r>
      <w:proofErr w:type="gramEnd"/>
      <w:r w:rsidRPr="00BC55B4">
        <w:rPr>
          <w:rFonts w:ascii="標楷體" w:eastAsia="標楷體" w:hAnsi="標楷體" w:hint="eastAsia"/>
          <w:color w:val="000000" w:themeColor="text1"/>
          <w:sz w:val="28"/>
          <w:szCs w:val="28"/>
        </w:rPr>
        <w:t>，以助研究者在可信且安全的環境下，有效利用生</w:t>
      </w:r>
      <w:proofErr w:type="gramStart"/>
      <w:r w:rsidRPr="00BC55B4">
        <w:rPr>
          <w:rFonts w:ascii="標楷體" w:eastAsia="標楷體" w:hAnsi="標楷體" w:hint="eastAsia"/>
          <w:color w:val="000000" w:themeColor="text1"/>
          <w:sz w:val="28"/>
          <w:szCs w:val="28"/>
        </w:rPr>
        <w:t>醫</w:t>
      </w:r>
      <w:proofErr w:type="gramEnd"/>
      <w:r w:rsidRPr="00BC55B4">
        <w:rPr>
          <w:rFonts w:ascii="標楷體" w:eastAsia="標楷體" w:hAnsi="標楷體" w:hint="eastAsia"/>
          <w:color w:val="000000" w:themeColor="text1"/>
          <w:sz w:val="28"/>
          <w:szCs w:val="28"/>
        </w:rPr>
        <w:t>大數據提供科學證據，進而促進生</w:t>
      </w:r>
      <w:proofErr w:type="gramStart"/>
      <w:r w:rsidRPr="00BC55B4">
        <w:rPr>
          <w:rFonts w:ascii="標楷體" w:eastAsia="標楷體" w:hAnsi="標楷體" w:hint="eastAsia"/>
          <w:color w:val="000000" w:themeColor="text1"/>
          <w:sz w:val="28"/>
          <w:szCs w:val="28"/>
        </w:rPr>
        <w:t>醫</w:t>
      </w:r>
      <w:proofErr w:type="gramEnd"/>
      <w:r w:rsidRPr="00BC55B4">
        <w:rPr>
          <w:rFonts w:ascii="標楷體" w:eastAsia="標楷體" w:hAnsi="標楷體" w:hint="eastAsia"/>
          <w:color w:val="000000" w:themeColor="text1"/>
          <w:sz w:val="28"/>
          <w:szCs w:val="28"/>
        </w:rPr>
        <w:t>研究發展。</w:t>
      </w:r>
    </w:p>
    <w:p w14:paraId="2031D413" w14:textId="252E450A" w:rsidR="00FC6DFA" w:rsidRPr="00BC55B4" w:rsidRDefault="003D6325" w:rsidP="003D632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學術論文及專書發表：</w:t>
      </w:r>
      <w:r w:rsidRPr="00BC55B4">
        <w:rPr>
          <w:rFonts w:ascii="標楷體" w:eastAsia="標楷體" w:hAnsi="標楷體" w:hint="eastAsia"/>
          <w:color w:val="000000" w:themeColor="text1"/>
          <w:sz w:val="28"/>
          <w:szCs w:val="28"/>
        </w:rPr>
        <w:t>持續精進發表的論文篇數及品質，根據基本科學指標（</w:t>
      </w:r>
      <w:r w:rsidRPr="00BC55B4">
        <w:rPr>
          <w:rFonts w:ascii="標楷體" w:eastAsia="標楷體" w:hAnsi="標楷體"/>
          <w:color w:val="000000" w:themeColor="text1"/>
          <w:sz w:val="28"/>
          <w:szCs w:val="28"/>
        </w:rPr>
        <w:t>ESI</w:t>
      </w:r>
      <w:r w:rsidRPr="00BC55B4">
        <w:rPr>
          <w:rFonts w:ascii="標楷體" w:eastAsia="標楷體" w:hAnsi="標楷體" w:hint="eastAsia"/>
          <w:color w:val="000000" w:themeColor="text1"/>
          <w:sz w:val="28"/>
          <w:szCs w:val="28"/>
        </w:rPr>
        <w:t>）資料庫統計世界各學術機構論文被引用次數排名（自</w:t>
      </w:r>
      <w:r w:rsidRPr="00BC55B4">
        <w:rPr>
          <w:rFonts w:ascii="標楷體" w:eastAsia="標楷體" w:hAnsi="標楷體"/>
          <w:color w:val="000000" w:themeColor="text1"/>
          <w:sz w:val="28"/>
          <w:szCs w:val="28"/>
        </w:rPr>
        <w:t>10</w:t>
      </w:r>
      <w:r w:rsidRPr="00BC55B4">
        <w:rPr>
          <w:rFonts w:ascii="標楷體" w:eastAsia="標楷體" w:hAnsi="標楷體" w:hint="eastAsia"/>
          <w:color w:val="000000" w:themeColor="text1"/>
          <w:sz w:val="28"/>
          <w:szCs w:val="28"/>
        </w:rPr>
        <w:t>4年</w:t>
      </w:r>
      <w:r w:rsidRPr="00BC55B4">
        <w:rPr>
          <w:rFonts w:ascii="標楷體" w:eastAsia="標楷體" w:hAnsi="標楷體"/>
          <w:color w:val="000000" w:themeColor="text1"/>
          <w:sz w:val="28"/>
          <w:szCs w:val="28"/>
        </w:rPr>
        <w:t>1</w:t>
      </w:r>
      <w:r w:rsidRPr="00BC55B4">
        <w:rPr>
          <w:rFonts w:ascii="標楷體" w:eastAsia="標楷體" w:hAnsi="標楷體" w:hint="eastAsia"/>
          <w:color w:val="000000" w:themeColor="text1"/>
          <w:sz w:val="28"/>
          <w:szCs w:val="28"/>
        </w:rPr>
        <w:t>月</w:t>
      </w:r>
      <w:r w:rsidRPr="00BC55B4">
        <w:rPr>
          <w:rFonts w:ascii="標楷體" w:eastAsia="標楷體" w:hAnsi="標楷體"/>
          <w:color w:val="000000" w:themeColor="text1"/>
          <w:sz w:val="28"/>
          <w:szCs w:val="28"/>
        </w:rPr>
        <w:t>1</w:t>
      </w:r>
      <w:r w:rsidRPr="00BC55B4">
        <w:rPr>
          <w:rFonts w:ascii="標楷體" w:eastAsia="標楷體" w:hAnsi="標楷體" w:hint="eastAsia"/>
          <w:color w:val="000000" w:themeColor="text1"/>
          <w:sz w:val="28"/>
          <w:szCs w:val="28"/>
        </w:rPr>
        <w:t>日至</w:t>
      </w:r>
      <w:r w:rsidRPr="00BC55B4">
        <w:rPr>
          <w:rFonts w:ascii="標楷體" w:eastAsia="標楷體" w:hAnsi="標楷體"/>
          <w:color w:val="000000" w:themeColor="text1"/>
          <w:sz w:val="28"/>
          <w:szCs w:val="28"/>
        </w:rPr>
        <w:t>11</w:t>
      </w:r>
      <w:r w:rsidRPr="00BC55B4">
        <w:rPr>
          <w:rFonts w:ascii="標楷體" w:eastAsia="標楷體" w:hAnsi="標楷體" w:hint="eastAsia"/>
          <w:color w:val="000000" w:themeColor="text1"/>
          <w:sz w:val="28"/>
          <w:szCs w:val="28"/>
        </w:rPr>
        <w:t>4年</w:t>
      </w:r>
      <w:r w:rsidRPr="00BC55B4">
        <w:rPr>
          <w:rFonts w:ascii="標楷體" w:eastAsia="標楷體" w:hAnsi="標楷體"/>
          <w:color w:val="000000" w:themeColor="text1"/>
          <w:sz w:val="28"/>
          <w:szCs w:val="28"/>
        </w:rPr>
        <w:t>12</w:t>
      </w:r>
      <w:r w:rsidRPr="00BC55B4">
        <w:rPr>
          <w:rFonts w:ascii="標楷體" w:eastAsia="標楷體" w:hAnsi="標楷體" w:hint="eastAsia"/>
          <w:color w:val="000000" w:themeColor="text1"/>
          <w:sz w:val="28"/>
          <w:szCs w:val="28"/>
        </w:rPr>
        <w:t>月</w:t>
      </w:r>
      <w:r w:rsidRPr="00BC55B4">
        <w:rPr>
          <w:rFonts w:ascii="標楷體" w:eastAsia="標楷體" w:hAnsi="標楷體"/>
          <w:color w:val="000000" w:themeColor="text1"/>
          <w:sz w:val="28"/>
          <w:szCs w:val="28"/>
        </w:rPr>
        <w:t>31</w:t>
      </w:r>
      <w:r w:rsidRPr="00BC55B4">
        <w:rPr>
          <w:rFonts w:ascii="標楷體" w:eastAsia="標楷體" w:hAnsi="標楷體" w:hint="eastAsia"/>
          <w:color w:val="000000" w:themeColor="text1"/>
          <w:sz w:val="28"/>
          <w:szCs w:val="28"/>
        </w:rPr>
        <w:t>日），在</w:t>
      </w:r>
      <w:r w:rsidRPr="00BC55B4">
        <w:rPr>
          <w:rFonts w:ascii="標楷體" w:eastAsia="標楷體" w:hAnsi="標楷體"/>
          <w:color w:val="000000" w:themeColor="text1"/>
          <w:sz w:val="28"/>
          <w:szCs w:val="28"/>
        </w:rPr>
        <w:t>ESI</w:t>
      </w:r>
      <w:r w:rsidRPr="00BC55B4">
        <w:rPr>
          <w:rFonts w:ascii="標楷體" w:eastAsia="標楷體" w:hAnsi="標楷體" w:hint="eastAsia"/>
          <w:color w:val="000000" w:themeColor="text1"/>
          <w:sz w:val="28"/>
          <w:szCs w:val="28"/>
        </w:rPr>
        <w:t>資料庫所收錄的</w:t>
      </w:r>
      <w:r w:rsidRPr="00BC55B4">
        <w:rPr>
          <w:rFonts w:ascii="標楷體" w:eastAsia="標楷體" w:hAnsi="標楷體"/>
          <w:color w:val="000000" w:themeColor="text1"/>
          <w:sz w:val="28"/>
          <w:szCs w:val="28"/>
        </w:rPr>
        <w:t>22</w:t>
      </w:r>
      <w:r w:rsidRPr="00BC55B4">
        <w:rPr>
          <w:rFonts w:ascii="標楷體" w:eastAsia="標楷體" w:hAnsi="標楷體" w:hint="eastAsia"/>
          <w:color w:val="000000" w:themeColor="text1"/>
          <w:sz w:val="28"/>
          <w:szCs w:val="28"/>
        </w:rPr>
        <w:t>個學科領域中，中研院共有</w:t>
      </w:r>
      <w:r w:rsidRPr="00BC55B4">
        <w:rPr>
          <w:rFonts w:ascii="標楷體" w:eastAsia="標楷體" w:hAnsi="標楷體"/>
          <w:color w:val="000000" w:themeColor="text1"/>
          <w:sz w:val="28"/>
          <w:szCs w:val="28"/>
        </w:rPr>
        <w:t>17</w:t>
      </w:r>
      <w:r w:rsidRPr="00BC55B4">
        <w:rPr>
          <w:rFonts w:ascii="標楷體" w:eastAsia="標楷體" w:hAnsi="標楷體" w:hint="eastAsia"/>
          <w:color w:val="000000" w:themeColor="text1"/>
          <w:sz w:val="28"/>
          <w:szCs w:val="28"/>
        </w:rPr>
        <w:t>個領域之期刊論文被引用次數進入該領域前</w:t>
      </w:r>
      <w:r w:rsidRPr="00BC55B4">
        <w:rPr>
          <w:rFonts w:ascii="標楷體" w:eastAsia="標楷體" w:hAnsi="標楷體"/>
          <w:color w:val="000000" w:themeColor="text1"/>
          <w:sz w:val="28"/>
          <w:szCs w:val="28"/>
        </w:rPr>
        <w:t>1</w:t>
      </w:r>
      <w:r w:rsidRPr="00BC55B4">
        <w:rPr>
          <w:rFonts w:ascii="標楷體" w:eastAsia="標楷體" w:hAnsi="標楷體" w:hint="eastAsia"/>
          <w:color w:val="000000" w:themeColor="text1"/>
          <w:sz w:val="28"/>
          <w:szCs w:val="28"/>
        </w:rPr>
        <w:t>％，而各單位亦就其學術領域，建立專業的規章，出版學術期刊及專書（論文集）</w:t>
      </w:r>
      <w:r w:rsidRPr="00BC55B4">
        <w:rPr>
          <w:rFonts w:ascii="標楷體" w:eastAsia="標楷體" w:hAnsi="標楷體"/>
          <w:color w:val="000000" w:themeColor="text1"/>
          <w:sz w:val="28"/>
          <w:szCs w:val="28"/>
        </w:rPr>
        <w:t>。</w:t>
      </w:r>
    </w:p>
    <w:p w14:paraId="7F584F95" w14:textId="77777777" w:rsidR="003D6325" w:rsidRPr="00BC55B4" w:rsidRDefault="003D6325" w:rsidP="003D632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辦理</w:t>
      </w:r>
      <w:proofErr w:type="gramStart"/>
      <w:r w:rsidRPr="00BC55B4">
        <w:rPr>
          <w:rFonts w:ascii="標楷體" w:eastAsia="標楷體" w:hAnsi="標楷體"/>
          <w:color w:val="000000" w:themeColor="text1"/>
          <w:sz w:val="28"/>
          <w:szCs w:val="28"/>
        </w:rPr>
        <w:t>全院性核心</w:t>
      </w:r>
      <w:proofErr w:type="gramEnd"/>
      <w:r w:rsidRPr="00BC55B4">
        <w:rPr>
          <w:rFonts w:ascii="標楷體" w:eastAsia="標楷體" w:hAnsi="標楷體"/>
          <w:color w:val="000000" w:themeColor="text1"/>
          <w:sz w:val="28"/>
          <w:szCs w:val="28"/>
        </w:rPr>
        <w:t>設施及新創儀器計畫：</w:t>
      </w:r>
      <w:r w:rsidRPr="00BC55B4">
        <w:rPr>
          <w:rFonts w:ascii="標楷體" w:eastAsia="標楷體" w:hAnsi="標楷體" w:hint="eastAsia"/>
          <w:color w:val="000000" w:themeColor="text1"/>
          <w:sz w:val="28"/>
          <w:szCs w:val="28"/>
        </w:rPr>
        <w:t>多元、完善且有效營運的核心設施為支持尖端科技研發之關鍵，中研院持續建置具國際水準之</w:t>
      </w:r>
      <w:proofErr w:type="gramStart"/>
      <w:r w:rsidRPr="00BC55B4">
        <w:rPr>
          <w:rFonts w:ascii="標楷體" w:eastAsia="標楷體" w:hAnsi="標楷體" w:hint="eastAsia"/>
          <w:color w:val="000000" w:themeColor="text1"/>
          <w:sz w:val="28"/>
          <w:szCs w:val="28"/>
        </w:rPr>
        <w:t>全院性核心</w:t>
      </w:r>
      <w:proofErr w:type="gramEnd"/>
      <w:r w:rsidRPr="00BC55B4">
        <w:rPr>
          <w:rFonts w:ascii="標楷體" w:eastAsia="標楷體" w:hAnsi="標楷體" w:hint="eastAsia"/>
          <w:color w:val="000000" w:themeColor="text1"/>
          <w:sz w:val="28"/>
          <w:szCs w:val="28"/>
        </w:rPr>
        <w:t>設施，由高階技術團隊提供儀器操作、技術支援、進階數據分析及實驗設計諮詢等多面向服務，並致力於提供跨領域研究及國際合作研究之支援能量，以建構具國際競爭力的研究環境。中研院亦鼓勵前述核心設施開放服務院外學</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界研究人員，並自113年6月起將</w:t>
      </w:r>
      <w:proofErr w:type="gramStart"/>
      <w:r w:rsidRPr="00BC55B4">
        <w:rPr>
          <w:rFonts w:ascii="標楷體" w:eastAsia="標楷體" w:hAnsi="標楷體" w:hint="eastAsia"/>
          <w:color w:val="000000" w:themeColor="text1"/>
          <w:sz w:val="28"/>
          <w:szCs w:val="28"/>
        </w:rPr>
        <w:t>全院性核心</w:t>
      </w:r>
      <w:proofErr w:type="gramEnd"/>
      <w:r w:rsidRPr="00BC55B4">
        <w:rPr>
          <w:rFonts w:ascii="標楷體" w:eastAsia="標楷體" w:hAnsi="標楷體" w:hint="eastAsia"/>
          <w:color w:val="000000" w:themeColor="text1"/>
          <w:sz w:val="28"/>
          <w:szCs w:val="28"/>
        </w:rPr>
        <w:t>設施對全國學</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界服務收費標準一致化，以落實研究資源共享及有效運用，藉此提升全國整體學術研究水準。</w:t>
      </w:r>
    </w:p>
    <w:p w14:paraId="3C94BE79" w14:textId="3220B268" w:rsidR="00FC6DFA" w:rsidRPr="00BC55B4" w:rsidRDefault="003D6325" w:rsidP="003D632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強化人工智慧應用</w:t>
      </w:r>
      <w:proofErr w:type="gramStart"/>
      <w:r w:rsidRPr="00BC55B4">
        <w:rPr>
          <w:rFonts w:ascii="標楷體" w:eastAsia="標楷體" w:hAnsi="標楷體" w:hint="eastAsia"/>
          <w:color w:val="000000" w:themeColor="text1"/>
          <w:sz w:val="28"/>
          <w:szCs w:val="28"/>
        </w:rPr>
        <w:t>與算力</w:t>
      </w:r>
      <w:proofErr w:type="gramEnd"/>
      <w:r w:rsidRPr="00BC55B4">
        <w:rPr>
          <w:rFonts w:ascii="標楷體" w:eastAsia="標楷體" w:hAnsi="標楷體" w:hint="eastAsia"/>
          <w:color w:val="000000" w:themeColor="text1"/>
          <w:sz w:val="28"/>
          <w:szCs w:val="28"/>
        </w:rPr>
        <w:t>建置：緊扣全球科技趨勢，積極構建以GPU為核心的高效能運算環境，致力打造穩健的AI運算服務體系，作為推動頂尖學術研究及提高行政效能的堅實後盾；在學術研究方面，除於各領域推動AI相關研究計畫外，將強化運算基礎設施，擴充核心運算資源，支撐在人工智慧、生命科學、環境變遷及人文學科等關鍵領域的跨學科整合研究，使中研院具備強大的學術研究韌性，並奠定因應尖端科</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挑戰的基石，進一步鞏固在國際科</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領域的核心競爭力；在行政業務面，透過逐步</w:t>
      </w:r>
      <w:proofErr w:type="gramStart"/>
      <w:r w:rsidRPr="00BC55B4">
        <w:rPr>
          <w:rFonts w:ascii="標楷體" w:eastAsia="標楷體" w:hAnsi="標楷體" w:hint="eastAsia"/>
          <w:color w:val="000000" w:themeColor="text1"/>
          <w:sz w:val="28"/>
          <w:szCs w:val="28"/>
        </w:rPr>
        <w:t>導入全地端</w:t>
      </w:r>
      <w:proofErr w:type="gramEnd"/>
      <w:r w:rsidRPr="00BC55B4">
        <w:rPr>
          <w:rFonts w:ascii="標楷體" w:eastAsia="標楷體" w:hAnsi="標楷體" w:hint="eastAsia"/>
          <w:color w:val="000000" w:themeColor="text1"/>
          <w:sz w:val="28"/>
          <w:szCs w:val="28"/>
        </w:rPr>
        <w:t>的大語言模型服務、</w:t>
      </w:r>
      <w:proofErr w:type="spellStart"/>
      <w:r w:rsidRPr="00BC55B4">
        <w:rPr>
          <w:rFonts w:ascii="標楷體" w:eastAsia="標楷體" w:hAnsi="標楷體" w:hint="eastAsia"/>
          <w:color w:val="000000" w:themeColor="text1"/>
          <w:sz w:val="28"/>
          <w:szCs w:val="28"/>
        </w:rPr>
        <w:t>AI</w:t>
      </w:r>
      <w:proofErr w:type="spellEnd"/>
      <w:proofErr w:type="gramStart"/>
      <w:r w:rsidRPr="00BC55B4">
        <w:rPr>
          <w:rFonts w:ascii="標楷體" w:eastAsia="標楷體" w:hAnsi="標楷體" w:hint="eastAsia"/>
          <w:color w:val="000000" w:themeColor="text1"/>
          <w:sz w:val="28"/>
          <w:szCs w:val="28"/>
        </w:rPr>
        <w:t>逐字稿服務</w:t>
      </w:r>
      <w:proofErr w:type="gramEnd"/>
      <w:r w:rsidRPr="00BC55B4">
        <w:rPr>
          <w:rFonts w:ascii="標楷體" w:eastAsia="標楷體" w:hAnsi="標楷體" w:hint="eastAsia"/>
          <w:color w:val="000000" w:themeColor="text1"/>
          <w:sz w:val="28"/>
          <w:szCs w:val="28"/>
        </w:rPr>
        <w:t>以及AI智慧問答機器人等應用工具，精進公務執行效能與服務品質，以優質行政服務為學術研究發展提供全方位支援。</w:t>
      </w:r>
    </w:p>
    <w:p w14:paraId="777957EB" w14:textId="77777777" w:rsidR="003D6325" w:rsidRPr="00BC55B4" w:rsidRDefault="003D6325" w:rsidP="003D632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跨國合作及國際參與：為與國際學術研究趨勢接軌，中研院致力於</w:t>
      </w:r>
      <w:r w:rsidRPr="00BC55B4">
        <w:rPr>
          <w:rFonts w:ascii="標楷體" w:eastAsia="標楷體" w:hAnsi="標楷體"/>
          <w:color w:val="000000" w:themeColor="text1"/>
          <w:sz w:val="28"/>
          <w:szCs w:val="28"/>
        </w:rPr>
        <w:lastRenderedPageBreak/>
        <w:t>推動國際學術交流，藉由積極國際組織參與、執行跨國研究合作計畫、推展學</w:t>
      </w:r>
      <w:proofErr w:type="gramStart"/>
      <w:r w:rsidRPr="00BC55B4">
        <w:rPr>
          <w:rFonts w:ascii="標楷體" w:eastAsia="標楷體" w:hAnsi="標楷體"/>
          <w:color w:val="000000" w:themeColor="text1"/>
          <w:sz w:val="28"/>
          <w:szCs w:val="28"/>
        </w:rPr>
        <w:t>研</w:t>
      </w:r>
      <w:proofErr w:type="gramEnd"/>
      <w:r w:rsidRPr="00BC55B4">
        <w:rPr>
          <w:rFonts w:ascii="標楷體" w:eastAsia="標楷體" w:hAnsi="標楷體"/>
          <w:color w:val="000000" w:themeColor="text1"/>
          <w:sz w:val="28"/>
          <w:szCs w:val="28"/>
        </w:rPr>
        <w:t>機構合作協議、設置世界級學術講座、舉辦國際會議等方式，強化中研院與全球學術社群的互動交流，期藉由優勢研究領域獲得國際認同，進而躋身國際學術領導地位。</w:t>
      </w:r>
    </w:p>
    <w:p w14:paraId="4BA22D80" w14:textId="77777777" w:rsidR="003D6325" w:rsidRPr="00BC55B4" w:rsidRDefault="003D6325" w:rsidP="003D632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延攬並培育卓越人才：中研院致力於網羅國內外傑出研究人才、設置高階講座、並</w:t>
      </w:r>
      <w:proofErr w:type="gramStart"/>
      <w:r w:rsidRPr="00BC55B4">
        <w:rPr>
          <w:rFonts w:ascii="標楷體" w:eastAsia="標楷體" w:hAnsi="標楷體" w:hint="eastAsia"/>
          <w:color w:val="000000" w:themeColor="text1"/>
          <w:sz w:val="28"/>
          <w:szCs w:val="28"/>
        </w:rPr>
        <w:t>採</w:t>
      </w:r>
      <w:proofErr w:type="gramEnd"/>
      <w:r w:rsidRPr="00BC55B4">
        <w:rPr>
          <w:rFonts w:ascii="標楷體" w:eastAsia="標楷體" w:hAnsi="標楷體" w:hint="eastAsia"/>
          <w:color w:val="000000" w:themeColor="text1"/>
          <w:sz w:val="28"/>
          <w:szCs w:val="28"/>
        </w:rPr>
        <w:t>合聘、延聘及短期來院訪問等管道引入頂尖人才；為提升國內學生就讀博士班意願，並與國外競爭優秀國際學子，全面提升中研院博士生之獎助金、與國內各大學合作辦理跨領域國際研究生及國內學位學程，亦與國外大學合作培育國際博士生（TIGP-X）、與</w:t>
      </w:r>
      <w:proofErr w:type="gramStart"/>
      <w:r w:rsidRPr="00BC55B4">
        <w:rPr>
          <w:rFonts w:ascii="標楷體" w:eastAsia="標楷體" w:hAnsi="標楷體" w:hint="eastAsia"/>
          <w:color w:val="000000" w:themeColor="text1"/>
          <w:sz w:val="28"/>
          <w:szCs w:val="28"/>
        </w:rPr>
        <w:t>臺</w:t>
      </w:r>
      <w:proofErr w:type="gramEnd"/>
      <w:r w:rsidRPr="00BC55B4">
        <w:rPr>
          <w:rFonts w:ascii="標楷體" w:eastAsia="標楷體" w:hAnsi="標楷體" w:hint="eastAsia"/>
          <w:color w:val="000000" w:themeColor="text1"/>
          <w:sz w:val="28"/>
          <w:szCs w:val="28"/>
        </w:rPr>
        <w:t>北醫學大學、國防醫學院、國立陽明交通大學合作推動「中央研究院人文講座」；為提振人文社會科學研究者之士氣，訂有「中央研究院人文社會科學博士生菁英獎學金作業要點」及「中央研究院人文社會科學博士候選人培育計畫」，積極培育國內優秀之人文社會科學領域博士生致力於學術研究；另訂有「中央研究院延聘博士後研究學者作業要點」鼓勵</w:t>
      </w:r>
      <w:proofErr w:type="gramStart"/>
      <w:r w:rsidRPr="00BC55B4">
        <w:rPr>
          <w:rFonts w:ascii="標楷體" w:eastAsia="標楷體" w:hAnsi="標楷體" w:hint="eastAsia"/>
          <w:color w:val="000000" w:themeColor="text1"/>
          <w:sz w:val="28"/>
          <w:szCs w:val="28"/>
        </w:rPr>
        <w:t>甫</w:t>
      </w:r>
      <w:proofErr w:type="gramEnd"/>
      <w:r w:rsidRPr="00BC55B4">
        <w:rPr>
          <w:rFonts w:ascii="標楷體" w:eastAsia="標楷體" w:hAnsi="標楷體" w:hint="eastAsia"/>
          <w:color w:val="000000" w:themeColor="text1"/>
          <w:sz w:val="28"/>
          <w:szCs w:val="28"/>
        </w:rPr>
        <w:t>得博士學位之年輕博士投身學術研究。</w:t>
      </w:r>
    </w:p>
    <w:p w14:paraId="6710D684" w14:textId="77777777" w:rsidR="003D6325" w:rsidRPr="00BC55B4" w:rsidRDefault="003D6325" w:rsidP="003D632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辦理多元獎勵：為落實獎勵學術研究之法定任務，辦理中研院年輕學者研究成果獎、中研院人文及社會科學學術性</w:t>
      </w:r>
      <w:proofErr w:type="gramStart"/>
      <w:r w:rsidRPr="00BC55B4">
        <w:rPr>
          <w:rFonts w:ascii="標楷體" w:eastAsia="標楷體" w:hAnsi="標楷體"/>
          <w:color w:val="000000" w:themeColor="text1"/>
          <w:sz w:val="28"/>
          <w:szCs w:val="28"/>
        </w:rPr>
        <w:t>專書獎</w:t>
      </w:r>
      <w:proofErr w:type="gramEnd"/>
      <w:r w:rsidRPr="00BC55B4">
        <w:rPr>
          <w:rFonts w:ascii="標楷體" w:eastAsia="標楷體" w:hAnsi="標楷體"/>
          <w:color w:val="000000" w:themeColor="text1"/>
          <w:sz w:val="28"/>
          <w:szCs w:val="28"/>
        </w:rPr>
        <w:t>。</w:t>
      </w:r>
    </w:p>
    <w:p w14:paraId="3C48286A" w14:textId="332850AE" w:rsidR="003D6325" w:rsidRPr="00BC55B4" w:rsidRDefault="003D6325" w:rsidP="003D632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提政策建議書、辦理公共服務、鼓勵專利技術移轉與產學合作：針對學術發展及社會關切的重要議題，公布政策建議書，並送請政府部門首長、立法委員及各縣市政府首長參考；定期舉辦科普演講與參觀活動、撰寫科普文章及發送電子報，如數位典藏</w:t>
      </w:r>
      <w:proofErr w:type="gramStart"/>
      <w:r w:rsidRPr="00BC55B4">
        <w:rPr>
          <w:rFonts w:ascii="標楷體" w:eastAsia="標楷體" w:hAnsi="標楷體" w:hint="eastAsia"/>
          <w:color w:val="000000" w:themeColor="text1"/>
          <w:sz w:val="28"/>
          <w:szCs w:val="28"/>
        </w:rPr>
        <w:t>特</w:t>
      </w:r>
      <w:proofErr w:type="gramEnd"/>
      <w:r w:rsidRPr="00BC55B4">
        <w:rPr>
          <w:rFonts w:ascii="標楷體" w:eastAsia="標楷體" w:hAnsi="標楷體" w:hint="eastAsia"/>
          <w:color w:val="000000" w:themeColor="text1"/>
          <w:sz w:val="28"/>
          <w:szCs w:val="28"/>
        </w:rPr>
        <w:t>展、知識</w:t>
      </w:r>
      <w:proofErr w:type="gramStart"/>
      <w:r w:rsidRPr="00BC55B4">
        <w:rPr>
          <w:rFonts w:ascii="標楷體" w:eastAsia="標楷體" w:hAnsi="標楷體" w:hint="eastAsia"/>
          <w:color w:val="000000" w:themeColor="text1"/>
          <w:sz w:val="28"/>
          <w:szCs w:val="28"/>
        </w:rPr>
        <w:t>饗宴暨故院長</w:t>
      </w:r>
      <w:proofErr w:type="gramEnd"/>
      <w:r w:rsidRPr="00BC55B4">
        <w:rPr>
          <w:rFonts w:ascii="標楷體" w:eastAsia="標楷體" w:hAnsi="標楷體" w:hint="eastAsia"/>
          <w:color w:val="000000" w:themeColor="text1"/>
          <w:sz w:val="28"/>
          <w:szCs w:val="28"/>
        </w:rPr>
        <w:t>科普講座、中</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講堂、院區開放參觀活動及院士演講等，回饋於民；將具有社會應用潛力之基礎研發成果，藉由申請專利保護，提高後續開發誘因，以確保未來有償商業應用或無償公益使用之真正實現，同時為協助國家社會因應重大挑戰，提出關鍵問題解方，中研院亦與產業界進行合作研究，促進研發成果產業化。例如，運用</w:t>
      </w:r>
      <w:proofErr w:type="gramStart"/>
      <w:r w:rsidRPr="00BC55B4">
        <w:rPr>
          <w:rFonts w:ascii="標楷體" w:eastAsia="標楷體" w:hAnsi="標楷體" w:hint="eastAsia"/>
          <w:color w:val="000000" w:themeColor="text1"/>
          <w:sz w:val="28"/>
          <w:szCs w:val="28"/>
        </w:rPr>
        <w:t>去碳燃氫</w:t>
      </w:r>
      <w:proofErr w:type="gramEnd"/>
      <w:r w:rsidRPr="00BC55B4">
        <w:rPr>
          <w:rFonts w:ascii="標楷體" w:eastAsia="標楷體" w:hAnsi="標楷體" w:hint="eastAsia"/>
          <w:color w:val="000000" w:themeColor="text1"/>
          <w:sz w:val="28"/>
          <w:szCs w:val="28"/>
        </w:rPr>
        <w:t>技術與台灣電力股份有限公司</w:t>
      </w:r>
      <w:r w:rsidR="00FC3816" w:rsidRPr="00BC55B4">
        <w:rPr>
          <w:rFonts w:ascii="標楷體" w:eastAsia="標楷體" w:hAnsi="標楷體" w:hint="eastAsia"/>
          <w:color w:val="000000" w:themeColor="text1"/>
          <w:sz w:val="28"/>
          <w:szCs w:val="28"/>
        </w:rPr>
        <w:t>(以下簡稱台電公司)</w:t>
      </w:r>
      <w:r w:rsidRPr="00BC55B4">
        <w:rPr>
          <w:rFonts w:ascii="標楷體" w:eastAsia="標楷體" w:hAnsi="標楷體" w:hint="eastAsia"/>
          <w:color w:val="000000" w:themeColor="text1"/>
          <w:sz w:val="28"/>
          <w:szCs w:val="28"/>
        </w:rPr>
        <w:t>合作串接</w:t>
      </w:r>
      <w:proofErr w:type="gramStart"/>
      <w:r w:rsidRPr="00BC55B4">
        <w:rPr>
          <w:rFonts w:ascii="標楷體" w:eastAsia="標楷體" w:hAnsi="標楷體" w:hint="eastAsia"/>
          <w:color w:val="000000" w:themeColor="text1"/>
          <w:sz w:val="28"/>
          <w:szCs w:val="28"/>
        </w:rPr>
        <w:t>台電混氫發電</w:t>
      </w:r>
      <w:proofErr w:type="gramEnd"/>
      <w:r w:rsidRPr="00BC55B4">
        <w:rPr>
          <w:rFonts w:ascii="標楷體" w:eastAsia="標楷體" w:hAnsi="標楷體" w:hint="eastAsia"/>
          <w:color w:val="000000" w:themeColor="text1"/>
          <w:sz w:val="28"/>
          <w:szCs w:val="28"/>
        </w:rPr>
        <w:t>；以新的探</w:t>
      </w:r>
      <w:proofErr w:type="gramStart"/>
      <w:r w:rsidRPr="00BC55B4">
        <w:rPr>
          <w:rFonts w:ascii="標楷體" w:eastAsia="標楷體" w:hAnsi="標楷體" w:hint="eastAsia"/>
          <w:color w:val="000000" w:themeColor="text1"/>
          <w:sz w:val="28"/>
          <w:szCs w:val="28"/>
        </w:rPr>
        <w:t>勘</w:t>
      </w:r>
      <w:proofErr w:type="gramEnd"/>
      <w:r w:rsidRPr="00BC55B4">
        <w:rPr>
          <w:rFonts w:ascii="標楷體" w:eastAsia="標楷體" w:hAnsi="標楷體" w:hint="eastAsia"/>
          <w:color w:val="000000" w:themeColor="text1"/>
          <w:sz w:val="28"/>
          <w:szCs w:val="28"/>
        </w:rPr>
        <w:t>技術協助台灣中油股份有限公司進行地熱能源探</w:t>
      </w:r>
      <w:proofErr w:type="gramStart"/>
      <w:r w:rsidRPr="00BC55B4">
        <w:rPr>
          <w:rFonts w:ascii="標楷體" w:eastAsia="標楷體" w:hAnsi="標楷體" w:hint="eastAsia"/>
          <w:color w:val="000000" w:themeColor="text1"/>
          <w:sz w:val="28"/>
          <w:szCs w:val="28"/>
        </w:rPr>
        <w:t>勘</w:t>
      </w:r>
      <w:proofErr w:type="gramEnd"/>
      <w:r w:rsidRPr="00BC55B4">
        <w:rPr>
          <w:rFonts w:ascii="標楷體" w:eastAsia="標楷體" w:hAnsi="標楷體" w:hint="eastAsia"/>
          <w:color w:val="000000" w:themeColor="text1"/>
          <w:sz w:val="28"/>
          <w:szCs w:val="28"/>
        </w:rPr>
        <w:t>；成立「下世代高效太陽能電池技術合作聯盟」，邀集產學</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單位加入，優化相關製程與元件穩定性，推動高效太陽能技術應用發展等。</w:t>
      </w:r>
    </w:p>
    <w:p w14:paraId="1B7962A3" w14:textId="77777777" w:rsidR="003D6325" w:rsidRPr="00BC55B4" w:rsidRDefault="003D6325" w:rsidP="003D6325">
      <w:pPr>
        <w:numPr>
          <w:ilvl w:val="0"/>
          <w:numId w:val="36"/>
        </w:numPr>
        <w:tabs>
          <w:tab w:val="left" w:pos="960"/>
        </w:tabs>
        <w:overflowPunct w:val="0"/>
        <w:spacing w:line="440" w:lineRule="exact"/>
        <w:ind w:left="964" w:hanging="68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生</w:t>
      </w:r>
      <w:proofErr w:type="gramStart"/>
      <w:r w:rsidRPr="00BC55B4">
        <w:rPr>
          <w:rFonts w:ascii="標楷體" w:eastAsia="標楷體" w:hAnsi="標楷體"/>
          <w:color w:val="000000" w:themeColor="text1"/>
          <w:sz w:val="28"/>
          <w:szCs w:val="28"/>
        </w:rPr>
        <w:t>醫</w:t>
      </w:r>
      <w:proofErr w:type="gramEnd"/>
      <w:r w:rsidRPr="00BC55B4">
        <w:rPr>
          <w:rFonts w:ascii="標楷體" w:eastAsia="標楷體" w:hAnsi="標楷體"/>
          <w:color w:val="000000" w:themeColor="text1"/>
          <w:sz w:val="28"/>
          <w:szCs w:val="28"/>
        </w:rPr>
        <w:t>研究成果化研為用：</w:t>
      </w:r>
      <w:r w:rsidRPr="00BC55B4">
        <w:rPr>
          <w:rFonts w:ascii="標楷體" w:eastAsia="標楷體" w:hAnsi="標楷體" w:hint="eastAsia"/>
          <w:color w:val="000000" w:themeColor="text1"/>
          <w:sz w:val="28"/>
          <w:szCs w:val="28"/>
        </w:rPr>
        <w:t>國家生技研究園區為我國第一個跨部會及</w:t>
      </w:r>
      <w:r w:rsidRPr="00BC55B4">
        <w:rPr>
          <w:rFonts w:ascii="標楷體" w:eastAsia="標楷體" w:hAnsi="標楷體" w:hint="eastAsia"/>
          <w:color w:val="000000" w:themeColor="text1"/>
          <w:sz w:val="28"/>
          <w:szCs w:val="28"/>
        </w:rPr>
        <w:lastRenderedPageBreak/>
        <w:t>產官學</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共同進駐，以創新研發為主的新一代國家級生物科技研究園區；中研院成立生</w:t>
      </w:r>
      <w:proofErr w:type="gramStart"/>
      <w:r w:rsidRPr="00BC55B4">
        <w:rPr>
          <w:rFonts w:ascii="標楷體" w:eastAsia="標楷體" w:hAnsi="標楷體" w:hint="eastAsia"/>
          <w:color w:val="000000" w:themeColor="text1"/>
          <w:sz w:val="28"/>
          <w:szCs w:val="28"/>
        </w:rPr>
        <w:t>醫</w:t>
      </w:r>
      <w:proofErr w:type="gramEnd"/>
      <w:r w:rsidRPr="00BC55B4">
        <w:rPr>
          <w:rFonts w:ascii="標楷體" w:eastAsia="標楷體" w:hAnsi="標楷體" w:hint="eastAsia"/>
          <w:color w:val="000000" w:themeColor="text1"/>
          <w:sz w:val="28"/>
          <w:szCs w:val="28"/>
        </w:rPr>
        <w:t>轉譯研究中心進駐園區，協助推動深度轉譯，以研究成果之可落地性為導向，系統性盤點具實際應用潛力的研究題目，提供早期、</w:t>
      </w:r>
      <w:proofErr w:type="gramStart"/>
      <w:r w:rsidRPr="00BC55B4">
        <w:rPr>
          <w:rFonts w:ascii="標楷體" w:eastAsia="標楷體" w:hAnsi="標楷體" w:hint="eastAsia"/>
          <w:color w:val="000000" w:themeColor="text1"/>
          <w:sz w:val="28"/>
          <w:szCs w:val="28"/>
        </w:rPr>
        <w:t>深入、</w:t>
      </w:r>
      <w:proofErr w:type="gramEnd"/>
      <w:r w:rsidRPr="00BC55B4">
        <w:rPr>
          <w:rFonts w:ascii="標楷體" w:eastAsia="標楷體" w:hAnsi="標楷體" w:hint="eastAsia"/>
          <w:color w:val="000000" w:themeColor="text1"/>
          <w:sz w:val="28"/>
          <w:szCs w:val="28"/>
        </w:rPr>
        <w:t>持續的轉譯支援，讓中研院深厚且多元的基礎研究成果，逐步形成可被驗證、可被投資、可被臨床採用之具體落地路徑；同時完善及管理園區核心設施，提供關鍵技術與高階儀器服務，以加速國內產學</w:t>
      </w:r>
      <w:proofErr w:type="gramStart"/>
      <w:r w:rsidRPr="00BC55B4">
        <w:rPr>
          <w:rFonts w:ascii="標楷體" w:eastAsia="標楷體" w:hAnsi="標楷體" w:hint="eastAsia"/>
          <w:color w:val="000000" w:themeColor="text1"/>
          <w:sz w:val="28"/>
          <w:szCs w:val="28"/>
        </w:rPr>
        <w:t>研</w:t>
      </w:r>
      <w:proofErr w:type="gramEnd"/>
      <w:r w:rsidRPr="00BC55B4">
        <w:rPr>
          <w:rFonts w:ascii="標楷體" w:eastAsia="標楷體" w:hAnsi="標楷體" w:hint="eastAsia"/>
          <w:color w:val="000000" w:themeColor="text1"/>
          <w:sz w:val="28"/>
          <w:szCs w:val="28"/>
        </w:rPr>
        <w:t>界開發創新治療策略、新藥、</w:t>
      </w:r>
      <w:proofErr w:type="gramStart"/>
      <w:r w:rsidRPr="00BC55B4">
        <w:rPr>
          <w:rFonts w:ascii="標楷體" w:eastAsia="標楷體" w:hAnsi="標楷體" w:hint="eastAsia"/>
          <w:color w:val="000000" w:themeColor="text1"/>
          <w:sz w:val="28"/>
          <w:szCs w:val="28"/>
        </w:rPr>
        <w:t>醫</w:t>
      </w:r>
      <w:proofErr w:type="gramEnd"/>
      <w:r w:rsidRPr="00BC55B4">
        <w:rPr>
          <w:rFonts w:ascii="標楷體" w:eastAsia="標楷體" w:hAnsi="標楷體" w:hint="eastAsia"/>
          <w:color w:val="000000" w:themeColor="text1"/>
          <w:sz w:val="28"/>
          <w:szCs w:val="28"/>
        </w:rPr>
        <w:t>材之轉譯研究及臨床前驗證；並負責園區公共設施及生態環境維護之相關運作。</w:t>
      </w:r>
    </w:p>
    <w:p w14:paraId="2125A8D7" w14:textId="2FC4BDE5" w:rsidR="00BD1456" w:rsidRPr="00BC55B4" w:rsidRDefault="00596222" w:rsidP="00596222">
      <w:pPr>
        <w:numPr>
          <w:ilvl w:val="0"/>
          <w:numId w:val="36"/>
        </w:numPr>
        <w:overflowPunct w:val="0"/>
        <w:spacing w:line="440" w:lineRule="exact"/>
        <w:ind w:left="1276" w:hanging="916"/>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依據行政院核定中研院南部院區公共建設開發計畫</w:t>
      </w:r>
      <w:r w:rsidR="008B13BC" w:rsidRPr="00BC55B4">
        <w:rPr>
          <w:rFonts w:ascii="標楷體" w:eastAsia="標楷體" w:hAnsi="標楷體" w:hint="eastAsia"/>
          <w:color w:val="000000" w:themeColor="text1"/>
          <w:sz w:val="28"/>
          <w:szCs w:val="28"/>
        </w:rPr>
        <w:t>，包括</w:t>
      </w:r>
      <w:r w:rsidRPr="00BC55B4">
        <w:rPr>
          <w:rFonts w:ascii="標楷體" w:eastAsia="標楷體" w:hAnsi="標楷體" w:hint="eastAsia"/>
          <w:color w:val="000000" w:themeColor="text1"/>
          <w:sz w:val="28"/>
          <w:szCs w:val="28"/>
        </w:rPr>
        <w:t>「南部院區綜合規劃」及「南部院區發展量子科技及興建實驗大樓規劃」</w:t>
      </w:r>
      <w:r w:rsidR="008B13BC" w:rsidRPr="00BC55B4">
        <w:rPr>
          <w:rFonts w:ascii="標楷體" w:eastAsia="標楷體" w:hAnsi="標楷體" w:hint="eastAsia"/>
          <w:color w:val="000000" w:themeColor="text1"/>
          <w:sz w:val="28"/>
          <w:szCs w:val="28"/>
        </w:rPr>
        <w:t>，</w:t>
      </w:r>
      <w:proofErr w:type="gramStart"/>
      <w:r w:rsidRPr="00BC55B4">
        <w:rPr>
          <w:rFonts w:ascii="標楷體" w:eastAsia="標楷體" w:hAnsi="標楷體" w:hint="eastAsia"/>
          <w:color w:val="000000" w:themeColor="text1"/>
          <w:sz w:val="28"/>
          <w:szCs w:val="28"/>
        </w:rPr>
        <w:t>採</w:t>
      </w:r>
      <w:proofErr w:type="gramEnd"/>
      <w:r w:rsidRPr="00BC55B4">
        <w:rPr>
          <w:rFonts w:ascii="標楷體" w:eastAsia="標楷體" w:hAnsi="標楷體" w:hint="eastAsia"/>
          <w:color w:val="000000" w:themeColor="text1"/>
          <w:sz w:val="28"/>
          <w:szCs w:val="28"/>
        </w:rPr>
        <w:t>分期開發興建，</w:t>
      </w:r>
      <w:proofErr w:type="gramStart"/>
      <w:r w:rsidRPr="00BC55B4">
        <w:rPr>
          <w:rFonts w:ascii="標楷體" w:eastAsia="標楷體" w:hAnsi="標楷體" w:hint="eastAsia"/>
          <w:color w:val="000000" w:themeColor="text1"/>
          <w:sz w:val="28"/>
          <w:szCs w:val="28"/>
        </w:rPr>
        <w:t>第一期跨領域</w:t>
      </w:r>
      <w:proofErr w:type="gramEnd"/>
      <w:r w:rsidRPr="00BC55B4">
        <w:rPr>
          <w:rFonts w:ascii="標楷體" w:eastAsia="標楷體" w:hAnsi="標楷體" w:hint="eastAsia"/>
          <w:color w:val="000000" w:themeColor="text1"/>
          <w:sz w:val="28"/>
          <w:szCs w:val="28"/>
        </w:rPr>
        <w:t>研究大樓（I）、精密及玻璃溫室等，已於110年1月陸續進駐營運；</w:t>
      </w:r>
      <w:proofErr w:type="gramStart"/>
      <w:r w:rsidRPr="00BC55B4">
        <w:rPr>
          <w:rFonts w:ascii="標楷體" w:eastAsia="標楷體" w:hAnsi="標楷體" w:hint="eastAsia"/>
          <w:color w:val="000000" w:themeColor="text1"/>
          <w:sz w:val="28"/>
          <w:szCs w:val="28"/>
        </w:rPr>
        <w:t>第二期跨領域</w:t>
      </w:r>
      <w:proofErr w:type="gramEnd"/>
      <w:r w:rsidRPr="00BC55B4">
        <w:rPr>
          <w:rFonts w:ascii="標楷體" w:eastAsia="標楷體" w:hAnsi="標楷體" w:hint="eastAsia"/>
          <w:color w:val="000000" w:themeColor="text1"/>
          <w:sz w:val="28"/>
          <w:szCs w:val="28"/>
        </w:rPr>
        <w:t>研究大樓（II）及綜合大樓，已於113年1月陸續進駐使用及裝修作業；另第三期量子科技實驗大樓，工程於113年10月決標，同年11月21日開工，目前施作地下室結構體工程，工程進度符合預期，全案預計117年上半年竣工及驗收，117年底進駐營運。</w:t>
      </w:r>
    </w:p>
    <w:p w14:paraId="2783850B" w14:textId="015021D0" w:rsidR="00596222" w:rsidRPr="00BC55B4" w:rsidRDefault="00596222" w:rsidP="00596222">
      <w:pPr>
        <w:overflowPunct w:val="0"/>
        <w:spacing w:line="440" w:lineRule="exact"/>
        <w:ind w:left="1276"/>
        <w:jc w:val="both"/>
        <w:rPr>
          <w:rFonts w:ascii="標楷體" w:eastAsia="標楷體" w:hAnsi="標楷體"/>
          <w:color w:val="000000" w:themeColor="text1"/>
          <w:sz w:val="28"/>
          <w:szCs w:val="28"/>
        </w:rPr>
      </w:pPr>
      <w:r w:rsidRPr="00BC55B4">
        <w:rPr>
          <w:rFonts w:ascii="標楷體" w:eastAsia="標楷體" w:hAnsi="標楷體" w:hint="eastAsia"/>
          <w:color w:val="000000" w:themeColor="text1"/>
          <w:sz w:val="28"/>
          <w:szCs w:val="28"/>
        </w:rPr>
        <w:t>南部院區主要發展農業生技、量子科技、</w:t>
      </w:r>
      <w:proofErr w:type="gramStart"/>
      <w:r w:rsidRPr="00BC55B4">
        <w:rPr>
          <w:rFonts w:ascii="標楷體" w:eastAsia="標楷體" w:hAnsi="標楷體" w:hint="eastAsia"/>
          <w:color w:val="000000" w:themeColor="text1"/>
          <w:sz w:val="28"/>
          <w:szCs w:val="28"/>
        </w:rPr>
        <w:t>淨零永續及</w:t>
      </w:r>
      <w:proofErr w:type="gramEnd"/>
      <w:r w:rsidRPr="00BC55B4">
        <w:rPr>
          <w:rFonts w:ascii="標楷體" w:eastAsia="標楷體" w:hAnsi="標楷體" w:hint="eastAsia"/>
          <w:color w:val="000000" w:themeColor="text1"/>
          <w:sz w:val="28"/>
          <w:szCs w:val="28"/>
        </w:rPr>
        <w:t>人文社會科學研究等專題；農業生技領域於110年進駐南部院區，將延續對重要糧食作物和觀賞植物的生物技術研發，結合生物資訊和大數據分析，深入探討作物基因體學，植物病原基因體、致病機制及其反制作用的基礎研究及應用，另持續提供先進的生技設施，包括基因</w:t>
      </w:r>
      <w:proofErr w:type="gramStart"/>
      <w:r w:rsidRPr="00BC55B4">
        <w:rPr>
          <w:rFonts w:ascii="標楷體" w:eastAsia="標楷體" w:hAnsi="標楷體" w:hint="eastAsia"/>
          <w:color w:val="000000" w:themeColor="text1"/>
          <w:sz w:val="28"/>
          <w:szCs w:val="28"/>
        </w:rPr>
        <w:t>原位雜合與</w:t>
      </w:r>
      <w:proofErr w:type="gramEnd"/>
      <w:r w:rsidRPr="00BC55B4">
        <w:rPr>
          <w:rFonts w:ascii="標楷體" w:eastAsia="標楷體" w:hAnsi="標楷體" w:hint="eastAsia"/>
          <w:color w:val="000000" w:themeColor="text1"/>
          <w:sz w:val="28"/>
          <w:szCs w:val="28"/>
        </w:rPr>
        <w:t>蘭花基因轉</w:t>
      </w:r>
      <w:proofErr w:type="gramStart"/>
      <w:r w:rsidRPr="00BC55B4">
        <w:rPr>
          <w:rFonts w:ascii="標楷體" w:eastAsia="標楷體" w:hAnsi="標楷體" w:hint="eastAsia"/>
          <w:color w:val="000000" w:themeColor="text1"/>
          <w:sz w:val="28"/>
          <w:szCs w:val="28"/>
        </w:rPr>
        <w:t>殖</w:t>
      </w:r>
      <w:proofErr w:type="gramEnd"/>
      <w:r w:rsidRPr="00BC55B4">
        <w:rPr>
          <w:rFonts w:ascii="標楷體" w:eastAsia="標楷體" w:hAnsi="標楷體" w:hint="eastAsia"/>
          <w:color w:val="000000" w:themeColor="text1"/>
          <w:sz w:val="28"/>
          <w:szCs w:val="28"/>
        </w:rPr>
        <w:t>平台，供功能性基因表達和轉譯農學研究使用；南科基因轉</w:t>
      </w:r>
      <w:proofErr w:type="gramStart"/>
      <w:r w:rsidRPr="00BC55B4">
        <w:rPr>
          <w:rFonts w:ascii="標楷體" w:eastAsia="標楷體" w:hAnsi="標楷體" w:hint="eastAsia"/>
          <w:color w:val="000000" w:themeColor="text1"/>
          <w:sz w:val="28"/>
          <w:szCs w:val="28"/>
        </w:rPr>
        <w:t>殖</w:t>
      </w:r>
      <w:proofErr w:type="gramEnd"/>
      <w:r w:rsidRPr="00BC55B4">
        <w:rPr>
          <w:rFonts w:ascii="標楷體" w:eastAsia="標楷體" w:hAnsi="標楷體" w:hint="eastAsia"/>
          <w:color w:val="000000" w:themeColor="text1"/>
          <w:sz w:val="28"/>
          <w:szCs w:val="28"/>
        </w:rPr>
        <w:t>溫室與南院溫室已整合為溫室核心設施，質譜核心設施提供小分子鑑定、代謝體分析和功能性分析，以上設施服務皆提供南北兩院區及院外研究人員使用；同時藉由與國立成功大學轉譯農業科學博士學位學程及暑期培訓大專高中生計畫</w:t>
      </w:r>
      <w:r w:rsidR="00926CCD" w:rsidRPr="00BC55B4">
        <w:rPr>
          <w:rFonts w:ascii="標楷體" w:eastAsia="標楷體" w:hAnsi="標楷體" w:hint="eastAsia"/>
          <w:color w:val="000000" w:themeColor="text1"/>
          <w:sz w:val="28"/>
          <w:szCs w:val="28"/>
        </w:rPr>
        <w:t>，</w:t>
      </w:r>
      <w:r w:rsidRPr="00BC55B4">
        <w:rPr>
          <w:rFonts w:ascii="標楷體" w:eastAsia="標楷體" w:hAnsi="標楷體" w:hint="eastAsia"/>
          <w:color w:val="000000" w:themeColor="text1"/>
          <w:sz w:val="28"/>
          <w:szCs w:val="28"/>
        </w:rPr>
        <w:t>加強與南部大專院校合作，共同培育研究人才。關鍵議題研究中心以合聘方式廣納國內外專家學者，組成垂直整合的團隊進行任務型研究，</w:t>
      </w:r>
      <w:proofErr w:type="gramStart"/>
      <w:r w:rsidRPr="00BC55B4">
        <w:rPr>
          <w:rFonts w:ascii="標楷體" w:eastAsia="標楷體" w:hAnsi="標楷體" w:hint="eastAsia"/>
          <w:color w:val="000000" w:themeColor="text1"/>
          <w:sz w:val="28"/>
          <w:szCs w:val="28"/>
        </w:rPr>
        <w:t>選定淨零科技</w:t>
      </w:r>
      <w:proofErr w:type="gramEnd"/>
      <w:r w:rsidRPr="00BC55B4">
        <w:rPr>
          <w:rFonts w:ascii="標楷體" w:eastAsia="標楷體" w:hAnsi="標楷體" w:hint="eastAsia"/>
          <w:color w:val="000000" w:themeColor="text1"/>
          <w:sz w:val="28"/>
          <w:szCs w:val="28"/>
        </w:rPr>
        <w:t>與量子科技兩個領域的研究計畫與專題中心進駐，並建立相關服務型設施；</w:t>
      </w:r>
      <w:proofErr w:type="gramStart"/>
      <w:r w:rsidRPr="00BC55B4">
        <w:rPr>
          <w:rFonts w:ascii="標楷體" w:eastAsia="標楷體" w:hAnsi="標楷體" w:hint="eastAsia"/>
          <w:color w:val="000000" w:themeColor="text1"/>
          <w:sz w:val="28"/>
          <w:szCs w:val="28"/>
        </w:rPr>
        <w:t>淨零科技</w:t>
      </w:r>
      <w:proofErr w:type="gramEnd"/>
      <w:r w:rsidRPr="00BC55B4">
        <w:rPr>
          <w:rFonts w:ascii="標楷體" w:eastAsia="標楷體" w:hAnsi="標楷體" w:hint="eastAsia"/>
          <w:color w:val="000000" w:themeColor="text1"/>
          <w:sz w:val="28"/>
          <w:szCs w:val="28"/>
        </w:rPr>
        <w:t>方面在南部院區進行海洋能與下世代太陽能電池研究，海洋能著重於黑潮發電的相關研究與科技發展，下世代太陽能電池則以製造光電</w:t>
      </w:r>
      <w:r w:rsidRPr="00BC55B4">
        <w:rPr>
          <w:rFonts w:ascii="標楷體" w:eastAsia="標楷體" w:hAnsi="標楷體" w:hint="eastAsia"/>
          <w:color w:val="000000" w:themeColor="text1"/>
          <w:sz w:val="28"/>
          <w:szCs w:val="28"/>
        </w:rPr>
        <w:lastRenderedPageBreak/>
        <w:t>轉換效率30％以上的高效疊層太陽能電池為目標；量子科技方面，持續進行超導量子晶片的製程科學研究，增加量子位元、發展錯誤校正技術、製作高亮度通訊波段單光子光源及</w:t>
      </w:r>
      <w:proofErr w:type="gramStart"/>
      <w:r w:rsidRPr="00BC55B4">
        <w:rPr>
          <w:rFonts w:ascii="標楷體" w:eastAsia="標楷體" w:hAnsi="標楷體" w:hint="eastAsia"/>
          <w:color w:val="000000" w:themeColor="text1"/>
          <w:sz w:val="28"/>
          <w:szCs w:val="28"/>
        </w:rPr>
        <w:t>超導奈</w:t>
      </w:r>
      <w:proofErr w:type="gramEnd"/>
      <w:r w:rsidRPr="00BC55B4">
        <w:rPr>
          <w:rFonts w:ascii="標楷體" w:eastAsia="標楷體" w:hAnsi="標楷體" w:hint="eastAsia"/>
          <w:color w:val="000000" w:themeColor="text1"/>
          <w:sz w:val="28"/>
          <w:szCs w:val="28"/>
        </w:rPr>
        <w:t>米線單光子偵測器；服務性研發設施方面，臺灣海洋觀測系統核心設施、先進太陽能電池研發與量測設施、量子光電前瞻製程與精密分析設施等，均開放全國大專院校、研究機構與產業界申請使用，另於114年6月揭牌的量子晶片製程測試研發平台與量子計算測試平台，已陸續</w:t>
      </w:r>
      <w:proofErr w:type="gramStart"/>
      <w:r w:rsidRPr="00BC55B4">
        <w:rPr>
          <w:rFonts w:ascii="標楷體" w:eastAsia="標楷體" w:hAnsi="標楷體" w:hint="eastAsia"/>
          <w:color w:val="000000" w:themeColor="text1"/>
          <w:sz w:val="28"/>
          <w:szCs w:val="28"/>
        </w:rPr>
        <w:t>完善機</w:t>
      </w:r>
      <w:proofErr w:type="gramEnd"/>
      <w:r w:rsidRPr="00BC55B4">
        <w:rPr>
          <w:rFonts w:ascii="標楷體" w:eastAsia="標楷體" w:hAnsi="標楷體" w:hint="eastAsia"/>
          <w:color w:val="000000" w:themeColor="text1"/>
          <w:sz w:val="28"/>
          <w:szCs w:val="28"/>
        </w:rPr>
        <w:t>台設施，同時籌備建立用戶計畫申請制度，預計116年正式營運。在人文社會研究領域方面，量身打造「人文及社會研究基地」，主要從事與南臺灣相關的研究，基地內建「數位圖書檔案室」，對外開放提供圖書數位資源分享服務。</w:t>
      </w:r>
    </w:p>
    <w:p w14:paraId="37A6FB1E" w14:textId="086E2A38" w:rsidR="00596222" w:rsidRPr="00BC55B4" w:rsidRDefault="00596222" w:rsidP="00596222">
      <w:pPr>
        <w:numPr>
          <w:ilvl w:val="0"/>
          <w:numId w:val="36"/>
        </w:numPr>
        <w:overflowPunct w:val="0"/>
        <w:spacing w:line="440" w:lineRule="exact"/>
        <w:ind w:left="1276" w:hanging="916"/>
        <w:jc w:val="both"/>
        <w:rPr>
          <w:rFonts w:ascii="標楷體" w:eastAsia="標楷體" w:hAnsi="標楷體" w:cs="標楷體"/>
          <w:color w:val="000000" w:themeColor="text1"/>
          <w:sz w:val="28"/>
          <w:szCs w:val="28"/>
        </w:rPr>
      </w:pPr>
      <w:r w:rsidRPr="00BC55B4">
        <w:rPr>
          <w:rFonts w:ascii="標楷體" w:eastAsia="標楷體" w:hAnsi="標楷體" w:cs="標楷體" w:hint="eastAsia"/>
          <w:color w:val="000000" w:themeColor="text1"/>
          <w:sz w:val="28"/>
          <w:szCs w:val="28"/>
        </w:rPr>
        <w:t>天然氣</w:t>
      </w:r>
      <w:proofErr w:type="gramStart"/>
      <w:r w:rsidRPr="00BC55B4">
        <w:rPr>
          <w:rFonts w:ascii="標楷體" w:eastAsia="標楷體" w:hAnsi="標楷體" w:cs="標楷體" w:hint="eastAsia"/>
          <w:color w:val="000000" w:themeColor="text1"/>
          <w:sz w:val="28"/>
          <w:szCs w:val="28"/>
        </w:rPr>
        <w:t>去碳燃氫</w:t>
      </w:r>
      <w:r w:rsidRPr="00BC55B4">
        <w:rPr>
          <w:rFonts w:ascii="標楷體" w:eastAsia="標楷體" w:hAnsi="標楷體" w:cs="標楷體"/>
          <w:color w:val="000000" w:themeColor="text1"/>
          <w:sz w:val="28"/>
          <w:szCs w:val="28"/>
        </w:rPr>
        <w:t>MW</w:t>
      </w:r>
      <w:r w:rsidRPr="00BC55B4">
        <w:rPr>
          <w:rFonts w:ascii="標楷體" w:eastAsia="標楷體" w:hAnsi="標楷體" w:cs="標楷體" w:hint="eastAsia"/>
          <w:color w:val="000000" w:themeColor="text1"/>
          <w:sz w:val="28"/>
          <w:szCs w:val="28"/>
        </w:rPr>
        <w:t>級混氫</w:t>
      </w:r>
      <w:proofErr w:type="gramEnd"/>
      <w:r w:rsidRPr="00BC55B4">
        <w:rPr>
          <w:rFonts w:ascii="標楷體" w:eastAsia="標楷體" w:hAnsi="標楷體" w:cs="標楷體" w:hint="eastAsia"/>
          <w:color w:val="000000" w:themeColor="text1"/>
          <w:sz w:val="28"/>
          <w:szCs w:val="28"/>
        </w:rPr>
        <w:t>發電系統建置及試驗計畫：中研院自主研發的天然氣</w:t>
      </w:r>
      <w:proofErr w:type="gramStart"/>
      <w:r w:rsidRPr="00BC55B4">
        <w:rPr>
          <w:rFonts w:ascii="標楷體" w:eastAsia="標楷體" w:hAnsi="標楷體" w:cs="標楷體" w:hint="eastAsia"/>
          <w:color w:val="000000" w:themeColor="text1"/>
          <w:sz w:val="28"/>
          <w:szCs w:val="28"/>
        </w:rPr>
        <w:t>去碳燃氫</w:t>
      </w:r>
      <w:proofErr w:type="gramEnd"/>
      <w:r w:rsidRPr="00BC55B4">
        <w:rPr>
          <w:rFonts w:ascii="標楷體" w:eastAsia="標楷體" w:hAnsi="標楷體" w:cs="標楷體" w:hint="eastAsia"/>
          <w:color w:val="000000" w:themeColor="text1"/>
          <w:sz w:val="28"/>
          <w:szCs w:val="28"/>
        </w:rPr>
        <w:t>發電技術（甲烷裂解技術）與台電公司合作，於112年達到天然氣</w:t>
      </w:r>
      <w:proofErr w:type="gramStart"/>
      <w:r w:rsidRPr="00BC55B4">
        <w:rPr>
          <w:rFonts w:ascii="標楷體" w:eastAsia="標楷體" w:hAnsi="標楷體" w:cs="標楷體" w:hint="eastAsia"/>
          <w:color w:val="000000" w:themeColor="text1"/>
          <w:sz w:val="28"/>
          <w:szCs w:val="28"/>
        </w:rPr>
        <w:t>去碳製氫</w:t>
      </w:r>
      <w:proofErr w:type="gramEnd"/>
      <w:r w:rsidRPr="00BC55B4">
        <w:rPr>
          <w:rFonts w:ascii="標楷體" w:eastAsia="標楷體" w:hAnsi="標楷體" w:cs="標楷體" w:hint="eastAsia"/>
          <w:color w:val="000000" w:themeColor="text1"/>
          <w:sz w:val="28"/>
          <w:szCs w:val="28"/>
        </w:rPr>
        <w:t>機組串接商用65kW燃氣</w:t>
      </w:r>
      <w:proofErr w:type="gramStart"/>
      <w:r w:rsidRPr="00BC55B4">
        <w:rPr>
          <w:rFonts w:ascii="標楷體" w:eastAsia="標楷體" w:hAnsi="標楷體" w:cs="標楷體" w:hint="eastAsia"/>
          <w:color w:val="000000" w:themeColor="text1"/>
          <w:sz w:val="28"/>
          <w:szCs w:val="28"/>
        </w:rPr>
        <w:t>發電機混氫</w:t>
      </w:r>
      <w:proofErr w:type="gramEnd"/>
      <w:r w:rsidRPr="00BC55B4">
        <w:rPr>
          <w:rFonts w:ascii="標楷體" w:eastAsia="標楷體" w:hAnsi="標楷體" w:cs="標楷體" w:hint="eastAsia"/>
          <w:color w:val="000000" w:themeColor="text1"/>
          <w:sz w:val="28"/>
          <w:szCs w:val="28"/>
        </w:rPr>
        <w:t>10％發電的技術里程碑。自113年起，持續優化製程與系統，並放大規模，於114年正式啟動「天然氣</w:t>
      </w:r>
      <w:proofErr w:type="gramStart"/>
      <w:r w:rsidRPr="00BC55B4">
        <w:rPr>
          <w:rFonts w:ascii="標楷體" w:eastAsia="標楷體" w:hAnsi="標楷體" w:cs="標楷體" w:hint="eastAsia"/>
          <w:color w:val="000000" w:themeColor="text1"/>
          <w:sz w:val="28"/>
          <w:szCs w:val="28"/>
        </w:rPr>
        <w:t>去碳燃氫MW級混氫</w:t>
      </w:r>
      <w:proofErr w:type="gramEnd"/>
      <w:r w:rsidRPr="00BC55B4">
        <w:rPr>
          <w:rFonts w:ascii="標楷體" w:eastAsia="標楷體" w:hAnsi="標楷體" w:cs="標楷體" w:hint="eastAsia"/>
          <w:color w:val="000000" w:themeColor="text1"/>
          <w:sz w:val="28"/>
          <w:szCs w:val="28"/>
        </w:rPr>
        <w:t>發電系統建置及試驗計畫」公共建設計畫，截至115年6月底，已完成放大100倍之單機建置與測試（相較於112年之單機機型），預計於116年底完成200至300kW單機建置並進行測試，台電公司並同步進行現場測試場域建置及發電系統測試。</w:t>
      </w:r>
    </w:p>
    <w:p w14:paraId="2088E3B8" w14:textId="32DAEF60" w:rsidR="00E82099" w:rsidRPr="00BC55B4" w:rsidRDefault="009247C1" w:rsidP="000418E5">
      <w:pPr>
        <w:overflowPunct w:val="0"/>
        <w:spacing w:line="440" w:lineRule="exact"/>
        <w:jc w:val="both"/>
        <w:outlineLvl w:val="0"/>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貳、</w:t>
      </w:r>
      <w:proofErr w:type="gramStart"/>
      <w:r w:rsidR="0084503F" w:rsidRPr="00BC55B4">
        <w:rPr>
          <w:rFonts w:ascii="標楷體" w:eastAsia="標楷體" w:hAnsi="標楷體"/>
          <w:color w:val="000000" w:themeColor="text1"/>
          <w:sz w:val="28"/>
          <w:szCs w:val="28"/>
        </w:rPr>
        <w:t>1</w:t>
      </w:r>
      <w:r w:rsidR="00220544" w:rsidRPr="00BC55B4">
        <w:rPr>
          <w:rFonts w:ascii="標楷體" w:eastAsia="標楷體" w:hAnsi="標楷體"/>
          <w:color w:val="000000" w:themeColor="text1"/>
          <w:sz w:val="28"/>
          <w:szCs w:val="28"/>
        </w:rPr>
        <w:t>1</w:t>
      </w:r>
      <w:r w:rsidR="00402D0A" w:rsidRPr="00BC55B4">
        <w:rPr>
          <w:rFonts w:ascii="標楷體" w:eastAsia="標楷體" w:hAnsi="標楷體" w:hint="eastAsia"/>
          <w:color w:val="000000" w:themeColor="text1"/>
          <w:sz w:val="28"/>
          <w:szCs w:val="28"/>
        </w:rPr>
        <w:t>6</w:t>
      </w:r>
      <w:proofErr w:type="gramEnd"/>
      <w:r w:rsidR="0084503F" w:rsidRPr="00BC55B4">
        <w:rPr>
          <w:rFonts w:ascii="標楷體" w:eastAsia="標楷體" w:hAnsi="標楷體"/>
          <w:color w:val="000000" w:themeColor="text1"/>
          <w:sz w:val="28"/>
          <w:szCs w:val="28"/>
        </w:rPr>
        <w:t>年度</w:t>
      </w:r>
      <w:r w:rsidR="00F57226" w:rsidRPr="00BC55B4">
        <w:rPr>
          <w:rFonts w:ascii="標楷體" w:eastAsia="標楷體" w:hAnsi="標楷體"/>
          <w:color w:val="000000" w:themeColor="text1"/>
          <w:sz w:val="28"/>
          <w:szCs w:val="28"/>
        </w:rPr>
        <w:t>預算編列情形</w:t>
      </w:r>
      <w:r w:rsidR="00177ABE" w:rsidRPr="00BC55B4">
        <w:rPr>
          <w:rFonts w:ascii="標楷體" w:eastAsia="標楷體" w:hAnsi="標楷體"/>
          <w:color w:val="000000" w:themeColor="text1"/>
          <w:sz w:val="28"/>
          <w:szCs w:val="28"/>
        </w:rPr>
        <w:t>：</w:t>
      </w:r>
    </w:p>
    <w:p w14:paraId="3E94BBBF" w14:textId="114DA114" w:rsidR="00F57226" w:rsidRPr="00BC55B4" w:rsidRDefault="00F57226" w:rsidP="003A023B">
      <w:pPr>
        <w:overflowPunct w:val="0"/>
        <w:spacing w:line="440" w:lineRule="exact"/>
        <w:ind w:firstLineChars="200" w:firstLine="560"/>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總統府主管</w:t>
      </w:r>
      <w:proofErr w:type="gramStart"/>
      <w:r w:rsidR="00BD566E" w:rsidRPr="00BC55B4">
        <w:rPr>
          <w:rFonts w:ascii="標楷體" w:eastAsia="標楷體" w:hAnsi="標楷體"/>
          <w:color w:val="000000" w:themeColor="text1"/>
          <w:sz w:val="28"/>
          <w:szCs w:val="28"/>
        </w:rPr>
        <w:t>1</w:t>
      </w:r>
      <w:r w:rsidR="00FE71AB" w:rsidRPr="00BC55B4">
        <w:rPr>
          <w:rFonts w:ascii="標楷體" w:eastAsia="標楷體" w:hAnsi="標楷體"/>
          <w:color w:val="000000" w:themeColor="text1"/>
          <w:sz w:val="28"/>
          <w:szCs w:val="28"/>
        </w:rPr>
        <w:t>1</w:t>
      </w:r>
      <w:r w:rsidR="00402D0A" w:rsidRPr="00BC55B4">
        <w:rPr>
          <w:rFonts w:ascii="標楷體" w:eastAsia="標楷體" w:hAnsi="標楷體" w:hint="eastAsia"/>
          <w:color w:val="000000" w:themeColor="text1"/>
          <w:sz w:val="28"/>
          <w:szCs w:val="28"/>
        </w:rPr>
        <w:t>6</w:t>
      </w:r>
      <w:proofErr w:type="gramEnd"/>
      <w:r w:rsidRPr="00BC55B4">
        <w:rPr>
          <w:rFonts w:ascii="標楷體" w:eastAsia="標楷體" w:hAnsi="標楷體"/>
          <w:color w:val="000000" w:themeColor="text1"/>
          <w:sz w:val="28"/>
          <w:szCs w:val="28"/>
        </w:rPr>
        <w:t>年度預算</w:t>
      </w:r>
      <w:r w:rsidR="002E4211" w:rsidRPr="00BC55B4">
        <w:rPr>
          <w:rFonts w:ascii="標楷體" w:eastAsia="標楷體" w:hAnsi="標楷體"/>
          <w:color w:val="000000" w:themeColor="text1"/>
          <w:sz w:val="28"/>
          <w:szCs w:val="28"/>
        </w:rPr>
        <w:t>編列歲入</w:t>
      </w:r>
      <w:r w:rsidR="00044E71" w:rsidRPr="00BC55B4">
        <w:rPr>
          <w:rFonts w:ascii="標楷體" w:eastAsia="標楷體" w:hAnsi="標楷體"/>
          <w:color w:val="000000" w:themeColor="text1"/>
          <w:sz w:val="28"/>
          <w:szCs w:val="28"/>
        </w:rPr>
        <w:t>1億5,</w:t>
      </w:r>
      <w:r w:rsidR="009D1827" w:rsidRPr="00BC55B4">
        <w:rPr>
          <w:rFonts w:ascii="標楷體" w:eastAsia="標楷體" w:hAnsi="標楷體" w:hint="eastAsia"/>
          <w:color w:val="000000" w:themeColor="text1"/>
          <w:sz w:val="28"/>
          <w:szCs w:val="28"/>
        </w:rPr>
        <w:t>726</w:t>
      </w:r>
      <w:r w:rsidR="00044E71" w:rsidRPr="00BC55B4">
        <w:rPr>
          <w:rFonts w:ascii="標楷體" w:eastAsia="標楷體" w:hAnsi="標楷體"/>
          <w:color w:val="000000" w:themeColor="text1"/>
          <w:sz w:val="28"/>
          <w:szCs w:val="28"/>
        </w:rPr>
        <w:t>萬</w:t>
      </w:r>
      <w:r w:rsidR="009D1827" w:rsidRPr="00BC55B4">
        <w:rPr>
          <w:rFonts w:ascii="標楷體" w:eastAsia="標楷體" w:hAnsi="標楷體" w:hint="eastAsia"/>
          <w:color w:val="000000" w:themeColor="text1"/>
          <w:sz w:val="28"/>
          <w:szCs w:val="28"/>
        </w:rPr>
        <w:t>8</w:t>
      </w:r>
      <w:r w:rsidR="00044E71" w:rsidRPr="00BC55B4">
        <w:rPr>
          <w:rFonts w:ascii="標楷體" w:eastAsia="標楷體" w:hAnsi="標楷體"/>
          <w:color w:val="000000" w:themeColor="text1"/>
          <w:sz w:val="28"/>
          <w:szCs w:val="28"/>
        </w:rPr>
        <w:t>千元</w:t>
      </w:r>
      <w:r w:rsidR="002E4211" w:rsidRPr="00BC55B4">
        <w:rPr>
          <w:rFonts w:ascii="標楷體" w:eastAsia="標楷體" w:hAnsi="標楷體"/>
          <w:color w:val="000000" w:themeColor="text1"/>
          <w:sz w:val="28"/>
          <w:szCs w:val="28"/>
        </w:rPr>
        <w:t>，</w:t>
      </w:r>
      <w:r w:rsidRPr="00BC55B4">
        <w:rPr>
          <w:rFonts w:ascii="標楷體" w:eastAsia="標楷體" w:hAnsi="標楷體"/>
          <w:color w:val="000000" w:themeColor="text1"/>
          <w:sz w:val="28"/>
          <w:szCs w:val="28"/>
        </w:rPr>
        <w:t>歲出</w:t>
      </w:r>
      <w:r w:rsidR="00444708" w:rsidRPr="00BC55B4">
        <w:rPr>
          <w:rFonts w:ascii="標楷體" w:eastAsia="標楷體" w:hAnsi="標楷體" w:hint="eastAsia"/>
          <w:color w:val="000000" w:themeColor="text1"/>
          <w:sz w:val="28"/>
          <w:szCs w:val="28"/>
        </w:rPr>
        <w:t>1</w:t>
      </w:r>
      <w:r w:rsidR="009D1827" w:rsidRPr="00BC55B4">
        <w:rPr>
          <w:rFonts w:ascii="標楷體" w:eastAsia="標楷體" w:hAnsi="標楷體" w:hint="eastAsia"/>
          <w:color w:val="000000" w:themeColor="text1"/>
          <w:sz w:val="28"/>
          <w:szCs w:val="28"/>
        </w:rPr>
        <w:t>84</w:t>
      </w:r>
      <w:r w:rsidR="00044E71" w:rsidRPr="00BC55B4">
        <w:rPr>
          <w:rFonts w:ascii="標楷體" w:eastAsia="標楷體" w:hAnsi="標楷體"/>
          <w:color w:val="000000" w:themeColor="text1"/>
          <w:sz w:val="28"/>
          <w:szCs w:val="28"/>
        </w:rPr>
        <w:t>億</w:t>
      </w:r>
      <w:r w:rsidR="009D1827" w:rsidRPr="00BC55B4">
        <w:rPr>
          <w:rFonts w:ascii="標楷體" w:eastAsia="標楷體" w:hAnsi="標楷體" w:hint="eastAsia"/>
          <w:color w:val="000000" w:themeColor="text1"/>
          <w:sz w:val="28"/>
          <w:szCs w:val="28"/>
        </w:rPr>
        <w:t>8</w:t>
      </w:r>
      <w:r w:rsidR="00A52CB4" w:rsidRPr="00BC55B4">
        <w:rPr>
          <w:rFonts w:ascii="標楷體" w:eastAsia="標楷體" w:hAnsi="標楷體"/>
          <w:color w:val="000000" w:themeColor="text1"/>
          <w:sz w:val="28"/>
          <w:szCs w:val="28"/>
        </w:rPr>
        <w:t>,</w:t>
      </w:r>
      <w:r w:rsidR="009D1827" w:rsidRPr="00BC55B4">
        <w:rPr>
          <w:rFonts w:ascii="標楷體" w:eastAsia="標楷體" w:hAnsi="標楷體" w:hint="eastAsia"/>
          <w:color w:val="000000" w:themeColor="text1"/>
          <w:sz w:val="28"/>
          <w:szCs w:val="28"/>
        </w:rPr>
        <w:t>254</w:t>
      </w:r>
      <w:r w:rsidR="00044E71" w:rsidRPr="00BC55B4">
        <w:rPr>
          <w:rFonts w:ascii="標楷體" w:eastAsia="標楷體" w:hAnsi="標楷體"/>
          <w:color w:val="000000" w:themeColor="text1"/>
          <w:sz w:val="28"/>
          <w:szCs w:val="28"/>
        </w:rPr>
        <w:t>萬</w:t>
      </w:r>
      <w:r w:rsidR="009D1827" w:rsidRPr="00BC55B4">
        <w:rPr>
          <w:rFonts w:ascii="標楷體" w:eastAsia="標楷體" w:hAnsi="標楷體" w:hint="eastAsia"/>
          <w:color w:val="000000" w:themeColor="text1"/>
          <w:sz w:val="28"/>
          <w:szCs w:val="28"/>
        </w:rPr>
        <w:t>9</w:t>
      </w:r>
      <w:r w:rsidR="00044E71" w:rsidRPr="00BC55B4">
        <w:rPr>
          <w:rFonts w:ascii="標楷體" w:eastAsia="標楷體" w:hAnsi="標楷體"/>
          <w:color w:val="000000" w:themeColor="text1"/>
          <w:sz w:val="28"/>
          <w:szCs w:val="28"/>
        </w:rPr>
        <w:t>千元</w:t>
      </w:r>
      <w:r w:rsidRPr="00BC55B4">
        <w:rPr>
          <w:rFonts w:ascii="標楷體" w:eastAsia="標楷體" w:hAnsi="標楷體"/>
          <w:color w:val="000000" w:themeColor="text1"/>
          <w:sz w:val="28"/>
          <w:szCs w:val="28"/>
        </w:rPr>
        <w:t>，各機關編列情形如</w:t>
      </w:r>
      <w:r w:rsidR="00247F6A" w:rsidRPr="00BC55B4">
        <w:rPr>
          <w:rFonts w:ascii="標楷體" w:eastAsia="標楷體" w:hAnsi="標楷體"/>
          <w:color w:val="000000" w:themeColor="text1"/>
          <w:sz w:val="28"/>
          <w:szCs w:val="28"/>
          <w:lang w:eastAsia="zh-HK"/>
        </w:rPr>
        <w:t>下</w:t>
      </w:r>
      <w:r w:rsidRPr="00BC55B4">
        <w:rPr>
          <w:rFonts w:ascii="標楷體" w:eastAsia="標楷體" w:hAnsi="標楷體"/>
          <w:color w:val="000000" w:themeColor="text1"/>
          <w:sz w:val="28"/>
          <w:szCs w:val="28"/>
        </w:rPr>
        <w:t>：</w:t>
      </w:r>
    </w:p>
    <w:p w14:paraId="6AF3672D" w14:textId="1DD216FB" w:rsidR="00400CC2" w:rsidRPr="00BC55B4" w:rsidRDefault="00DA15E9" w:rsidP="003A023B">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一</w:t>
      </w:r>
      <w:r w:rsidR="009247C1" w:rsidRPr="00BC55B4">
        <w:rPr>
          <w:rFonts w:ascii="標楷體" w:eastAsia="標楷體" w:hAnsi="標楷體"/>
          <w:color w:val="000000" w:themeColor="text1"/>
          <w:sz w:val="28"/>
          <w:szCs w:val="28"/>
        </w:rPr>
        <w:t>、</w:t>
      </w:r>
      <w:r w:rsidRPr="00BC55B4">
        <w:rPr>
          <w:rFonts w:ascii="標楷體" w:eastAsia="標楷體" w:hAnsi="標楷體"/>
          <w:color w:val="000000" w:themeColor="text1"/>
          <w:sz w:val="28"/>
          <w:szCs w:val="28"/>
        </w:rPr>
        <w:tab/>
      </w:r>
      <w:r w:rsidR="006A1B54" w:rsidRPr="00BC55B4">
        <w:rPr>
          <w:rFonts w:ascii="標楷體" w:eastAsia="標楷體" w:hAnsi="標楷體"/>
          <w:color w:val="000000" w:themeColor="text1"/>
          <w:sz w:val="28"/>
          <w:szCs w:val="28"/>
        </w:rPr>
        <w:t>總統府</w:t>
      </w:r>
      <w:r w:rsidR="00F57226" w:rsidRPr="00BC55B4">
        <w:rPr>
          <w:rFonts w:ascii="標楷體" w:eastAsia="標楷體" w:hAnsi="標楷體"/>
          <w:color w:val="000000" w:themeColor="text1"/>
          <w:sz w:val="28"/>
          <w:szCs w:val="28"/>
        </w:rPr>
        <w:t>編列</w:t>
      </w:r>
      <w:r w:rsidR="002E4211" w:rsidRPr="00BC55B4">
        <w:rPr>
          <w:rFonts w:ascii="標楷體" w:eastAsia="標楷體" w:hAnsi="標楷體"/>
          <w:color w:val="000000" w:themeColor="text1"/>
          <w:sz w:val="28"/>
          <w:szCs w:val="28"/>
        </w:rPr>
        <w:t>歲入</w:t>
      </w:r>
      <w:r w:rsidR="00044E71" w:rsidRPr="00BC55B4">
        <w:rPr>
          <w:rFonts w:ascii="標楷體" w:eastAsia="標楷體" w:hAnsi="標楷體"/>
          <w:color w:val="000000" w:themeColor="text1"/>
          <w:sz w:val="28"/>
          <w:szCs w:val="28"/>
        </w:rPr>
        <w:t>2</w:t>
      </w:r>
      <w:r w:rsidR="00425469" w:rsidRPr="00BC55B4">
        <w:rPr>
          <w:rFonts w:ascii="標楷體" w:eastAsia="標楷體" w:hAnsi="標楷體" w:hint="eastAsia"/>
          <w:color w:val="000000" w:themeColor="text1"/>
          <w:sz w:val="28"/>
          <w:szCs w:val="28"/>
        </w:rPr>
        <w:t>95</w:t>
      </w:r>
      <w:r w:rsidR="00044E71" w:rsidRPr="00BC55B4">
        <w:rPr>
          <w:rFonts w:ascii="標楷體" w:eastAsia="標楷體" w:hAnsi="標楷體"/>
          <w:color w:val="000000" w:themeColor="text1"/>
          <w:sz w:val="28"/>
          <w:szCs w:val="28"/>
        </w:rPr>
        <w:t>萬</w:t>
      </w:r>
      <w:r w:rsidR="00425469" w:rsidRPr="00BC55B4">
        <w:rPr>
          <w:rFonts w:ascii="標楷體" w:eastAsia="標楷體" w:hAnsi="標楷體" w:hint="eastAsia"/>
          <w:color w:val="000000" w:themeColor="text1"/>
          <w:sz w:val="28"/>
          <w:szCs w:val="28"/>
        </w:rPr>
        <w:t>1</w:t>
      </w:r>
      <w:r w:rsidR="00DF2786" w:rsidRPr="00BC55B4">
        <w:rPr>
          <w:rFonts w:ascii="標楷體" w:eastAsia="標楷體" w:hAnsi="標楷體" w:hint="eastAsia"/>
          <w:color w:val="000000" w:themeColor="text1"/>
          <w:sz w:val="28"/>
          <w:szCs w:val="28"/>
        </w:rPr>
        <w:t>千</w:t>
      </w:r>
      <w:r w:rsidR="00044E71" w:rsidRPr="00BC55B4">
        <w:rPr>
          <w:rFonts w:ascii="標楷體" w:eastAsia="標楷體" w:hAnsi="標楷體"/>
          <w:color w:val="000000" w:themeColor="text1"/>
          <w:sz w:val="28"/>
          <w:szCs w:val="28"/>
        </w:rPr>
        <w:t>元</w:t>
      </w:r>
      <w:r w:rsidR="002E4211" w:rsidRPr="00BC55B4">
        <w:rPr>
          <w:rFonts w:ascii="標楷體" w:eastAsia="標楷體" w:hAnsi="標楷體"/>
          <w:color w:val="000000" w:themeColor="text1"/>
          <w:sz w:val="28"/>
          <w:szCs w:val="28"/>
        </w:rPr>
        <w:t>、歲出</w:t>
      </w:r>
      <w:r w:rsidR="00044E71" w:rsidRPr="00BC55B4">
        <w:rPr>
          <w:rFonts w:ascii="標楷體" w:eastAsia="標楷體" w:hAnsi="標楷體"/>
          <w:color w:val="000000" w:themeColor="text1"/>
          <w:sz w:val="28"/>
          <w:szCs w:val="28"/>
        </w:rPr>
        <w:t>1</w:t>
      </w:r>
      <w:r w:rsidR="00302104" w:rsidRPr="00BC55B4">
        <w:rPr>
          <w:rFonts w:ascii="標楷體" w:eastAsia="標楷體" w:hAnsi="標楷體" w:hint="eastAsia"/>
          <w:color w:val="000000" w:themeColor="text1"/>
          <w:sz w:val="28"/>
          <w:szCs w:val="28"/>
        </w:rPr>
        <w:t>1</w:t>
      </w:r>
      <w:r w:rsidR="00044E71" w:rsidRPr="00BC55B4">
        <w:rPr>
          <w:rFonts w:ascii="標楷體" w:eastAsia="標楷體" w:hAnsi="標楷體"/>
          <w:color w:val="000000" w:themeColor="text1"/>
          <w:sz w:val="28"/>
          <w:szCs w:val="28"/>
        </w:rPr>
        <w:t>億</w:t>
      </w:r>
      <w:r w:rsidR="00425469" w:rsidRPr="00BC55B4">
        <w:rPr>
          <w:rFonts w:ascii="標楷體" w:eastAsia="標楷體" w:hAnsi="標楷體" w:hint="eastAsia"/>
          <w:color w:val="000000" w:themeColor="text1"/>
          <w:sz w:val="28"/>
          <w:szCs w:val="28"/>
        </w:rPr>
        <w:t>1</w:t>
      </w:r>
      <w:r w:rsidR="00DF2786" w:rsidRPr="00BC55B4">
        <w:rPr>
          <w:rFonts w:ascii="標楷體" w:eastAsia="標楷體" w:hAnsi="標楷體"/>
          <w:color w:val="000000" w:themeColor="text1"/>
          <w:sz w:val="28"/>
          <w:szCs w:val="28"/>
        </w:rPr>
        <w:t>,</w:t>
      </w:r>
      <w:r w:rsidR="00425469" w:rsidRPr="00BC55B4">
        <w:rPr>
          <w:rFonts w:ascii="標楷體" w:eastAsia="標楷體" w:hAnsi="標楷體" w:hint="eastAsia"/>
          <w:color w:val="000000" w:themeColor="text1"/>
          <w:sz w:val="28"/>
          <w:szCs w:val="28"/>
        </w:rPr>
        <w:t>223</w:t>
      </w:r>
      <w:r w:rsidR="00044E71" w:rsidRPr="00BC55B4">
        <w:rPr>
          <w:rFonts w:ascii="標楷體" w:eastAsia="標楷體" w:hAnsi="標楷體"/>
          <w:color w:val="000000" w:themeColor="text1"/>
          <w:sz w:val="28"/>
          <w:szCs w:val="28"/>
        </w:rPr>
        <w:t>萬</w:t>
      </w:r>
      <w:r w:rsidR="00302104" w:rsidRPr="00BC55B4">
        <w:rPr>
          <w:rFonts w:ascii="標楷體" w:eastAsia="標楷體" w:hAnsi="標楷體" w:hint="eastAsia"/>
          <w:color w:val="000000" w:themeColor="text1"/>
          <w:sz w:val="28"/>
          <w:szCs w:val="28"/>
        </w:rPr>
        <w:t>1</w:t>
      </w:r>
      <w:r w:rsidR="00044E71" w:rsidRPr="00BC55B4">
        <w:rPr>
          <w:rFonts w:ascii="標楷體" w:eastAsia="標楷體" w:hAnsi="標楷體"/>
          <w:color w:val="000000" w:themeColor="text1"/>
          <w:sz w:val="28"/>
          <w:szCs w:val="28"/>
        </w:rPr>
        <w:t>千元</w:t>
      </w:r>
      <w:r w:rsidR="00F57226" w:rsidRPr="00BC55B4">
        <w:rPr>
          <w:rFonts w:ascii="標楷體" w:eastAsia="標楷體" w:hAnsi="標楷體"/>
          <w:color w:val="000000" w:themeColor="text1"/>
          <w:sz w:val="28"/>
          <w:szCs w:val="28"/>
        </w:rPr>
        <w:t>。</w:t>
      </w:r>
    </w:p>
    <w:p w14:paraId="7DA83055" w14:textId="77777777" w:rsidR="00402D0A" w:rsidRPr="00BC55B4" w:rsidRDefault="00DA15E9" w:rsidP="00402D0A">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二</w:t>
      </w:r>
      <w:r w:rsidR="009247C1" w:rsidRPr="00BC55B4">
        <w:rPr>
          <w:rFonts w:ascii="標楷體" w:eastAsia="標楷體" w:hAnsi="標楷體"/>
          <w:color w:val="000000" w:themeColor="text1"/>
          <w:sz w:val="28"/>
          <w:szCs w:val="28"/>
        </w:rPr>
        <w:t>、</w:t>
      </w:r>
      <w:r w:rsidR="00F57226" w:rsidRPr="00BC55B4">
        <w:rPr>
          <w:rFonts w:ascii="標楷體" w:eastAsia="標楷體" w:hAnsi="標楷體"/>
          <w:color w:val="000000" w:themeColor="text1"/>
          <w:sz w:val="28"/>
          <w:szCs w:val="28"/>
        </w:rPr>
        <w:tab/>
        <w:t>國家安全會議編列</w:t>
      </w:r>
      <w:r w:rsidR="002E4211" w:rsidRPr="00BC55B4">
        <w:rPr>
          <w:rFonts w:ascii="標楷體" w:eastAsia="標楷體" w:hAnsi="標楷體"/>
          <w:color w:val="000000" w:themeColor="text1"/>
          <w:sz w:val="28"/>
          <w:szCs w:val="28"/>
        </w:rPr>
        <w:t>歲入</w:t>
      </w:r>
      <w:r w:rsidR="00402D0A" w:rsidRPr="00BC55B4">
        <w:rPr>
          <w:rFonts w:ascii="標楷體" w:eastAsia="標楷體" w:hAnsi="標楷體" w:hint="eastAsia"/>
          <w:color w:val="000000" w:themeColor="text1"/>
          <w:sz w:val="28"/>
          <w:szCs w:val="28"/>
        </w:rPr>
        <w:t>3</w:t>
      </w:r>
      <w:r w:rsidR="00044E71" w:rsidRPr="00BC55B4">
        <w:rPr>
          <w:rFonts w:ascii="標楷體" w:eastAsia="標楷體" w:hAnsi="標楷體"/>
          <w:color w:val="000000" w:themeColor="text1"/>
          <w:sz w:val="28"/>
          <w:szCs w:val="28"/>
        </w:rPr>
        <w:t>萬</w:t>
      </w:r>
      <w:r w:rsidR="00402D0A" w:rsidRPr="00BC55B4">
        <w:rPr>
          <w:rFonts w:ascii="標楷體" w:eastAsia="標楷體" w:hAnsi="標楷體" w:hint="eastAsia"/>
          <w:color w:val="000000" w:themeColor="text1"/>
          <w:sz w:val="28"/>
          <w:szCs w:val="28"/>
        </w:rPr>
        <w:t>2</w:t>
      </w:r>
      <w:r w:rsidR="00044E71" w:rsidRPr="00BC55B4">
        <w:rPr>
          <w:rFonts w:ascii="標楷體" w:eastAsia="標楷體" w:hAnsi="標楷體"/>
          <w:color w:val="000000" w:themeColor="text1"/>
          <w:sz w:val="28"/>
          <w:szCs w:val="28"/>
        </w:rPr>
        <w:t>千元</w:t>
      </w:r>
      <w:r w:rsidR="00402D0A" w:rsidRPr="00BC55B4">
        <w:rPr>
          <w:rFonts w:ascii="標楷體" w:eastAsia="標楷體" w:hAnsi="標楷體"/>
          <w:color w:val="000000" w:themeColor="text1"/>
          <w:sz w:val="28"/>
          <w:szCs w:val="28"/>
        </w:rPr>
        <w:t>、歲出2億5,682萬4千元。</w:t>
      </w:r>
    </w:p>
    <w:p w14:paraId="605069F1" w14:textId="686B8CF3" w:rsidR="00F57226" w:rsidRPr="00BC55B4" w:rsidRDefault="00DA15E9" w:rsidP="00613A43">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三</w:t>
      </w:r>
      <w:r w:rsidR="009247C1" w:rsidRPr="00BC55B4">
        <w:rPr>
          <w:rFonts w:ascii="標楷體" w:eastAsia="標楷體" w:hAnsi="標楷體"/>
          <w:color w:val="000000" w:themeColor="text1"/>
          <w:sz w:val="28"/>
          <w:szCs w:val="28"/>
        </w:rPr>
        <w:t>、</w:t>
      </w:r>
      <w:r w:rsidR="00F57226" w:rsidRPr="00BC55B4">
        <w:rPr>
          <w:rFonts w:ascii="標楷體" w:eastAsia="標楷體" w:hAnsi="標楷體"/>
          <w:color w:val="000000" w:themeColor="text1"/>
          <w:sz w:val="28"/>
          <w:szCs w:val="28"/>
        </w:rPr>
        <w:tab/>
      </w:r>
      <w:r w:rsidR="00613A43" w:rsidRPr="00BC55B4">
        <w:rPr>
          <w:rFonts w:ascii="標楷體" w:eastAsia="標楷體" w:hAnsi="標楷體"/>
          <w:color w:val="000000" w:themeColor="text1"/>
          <w:sz w:val="28"/>
          <w:szCs w:val="28"/>
        </w:rPr>
        <w:t>國史館編列歲入1</w:t>
      </w:r>
      <w:r w:rsidR="00613A43" w:rsidRPr="00BC55B4">
        <w:rPr>
          <w:rFonts w:ascii="標楷體" w:eastAsia="標楷體" w:hAnsi="標楷體" w:hint="eastAsia"/>
          <w:color w:val="000000" w:themeColor="text1"/>
          <w:sz w:val="28"/>
          <w:szCs w:val="28"/>
        </w:rPr>
        <w:t>72</w:t>
      </w:r>
      <w:r w:rsidR="00613A43" w:rsidRPr="00BC55B4">
        <w:rPr>
          <w:rFonts w:ascii="標楷體" w:eastAsia="標楷體" w:hAnsi="標楷體"/>
          <w:color w:val="000000" w:themeColor="text1"/>
          <w:sz w:val="28"/>
          <w:szCs w:val="28"/>
        </w:rPr>
        <w:t>萬</w:t>
      </w:r>
      <w:r w:rsidR="00613A43" w:rsidRPr="00BC55B4">
        <w:rPr>
          <w:rFonts w:ascii="標楷體" w:eastAsia="標楷體" w:hAnsi="標楷體" w:hint="eastAsia"/>
          <w:color w:val="000000" w:themeColor="text1"/>
          <w:sz w:val="28"/>
          <w:szCs w:val="28"/>
        </w:rPr>
        <w:t>6千</w:t>
      </w:r>
      <w:r w:rsidR="00613A43" w:rsidRPr="00BC55B4">
        <w:rPr>
          <w:rFonts w:ascii="標楷體" w:eastAsia="標楷體" w:hAnsi="標楷體"/>
          <w:color w:val="000000" w:themeColor="text1"/>
          <w:sz w:val="28"/>
          <w:szCs w:val="28"/>
        </w:rPr>
        <w:t>元、歲出</w:t>
      </w:r>
      <w:r w:rsidR="00613A43" w:rsidRPr="00BC55B4">
        <w:rPr>
          <w:rFonts w:ascii="標楷體" w:eastAsia="標楷體" w:hAnsi="標楷體" w:hint="eastAsia"/>
          <w:color w:val="000000" w:themeColor="text1"/>
          <w:sz w:val="28"/>
          <w:szCs w:val="28"/>
        </w:rPr>
        <w:t>3</w:t>
      </w:r>
      <w:r w:rsidR="00613A43" w:rsidRPr="00BC55B4">
        <w:rPr>
          <w:rFonts w:ascii="標楷體" w:eastAsia="標楷體" w:hAnsi="標楷體"/>
          <w:color w:val="000000" w:themeColor="text1"/>
          <w:sz w:val="28"/>
          <w:szCs w:val="28"/>
        </w:rPr>
        <w:t>億</w:t>
      </w:r>
      <w:r w:rsidR="00613A43" w:rsidRPr="00BC55B4">
        <w:rPr>
          <w:rFonts w:ascii="標楷體" w:eastAsia="標楷體" w:hAnsi="標楷體" w:hint="eastAsia"/>
          <w:color w:val="000000" w:themeColor="text1"/>
          <w:sz w:val="28"/>
          <w:szCs w:val="28"/>
        </w:rPr>
        <w:t>1</w:t>
      </w:r>
      <w:r w:rsidR="00613A43" w:rsidRPr="00BC55B4">
        <w:rPr>
          <w:rFonts w:ascii="標楷體" w:eastAsia="標楷體" w:hAnsi="標楷體"/>
          <w:color w:val="000000" w:themeColor="text1"/>
          <w:sz w:val="28"/>
          <w:szCs w:val="28"/>
        </w:rPr>
        <w:t>,</w:t>
      </w:r>
      <w:r w:rsidR="00613A43" w:rsidRPr="00BC55B4">
        <w:rPr>
          <w:rFonts w:ascii="標楷體" w:eastAsia="標楷體" w:hAnsi="標楷體" w:hint="eastAsia"/>
          <w:color w:val="000000" w:themeColor="text1"/>
          <w:sz w:val="28"/>
          <w:szCs w:val="28"/>
        </w:rPr>
        <w:t>768</w:t>
      </w:r>
      <w:r w:rsidR="00613A43" w:rsidRPr="00BC55B4">
        <w:rPr>
          <w:rFonts w:ascii="標楷體" w:eastAsia="標楷體" w:hAnsi="標楷體"/>
          <w:color w:val="000000" w:themeColor="text1"/>
          <w:sz w:val="28"/>
          <w:szCs w:val="28"/>
        </w:rPr>
        <w:t>萬元。</w:t>
      </w:r>
    </w:p>
    <w:p w14:paraId="07FD31E6" w14:textId="6E105052" w:rsidR="00F57226" w:rsidRPr="00BC55B4" w:rsidRDefault="00DA15E9" w:rsidP="003A023B">
      <w:pPr>
        <w:tabs>
          <w:tab w:val="left" w:pos="540"/>
        </w:tabs>
        <w:overflowPunct w:val="0"/>
        <w:spacing w:line="440" w:lineRule="exact"/>
        <w:ind w:left="574" w:hangingChars="205" w:hanging="574"/>
        <w:jc w:val="both"/>
        <w:rPr>
          <w:rFonts w:ascii="標楷體" w:eastAsia="標楷體" w:hAnsi="標楷體"/>
          <w:color w:val="000000" w:themeColor="text1"/>
          <w:sz w:val="28"/>
          <w:szCs w:val="28"/>
        </w:rPr>
      </w:pPr>
      <w:r w:rsidRPr="00BC55B4">
        <w:rPr>
          <w:rFonts w:ascii="標楷體" w:eastAsia="標楷體" w:hAnsi="標楷體"/>
          <w:color w:val="000000" w:themeColor="text1"/>
          <w:sz w:val="28"/>
          <w:szCs w:val="28"/>
        </w:rPr>
        <w:t>四</w:t>
      </w:r>
      <w:r w:rsidR="009247C1" w:rsidRPr="00BC55B4">
        <w:rPr>
          <w:rFonts w:ascii="標楷體" w:eastAsia="標楷體" w:hAnsi="標楷體"/>
          <w:color w:val="000000" w:themeColor="text1"/>
          <w:sz w:val="28"/>
          <w:szCs w:val="28"/>
        </w:rPr>
        <w:t>、</w:t>
      </w:r>
      <w:r w:rsidR="00F57226" w:rsidRPr="00BC55B4">
        <w:rPr>
          <w:rFonts w:ascii="標楷體" w:eastAsia="標楷體" w:hAnsi="標楷體"/>
          <w:color w:val="000000" w:themeColor="text1"/>
          <w:sz w:val="28"/>
          <w:szCs w:val="28"/>
        </w:rPr>
        <w:tab/>
        <w:t>國史館臺灣文獻館編列</w:t>
      </w:r>
      <w:r w:rsidR="002E4211" w:rsidRPr="00BC55B4">
        <w:rPr>
          <w:rFonts w:ascii="標楷體" w:eastAsia="標楷體" w:hAnsi="標楷體"/>
          <w:color w:val="000000" w:themeColor="text1"/>
          <w:sz w:val="28"/>
          <w:szCs w:val="28"/>
        </w:rPr>
        <w:t>歲入</w:t>
      </w:r>
      <w:r w:rsidR="00044E71" w:rsidRPr="00BC55B4">
        <w:rPr>
          <w:rFonts w:ascii="標楷體" w:eastAsia="標楷體" w:hAnsi="標楷體"/>
          <w:color w:val="000000" w:themeColor="text1"/>
          <w:sz w:val="28"/>
          <w:szCs w:val="28"/>
        </w:rPr>
        <w:t>11</w:t>
      </w:r>
      <w:r w:rsidR="00DF2786" w:rsidRPr="00BC55B4">
        <w:rPr>
          <w:rFonts w:ascii="標楷體" w:eastAsia="標楷體" w:hAnsi="標楷體"/>
          <w:color w:val="000000" w:themeColor="text1"/>
          <w:sz w:val="28"/>
          <w:szCs w:val="28"/>
        </w:rPr>
        <w:t>5</w:t>
      </w:r>
      <w:r w:rsidR="00044E71" w:rsidRPr="00BC55B4">
        <w:rPr>
          <w:rFonts w:ascii="標楷體" w:eastAsia="標楷體" w:hAnsi="標楷體"/>
          <w:color w:val="000000" w:themeColor="text1"/>
          <w:sz w:val="28"/>
          <w:szCs w:val="28"/>
        </w:rPr>
        <w:t>萬</w:t>
      </w:r>
      <w:r w:rsidR="00DF2786" w:rsidRPr="00BC55B4">
        <w:rPr>
          <w:rFonts w:ascii="標楷體" w:eastAsia="標楷體" w:hAnsi="標楷體" w:hint="eastAsia"/>
          <w:color w:val="000000" w:themeColor="text1"/>
          <w:sz w:val="28"/>
          <w:szCs w:val="28"/>
        </w:rPr>
        <w:t>7千</w:t>
      </w:r>
      <w:r w:rsidR="00044E71" w:rsidRPr="00BC55B4">
        <w:rPr>
          <w:rFonts w:ascii="標楷體" w:eastAsia="標楷體" w:hAnsi="標楷體"/>
          <w:color w:val="000000" w:themeColor="text1"/>
          <w:sz w:val="28"/>
          <w:szCs w:val="28"/>
        </w:rPr>
        <w:t>元</w:t>
      </w:r>
      <w:r w:rsidR="002E4211" w:rsidRPr="00BC55B4">
        <w:rPr>
          <w:rFonts w:ascii="標楷體" w:eastAsia="標楷體" w:hAnsi="標楷體"/>
          <w:color w:val="000000" w:themeColor="text1"/>
          <w:sz w:val="28"/>
          <w:szCs w:val="28"/>
        </w:rPr>
        <w:t>、</w:t>
      </w:r>
      <w:r w:rsidR="000F1AA8" w:rsidRPr="00BC55B4">
        <w:rPr>
          <w:rFonts w:ascii="標楷體" w:eastAsia="標楷體" w:hAnsi="標楷體"/>
          <w:color w:val="000000" w:themeColor="text1"/>
          <w:sz w:val="28"/>
          <w:szCs w:val="28"/>
        </w:rPr>
        <w:t>歲出1億</w:t>
      </w:r>
      <w:r w:rsidR="00911B71" w:rsidRPr="00BC55B4">
        <w:rPr>
          <w:rFonts w:ascii="標楷體" w:eastAsia="標楷體" w:hAnsi="標楷體" w:hint="eastAsia"/>
          <w:color w:val="000000" w:themeColor="text1"/>
          <w:sz w:val="28"/>
          <w:szCs w:val="28"/>
        </w:rPr>
        <w:t>4</w:t>
      </w:r>
      <w:r w:rsidR="000F1AA8" w:rsidRPr="00BC55B4">
        <w:rPr>
          <w:rFonts w:ascii="標楷體" w:eastAsia="標楷體" w:hAnsi="標楷體" w:hint="eastAsia"/>
          <w:color w:val="000000" w:themeColor="text1"/>
          <w:sz w:val="28"/>
          <w:szCs w:val="28"/>
        </w:rPr>
        <w:t>,</w:t>
      </w:r>
      <w:r w:rsidR="00911B71" w:rsidRPr="00BC55B4">
        <w:rPr>
          <w:rFonts w:ascii="標楷體" w:eastAsia="標楷體" w:hAnsi="標楷體" w:hint="eastAsia"/>
          <w:color w:val="000000" w:themeColor="text1"/>
          <w:sz w:val="28"/>
          <w:szCs w:val="28"/>
        </w:rPr>
        <w:t>062</w:t>
      </w:r>
      <w:r w:rsidR="000F1AA8" w:rsidRPr="00BC55B4">
        <w:rPr>
          <w:rFonts w:ascii="標楷體" w:eastAsia="標楷體" w:hAnsi="標楷體"/>
          <w:color w:val="000000" w:themeColor="text1"/>
          <w:sz w:val="28"/>
          <w:szCs w:val="28"/>
        </w:rPr>
        <w:t>萬</w:t>
      </w:r>
      <w:r w:rsidR="00911B71" w:rsidRPr="00BC55B4">
        <w:rPr>
          <w:rFonts w:ascii="標楷體" w:eastAsia="標楷體" w:hAnsi="標楷體" w:hint="eastAsia"/>
          <w:color w:val="000000" w:themeColor="text1"/>
          <w:sz w:val="28"/>
          <w:szCs w:val="28"/>
        </w:rPr>
        <w:t>9</w:t>
      </w:r>
      <w:r w:rsidR="000F1AA8" w:rsidRPr="00BC55B4">
        <w:rPr>
          <w:rFonts w:ascii="標楷體" w:eastAsia="標楷體" w:hAnsi="標楷體" w:hint="eastAsia"/>
          <w:color w:val="000000" w:themeColor="text1"/>
          <w:sz w:val="28"/>
          <w:szCs w:val="28"/>
        </w:rPr>
        <w:t>千</w:t>
      </w:r>
      <w:r w:rsidR="000F1AA8" w:rsidRPr="00BC55B4">
        <w:rPr>
          <w:rFonts w:ascii="標楷體" w:eastAsia="標楷體" w:hAnsi="標楷體"/>
          <w:color w:val="000000" w:themeColor="text1"/>
          <w:sz w:val="28"/>
          <w:szCs w:val="28"/>
        </w:rPr>
        <w:t>元。</w:t>
      </w:r>
    </w:p>
    <w:p w14:paraId="45A05E49" w14:textId="77777777" w:rsidR="00806733" w:rsidRPr="00806733" w:rsidRDefault="00DA15E9" w:rsidP="00806733">
      <w:pPr>
        <w:tabs>
          <w:tab w:val="left" w:pos="540"/>
        </w:tabs>
        <w:overflowPunct w:val="0"/>
        <w:spacing w:line="440" w:lineRule="exact"/>
        <w:ind w:left="574" w:hangingChars="205" w:hanging="574"/>
        <w:jc w:val="both"/>
        <w:rPr>
          <w:rFonts w:ascii="標楷體" w:eastAsia="標楷體" w:hAnsi="標楷體"/>
          <w:color w:val="000000" w:themeColor="text1"/>
          <w:spacing w:val="-6"/>
          <w:sz w:val="28"/>
          <w:szCs w:val="28"/>
        </w:rPr>
      </w:pPr>
      <w:r w:rsidRPr="00BC55B4">
        <w:rPr>
          <w:rFonts w:ascii="標楷體" w:eastAsia="標楷體" w:hAnsi="標楷體"/>
          <w:color w:val="000000" w:themeColor="text1"/>
          <w:sz w:val="28"/>
          <w:szCs w:val="28"/>
        </w:rPr>
        <w:t>五</w:t>
      </w:r>
      <w:r w:rsidR="009247C1" w:rsidRPr="00BC55B4">
        <w:rPr>
          <w:rFonts w:ascii="標楷體" w:eastAsia="標楷體" w:hAnsi="標楷體"/>
          <w:color w:val="000000" w:themeColor="text1"/>
          <w:sz w:val="28"/>
          <w:szCs w:val="28"/>
        </w:rPr>
        <w:t>、</w:t>
      </w:r>
      <w:r w:rsidR="00F57226" w:rsidRPr="00BC55B4">
        <w:rPr>
          <w:rFonts w:ascii="標楷體" w:eastAsia="標楷體" w:hAnsi="標楷體"/>
          <w:color w:val="000000" w:themeColor="text1"/>
          <w:spacing w:val="-6"/>
          <w:sz w:val="28"/>
          <w:szCs w:val="28"/>
        </w:rPr>
        <w:tab/>
      </w:r>
      <w:r w:rsidR="00806733" w:rsidRPr="00BC55B4">
        <w:rPr>
          <w:rFonts w:ascii="標楷體" w:eastAsia="標楷體" w:hAnsi="標楷體"/>
          <w:color w:val="000000" w:themeColor="text1"/>
          <w:spacing w:val="-6"/>
          <w:sz w:val="28"/>
          <w:szCs w:val="28"/>
        </w:rPr>
        <w:t>中央研究院編列歲入1億</w:t>
      </w:r>
      <w:r w:rsidR="00806733" w:rsidRPr="00BC55B4">
        <w:rPr>
          <w:rFonts w:ascii="標楷體" w:eastAsia="標楷體" w:hAnsi="標楷體" w:hint="eastAsia"/>
          <w:color w:val="000000" w:themeColor="text1"/>
          <w:spacing w:val="-6"/>
          <w:sz w:val="28"/>
          <w:szCs w:val="28"/>
        </w:rPr>
        <w:t>5</w:t>
      </w:r>
      <w:r w:rsidR="00806733" w:rsidRPr="00BC55B4">
        <w:rPr>
          <w:rFonts w:ascii="標楷體" w:eastAsia="標楷體" w:hAnsi="標楷體"/>
          <w:color w:val="000000" w:themeColor="text1"/>
          <w:spacing w:val="-6"/>
          <w:sz w:val="28"/>
          <w:szCs w:val="28"/>
        </w:rPr>
        <w:t>,</w:t>
      </w:r>
      <w:r w:rsidR="00806733" w:rsidRPr="00BC55B4">
        <w:rPr>
          <w:rFonts w:ascii="標楷體" w:eastAsia="標楷體" w:hAnsi="標楷體" w:hint="eastAsia"/>
          <w:color w:val="000000" w:themeColor="text1"/>
          <w:spacing w:val="-6"/>
          <w:sz w:val="28"/>
          <w:szCs w:val="28"/>
        </w:rPr>
        <w:t>140</w:t>
      </w:r>
      <w:r w:rsidR="00806733" w:rsidRPr="00BC55B4">
        <w:rPr>
          <w:rFonts w:ascii="標楷體" w:eastAsia="標楷體" w:hAnsi="標楷體"/>
          <w:color w:val="000000" w:themeColor="text1"/>
          <w:spacing w:val="-6"/>
          <w:sz w:val="28"/>
          <w:szCs w:val="28"/>
        </w:rPr>
        <w:t>萬</w:t>
      </w:r>
      <w:r w:rsidR="00806733" w:rsidRPr="00BC55B4">
        <w:rPr>
          <w:rFonts w:ascii="標楷體" w:eastAsia="標楷體" w:hAnsi="標楷體" w:hint="eastAsia"/>
          <w:color w:val="000000" w:themeColor="text1"/>
          <w:spacing w:val="-6"/>
          <w:sz w:val="28"/>
          <w:szCs w:val="28"/>
        </w:rPr>
        <w:t>2</w:t>
      </w:r>
      <w:r w:rsidR="00806733" w:rsidRPr="00BC55B4">
        <w:rPr>
          <w:rFonts w:ascii="標楷體" w:eastAsia="標楷體" w:hAnsi="標楷體"/>
          <w:color w:val="000000" w:themeColor="text1"/>
          <w:spacing w:val="-6"/>
          <w:sz w:val="28"/>
          <w:szCs w:val="28"/>
        </w:rPr>
        <w:t>千元、歲出1</w:t>
      </w:r>
      <w:r w:rsidR="00806733" w:rsidRPr="00BC55B4">
        <w:rPr>
          <w:rFonts w:ascii="標楷體" w:eastAsia="標楷體" w:hAnsi="標楷體" w:hint="eastAsia"/>
          <w:color w:val="000000" w:themeColor="text1"/>
          <w:spacing w:val="-6"/>
          <w:sz w:val="28"/>
          <w:szCs w:val="28"/>
        </w:rPr>
        <w:t>66</w:t>
      </w:r>
      <w:r w:rsidR="00806733" w:rsidRPr="00BC55B4">
        <w:rPr>
          <w:rFonts w:ascii="標楷體" w:eastAsia="標楷體" w:hAnsi="標楷體"/>
          <w:color w:val="000000" w:themeColor="text1"/>
          <w:spacing w:val="-6"/>
          <w:sz w:val="28"/>
          <w:szCs w:val="28"/>
        </w:rPr>
        <w:t>億</w:t>
      </w:r>
      <w:r w:rsidR="00806733" w:rsidRPr="00BC55B4">
        <w:rPr>
          <w:rFonts w:ascii="標楷體" w:eastAsia="標楷體" w:hAnsi="標楷體" w:hint="eastAsia"/>
          <w:color w:val="000000" w:themeColor="text1"/>
          <w:spacing w:val="-6"/>
          <w:sz w:val="28"/>
          <w:szCs w:val="28"/>
        </w:rPr>
        <w:t>5</w:t>
      </w:r>
      <w:r w:rsidR="00806733" w:rsidRPr="00BC55B4">
        <w:rPr>
          <w:rFonts w:ascii="標楷體" w:eastAsia="標楷體" w:hAnsi="標楷體"/>
          <w:color w:val="000000" w:themeColor="text1"/>
          <w:spacing w:val="-6"/>
          <w:sz w:val="28"/>
          <w:szCs w:val="28"/>
        </w:rPr>
        <w:t>,</w:t>
      </w:r>
      <w:r w:rsidR="00806733" w:rsidRPr="00BC55B4">
        <w:rPr>
          <w:rFonts w:ascii="標楷體" w:eastAsia="標楷體" w:hAnsi="標楷體" w:hint="eastAsia"/>
          <w:color w:val="000000" w:themeColor="text1"/>
          <w:spacing w:val="-6"/>
          <w:sz w:val="28"/>
          <w:szCs w:val="28"/>
        </w:rPr>
        <w:t>518</w:t>
      </w:r>
      <w:r w:rsidR="00806733" w:rsidRPr="00BC55B4">
        <w:rPr>
          <w:rFonts w:ascii="標楷體" w:eastAsia="標楷體" w:hAnsi="標楷體"/>
          <w:color w:val="000000" w:themeColor="text1"/>
          <w:spacing w:val="-6"/>
          <w:sz w:val="28"/>
          <w:szCs w:val="28"/>
        </w:rPr>
        <w:t>萬</w:t>
      </w:r>
      <w:r w:rsidR="00806733" w:rsidRPr="00BC55B4">
        <w:rPr>
          <w:rFonts w:ascii="標楷體" w:eastAsia="標楷體" w:hAnsi="標楷體" w:hint="eastAsia"/>
          <w:color w:val="000000" w:themeColor="text1"/>
          <w:spacing w:val="-6"/>
          <w:sz w:val="28"/>
          <w:szCs w:val="28"/>
        </w:rPr>
        <w:t>5</w:t>
      </w:r>
      <w:r w:rsidR="00806733" w:rsidRPr="00BC55B4">
        <w:rPr>
          <w:rFonts w:ascii="標楷體" w:eastAsia="標楷體" w:hAnsi="標楷體"/>
          <w:color w:val="000000" w:themeColor="text1"/>
          <w:spacing w:val="-6"/>
          <w:sz w:val="28"/>
          <w:szCs w:val="28"/>
        </w:rPr>
        <w:t>千元。</w:t>
      </w:r>
    </w:p>
    <w:p w14:paraId="176FF4E3" w14:textId="344DE8A4" w:rsidR="00F57226" w:rsidRPr="00806733" w:rsidRDefault="00F57226" w:rsidP="00302104">
      <w:pPr>
        <w:tabs>
          <w:tab w:val="left" w:pos="540"/>
        </w:tabs>
        <w:overflowPunct w:val="0"/>
        <w:spacing w:line="440" w:lineRule="exact"/>
        <w:ind w:left="549" w:hangingChars="205" w:hanging="549"/>
        <w:jc w:val="both"/>
        <w:rPr>
          <w:rFonts w:ascii="標楷體" w:eastAsia="標楷體" w:hAnsi="標楷體"/>
          <w:color w:val="000000" w:themeColor="text1"/>
          <w:spacing w:val="-6"/>
          <w:sz w:val="28"/>
          <w:szCs w:val="28"/>
        </w:rPr>
      </w:pPr>
    </w:p>
    <w:sectPr w:rsidR="00F57226" w:rsidRPr="00806733" w:rsidSect="00B65769">
      <w:footerReference w:type="even" r:id="rId8"/>
      <w:footerReference w:type="default" r:id="rId9"/>
      <w:pgSz w:w="11907" w:h="16840" w:code="9"/>
      <w:pgMar w:top="1134" w:right="1418" w:bottom="1134" w:left="1418" w:header="964" w:footer="567"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64BF" w14:textId="77777777" w:rsidR="00AA27A9" w:rsidRDefault="00AA27A9">
      <w:r>
        <w:separator/>
      </w:r>
    </w:p>
  </w:endnote>
  <w:endnote w:type="continuationSeparator" w:id="0">
    <w:p w14:paraId="0B8DFFC5" w14:textId="77777777" w:rsidR="00AA27A9" w:rsidRDefault="00AA2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645C" w14:textId="77777777" w:rsidR="00AF24C0" w:rsidRDefault="00AF24C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2CDFD7A5" w14:textId="77777777" w:rsidR="00AF24C0" w:rsidRDefault="00AF24C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999E" w14:textId="30B41370" w:rsidR="00AF24C0" w:rsidRPr="00A11155" w:rsidRDefault="00AF24C0">
    <w:pPr>
      <w:pStyle w:val="a6"/>
      <w:framePr w:wrap="around" w:vAnchor="text" w:hAnchor="margin" w:xAlign="center" w:y="1"/>
      <w:rPr>
        <w:rStyle w:val="a7"/>
        <w:rFonts w:ascii="新細明體" w:eastAsia="新細明體" w:hAnsi="新細明體"/>
        <w:sz w:val="22"/>
        <w:szCs w:val="22"/>
      </w:rPr>
    </w:pPr>
    <w:r w:rsidRPr="00A11155">
      <w:rPr>
        <w:rStyle w:val="a7"/>
        <w:rFonts w:ascii="新細明體" w:eastAsia="新細明體" w:hAnsi="新細明體"/>
        <w:sz w:val="22"/>
        <w:szCs w:val="22"/>
      </w:rPr>
      <w:fldChar w:fldCharType="begin"/>
    </w:r>
    <w:r w:rsidRPr="00A11155">
      <w:rPr>
        <w:rStyle w:val="a7"/>
        <w:rFonts w:ascii="新細明體" w:eastAsia="新細明體" w:hAnsi="新細明體"/>
        <w:sz w:val="22"/>
        <w:szCs w:val="22"/>
      </w:rPr>
      <w:instrText xml:space="preserve">PAGE  </w:instrText>
    </w:r>
    <w:r w:rsidRPr="00A11155">
      <w:rPr>
        <w:rStyle w:val="a7"/>
        <w:rFonts w:ascii="新細明體" w:eastAsia="新細明體" w:hAnsi="新細明體"/>
        <w:sz w:val="22"/>
        <w:szCs w:val="22"/>
      </w:rPr>
      <w:fldChar w:fldCharType="separate"/>
    </w:r>
    <w:r w:rsidR="00854E1E">
      <w:rPr>
        <w:rStyle w:val="a7"/>
        <w:rFonts w:ascii="新細明體" w:eastAsia="新細明體" w:hAnsi="新細明體"/>
        <w:noProof/>
        <w:sz w:val="22"/>
        <w:szCs w:val="22"/>
      </w:rPr>
      <w:t>4</w:t>
    </w:r>
    <w:r w:rsidRPr="00A11155">
      <w:rPr>
        <w:rStyle w:val="a7"/>
        <w:rFonts w:ascii="新細明體" w:eastAsia="新細明體" w:hAnsi="新細明體"/>
        <w:sz w:val="22"/>
        <w:szCs w:val="22"/>
      </w:rPr>
      <w:fldChar w:fldCharType="end"/>
    </w:r>
  </w:p>
  <w:p w14:paraId="3CB83C5F" w14:textId="6F9B37AE" w:rsidR="00657E93" w:rsidRDefault="00657E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04EB9" w14:textId="77777777" w:rsidR="00AA27A9" w:rsidRDefault="00AA27A9">
      <w:r>
        <w:separator/>
      </w:r>
    </w:p>
  </w:footnote>
  <w:footnote w:type="continuationSeparator" w:id="0">
    <w:p w14:paraId="22A19A0E" w14:textId="77777777" w:rsidR="00AA27A9" w:rsidRDefault="00AA2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778C"/>
    <w:multiLevelType w:val="hybridMultilevel"/>
    <w:tmpl w:val="FC1AFBAE"/>
    <w:lvl w:ilvl="0" w:tplc="CC3CC190">
      <w:start w:val="1"/>
      <w:numFmt w:val="decimal"/>
      <w:lvlText w:val="%1."/>
      <w:lvlJc w:val="left"/>
      <w:pPr>
        <w:tabs>
          <w:tab w:val="num" w:pos="4330"/>
        </w:tabs>
        <w:ind w:left="4330" w:hanging="360"/>
      </w:pPr>
      <w:rPr>
        <w:rFonts w:hint="default"/>
        <w:b w:val="0"/>
        <w:color w:val="auto"/>
      </w:rPr>
    </w:lvl>
    <w:lvl w:ilvl="1" w:tplc="04090019">
      <w:start w:val="1"/>
      <w:numFmt w:val="ideographTraditional"/>
      <w:lvlText w:val="%2、"/>
      <w:lvlJc w:val="left"/>
      <w:pPr>
        <w:tabs>
          <w:tab w:val="num" w:pos="4930"/>
        </w:tabs>
        <w:ind w:left="4930" w:hanging="480"/>
      </w:pPr>
    </w:lvl>
    <w:lvl w:ilvl="2" w:tplc="0409001B" w:tentative="1">
      <w:start w:val="1"/>
      <w:numFmt w:val="lowerRoman"/>
      <w:lvlText w:val="%3."/>
      <w:lvlJc w:val="right"/>
      <w:pPr>
        <w:tabs>
          <w:tab w:val="num" w:pos="5410"/>
        </w:tabs>
        <w:ind w:left="5410" w:hanging="480"/>
      </w:pPr>
    </w:lvl>
    <w:lvl w:ilvl="3" w:tplc="0409000F" w:tentative="1">
      <w:start w:val="1"/>
      <w:numFmt w:val="decimal"/>
      <w:lvlText w:val="%4."/>
      <w:lvlJc w:val="left"/>
      <w:pPr>
        <w:tabs>
          <w:tab w:val="num" w:pos="5890"/>
        </w:tabs>
        <w:ind w:left="5890" w:hanging="480"/>
      </w:pPr>
    </w:lvl>
    <w:lvl w:ilvl="4" w:tplc="04090019" w:tentative="1">
      <w:start w:val="1"/>
      <w:numFmt w:val="ideographTraditional"/>
      <w:lvlText w:val="%5、"/>
      <w:lvlJc w:val="left"/>
      <w:pPr>
        <w:tabs>
          <w:tab w:val="num" w:pos="6370"/>
        </w:tabs>
        <w:ind w:left="6370" w:hanging="480"/>
      </w:pPr>
    </w:lvl>
    <w:lvl w:ilvl="5" w:tplc="0409001B" w:tentative="1">
      <w:start w:val="1"/>
      <w:numFmt w:val="lowerRoman"/>
      <w:lvlText w:val="%6."/>
      <w:lvlJc w:val="right"/>
      <w:pPr>
        <w:tabs>
          <w:tab w:val="num" w:pos="6850"/>
        </w:tabs>
        <w:ind w:left="6850" w:hanging="480"/>
      </w:pPr>
    </w:lvl>
    <w:lvl w:ilvl="6" w:tplc="0409000F" w:tentative="1">
      <w:start w:val="1"/>
      <w:numFmt w:val="decimal"/>
      <w:lvlText w:val="%7."/>
      <w:lvlJc w:val="left"/>
      <w:pPr>
        <w:tabs>
          <w:tab w:val="num" w:pos="7330"/>
        </w:tabs>
        <w:ind w:left="7330" w:hanging="480"/>
      </w:pPr>
    </w:lvl>
    <w:lvl w:ilvl="7" w:tplc="04090019" w:tentative="1">
      <w:start w:val="1"/>
      <w:numFmt w:val="ideographTraditional"/>
      <w:lvlText w:val="%8、"/>
      <w:lvlJc w:val="left"/>
      <w:pPr>
        <w:tabs>
          <w:tab w:val="num" w:pos="7810"/>
        </w:tabs>
        <w:ind w:left="7810" w:hanging="480"/>
      </w:pPr>
    </w:lvl>
    <w:lvl w:ilvl="8" w:tplc="0409001B" w:tentative="1">
      <w:start w:val="1"/>
      <w:numFmt w:val="lowerRoman"/>
      <w:lvlText w:val="%9."/>
      <w:lvlJc w:val="right"/>
      <w:pPr>
        <w:tabs>
          <w:tab w:val="num" w:pos="8290"/>
        </w:tabs>
        <w:ind w:left="8290" w:hanging="480"/>
      </w:pPr>
    </w:lvl>
  </w:abstractNum>
  <w:abstractNum w:abstractNumId="1" w15:restartNumberingAfterBreak="0">
    <w:nsid w:val="057500F1"/>
    <w:multiLevelType w:val="hybridMultilevel"/>
    <w:tmpl w:val="BECADBD4"/>
    <w:lvl w:ilvl="0" w:tplc="CC3CC190">
      <w:start w:val="1"/>
      <w:numFmt w:val="decimal"/>
      <w:lvlText w:val="%1."/>
      <w:lvlJc w:val="left"/>
      <w:pPr>
        <w:tabs>
          <w:tab w:val="num" w:pos="4330"/>
        </w:tabs>
        <w:ind w:left="4330" w:hanging="360"/>
      </w:pPr>
      <w:rPr>
        <w:rFonts w:hint="default"/>
        <w:b w:val="0"/>
        <w:color w:val="auto"/>
      </w:rPr>
    </w:lvl>
    <w:lvl w:ilvl="1" w:tplc="04090019">
      <w:start w:val="1"/>
      <w:numFmt w:val="ideographTraditional"/>
      <w:lvlText w:val="%2、"/>
      <w:lvlJc w:val="left"/>
      <w:pPr>
        <w:tabs>
          <w:tab w:val="num" w:pos="4930"/>
        </w:tabs>
        <w:ind w:left="4930" w:hanging="480"/>
      </w:pPr>
    </w:lvl>
    <w:lvl w:ilvl="2" w:tplc="0409001B" w:tentative="1">
      <w:start w:val="1"/>
      <w:numFmt w:val="lowerRoman"/>
      <w:lvlText w:val="%3."/>
      <w:lvlJc w:val="right"/>
      <w:pPr>
        <w:tabs>
          <w:tab w:val="num" w:pos="5410"/>
        </w:tabs>
        <w:ind w:left="5410" w:hanging="480"/>
      </w:pPr>
    </w:lvl>
    <w:lvl w:ilvl="3" w:tplc="0409000F" w:tentative="1">
      <w:start w:val="1"/>
      <w:numFmt w:val="decimal"/>
      <w:lvlText w:val="%4."/>
      <w:lvlJc w:val="left"/>
      <w:pPr>
        <w:tabs>
          <w:tab w:val="num" w:pos="5890"/>
        </w:tabs>
        <w:ind w:left="5890" w:hanging="480"/>
      </w:pPr>
    </w:lvl>
    <w:lvl w:ilvl="4" w:tplc="04090019" w:tentative="1">
      <w:start w:val="1"/>
      <w:numFmt w:val="ideographTraditional"/>
      <w:lvlText w:val="%5、"/>
      <w:lvlJc w:val="left"/>
      <w:pPr>
        <w:tabs>
          <w:tab w:val="num" w:pos="6370"/>
        </w:tabs>
        <w:ind w:left="6370" w:hanging="480"/>
      </w:pPr>
    </w:lvl>
    <w:lvl w:ilvl="5" w:tplc="0409001B" w:tentative="1">
      <w:start w:val="1"/>
      <w:numFmt w:val="lowerRoman"/>
      <w:lvlText w:val="%6."/>
      <w:lvlJc w:val="right"/>
      <w:pPr>
        <w:tabs>
          <w:tab w:val="num" w:pos="6850"/>
        </w:tabs>
        <w:ind w:left="6850" w:hanging="480"/>
      </w:pPr>
    </w:lvl>
    <w:lvl w:ilvl="6" w:tplc="0409000F" w:tentative="1">
      <w:start w:val="1"/>
      <w:numFmt w:val="decimal"/>
      <w:lvlText w:val="%7."/>
      <w:lvlJc w:val="left"/>
      <w:pPr>
        <w:tabs>
          <w:tab w:val="num" w:pos="7330"/>
        </w:tabs>
        <w:ind w:left="7330" w:hanging="480"/>
      </w:pPr>
    </w:lvl>
    <w:lvl w:ilvl="7" w:tplc="04090019" w:tentative="1">
      <w:start w:val="1"/>
      <w:numFmt w:val="ideographTraditional"/>
      <w:lvlText w:val="%8、"/>
      <w:lvlJc w:val="left"/>
      <w:pPr>
        <w:tabs>
          <w:tab w:val="num" w:pos="7810"/>
        </w:tabs>
        <w:ind w:left="7810" w:hanging="480"/>
      </w:pPr>
    </w:lvl>
    <w:lvl w:ilvl="8" w:tplc="0409001B" w:tentative="1">
      <w:start w:val="1"/>
      <w:numFmt w:val="lowerRoman"/>
      <w:lvlText w:val="%9."/>
      <w:lvlJc w:val="right"/>
      <w:pPr>
        <w:tabs>
          <w:tab w:val="num" w:pos="8290"/>
        </w:tabs>
        <w:ind w:left="8290" w:hanging="480"/>
      </w:pPr>
    </w:lvl>
  </w:abstractNum>
  <w:abstractNum w:abstractNumId="2" w15:restartNumberingAfterBreak="0">
    <w:nsid w:val="13C115AD"/>
    <w:multiLevelType w:val="hybridMultilevel"/>
    <w:tmpl w:val="6B1CA10A"/>
    <w:lvl w:ilvl="0" w:tplc="F766C790">
      <w:start w:val="1"/>
      <w:numFmt w:val="taiwaneseCountingThousand"/>
      <w:lvlText w:val="(%1)"/>
      <w:lvlJc w:val="left"/>
      <w:pPr>
        <w:tabs>
          <w:tab w:val="num" w:pos="1104"/>
        </w:tabs>
        <w:ind w:left="1104" w:hanging="720"/>
      </w:pPr>
      <w:rPr>
        <w:rFonts w:hAnsi="Times New Roman" w:hint="eastAsia"/>
      </w:rPr>
    </w:lvl>
    <w:lvl w:ilvl="1" w:tplc="04090019" w:tentative="1">
      <w:start w:val="1"/>
      <w:numFmt w:val="ideographTraditional"/>
      <w:lvlText w:val="%2、"/>
      <w:lvlJc w:val="left"/>
      <w:pPr>
        <w:tabs>
          <w:tab w:val="num" w:pos="1344"/>
        </w:tabs>
        <w:ind w:left="1344" w:hanging="480"/>
      </w:pPr>
    </w:lvl>
    <w:lvl w:ilvl="2" w:tplc="0409001B" w:tentative="1">
      <w:start w:val="1"/>
      <w:numFmt w:val="lowerRoman"/>
      <w:lvlText w:val="%3."/>
      <w:lvlJc w:val="right"/>
      <w:pPr>
        <w:tabs>
          <w:tab w:val="num" w:pos="1824"/>
        </w:tabs>
        <w:ind w:left="1824" w:hanging="480"/>
      </w:pPr>
    </w:lvl>
    <w:lvl w:ilvl="3" w:tplc="0409000F" w:tentative="1">
      <w:start w:val="1"/>
      <w:numFmt w:val="decimal"/>
      <w:lvlText w:val="%4."/>
      <w:lvlJc w:val="left"/>
      <w:pPr>
        <w:tabs>
          <w:tab w:val="num" w:pos="2304"/>
        </w:tabs>
        <w:ind w:left="2304" w:hanging="480"/>
      </w:pPr>
    </w:lvl>
    <w:lvl w:ilvl="4" w:tplc="04090019" w:tentative="1">
      <w:start w:val="1"/>
      <w:numFmt w:val="ideographTraditional"/>
      <w:lvlText w:val="%5、"/>
      <w:lvlJc w:val="left"/>
      <w:pPr>
        <w:tabs>
          <w:tab w:val="num" w:pos="2784"/>
        </w:tabs>
        <w:ind w:left="2784" w:hanging="480"/>
      </w:pPr>
    </w:lvl>
    <w:lvl w:ilvl="5" w:tplc="0409001B" w:tentative="1">
      <w:start w:val="1"/>
      <w:numFmt w:val="lowerRoman"/>
      <w:lvlText w:val="%6."/>
      <w:lvlJc w:val="right"/>
      <w:pPr>
        <w:tabs>
          <w:tab w:val="num" w:pos="3264"/>
        </w:tabs>
        <w:ind w:left="3264" w:hanging="480"/>
      </w:pPr>
    </w:lvl>
    <w:lvl w:ilvl="6" w:tplc="0409000F" w:tentative="1">
      <w:start w:val="1"/>
      <w:numFmt w:val="decimal"/>
      <w:lvlText w:val="%7."/>
      <w:lvlJc w:val="left"/>
      <w:pPr>
        <w:tabs>
          <w:tab w:val="num" w:pos="3744"/>
        </w:tabs>
        <w:ind w:left="3744" w:hanging="480"/>
      </w:pPr>
    </w:lvl>
    <w:lvl w:ilvl="7" w:tplc="04090019" w:tentative="1">
      <w:start w:val="1"/>
      <w:numFmt w:val="ideographTraditional"/>
      <w:lvlText w:val="%8、"/>
      <w:lvlJc w:val="left"/>
      <w:pPr>
        <w:tabs>
          <w:tab w:val="num" w:pos="4224"/>
        </w:tabs>
        <w:ind w:left="4224" w:hanging="480"/>
      </w:pPr>
    </w:lvl>
    <w:lvl w:ilvl="8" w:tplc="0409001B" w:tentative="1">
      <w:start w:val="1"/>
      <w:numFmt w:val="lowerRoman"/>
      <w:lvlText w:val="%9."/>
      <w:lvlJc w:val="right"/>
      <w:pPr>
        <w:tabs>
          <w:tab w:val="num" w:pos="4704"/>
        </w:tabs>
        <w:ind w:left="4704" w:hanging="480"/>
      </w:pPr>
    </w:lvl>
  </w:abstractNum>
  <w:abstractNum w:abstractNumId="3" w15:restartNumberingAfterBreak="0">
    <w:nsid w:val="1AB41FB5"/>
    <w:multiLevelType w:val="hybridMultilevel"/>
    <w:tmpl w:val="42820246"/>
    <w:lvl w:ilvl="0" w:tplc="30582210">
      <w:start w:val="1"/>
      <w:numFmt w:val="decimal"/>
      <w:lvlText w:val="%1."/>
      <w:lvlJc w:val="left"/>
      <w:pPr>
        <w:tabs>
          <w:tab w:val="num" w:pos="1248"/>
        </w:tabs>
        <w:ind w:left="1248" w:hanging="360"/>
      </w:pPr>
      <w:rPr>
        <w:rFonts w:hint="eastAsia"/>
      </w:rPr>
    </w:lvl>
    <w:lvl w:ilvl="1" w:tplc="04090019" w:tentative="1">
      <w:start w:val="1"/>
      <w:numFmt w:val="ideographTraditional"/>
      <w:lvlText w:val="%2、"/>
      <w:lvlJc w:val="left"/>
      <w:pPr>
        <w:tabs>
          <w:tab w:val="num" w:pos="1848"/>
        </w:tabs>
        <w:ind w:left="1848" w:hanging="480"/>
      </w:pPr>
    </w:lvl>
    <w:lvl w:ilvl="2" w:tplc="0409001B" w:tentative="1">
      <w:start w:val="1"/>
      <w:numFmt w:val="lowerRoman"/>
      <w:lvlText w:val="%3."/>
      <w:lvlJc w:val="right"/>
      <w:pPr>
        <w:tabs>
          <w:tab w:val="num" w:pos="2328"/>
        </w:tabs>
        <w:ind w:left="2328" w:hanging="480"/>
      </w:pPr>
    </w:lvl>
    <w:lvl w:ilvl="3" w:tplc="0409000F" w:tentative="1">
      <w:start w:val="1"/>
      <w:numFmt w:val="decimal"/>
      <w:lvlText w:val="%4."/>
      <w:lvlJc w:val="left"/>
      <w:pPr>
        <w:tabs>
          <w:tab w:val="num" w:pos="2808"/>
        </w:tabs>
        <w:ind w:left="2808" w:hanging="480"/>
      </w:pPr>
    </w:lvl>
    <w:lvl w:ilvl="4" w:tplc="04090019" w:tentative="1">
      <w:start w:val="1"/>
      <w:numFmt w:val="ideographTraditional"/>
      <w:lvlText w:val="%5、"/>
      <w:lvlJc w:val="left"/>
      <w:pPr>
        <w:tabs>
          <w:tab w:val="num" w:pos="3288"/>
        </w:tabs>
        <w:ind w:left="3288" w:hanging="480"/>
      </w:pPr>
    </w:lvl>
    <w:lvl w:ilvl="5" w:tplc="0409001B" w:tentative="1">
      <w:start w:val="1"/>
      <w:numFmt w:val="lowerRoman"/>
      <w:lvlText w:val="%6."/>
      <w:lvlJc w:val="right"/>
      <w:pPr>
        <w:tabs>
          <w:tab w:val="num" w:pos="3768"/>
        </w:tabs>
        <w:ind w:left="3768" w:hanging="480"/>
      </w:pPr>
    </w:lvl>
    <w:lvl w:ilvl="6" w:tplc="0409000F" w:tentative="1">
      <w:start w:val="1"/>
      <w:numFmt w:val="decimal"/>
      <w:lvlText w:val="%7."/>
      <w:lvlJc w:val="left"/>
      <w:pPr>
        <w:tabs>
          <w:tab w:val="num" w:pos="4248"/>
        </w:tabs>
        <w:ind w:left="4248" w:hanging="480"/>
      </w:pPr>
    </w:lvl>
    <w:lvl w:ilvl="7" w:tplc="04090019" w:tentative="1">
      <w:start w:val="1"/>
      <w:numFmt w:val="ideographTraditional"/>
      <w:lvlText w:val="%8、"/>
      <w:lvlJc w:val="left"/>
      <w:pPr>
        <w:tabs>
          <w:tab w:val="num" w:pos="4728"/>
        </w:tabs>
        <w:ind w:left="4728" w:hanging="480"/>
      </w:pPr>
    </w:lvl>
    <w:lvl w:ilvl="8" w:tplc="0409001B" w:tentative="1">
      <w:start w:val="1"/>
      <w:numFmt w:val="lowerRoman"/>
      <w:lvlText w:val="%9."/>
      <w:lvlJc w:val="right"/>
      <w:pPr>
        <w:tabs>
          <w:tab w:val="num" w:pos="5208"/>
        </w:tabs>
        <w:ind w:left="5208" w:hanging="480"/>
      </w:pPr>
    </w:lvl>
  </w:abstractNum>
  <w:abstractNum w:abstractNumId="4" w15:restartNumberingAfterBreak="0">
    <w:nsid w:val="1B9B5017"/>
    <w:multiLevelType w:val="hybridMultilevel"/>
    <w:tmpl w:val="28F0D352"/>
    <w:lvl w:ilvl="0" w:tplc="FC68DEE4">
      <w:start w:val="1"/>
      <w:numFmt w:val="decimal"/>
      <w:lvlText w:val="(%1)"/>
      <w:lvlJc w:val="left"/>
      <w:pPr>
        <w:ind w:left="1480" w:hanging="480"/>
      </w:pPr>
      <w:rPr>
        <w:rFonts w:hint="eastAsia"/>
      </w:rPr>
    </w:lvl>
    <w:lvl w:ilvl="1" w:tplc="FC68DEE4">
      <w:start w:val="1"/>
      <w:numFmt w:val="decimal"/>
      <w:lvlText w:val="(%2)"/>
      <w:lvlJc w:val="left"/>
      <w:pPr>
        <w:ind w:left="1960" w:hanging="480"/>
      </w:pPr>
      <w:rPr>
        <w:rFonts w:hint="eastAsia"/>
      </w:r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5" w15:restartNumberingAfterBreak="0">
    <w:nsid w:val="1EC94A16"/>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22611786"/>
    <w:multiLevelType w:val="hybridMultilevel"/>
    <w:tmpl w:val="FC1AFBAE"/>
    <w:lvl w:ilvl="0" w:tplc="CC3CC190">
      <w:start w:val="1"/>
      <w:numFmt w:val="decimal"/>
      <w:lvlText w:val="%1."/>
      <w:lvlJc w:val="left"/>
      <w:pPr>
        <w:tabs>
          <w:tab w:val="num" w:pos="4330"/>
        </w:tabs>
        <w:ind w:left="4330" w:hanging="360"/>
      </w:pPr>
      <w:rPr>
        <w:rFonts w:hint="default"/>
        <w:b w:val="0"/>
        <w:color w:val="auto"/>
      </w:rPr>
    </w:lvl>
    <w:lvl w:ilvl="1" w:tplc="04090019">
      <w:start w:val="1"/>
      <w:numFmt w:val="ideographTraditional"/>
      <w:lvlText w:val="%2、"/>
      <w:lvlJc w:val="left"/>
      <w:pPr>
        <w:tabs>
          <w:tab w:val="num" w:pos="4930"/>
        </w:tabs>
        <w:ind w:left="4930" w:hanging="480"/>
      </w:pPr>
    </w:lvl>
    <w:lvl w:ilvl="2" w:tplc="0409001B" w:tentative="1">
      <w:start w:val="1"/>
      <w:numFmt w:val="lowerRoman"/>
      <w:lvlText w:val="%3."/>
      <w:lvlJc w:val="right"/>
      <w:pPr>
        <w:tabs>
          <w:tab w:val="num" w:pos="5410"/>
        </w:tabs>
        <w:ind w:left="5410" w:hanging="480"/>
      </w:pPr>
    </w:lvl>
    <w:lvl w:ilvl="3" w:tplc="0409000F" w:tentative="1">
      <w:start w:val="1"/>
      <w:numFmt w:val="decimal"/>
      <w:lvlText w:val="%4."/>
      <w:lvlJc w:val="left"/>
      <w:pPr>
        <w:tabs>
          <w:tab w:val="num" w:pos="5890"/>
        </w:tabs>
        <w:ind w:left="5890" w:hanging="480"/>
      </w:pPr>
    </w:lvl>
    <w:lvl w:ilvl="4" w:tplc="04090019" w:tentative="1">
      <w:start w:val="1"/>
      <w:numFmt w:val="ideographTraditional"/>
      <w:lvlText w:val="%5、"/>
      <w:lvlJc w:val="left"/>
      <w:pPr>
        <w:tabs>
          <w:tab w:val="num" w:pos="6370"/>
        </w:tabs>
        <w:ind w:left="6370" w:hanging="480"/>
      </w:pPr>
    </w:lvl>
    <w:lvl w:ilvl="5" w:tplc="0409001B" w:tentative="1">
      <w:start w:val="1"/>
      <w:numFmt w:val="lowerRoman"/>
      <w:lvlText w:val="%6."/>
      <w:lvlJc w:val="right"/>
      <w:pPr>
        <w:tabs>
          <w:tab w:val="num" w:pos="6850"/>
        </w:tabs>
        <w:ind w:left="6850" w:hanging="480"/>
      </w:pPr>
    </w:lvl>
    <w:lvl w:ilvl="6" w:tplc="0409000F" w:tentative="1">
      <w:start w:val="1"/>
      <w:numFmt w:val="decimal"/>
      <w:lvlText w:val="%7."/>
      <w:lvlJc w:val="left"/>
      <w:pPr>
        <w:tabs>
          <w:tab w:val="num" w:pos="7330"/>
        </w:tabs>
        <w:ind w:left="7330" w:hanging="480"/>
      </w:pPr>
    </w:lvl>
    <w:lvl w:ilvl="7" w:tplc="04090019" w:tentative="1">
      <w:start w:val="1"/>
      <w:numFmt w:val="ideographTraditional"/>
      <w:lvlText w:val="%8、"/>
      <w:lvlJc w:val="left"/>
      <w:pPr>
        <w:tabs>
          <w:tab w:val="num" w:pos="7810"/>
        </w:tabs>
        <w:ind w:left="7810" w:hanging="480"/>
      </w:pPr>
    </w:lvl>
    <w:lvl w:ilvl="8" w:tplc="0409001B" w:tentative="1">
      <w:start w:val="1"/>
      <w:numFmt w:val="lowerRoman"/>
      <w:lvlText w:val="%9."/>
      <w:lvlJc w:val="right"/>
      <w:pPr>
        <w:tabs>
          <w:tab w:val="num" w:pos="8290"/>
        </w:tabs>
        <w:ind w:left="8290" w:hanging="480"/>
      </w:pPr>
    </w:lvl>
  </w:abstractNum>
  <w:abstractNum w:abstractNumId="7" w15:restartNumberingAfterBreak="0">
    <w:nsid w:val="26DF05F3"/>
    <w:multiLevelType w:val="hybridMultilevel"/>
    <w:tmpl w:val="B1A0CEEA"/>
    <w:lvl w:ilvl="0" w:tplc="B274C176">
      <w:start w:val="1"/>
      <w:numFmt w:val="decimal"/>
      <w:lvlText w:val="%1."/>
      <w:lvlJc w:val="left"/>
      <w:pPr>
        <w:tabs>
          <w:tab w:val="num" w:pos="1746"/>
        </w:tabs>
        <w:ind w:left="1746"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918350F"/>
    <w:multiLevelType w:val="hybridMultilevel"/>
    <w:tmpl w:val="08EE0A74"/>
    <w:lvl w:ilvl="0" w:tplc="5F280D48">
      <w:start w:val="1"/>
      <w:numFmt w:val="taiwaneseCountingThousand"/>
      <w:lvlText w:val="(%1)"/>
      <w:lvlJc w:val="left"/>
      <w:pPr>
        <w:ind w:left="1080" w:hanging="720"/>
      </w:pPr>
      <w:rPr>
        <w:rFonts w:hint="default"/>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2A0703CB"/>
    <w:multiLevelType w:val="hybridMultilevel"/>
    <w:tmpl w:val="F6442880"/>
    <w:lvl w:ilvl="0" w:tplc="0BDAF23C">
      <w:start w:val="1"/>
      <w:numFmt w:val="decimal"/>
      <w:lvlText w:val="%1."/>
      <w:lvlJc w:val="left"/>
      <w:pPr>
        <w:tabs>
          <w:tab w:val="num" w:pos="1000"/>
        </w:tabs>
        <w:ind w:left="1000" w:hanging="360"/>
      </w:pPr>
      <w:rPr>
        <w:rFonts w:hint="default"/>
        <w:color w:val="auto"/>
      </w:rPr>
    </w:lvl>
    <w:lvl w:ilvl="1" w:tplc="2A267F8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1940DF"/>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2D0F64A1"/>
    <w:multiLevelType w:val="hybridMultilevel"/>
    <w:tmpl w:val="C1DA812A"/>
    <w:lvl w:ilvl="0" w:tplc="0DA02B8A">
      <w:start w:val="1"/>
      <w:numFmt w:val="decimal"/>
      <w:lvlText w:val="(%1)"/>
      <w:lvlJc w:val="left"/>
      <w:pPr>
        <w:ind w:left="2453" w:hanging="720"/>
      </w:pPr>
      <w:rPr>
        <w:rFonts w:hint="default"/>
      </w:rPr>
    </w:lvl>
    <w:lvl w:ilvl="1" w:tplc="04090019" w:tentative="1">
      <w:start w:val="1"/>
      <w:numFmt w:val="ideographTraditional"/>
      <w:lvlText w:val="%2、"/>
      <w:lvlJc w:val="left"/>
      <w:pPr>
        <w:ind w:left="2693" w:hanging="480"/>
      </w:pPr>
    </w:lvl>
    <w:lvl w:ilvl="2" w:tplc="0409001B" w:tentative="1">
      <w:start w:val="1"/>
      <w:numFmt w:val="lowerRoman"/>
      <w:lvlText w:val="%3."/>
      <w:lvlJc w:val="right"/>
      <w:pPr>
        <w:ind w:left="3173" w:hanging="480"/>
      </w:pPr>
    </w:lvl>
    <w:lvl w:ilvl="3" w:tplc="0409000F" w:tentative="1">
      <w:start w:val="1"/>
      <w:numFmt w:val="decimal"/>
      <w:lvlText w:val="%4."/>
      <w:lvlJc w:val="left"/>
      <w:pPr>
        <w:ind w:left="3653" w:hanging="480"/>
      </w:pPr>
    </w:lvl>
    <w:lvl w:ilvl="4" w:tplc="04090019" w:tentative="1">
      <w:start w:val="1"/>
      <w:numFmt w:val="ideographTraditional"/>
      <w:lvlText w:val="%5、"/>
      <w:lvlJc w:val="left"/>
      <w:pPr>
        <w:ind w:left="4133" w:hanging="480"/>
      </w:pPr>
    </w:lvl>
    <w:lvl w:ilvl="5" w:tplc="0409001B" w:tentative="1">
      <w:start w:val="1"/>
      <w:numFmt w:val="lowerRoman"/>
      <w:lvlText w:val="%6."/>
      <w:lvlJc w:val="right"/>
      <w:pPr>
        <w:ind w:left="4613" w:hanging="480"/>
      </w:pPr>
    </w:lvl>
    <w:lvl w:ilvl="6" w:tplc="0409000F" w:tentative="1">
      <w:start w:val="1"/>
      <w:numFmt w:val="decimal"/>
      <w:lvlText w:val="%7."/>
      <w:lvlJc w:val="left"/>
      <w:pPr>
        <w:ind w:left="5093" w:hanging="480"/>
      </w:pPr>
    </w:lvl>
    <w:lvl w:ilvl="7" w:tplc="04090019" w:tentative="1">
      <w:start w:val="1"/>
      <w:numFmt w:val="ideographTraditional"/>
      <w:lvlText w:val="%8、"/>
      <w:lvlJc w:val="left"/>
      <w:pPr>
        <w:ind w:left="5573" w:hanging="480"/>
      </w:pPr>
    </w:lvl>
    <w:lvl w:ilvl="8" w:tplc="0409001B" w:tentative="1">
      <w:start w:val="1"/>
      <w:numFmt w:val="lowerRoman"/>
      <w:lvlText w:val="%9."/>
      <w:lvlJc w:val="right"/>
      <w:pPr>
        <w:ind w:left="6053" w:hanging="480"/>
      </w:pPr>
    </w:lvl>
  </w:abstractNum>
  <w:abstractNum w:abstractNumId="12" w15:restartNumberingAfterBreak="0">
    <w:nsid w:val="301C521A"/>
    <w:multiLevelType w:val="singleLevel"/>
    <w:tmpl w:val="C8061C1C"/>
    <w:lvl w:ilvl="0">
      <w:start w:val="1"/>
      <w:numFmt w:val="decimal"/>
      <w:lvlText w:val="(%1)"/>
      <w:lvlJc w:val="left"/>
      <w:pPr>
        <w:tabs>
          <w:tab w:val="num" w:pos="960"/>
        </w:tabs>
        <w:ind w:left="960" w:hanging="360"/>
      </w:pPr>
      <w:rPr>
        <w:rFonts w:hint="eastAsia"/>
      </w:rPr>
    </w:lvl>
  </w:abstractNum>
  <w:abstractNum w:abstractNumId="13" w15:restartNumberingAfterBreak="0">
    <w:nsid w:val="3255258B"/>
    <w:multiLevelType w:val="hybridMultilevel"/>
    <w:tmpl w:val="A240EFAC"/>
    <w:lvl w:ilvl="0" w:tplc="60483C3E">
      <w:start w:val="1"/>
      <w:numFmt w:val="decimal"/>
      <w:lvlText w:val="%1."/>
      <w:lvlJc w:val="left"/>
      <w:pPr>
        <w:tabs>
          <w:tab w:val="num" w:pos="1267"/>
        </w:tabs>
        <w:ind w:left="1267" w:hanging="360"/>
      </w:pPr>
      <w:rPr>
        <w:rFonts w:hAnsi="Courier New" w:hint="eastAsia"/>
      </w:rPr>
    </w:lvl>
    <w:lvl w:ilvl="1" w:tplc="04090019" w:tentative="1">
      <w:start w:val="1"/>
      <w:numFmt w:val="ideographTraditional"/>
      <w:lvlText w:val="%2、"/>
      <w:lvlJc w:val="left"/>
      <w:pPr>
        <w:tabs>
          <w:tab w:val="num" w:pos="1867"/>
        </w:tabs>
        <w:ind w:left="1867" w:hanging="480"/>
      </w:pPr>
    </w:lvl>
    <w:lvl w:ilvl="2" w:tplc="0409001B" w:tentative="1">
      <w:start w:val="1"/>
      <w:numFmt w:val="lowerRoman"/>
      <w:lvlText w:val="%3."/>
      <w:lvlJc w:val="right"/>
      <w:pPr>
        <w:tabs>
          <w:tab w:val="num" w:pos="2347"/>
        </w:tabs>
        <w:ind w:left="2347" w:hanging="480"/>
      </w:pPr>
    </w:lvl>
    <w:lvl w:ilvl="3" w:tplc="0409000F" w:tentative="1">
      <w:start w:val="1"/>
      <w:numFmt w:val="decimal"/>
      <w:lvlText w:val="%4."/>
      <w:lvlJc w:val="left"/>
      <w:pPr>
        <w:tabs>
          <w:tab w:val="num" w:pos="2827"/>
        </w:tabs>
        <w:ind w:left="2827" w:hanging="480"/>
      </w:pPr>
    </w:lvl>
    <w:lvl w:ilvl="4" w:tplc="04090019" w:tentative="1">
      <w:start w:val="1"/>
      <w:numFmt w:val="ideographTraditional"/>
      <w:lvlText w:val="%5、"/>
      <w:lvlJc w:val="left"/>
      <w:pPr>
        <w:tabs>
          <w:tab w:val="num" w:pos="3307"/>
        </w:tabs>
        <w:ind w:left="3307" w:hanging="480"/>
      </w:pPr>
    </w:lvl>
    <w:lvl w:ilvl="5" w:tplc="0409001B" w:tentative="1">
      <w:start w:val="1"/>
      <w:numFmt w:val="lowerRoman"/>
      <w:lvlText w:val="%6."/>
      <w:lvlJc w:val="right"/>
      <w:pPr>
        <w:tabs>
          <w:tab w:val="num" w:pos="3787"/>
        </w:tabs>
        <w:ind w:left="3787" w:hanging="480"/>
      </w:pPr>
    </w:lvl>
    <w:lvl w:ilvl="6" w:tplc="0409000F" w:tentative="1">
      <w:start w:val="1"/>
      <w:numFmt w:val="decimal"/>
      <w:lvlText w:val="%7."/>
      <w:lvlJc w:val="left"/>
      <w:pPr>
        <w:tabs>
          <w:tab w:val="num" w:pos="4267"/>
        </w:tabs>
        <w:ind w:left="4267" w:hanging="480"/>
      </w:pPr>
    </w:lvl>
    <w:lvl w:ilvl="7" w:tplc="04090019" w:tentative="1">
      <w:start w:val="1"/>
      <w:numFmt w:val="ideographTraditional"/>
      <w:lvlText w:val="%8、"/>
      <w:lvlJc w:val="left"/>
      <w:pPr>
        <w:tabs>
          <w:tab w:val="num" w:pos="4747"/>
        </w:tabs>
        <w:ind w:left="4747" w:hanging="480"/>
      </w:pPr>
    </w:lvl>
    <w:lvl w:ilvl="8" w:tplc="0409001B" w:tentative="1">
      <w:start w:val="1"/>
      <w:numFmt w:val="lowerRoman"/>
      <w:lvlText w:val="%9."/>
      <w:lvlJc w:val="right"/>
      <w:pPr>
        <w:tabs>
          <w:tab w:val="num" w:pos="5227"/>
        </w:tabs>
        <w:ind w:left="5227" w:hanging="480"/>
      </w:pPr>
    </w:lvl>
  </w:abstractNum>
  <w:abstractNum w:abstractNumId="14" w15:restartNumberingAfterBreak="0">
    <w:nsid w:val="32825624"/>
    <w:multiLevelType w:val="hybridMultilevel"/>
    <w:tmpl w:val="D68418E2"/>
    <w:lvl w:ilvl="0" w:tplc="EF0ADC30">
      <w:start w:val="1"/>
      <w:numFmt w:val="decimal"/>
      <w:suff w:val="nothing"/>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5" w15:restartNumberingAfterBreak="0">
    <w:nsid w:val="33CF46C5"/>
    <w:multiLevelType w:val="singleLevel"/>
    <w:tmpl w:val="567C275A"/>
    <w:lvl w:ilvl="0">
      <w:start w:val="1"/>
      <w:numFmt w:val="decimal"/>
      <w:lvlText w:val="(%1)"/>
      <w:lvlJc w:val="left"/>
      <w:pPr>
        <w:tabs>
          <w:tab w:val="num" w:pos="1080"/>
        </w:tabs>
        <w:ind w:left="1080" w:hanging="360"/>
      </w:pPr>
      <w:rPr>
        <w:rFonts w:hint="eastAsia"/>
      </w:rPr>
    </w:lvl>
  </w:abstractNum>
  <w:abstractNum w:abstractNumId="16" w15:restartNumberingAfterBreak="0">
    <w:nsid w:val="343C209D"/>
    <w:multiLevelType w:val="singleLevel"/>
    <w:tmpl w:val="C1FC6DA8"/>
    <w:lvl w:ilvl="0">
      <w:start w:val="1"/>
      <w:numFmt w:val="decimal"/>
      <w:lvlText w:val="(%1)"/>
      <w:lvlJc w:val="left"/>
      <w:pPr>
        <w:tabs>
          <w:tab w:val="num" w:pos="1320"/>
        </w:tabs>
        <w:ind w:left="1320" w:hanging="360"/>
      </w:pPr>
      <w:rPr>
        <w:rFonts w:hint="eastAsia"/>
      </w:rPr>
    </w:lvl>
  </w:abstractNum>
  <w:abstractNum w:abstractNumId="17" w15:restartNumberingAfterBreak="0">
    <w:nsid w:val="394A7DC3"/>
    <w:multiLevelType w:val="hybridMultilevel"/>
    <w:tmpl w:val="CEC056EE"/>
    <w:lvl w:ilvl="0" w:tplc="CBCE47C2">
      <w:start w:val="1"/>
      <w:numFmt w:val="decimal"/>
      <w:lvlText w:val="%1."/>
      <w:lvlJc w:val="left"/>
      <w:pPr>
        <w:tabs>
          <w:tab w:val="num" w:pos="4330"/>
        </w:tabs>
        <w:ind w:left="4330"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D330D33"/>
    <w:multiLevelType w:val="hybridMultilevel"/>
    <w:tmpl w:val="433EF900"/>
    <w:lvl w:ilvl="0" w:tplc="FC68DEE4">
      <w:start w:val="1"/>
      <w:numFmt w:val="decimal"/>
      <w:lvlText w:val="(%1)"/>
      <w:lvlJc w:val="left"/>
      <w:pPr>
        <w:ind w:left="1960" w:hanging="480"/>
      </w:pPr>
      <w:rPr>
        <w:rFonts w:hint="eastAsia"/>
      </w:rPr>
    </w:lvl>
    <w:lvl w:ilvl="1" w:tplc="04090019" w:tentative="1">
      <w:start w:val="1"/>
      <w:numFmt w:val="ideographTraditional"/>
      <w:lvlText w:val="%2、"/>
      <w:lvlJc w:val="left"/>
      <w:pPr>
        <w:ind w:left="2440" w:hanging="480"/>
      </w:pPr>
    </w:lvl>
    <w:lvl w:ilvl="2" w:tplc="0409001B" w:tentative="1">
      <w:start w:val="1"/>
      <w:numFmt w:val="lowerRoman"/>
      <w:lvlText w:val="%3."/>
      <w:lvlJc w:val="right"/>
      <w:pPr>
        <w:ind w:left="2920" w:hanging="480"/>
      </w:pPr>
    </w:lvl>
    <w:lvl w:ilvl="3" w:tplc="0409000F" w:tentative="1">
      <w:start w:val="1"/>
      <w:numFmt w:val="decimal"/>
      <w:lvlText w:val="%4."/>
      <w:lvlJc w:val="left"/>
      <w:pPr>
        <w:ind w:left="3400" w:hanging="480"/>
      </w:pPr>
    </w:lvl>
    <w:lvl w:ilvl="4" w:tplc="04090019" w:tentative="1">
      <w:start w:val="1"/>
      <w:numFmt w:val="ideographTraditional"/>
      <w:lvlText w:val="%5、"/>
      <w:lvlJc w:val="left"/>
      <w:pPr>
        <w:ind w:left="3880" w:hanging="480"/>
      </w:pPr>
    </w:lvl>
    <w:lvl w:ilvl="5" w:tplc="0409001B" w:tentative="1">
      <w:start w:val="1"/>
      <w:numFmt w:val="lowerRoman"/>
      <w:lvlText w:val="%6."/>
      <w:lvlJc w:val="right"/>
      <w:pPr>
        <w:ind w:left="4360" w:hanging="480"/>
      </w:pPr>
    </w:lvl>
    <w:lvl w:ilvl="6" w:tplc="0409000F" w:tentative="1">
      <w:start w:val="1"/>
      <w:numFmt w:val="decimal"/>
      <w:lvlText w:val="%7."/>
      <w:lvlJc w:val="left"/>
      <w:pPr>
        <w:ind w:left="4840" w:hanging="480"/>
      </w:pPr>
    </w:lvl>
    <w:lvl w:ilvl="7" w:tplc="04090019" w:tentative="1">
      <w:start w:val="1"/>
      <w:numFmt w:val="ideographTraditional"/>
      <w:lvlText w:val="%8、"/>
      <w:lvlJc w:val="left"/>
      <w:pPr>
        <w:ind w:left="5320" w:hanging="480"/>
      </w:pPr>
    </w:lvl>
    <w:lvl w:ilvl="8" w:tplc="0409001B" w:tentative="1">
      <w:start w:val="1"/>
      <w:numFmt w:val="lowerRoman"/>
      <w:lvlText w:val="%9."/>
      <w:lvlJc w:val="right"/>
      <w:pPr>
        <w:ind w:left="5800" w:hanging="480"/>
      </w:pPr>
    </w:lvl>
  </w:abstractNum>
  <w:abstractNum w:abstractNumId="19" w15:restartNumberingAfterBreak="0">
    <w:nsid w:val="3FC078F7"/>
    <w:multiLevelType w:val="singleLevel"/>
    <w:tmpl w:val="CAF4693C"/>
    <w:lvl w:ilvl="0">
      <w:start w:val="1"/>
      <w:numFmt w:val="decimal"/>
      <w:lvlText w:val="%1."/>
      <w:lvlJc w:val="left"/>
      <w:pPr>
        <w:tabs>
          <w:tab w:val="num" w:pos="270"/>
        </w:tabs>
        <w:ind w:left="270" w:hanging="270"/>
      </w:pPr>
      <w:rPr>
        <w:rFonts w:hint="eastAsia"/>
      </w:rPr>
    </w:lvl>
  </w:abstractNum>
  <w:abstractNum w:abstractNumId="20" w15:restartNumberingAfterBreak="0">
    <w:nsid w:val="41BA4AD0"/>
    <w:multiLevelType w:val="singleLevel"/>
    <w:tmpl w:val="CA162556"/>
    <w:lvl w:ilvl="0">
      <w:start w:val="1"/>
      <w:numFmt w:val="decimal"/>
      <w:lvlText w:val="(%1)"/>
      <w:lvlJc w:val="left"/>
      <w:pPr>
        <w:tabs>
          <w:tab w:val="num" w:pos="1524"/>
        </w:tabs>
        <w:ind w:left="1524" w:hanging="390"/>
      </w:pPr>
      <w:rPr>
        <w:rFonts w:ascii="細明體" w:hint="eastAsia"/>
      </w:rPr>
    </w:lvl>
  </w:abstractNum>
  <w:abstractNum w:abstractNumId="21" w15:restartNumberingAfterBreak="0">
    <w:nsid w:val="429642F3"/>
    <w:multiLevelType w:val="hybridMultilevel"/>
    <w:tmpl w:val="9E1E869E"/>
    <w:lvl w:ilvl="0" w:tplc="FE56C54C">
      <w:start w:val="1"/>
      <w:numFmt w:val="decimal"/>
      <w:lvlText w:val="（%1）"/>
      <w:lvlJc w:val="left"/>
      <w:pPr>
        <w:ind w:left="1752" w:hanging="480"/>
      </w:pPr>
      <w:rPr>
        <w:rFonts w:ascii="Times New Roman" w:eastAsia="Times New Roman" w:hAnsi="Times New Roman" w:cs="Times New Roman" w:hint="default"/>
      </w:rPr>
    </w:lvl>
    <w:lvl w:ilvl="1" w:tplc="04090019" w:tentative="1">
      <w:start w:val="1"/>
      <w:numFmt w:val="ideographTraditional"/>
      <w:lvlText w:val="%2、"/>
      <w:lvlJc w:val="left"/>
      <w:pPr>
        <w:ind w:left="2232" w:hanging="480"/>
      </w:pPr>
      <w:rPr>
        <w:rFonts w:cs="Times New Roman"/>
      </w:rPr>
    </w:lvl>
    <w:lvl w:ilvl="2" w:tplc="0409001B" w:tentative="1">
      <w:start w:val="1"/>
      <w:numFmt w:val="lowerRoman"/>
      <w:lvlText w:val="%3."/>
      <w:lvlJc w:val="right"/>
      <w:pPr>
        <w:ind w:left="2712" w:hanging="480"/>
      </w:pPr>
      <w:rPr>
        <w:rFonts w:cs="Times New Roman"/>
      </w:rPr>
    </w:lvl>
    <w:lvl w:ilvl="3" w:tplc="0409000F" w:tentative="1">
      <w:start w:val="1"/>
      <w:numFmt w:val="decimal"/>
      <w:lvlText w:val="%4."/>
      <w:lvlJc w:val="left"/>
      <w:pPr>
        <w:ind w:left="3192" w:hanging="480"/>
      </w:pPr>
      <w:rPr>
        <w:rFonts w:cs="Times New Roman"/>
      </w:rPr>
    </w:lvl>
    <w:lvl w:ilvl="4" w:tplc="04090019" w:tentative="1">
      <w:start w:val="1"/>
      <w:numFmt w:val="ideographTraditional"/>
      <w:lvlText w:val="%5、"/>
      <w:lvlJc w:val="left"/>
      <w:pPr>
        <w:ind w:left="3672" w:hanging="480"/>
      </w:pPr>
      <w:rPr>
        <w:rFonts w:cs="Times New Roman"/>
      </w:rPr>
    </w:lvl>
    <w:lvl w:ilvl="5" w:tplc="0409001B" w:tentative="1">
      <w:start w:val="1"/>
      <w:numFmt w:val="lowerRoman"/>
      <w:lvlText w:val="%6."/>
      <w:lvlJc w:val="right"/>
      <w:pPr>
        <w:ind w:left="4152" w:hanging="480"/>
      </w:pPr>
      <w:rPr>
        <w:rFonts w:cs="Times New Roman"/>
      </w:rPr>
    </w:lvl>
    <w:lvl w:ilvl="6" w:tplc="0409000F" w:tentative="1">
      <w:start w:val="1"/>
      <w:numFmt w:val="decimal"/>
      <w:lvlText w:val="%7."/>
      <w:lvlJc w:val="left"/>
      <w:pPr>
        <w:ind w:left="4632" w:hanging="480"/>
      </w:pPr>
      <w:rPr>
        <w:rFonts w:cs="Times New Roman"/>
      </w:rPr>
    </w:lvl>
    <w:lvl w:ilvl="7" w:tplc="04090019" w:tentative="1">
      <w:start w:val="1"/>
      <w:numFmt w:val="ideographTraditional"/>
      <w:lvlText w:val="%8、"/>
      <w:lvlJc w:val="left"/>
      <w:pPr>
        <w:ind w:left="5112" w:hanging="480"/>
      </w:pPr>
      <w:rPr>
        <w:rFonts w:cs="Times New Roman"/>
      </w:rPr>
    </w:lvl>
    <w:lvl w:ilvl="8" w:tplc="0409001B" w:tentative="1">
      <w:start w:val="1"/>
      <w:numFmt w:val="lowerRoman"/>
      <w:lvlText w:val="%9."/>
      <w:lvlJc w:val="right"/>
      <w:pPr>
        <w:ind w:left="5592" w:hanging="480"/>
      </w:pPr>
      <w:rPr>
        <w:rFonts w:cs="Times New Roman"/>
      </w:rPr>
    </w:lvl>
  </w:abstractNum>
  <w:abstractNum w:abstractNumId="22" w15:restartNumberingAfterBreak="0">
    <w:nsid w:val="43A95A40"/>
    <w:multiLevelType w:val="hybridMultilevel"/>
    <w:tmpl w:val="2E6C453E"/>
    <w:lvl w:ilvl="0" w:tplc="04E63332">
      <w:start w:val="1"/>
      <w:numFmt w:val="decimal"/>
      <w:lvlText w:val="%1."/>
      <w:lvlJc w:val="left"/>
      <w:pPr>
        <w:tabs>
          <w:tab w:val="num" w:pos="4330"/>
        </w:tabs>
        <w:ind w:left="4330"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531F36"/>
    <w:multiLevelType w:val="hybridMultilevel"/>
    <w:tmpl w:val="08002856"/>
    <w:lvl w:ilvl="0" w:tplc="B70CB792">
      <w:start w:val="1"/>
      <w:numFmt w:val="taiwaneseCountingThousand"/>
      <w:suff w:val="nothing"/>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4" w15:restartNumberingAfterBreak="0">
    <w:nsid w:val="48896E65"/>
    <w:multiLevelType w:val="singleLevel"/>
    <w:tmpl w:val="DF72B9E8"/>
    <w:lvl w:ilvl="0">
      <w:start w:val="1"/>
      <w:numFmt w:val="decimal"/>
      <w:lvlText w:val=""/>
      <w:lvlJc w:val="left"/>
      <w:pPr>
        <w:tabs>
          <w:tab w:val="num" w:pos="360"/>
        </w:tabs>
        <w:ind w:left="360" w:hanging="360"/>
      </w:pPr>
      <w:rPr>
        <w:rFonts w:ascii="Times New Roman" w:hint="default"/>
      </w:rPr>
    </w:lvl>
  </w:abstractNum>
  <w:abstractNum w:abstractNumId="25" w15:restartNumberingAfterBreak="0">
    <w:nsid w:val="48B923F5"/>
    <w:multiLevelType w:val="hybridMultilevel"/>
    <w:tmpl w:val="64B00DB2"/>
    <w:lvl w:ilvl="0" w:tplc="81003E46">
      <w:start w:val="1"/>
      <w:numFmt w:val="decimal"/>
      <w:lvlText w:val="%1."/>
      <w:lvlJc w:val="left"/>
      <w:pPr>
        <w:tabs>
          <w:tab w:val="num" w:pos="4330"/>
        </w:tabs>
        <w:ind w:left="4330"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A03122B"/>
    <w:multiLevelType w:val="singleLevel"/>
    <w:tmpl w:val="71008BA4"/>
    <w:lvl w:ilvl="0">
      <w:start w:val="1"/>
      <w:numFmt w:val="decimal"/>
      <w:lvlText w:val="%1."/>
      <w:lvlJc w:val="left"/>
      <w:pPr>
        <w:tabs>
          <w:tab w:val="num" w:pos="1245"/>
        </w:tabs>
        <w:ind w:left="1245" w:hanging="255"/>
      </w:pPr>
      <w:rPr>
        <w:rFonts w:hint="default"/>
      </w:rPr>
    </w:lvl>
  </w:abstractNum>
  <w:abstractNum w:abstractNumId="27" w15:restartNumberingAfterBreak="0">
    <w:nsid w:val="4C7B5AFF"/>
    <w:multiLevelType w:val="hybridMultilevel"/>
    <w:tmpl w:val="9E1E869E"/>
    <w:lvl w:ilvl="0" w:tplc="FE56C54C">
      <w:start w:val="1"/>
      <w:numFmt w:val="decimal"/>
      <w:lvlText w:val="（%1）"/>
      <w:lvlJc w:val="left"/>
      <w:pPr>
        <w:ind w:left="1752" w:hanging="480"/>
      </w:pPr>
      <w:rPr>
        <w:rFonts w:ascii="Times New Roman" w:eastAsia="Times New Roman" w:hAnsi="Times New Roman" w:cs="Times New Roman" w:hint="default"/>
      </w:rPr>
    </w:lvl>
    <w:lvl w:ilvl="1" w:tplc="04090019" w:tentative="1">
      <w:start w:val="1"/>
      <w:numFmt w:val="ideographTraditional"/>
      <w:lvlText w:val="%2、"/>
      <w:lvlJc w:val="left"/>
      <w:pPr>
        <w:ind w:left="2232" w:hanging="480"/>
      </w:pPr>
      <w:rPr>
        <w:rFonts w:cs="Times New Roman"/>
      </w:rPr>
    </w:lvl>
    <w:lvl w:ilvl="2" w:tplc="0409001B" w:tentative="1">
      <w:start w:val="1"/>
      <w:numFmt w:val="lowerRoman"/>
      <w:lvlText w:val="%3."/>
      <w:lvlJc w:val="right"/>
      <w:pPr>
        <w:ind w:left="2712" w:hanging="480"/>
      </w:pPr>
      <w:rPr>
        <w:rFonts w:cs="Times New Roman"/>
      </w:rPr>
    </w:lvl>
    <w:lvl w:ilvl="3" w:tplc="0409000F" w:tentative="1">
      <w:start w:val="1"/>
      <w:numFmt w:val="decimal"/>
      <w:lvlText w:val="%4."/>
      <w:lvlJc w:val="left"/>
      <w:pPr>
        <w:ind w:left="3192" w:hanging="480"/>
      </w:pPr>
      <w:rPr>
        <w:rFonts w:cs="Times New Roman"/>
      </w:rPr>
    </w:lvl>
    <w:lvl w:ilvl="4" w:tplc="04090019" w:tentative="1">
      <w:start w:val="1"/>
      <w:numFmt w:val="ideographTraditional"/>
      <w:lvlText w:val="%5、"/>
      <w:lvlJc w:val="left"/>
      <w:pPr>
        <w:ind w:left="3672" w:hanging="480"/>
      </w:pPr>
      <w:rPr>
        <w:rFonts w:cs="Times New Roman"/>
      </w:rPr>
    </w:lvl>
    <w:lvl w:ilvl="5" w:tplc="0409001B" w:tentative="1">
      <w:start w:val="1"/>
      <w:numFmt w:val="lowerRoman"/>
      <w:lvlText w:val="%6."/>
      <w:lvlJc w:val="right"/>
      <w:pPr>
        <w:ind w:left="4152" w:hanging="480"/>
      </w:pPr>
      <w:rPr>
        <w:rFonts w:cs="Times New Roman"/>
      </w:rPr>
    </w:lvl>
    <w:lvl w:ilvl="6" w:tplc="0409000F" w:tentative="1">
      <w:start w:val="1"/>
      <w:numFmt w:val="decimal"/>
      <w:lvlText w:val="%7."/>
      <w:lvlJc w:val="left"/>
      <w:pPr>
        <w:ind w:left="4632" w:hanging="480"/>
      </w:pPr>
      <w:rPr>
        <w:rFonts w:cs="Times New Roman"/>
      </w:rPr>
    </w:lvl>
    <w:lvl w:ilvl="7" w:tplc="04090019" w:tentative="1">
      <w:start w:val="1"/>
      <w:numFmt w:val="ideographTraditional"/>
      <w:lvlText w:val="%8、"/>
      <w:lvlJc w:val="left"/>
      <w:pPr>
        <w:ind w:left="5112" w:hanging="480"/>
      </w:pPr>
      <w:rPr>
        <w:rFonts w:cs="Times New Roman"/>
      </w:rPr>
    </w:lvl>
    <w:lvl w:ilvl="8" w:tplc="0409001B" w:tentative="1">
      <w:start w:val="1"/>
      <w:numFmt w:val="lowerRoman"/>
      <w:lvlText w:val="%9."/>
      <w:lvlJc w:val="right"/>
      <w:pPr>
        <w:ind w:left="5592" w:hanging="480"/>
      </w:pPr>
      <w:rPr>
        <w:rFonts w:cs="Times New Roman"/>
      </w:rPr>
    </w:lvl>
  </w:abstractNum>
  <w:abstractNum w:abstractNumId="28" w15:restartNumberingAfterBreak="0">
    <w:nsid w:val="4DA21179"/>
    <w:multiLevelType w:val="hybridMultilevel"/>
    <w:tmpl w:val="186EBA2A"/>
    <w:lvl w:ilvl="0" w:tplc="0409000F">
      <w:start w:val="1"/>
      <w:numFmt w:val="decimal"/>
      <w:lvlText w:val="%1."/>
      <w:lvlJc w:val="left"/>
      <w:pPr>
        <w:ind w:left="4025" w:hanging="480"/>
      </w:pPr>
      <w:rPr>
        <w:rFonts w:cs="Times New Roman"/>
      </w:rPr>
    </w:lvl>
    <w:lvl w:ilvl="1" w:tplc="04090019" w:tentative="1">
      <w:start w:val="1"/>
      <w:numFmt w:val="ideographTraditional"/>
      <w:lvlText w:val="%2、"/>
      <w:lvlJc w:val="left"/>
      <w:pPr>
        <w:ind w:left="4505" w:hanging="480"/>
      </w:pPr>
      <w:rPr>
        <w:rFonts w:cs="Times New Roman"/>
      </w:rPr>
    </w:lvl>
    <w:lvl w:ilvl="2" w:tplc="0409001B" w:tentative="1">
      <w:start w:val="1"/>
      <w:numFmt w:val="lowerRoman"/>
      <w:lvlText w:val="%3."/>
      <w:lvlJc w:val="right"/>
      <w:pPr>
        <w:ind w:left="4985" w:hanging="480"/>
      </w:pPr>
      <w:rPr>
        <w:rFonts w:cs="Times New Roman"/>
      </w:rPr>
    </w:lvl>
    <w:lvl w:ilvl="3" w:tplc="0409000F" w:tentative="1">
      <w:start w:val="1"/>
      <w:numFmt w:val="decimal"/>
      <w:lvlText w:val="%4."/>
      <w:lvlJc w:val="left"/>
      <w:pPr>
        <w:ind w:left="5465" w:hanging="480"/>
      </w:pPr>
      <w:rPr>
        <w:rFonts w:cs="Times New Roman"/>
      </w:rPr>
    </w:lvl>
    <w:lvl w:ilvl="4" w:tplc="04090019" w:tentative="1">
      <w:start w:val="1"/>
      <w:numFmt w:val="ideographTraditional"/>
      <w:lvlText w:val="%5、"/>
      <w:lvlJc w:val="left"/>
      <w:pPr>
        <w:ind w:left="5945" w:hanging="480"/>
      </w:pPr>
      <w:rPr>
        <w:rFonts w:cs="Times New Roman"/>
      </w:rPr>
    </w:lvl>
    <w:lvl w:ilvl="5" w:tplc="0409001B" w:tentative="1">
      <w:start w:val="1"/>
      <w:numFmt w:val="lowerRoman"/>
      <w:lvlText w:val="%6."/>
      <w:lvlJc w:val="right"/>
      <w:pPr>
        <w:ind w:left="6425" w:hanging="480"/>
      </w:pPr>
      <w:rPr>
        <w:rFonts w:cs="Times New Roman"/>
      </w:rPr>
    </w:lvl>
    <w:lvl w:ilvl="6" w:tplc="0409000F" w:tentative="1">
      <w:start w:val="1"/>
      <w:numFmt w:val="decimal"/>
      <w:lvlText w:val="%7."/>
      <w:lvlJc w:val="left"/>
      <w:pPr>
        <w:ind w:left="6905" w:hanging="480"/>
      </w:pPr>
      <w:rPr>
        <w:rFonts w:cs="Times New Roman"/>
      </w:rPr>
    </w:lvl>
    <w:lvl w:ilvl="7" w:tplc="04090019" w:tentative="1">
      <w:start w:val="1"/>
      <w:numFmt w:val="ideographTraditional"/>
      <w:lvlText w:val="%8、"/>
      <w:lvlJc w:val="left"/>
      <w:pPr>
        <w:ind w:left="7385" w:hanging="480"/>
      </w:pPr>
      <w:rPr>
        <w:rFonts w:cs="Times New Roman"/>
      </w:rPr>
    </w:lvl>
    <w:lvl w:ilvl="8" w:tplc="0409001B" w:tentative="1">
      <w:start w:val="1"/>
      <w:numFmt w:val="lowerRoman"/>
      <w:lvlText w:val="%9."/>
      <w:lvlJc w:val="right"/>
      <w:pPr>
        <w:ind w:left="7865" w:hanging="480"/>
      </w:pPr>
      <w:rPr>
        <w:rFonts w:cs="Times New Roman"/>
      </w:rPr>
    </w:lvl>
  </w:abstractNum>
  <w:abstractNum w:abstractNumId="29" w15:restartNumberingAfterBreak="0">
    <w:nsid w:val="4E3F7D92"/>
    <w:multiLevelType w:val="hybridMultilevel"/>
    <w:tmpl w:val="6EDC7C50"/>
    <w:lvl w:ilvl="0" w:tplc="6010C58A">
      <w:start w:val="1"/>
      <w:numFmt w:val="decimal"/>
      <w:lvlText w:val="%1."/>
      <w:lvlJc w:val="left"/>
      <w:pPr>
        <w:ind w:left="1656" w:hanging="360"/>
      </w:pPr>
      <w:rPr>
        <w:rFonts w:hint="default"/>
      </w:rPr>
    </w:lvl>
    <w:lvl w:ilvl="1" w:tplc="04090019" w:tentative="1">
      <w:start w:val="1"/>
      <w:numFmt w:val="ideographTraditional"/>
      <w:lvlText w:val="%2、"/>
      <w:lvlJc w:val="left"/>
      <w:pPr>
        <w:ind w:left="2256" w:hanging="480"/>
      </w:pPr>
    </w:lvl>
    <w:lvl w:ilvl="2" w:tplc="0409001B" w:tentative="1">
      <w:start w:val="1"/>
      <w:numFmt w:val="lowerRoman"/>
      <w:lvlText w:val="%3."/>
      <w:lvlJc w:val="right"/>
      <w:pPr>
        <w:ind w:left="2736" w:hanging="480"/>
      </w:pPr>
    </w:lvl>
    <w:lvl w:ilvl="3" w:tplc="0409000F" w:tentative="1">
      <w:start w:val="1"/>
      <w:numFmt w:val="decimal"/>
      <w:lvlText w:val="%4."/>
      <w:lvlJc w:val="left"/>
      <w:pPr>
        <w:ind w:left="3216" w:hanging="480"/>
      </w:pPr>
    </w:lvl>
    <w:lvl w:ilvl="4" w:tplc="04090019" w:tentative="1">
      <w:start w:val="1"/>
      <w:numFmt w:val="ideographTraditional"/>
      <w:lvlText w:val="%5、"/>
      <w:lvlJc w:val="left"/>
      <w:pPr>
        <w:ind w:left="3696" w:hanging="480"/>
      </w:pPr>
    </w:lvl>
    <w:lvl w:ilvl="5" w:tplc="0409001B" w:tentative="1">
      <w:start w:val="1"/>
      <w:numFmt w:val="lowerRoman"/>
      <w:lvlText w:val="%6."/>
      <w:lvlJc w:val="right"/>
      <w:pPr>
        <w:ind w:left="4176" w:hanging="480"/>
      </w:pPr>
    </w:lvl>
    <w:lvl w:ilvl="6" w:tplc="0409000F" w:tentative="1">
      <w:start w:val="1"/>
      <w:numFmt w:val="decimal"/>
      <w:lvlText w:val="%7."/>
      <w:lvlJc w:val="left"/>
      <w:pPr>
        <w:ind w:left="4656" w:hanging="480"/>
      </w:pPr>
    </w:lvl>
    <w:lvl w:ilvl="7" w:tplc="04090019" w:tentative="1">
      <w:start w:val="1"/>
      <w:numFmt w:val="ideographTraditional"/>
      <w:lvlText w:val="%8、"/>
      <w:lvlJc w:val="left"/>
      <w:pPr>
        <w:ind w:left="5136" w:hanging="480"/>
      </w:pPr>
    </w:lvl>
    <w:lvl w:ilvl="8" w:tplc="0409001B" w:tentative="1">
      <w:start w:val="1"/>
      <w:numFmt w:val="lowerRoman"/>
      <w:lvlText w:val="%9."/>
      <w:lvlJc w:val="right"/>
      <w:pPr>
        <w:ind w:left="5616" w:hanging="480"/>
      </w:pPr>
    </w:lvl>
  </w:abstractNum>
  <w:abstractNum w:abstractNumId="30" w15:restartNumberingAfterBreak="0">
    <w:nsid w:val="4E876359"/>
    <w:multiLevelType w:val="hybridMultilevel"/>
    <w:tmpl w:val="1D5EFAA8"/>
    <w:lvl w:ilvl="0" w:tplc="0409000F">
      <w:start w:val="1"/>
      <w:numFmt w:val="decimal"/>
      <w:lvlText w:val="%1."/>
      <w:lvlJc w:val="left"/>
      <w:pPr>
        <w:ind w:left="1626" w:hanging="480"/>
      </w:pPr>
    </w:lvl>
    <w:lvl w:ilvl="1" w:tplc="BEDC733C">
      <w:start w:val="2"/>
      <w:numFmt w:val="taiwaneseCountingThousand"/>
      <w:lvlText w:val="%2、"/>
      <w:lvlJc w:val="left"/>
      <w:pPr>
        <w:ind w:left="504" w:hanging="504"/>
      </w:pPr>
      <w:rPr>
        <w:rFonts w:hint="default"/>
      </w:rPr>
    </w:lvl>
    <w:lvl w:ilvl="2" w:tplc="0409001B" w:tentative="1">
      <w:start w:val="1"/>
      <w:numFmt w:val="lowerRoman"/>
      <w:lvlText w:val="%3."/>
      <w:lvlJc w:val="right"/>
      <w:pPr>
        <w:ind w:left="2586" w:hanging="480"/>
      </w:pPr>
    </w:lvl>
    <w:lvl w:ilvl="3" w:tplc="0409000F" w:tentative="1">
      <w:start w:val="1"/>
      <w:numFmt w:val="decimal"/>
      <w:lvlText w:val="%4."/>
      <w:lvlJc w:val="left"/>
      <w:pPr>
        <w:ind w:left="3066" w:hanging="480"/>
      </w:pPr>
    </w:lvl>
    <w:lvl w:ilvl="4" w:tplc="04090019" w:tentative="1">
      <w:start w:val="1"/>
      <w:numFmt w:val="ideographTraditional"/>
      <w:lvlText w:val="%5、"/>
      <w:lvlJc w:val="left"/>
      <w:pPr>
        <w:ind w:left="3546" w:hanging="480"/>
      </w:pPr>
    </w:lvl>
    <w:lvl w:ilvl="5" w:tplc="0409001B" w:tentative="1">
      <w:start w:val="1"/>
      <w:numFmt w:val="lowerRoman"/>
      <w:lvlText w:val="%6."/>
      <w:lvlJc w:val="right"/>
      <w:pPr>
        <w:ind w:left="4026" w:hanging="480"/>
      </w:pPr>
    </w:lvl>
    <w:lvl w:ilvl="6" w:tplc="0409000F" w:tentative="1">
      <w:start w:val="1"/>
      <w:numFmt w:val="decimal"/>
      <w:lvlText w:val="%7."/>
      <w:lvlJc w:val="left"/>
      <w:pPr>
        <w:ind w:left="4506" w:hanging="480"/>
      </w:pPr>
    </w:lvl>
    <w:lvl w:ilvl="7" w:tplc="04090019" w:tentative="1">
      <w:start w:val="1"/>
      <w:numFmt w:val="ideographTraditional"/>
      <w:lvlText w:val="%8、"/>
      <w:lvlJc w:val="left"/>
      <w:pPr>
        <w:ind w:left="4986" w:hanging="480"/>
      </w:pPr>
    </w:lvl>
    <w:lvl w:ilvl="8" w:tplc="0409001B" w:tentative="1">
      <w:start w:val="1"/>
      <w:numFmt w:val="lowerRoman"/>
      <w:lvlText w:val="%9."/>
      <w:lvlJc w:val="right"/>
      <w:pPr>
        <w:ind w:left="5466" w:hanging="480"/>
      </w:pPr>
    </w:lvl>
  </w:abstractNum>
  <w:abstractNum w:abstractNumId="31" w15:restartNumberingAfterBreak="0">
    <w:nsid w:val="4EAB4207"/>
    <w:multiLevelType w:val="singleLevel"/>
    <w:tmpl w:val="CA162556"/>
    <w:lvl w:ilvl="0">
      <w:start w:val="1"/>
      <w:numFmt w:val="decimal"/>
      <w:lvlText w:val="(%1)"/>
      <w:lvlJc w:val="left"/>
      <w:pPr>
        <w:tabs>
          <w:tab w:val="num" w:pos="1524"/>
        </w:tabs>
        <w:ind w:left="1524" w:hanging="390"/>
      </w:pPr>
      <w:rPr>
        <w:rFonts w:ascii="細明體" w:hint="eastAsia"/>
      </w:rPr>
    </w:lvl>
  </w:abstractNum>
  <w:abstractNum w:abstractNumId="32" w15:restartNumberingAfterBreak="0">
    <w:nsid w:val="52165AA7"/>
    <w:multiLevelType w:val="hybridMultilevel"/>
    <w:tmpl w:val="FC1AFBAE"/>
    <w:lvl w:ilvl="0" w:tplc="CC3CC190">
      <w:start w:val="1"/>
      <w:numFmt w:val="decimal"/>
      <w:lvlText w:val="%1."/>
      <w:lvlJc w:val="left"/>
      <w:pPr>
        <w:tabs>
          <w:tab w:val="num" w:pos="4330"/>
        </w:tabs>
        <w:ind w:left="4330" w:hanging="360"/>
      </w:pPr>
      <w:rPr>
        <w:rFonts w:hint="default"/>
        <w:b w:val="0"/>
        <w:color w:val="auto"/>
      </w:rPr>
    </w:lvl>
    <w:lvl w:ilvl="1" w:tplc="04090019">
      <w:start w:val="1"/>
      <w:numFmt w:val="ideographTraditional"/>
      <w:lvlText w:val="%2、"/>
      <w:lvlJc w:val="left"/>
      <w:pPr>
        <w:tabs>
          <w:tab w:val="num" w:pos="4930"/>
        </w:tabs>
        <w:ind w:left="4930" w:hanging="480"/>
      </w:pPr>
    </w:lvl>
    <w:lvl w:ilvl="2" w:tplc="0409001B" w:tentative="1">
      <w:start w:val="1"/>
      <w:numFmt w:val="lowerRoman"/>
      <w:lvlText w:val="%3."/>
      <w:lvlJc w:val="right"/>
      <w:pPr>
        <w:tabs>
          <w:tab w:val="num" w:pos="5410"/>
        </w:tabs>
        <w:ind w:left="5410" w:hanging="480"/>
      </w:pPr>
    </w:lvl>
    <w:lvl w:ilvl="3" w:tplc="0409000F" w:tentative="1">
      <w:start w:val="1"/>
      <w:numFmt w:val="decimal"/>
      <w:lvlText w:val="%4."/>
      <w:lvlJc w:val="left"/>
      <w:pPr>
        <w:tabs>
          <w:tab w:val="num" w:pos="5890"/>
        </w:tabs>
        <w:ind w:left="5890" w:hanging="480"/>
      </w:pPr>
    </w:lvl>
    <w:lvl w:ilvl="4" w:tplc="04090019" w:tentative="1">
      <w:start w:val="1"/>
      <w:numFmt w:val="ideographTraditional"/>
      <w:lvlText w:val="%5、"/>
      <w:lvlJc w:val="left"/>
      <w:pPr>
        <w:tabs>
          <w:tab w:val="num" w:pos="6370"/>
        </w:tabs>
        <w:ind w:left="6370" w:hanging="480"/>
      </w:pPr>
    </w:lvl>
    <w:lvl w:ilvl="5" w:tplc="0409001B" w:tentative="1">
      <w:start w:val="1"/>
      <w:numFmt w:val="lowerRoman"/>
      <w:lvlText w:val="%6."/>
      <w:lvlJc w:val="right"/>
      <w:pPr>
        <w:tabs>
          <w:tab w:val="num" w:pos="6850"/>
        </w:tabs>
        <w:ind w:left="6850" w:hanging="480"/>
      </w:pPr>
    </w:lvl>
    <w:lvl w:ilvl="6" w:tplc="0409000F" w:tentative="1">
      <w:start w:val="1"/>
      <w:numFmt w:val="decimal"/>
      <w:lvlText w:val="%7."/>
      <w:lvlJc w:val="left"/>
      <w:pPr>
        <w:tabs>
          <w:tab w:val="num" w:pos="7330"/>
        </w:tabs>
        <w:ind w:left="7330" w:hanging="480"/>
      </w:pPr>
    </w:lvl>
    <w:lvl w:ilvl="7" w:tplc="04090019" w:tentative="1">
      <w:start w:val="1"/>
      <w:numFmt w:val="ideographTraditional"/>
      <w:lvlText w:val="%8、"/>
      <w:lvlJc w:val="left"/>
      <w:pPr>
        <w:tabs>
          <w:tab w:val="num" w:pos="7810"/>
        </w:tabs>
        <w:ind w:left="7810" w:hanging="480"/>
      </w:pPr>
    </w:lvl>
    <w:lvl w:ilvl="8" w:tplc="0409001B" w:tentative="1">
      <w:start w:val="1"/>
      <w:numFmt w:val="lowerRoman"/>
      <w:lvlText w:val="%9."/>
      <w:lvlJc w:val="right"/>
      <w:pPr>
        <w:tabs>
          <w:tab w:val="num" w:pos="8290"/>
        </w:tabs>
        <w:ind w:left="8290" w:hanging="480"/>
      </w:pPr>
    </w:lvl>
  </w:abstractNum>
  <w:abstractNum w:abstractNumId="33" w15:restartNumberingAfterBreak="0">
    <w:nsid w:val="57895A30"/>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5BAE650D"/>
    <w:multiLevelType w:val="hybridMultilevel"/>
    <w:tmpl w:val="C924FC22"/>
    <w:lvl w:ilvl="0" w:tplc="AB486442">
      <w:start w:val="1"/>
      <w:numFmt w:val="decimal"/>
      <w:lvlText w:val="%1."/>
      <w:lvlJc w:val="left"/>
      <w:pPr>
        <w:tabs>
          <w:tab w:val="num" w:pos="1267"/>
        </w:tabs>
        <w:ind w:left="1267" w:hanging="360"/>
      </w:pPr>
      <w:rPr>
        <w:rFonts w:hint="eastAsia"/>
      </w:rPr>
    </w:lvl>
    <w:lvl w:ilvl="1" w:tplc="04090019" w:tentative="1">
      <w:start w:val="1"/>
      <w:numFmt w:val="ideographTraditional"/>
      <w:lvlText w:val="%2、"/>
      <w:lvlJc w:val="left"/>
      <w:pPr>
        <w:tabs>
          <w:tab w:val="num" w:pos="1867"/>
        </w:tabs>
        <w:ind w:left="1867" w:hanging="480"/>
      </w:pPr>
    </w:lvl>
    <w:lvl w:ilvl="2" w:tplc="0409001B" w:tentative="1">
      <w:start w:val="1"/>
      <w:numFmt w:val="lowerRoman"/>
      <w:lvlText w:val="%3."/>
      <w:lvlJc w:val="right"/>
      <w:pPr>
        <w:tabs>
          <w:tab w:val="num" w:pos="2347"/>
        </w:tabs>
        <w:ind w:left="2347" w:hanging="480"/>
      </w:pPr>
    </w:lvl>
    <w:lvl w:ilvl="3" w:tplc="0409000F" w:tentative="1">
      <w:start w:val="1"/>
      <w:numFmt w:val="decimal"/>
      <w:lvlText w:val="%4."/>
      <w:lvlJc w:val="left"/>
      <w:pPr>
        <w:tabs>
          <w:tab w:val="num" w:pos="2827"/>
        </w:tabs>
        <w:ind w:left="2827" w:hanging="480"/>
      </w:pPr>
    </w:lvl>
    <w:lvl w:ilvl="4" w:tplc="04090019" w:tentative="1">
      <w:start w:val="1"/>
      <w:numFmt w:val="ideographTraditional"/>
      <w:lvlText w:val="%5、"/>
      <w:lvlJc w:val="left"/>
      <w:pPr>
        <w:tabs>
          <w:tab w:val="num" w:pos="3307"/>
        </w:tabs>
        <w:ind w:left="3307" w:hanging="480"/>
      </w:pPr>
    </w:lvl>
    <w:lvl w:ilvl="5" w:tplc="0409001B" w:tentative="1">
      <w:start w:val="1"/>
      <w:numFmt w:val="lowerRoman"/>
      <w:lvlText w:val="%6."/>
      <w:lvlJc w:val="right"/>
      <w:pPr>
        <w:tabs>
          <w:tab w:val="num" w:pos="3787"/>
        </w:tabs>
        <w:ind w:left="3787" w:hanging="480"/>
      </w:pPr>
    </w:lvl>
    <w:lvl w:ilvl="6" w:tplc="0409000F" w:tentative="1">
      <w:start w:val="1"/>
      <w:numFmt w:val="decimal"/>
      <w:lvlText w:val="%7."/>
      <w:lvlJc w:val="left"/>
      <w:pPr>
        <w:tabs>
          <w:tab w:val="num" w:pos="4267"/>
        </w:tabs>
        <w:ind w:left="4267" w:hanging="480"/>
      </w:pPr>
    </w:lvl>
    <w:lvl w:ilvl="7" w:tplc="04090019" w:tentative="1">
      <w:start w:val="1"/>
      <w:numFmt w:val="ideographTraditional"/>
      <w:lvlText w:val="%8、"/>
      <w:lvlJc w:val="left"/>
      <w:pPr>
        <w:tabs>
          <w:tab w:val="num" w:pos="4747"/>
        </w:tabs>
        <w:ind w:left="4747" w:hanging="480"/>
      </w:pPr>
    </w:lvl>
    <w:lvl w:ilvl="8" w:tplc="0409001B" w:tentative="1">
      <w:start w:val="1"/>
      <w:numFmt w:val="lowerRoman"/>
      <w:lvlText w:val="%9."/>
      <w:lvlJc w:val="right"/>
      <w:pPr>
        <w:tabs>
          <w:tab w:val="num" w:pos="5227"/>
        </w:tabs>
        <w:ind w:left="5227" w:hanging="480"/>
      </w:pPr>
    </w:lvl>
  </w:abstractNum>
  <w:abstractNum w:abstractNumId="35" w15:restartNumberingAfterBreak="0">
    <w:nsid w:val="5DAB3B9E"/>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6" w15:restartNumberingAfterBreak="0">
    <w:nsid w:val="5E0E7DA0"/>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7" w15:restartNumberingAfterBreak="0">
    <w:nsid w:val="64F14848"/>
    <w:multiLevelType w:val="singleLevel"/>
    <w:tmpl w:val="76285906"/>
    <w:lvl w:ilvl="0">
      <w:start w:val="1"/>
      <w:numFmt w:val="decimal"/>
      <w:lvlText w:val="%1."/>
      <w:lvlJc w:val="left"/>
      <w:pPr>
        <w:tabs>
          <w:tab w:val="num" w:pos="1177"/>
        </w:tabs>
        <w:ind w:left="1177" w:hanging="270"/>
      </w:pPr>
      <w:rPr>
        <w:rFonts w:hint="eastAsia"/>
      </w:rPr>
    </w:lvl>
  </w:abstractNum>
  <w:abstractNum w:abstractNumId="38" w15:restartNumberingAfterBreak="0">
    <w:nsid w:val="6DEA670D"/>
    <w:multiLevelType w:val="hybridMultilevel"/>
    <w:tmpl w:val="53E02C54"/>
    <w:lvl w:ilvl="0" w:tplc="48B82148">
      <w:start w:val="1"/>
      <w:numFmt w:val="taiwaneseCountingThousand"/>
      <w:lvlText w:val="(%1)"/>
      <w:lvlJc w:val="left"/>
      <w:pPr>
        <w:ind w:left="1080" w:hanging="720"/>
      </w:pPr>
      <w:rPr>
        <w:rFonts w:hint="default"/>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9" w15:restartNumberingAfterBreak="0">
    <w:nsid w:val="748E38CA"/>
    <w:multiLevelType w:val="hybridMultilevel"/>
    <w:tmpl w:val="CE2CFA82"/>
    <w:lvl w:ilvl="0" w:tplc="75F4A7D2">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0" w15:restartNumberingAfterBreak="0">
    <w:nsid w:val="796D1950"/>
    <w:multiLevelType w:val="hybridMultilevel"/>
    <w:tmpl w:val="8940EA14"/>
    <w:lvl w:ilvl="0" w:tplc="A282EB50">
      <w:start w:val="1"/>
      <w:numFmt w:val="taiwaneseCountingThousand"/>
      <w:lvlText w:val="(%1)"/>
      <w:lvlJc w:val="left"/>
      <w:pPr>
        <w:ind w:left="1080" w:hanging="720"/>
      </w:pPr>
      <w:rPr>
        <w:rFonts w:hint="default"/>
        <w:color w:val="auto"/>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1" w15:restartNumberingAfterBreak="0">
    <w:nsid w:val="7EAE38C1"/>
    <w:multiLevelType w:val="hybridMultilevel"/>
    <w:tmpl w:val="53E02C54"/>
    <w:lvl w:ilvl="0" w:tplc="48B8214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26"/>
  </w:num>
  <w:num w:numId="2">
    <w:abstractNumId w:val="16"/>
  </w:num>
  <w:num w:numId="3">
    <w:abstractNumId w:val="24"/>
  </w:num>
  <w:num w:numId="4">
    <w:abstractNumId w:val="15"/>
  </w:num>
  <w:num w:numId="5">
    <w:abstractNumId w:val="12"/>
  </w:num>
  <w:num w:numId="6">
    <w:abstractNumId w:val="19"/>
  </w:num>
  <w:num w:numId="7">
    <w:abstractNumId w:val="20"/>
  </w:num>
  <w:num w:numId="8">
    <w:abstractNumId w:val="31"/>
  </w:num>
  <w:num w:numId="9">
    <w:abstractNumId w:val="37"/>
  </w:num>
  <w:num w:numId="10">
    <w:abstractNumId w:val="34"/>
  </w:num>
  <w:num w:numId="11">
    <w:abstractNumId w:val="2"/>
  </w:num>
  <w:num w:numId="12">
    <w:abstractNumId w:val="13"/>
  </w:num>
  <w:num w:numId="13">
    <w:abstractNumId w:val="3"/>
  </w:num>
  <w:num w:numId="14">
    <w:abstractNumId w:val="39"/>
  </w:num>
  <w:num w:numId="15">
    <w:abstractNumId w:val="28"/>
  </w:num>
  <w:num w:numId="16">
    <w:abstractNumId w:val="21"/>
  </w:num>
  <w:num w:numId="17">
    <w:abstractNumId w:val="27"/>
  </w:num>
  <w:num w:numId="18">
    <w:abstractNumId w:val="11"/>
  </w:num>
  <w:num w:numId="19">
    <w:abstractNumId w:val="29"/>
  </w:num>
  <w:num w:numId="20">
    <w:abstractNumId w:val="6"/>
  </w:num>
  <w:num w:numId="21">
    <w:abstractNumId w:val="9"/>
  </w:num>
  <w:num w:numId="22">
    <w:abstractNumId w:val="4"/>
  </w:num>
  <w:num w:numId="23">
    <w:abstractNumId w:val="18"/>
  </w:num>
  <w:num w:numId="24">
    <w:abstractNumId w:val="7"/>
  </w:num>
  <w:num w:numId="25">
    <w:abstractNumId w:val="32"/>
  </w:num>
  <w:num w:numId="26">
    <w:abstractNumId w:val="1"/>
  </w:num>
  <w:num w:numId="27">
    <w:abstractNumId w:val="30"/>
  </w:num>
  <w:num w:numId="28">
    <w:abstractNumId w:val="0"/>
  </w:num>
  <w:num w:numId="29">
    <w:abstractNumId w:val="25"/>
  </w:num>
  <w:num w:numId="30">
    <w:abstractNumId w:val="22"/>
  </w:num>
  <w:num w:numId="31">
    <w:abstractNumId w:val="17"/>
  </w:num>
  <w:num w:numId="32">
    <w:abstractNumId w:val="40"/>
  </w:num>
  <w:num w:numId="33">
    <w:abstractNumId w:val="5"/>
  </w:num>
  <w:num w:numId="34">
    <w:abstractNumId w:val="10"/>
  </w:num>
  <w:num w:numId="35">
    <w:abstractNumId w:val="36"/>
  </w:num>
  <w:num w:numId="36">
    <w:abstractNumId w:val="8"/>
  </w:num>
  <w:num w:numId="37">
    <w:abstractNumId w:val="33"/>
  </w:num>
  <w:num w:numId="38">
    <w:abstractNumId w:val="41"/>
  </w:num>
  <w:num w:numId="39">
    <w:abstractNumId w:val="35"/>
  </w:num>
  <w:num w:numId="40">
    <w:abstractNumId w:val="23"/>
  </w:num>
  <w:num w:numId="41">
    <w:abstractNumId w:val="14"/>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956"/>
    <w:rsid w:val="00003E70"/>
    <w:rsid w:val="00006226"/>
    <w:rsid w:val="00007C48"/>
    <w:rsid w:val="000117D2"/>
    <w:rsid w:val="00013D5B"/>
    <w:rsid w:val="00021274"/>
    <w:rsid w:val="00021CE4"/>
    <w:rsid w:val="000239AD"/>
    <w:rsid w:val="000257B6"/>
    <w:rsid w:val="00026B2F"/>
    <w:rsid w:val="0002787B"/>
    <w:rsid w:val="00031366"/>
    <w:rsid w:val="000324F4"/>
    <w:rsid w:val="00035861"/>
    <w:rsid w:val="0003763E"/>
    <w:rsid w:val="000404A2"/>
    <w:rsid w:val="000418E5"/>
    <w:rsid w:val="00044E71"/>
    <w:rsid w:val="00050967"/>
    <w:rsid w:val="00056D1E"/>
    <w:rsid w:val="00056F48"/>
    <w:rsid w:val="00060CFA"/>
    <w:rsid w:val="000617FB"/>
    <w:rsid w:val="00061DEB"/>
    <w:rsid w:val="000629ED"/>
    <w:rsid w:val="00062A6B"/>
    <w:rsid w:val="00067F65"/>
    <w:rsid w:val="000714AD"/>
    <w:rsid w:val="00071C78"/>
    <w:rsid w:val="0007222A"/>
    <w:rsid w:val="0007301A"/>
    <w:rsid w:val="00084E42"/>
    <w:rsid w:val="000905A4"/>
    <w:rsid w:val="00094290"/>
    <w:rsid w:val="00097EAC"/>
    <w:rsid w:val="000A5599"/>
    <w:rsid w:val="000C1A15"/>
    <w:rsid w:val="000D4931"/>
    <w:rsid w:val="000D65E7"/>
    <w:rsid w:val="000E34E7"/>
    <w:rsid w:val="000F1AA8"/>
    <w:rsid w:val="000F629C"/>
    <w:rsid w:val="00107974"/>
    <w:rsid w:val="0011156C"/>
    <w:rsid w:val="0011321A"/>
    <w:rsid w:val="001137BE"/>
    <w:rsid w:val="001169C2"/>
    <w:rsid w:val="00117BE3"/>
    <w:rsid w:val="001212ED"/>
    <w:rsid w:val="00124EA5"/>
    <w:rsid w:val="001251C0"/>
    <w:rsid w:val="00125A97"/>
    <w:rsid w:val="00143A4B"/>
    <w:rsid w:val="00152DC7"/>
    <w:rsid w:val="00167F04"/>
    <w:rsid w:val="00170B3C"/>
    <w:rsid w:val="0017145D"/>
    <w:rsid w:val="00174425"/>
    <w:rsid w:val="001759CF"/>
    <w:rsid w:val="00177ABE"/>
    <w:rsid w:val="00185B04"/>
    <w:rsid w:val="00187002"/>
    <w:rsid w:val="001949F5"/>
    <w:rsid w:val="00194B0B"/>
    <w:rsid w:val="00195EE4"/>
    <w:rsid w:val="00196049"/>
    <w:rsid w:val="001A0DE5"/>
    <w:rsid w:val="001A1FA8"/>
    <w:rsid w:val="001A37D1"/>
    <w:rsid w:val="001A3E96"/>
    <w:rsid w:val="001B408B"/>
    <w:rsid w:val="001B4B0A"/>
    <w:rsid w:val="001B77E9"/>
    <w:rsid w:val="001B7970"/>
    <w:rsid w:val="001C33FF"/>
    <w:rsid w:val="001C4012"/>
    <w:rsid w:val="001C434F"/>
    <w:rsid w:val="001C5E73"/>
    <w:rsid w:val="001D0F55"/>
    <w:rsid w:val="001D7651"/>
    <w:rsid w:val="001E4A2A"/>
    <w:rsid w:val="001F0448"/>
    <w:rsid w:val="001F4CEA"/>
    <w:rsid w:val="002062E4"/>
    <w:rsid w:val="00214D87"/>
    <w:rsid w:val="00215CF6"/>
    <w:rsid w:val="00220544"/>
    <w:rsid w:val="002206FF"/>
    <w:rsid w:val="00240470"/>
    <w:rsid w:val="00241184"/>
    <w:rsid w:val="00241935"/>
    <w:rsid w:val="00247F6A"/>
    <w:rsid w:val="00250648"/>
    <w:rsid w:val="0025224E"/>
    <w:rsid w:val="0025407F"/>
    <w:rsid w:val="00254BFF"/>
    <w:rsid w:val="00255FD6"/>
    <w:rsid w:val="002710F9"/>
    <w:rsid w:val="00275CEA"/>
    <w:rsid w:val="00276FC2"/>
    <w:rsid w:val="0028103C"/>
    <w:rsid w:val="00283011"/>
    <w:rsid w:val="00283587"/>
    <w:rsid w:val="00283763"/>
    <w:rsid w:val="002876C9"/>
    <w:rsid w:val="00292304"/>
    <w:rsid w:val="00294614"/>
    <w:rsid w:val="002A4B51"/>
    <w:rsid w:val="002C1E95"/>
    <w:rsid w:val="002C32C6"/>
    <w:rsid w:val="002C6F4B"/>
    <w:rsid w:val="002D39F5"/>
    <w:rsid w:val="002D7238"/>
    <w:rsid w:val="002D7FD6"/>
    <w:rsid w:val="002E238C"/>
    <w:rsid w:val="002E4211"/>
    <w:rsid w:val="002E5AF3"/>
    <w:rsid w:val="00301585"/>
    <w:rsid w:val="00302104"/>
    <w:rsid w:val="00302242"/>
    <w:rsid w:val="0030289F"/>
    <w:rsid w:val="00305739"/>
    <w:rsid w:val="00310614"/>
    <w:rsid w:val="00314581"/>
    <w:rsid w:val="00316BE9"/>
    <w:rsid w:val="003177C2"/>
    <w:rsid w:val="00323625"/>
    <w:rsid w:val="003306EC"/>
    <w:rsid w:val="0033489F"/>
    <w:rsid w:val="00342F76"/>
    <w:rsid w:val="003512B6"/>
    <w:rsid w:val="0035222C"/>
    <w:rsid w:val="00353835"/>
    <w:rsid w:val="00365C9F"/>
    <w:rsid w:val="00371945"/>
    <w:rsid w:val="00373AA0"/>
    <w:rsid w:val="00374CCF"/>
    <w:rsid w:val="00377A73"/>
    <w:rsid w:val="0038165C"/>
    <w:rsid w:val="00385922"/>
    <w:rsid w:val="003923DD"/>
    <w:rsid w:val="00392681"/>
    <w:rsid w:val="00393E60"/>
    <w:rsid w:val="003957A1"/>
    <w:rsid w:val="003A023B"/>
    <w:rsid w:val="003A0ABB"/>
    <w:rsid w:val="003A0ECE"/>
    <w:rsid w:val="003A3201"/>
    <w:rsid w:val="003A3D21"/>
    <w:rsid w:val="003A7E04"/>
    <w:rsid w:val="003B04F5"/>
    <w:rsid w:val="003B36D1"/>
    <w:rsid w:val="003C18A1"/>
    <w:rsid w:val="003C3A60"/>
    <w:rsid w:val="003D0243"/>
    <w:rsid w:val="003D4A24"/>
    <w:rsid w:val="003D6325"/>
    <w:rsid w:val="003E7025"/>
    <w:rsid w:val="003F12F4"/>
    <w:rsid w:val="00400CC2"/>
    <w:rsid w:val="00401168"/>
    <w:rsid w:val="00402D0A"/>
    <w:rsid w:val="00403C8F"/>
    <w:rsid w:val="0040592B"/>
    <w:rsid w:val="004061CA"/>
    <w:rsid w:val="0040751B"/>
    <w:rsid w:val="00407B47"/>
    <w:rsid w:val="00411E21"/>
    <w:rsid w:val="00422035"/>
    <w:rsid w:val="00422491"/>
    <w:rsid w:val="00425469"/>
    <w:rsid w:val="00430BA9"/>
    <w:rsid w:val="004312AE"/>
    <w:rsid w:val="004330C1"/>
    <w:rsid w:val="00435711"/>
    <w:rsid w:val="004408CE"/>
    <w:rsid w:val="00442772"/>
    <w:rsid w:val="00444708"/>
    <w:rsid w:val="00444E6F"/>
    <w:rsid w:val="00446099"/>
    <w:rsid w:val="00450CB9"/>
    <w:rsid w:val="004547CE"/>
    <w:rsid w:val="0045483B"/>
    <w:rsid w:val="00457DE2"/>
    <w:rsid w:val="0047146A"/>
    <w:rsid w:val="0047248D"/>
    <w:rsid w:val="004727EA"/>
    <w:rsid w:val="0048139A"/>
    <w:rsid w:val="0049199A"/>
    <w:rsid w:val="004920E7"/>
    <w:rsid w:val="00495CAF"/>
    <w:rsid w:val="004A03C7"/>
    <w:rsid w:val="004A6776"/>
    <w:rsid w:val="004B2CBD"/>
    <w:rsid w:val="004B2F68"/>
    <w:rsid w:val="004B4EB8"/>
    <w:rsid w:val="004B7DA4"/>
    <w:rsid w:val="004C3071"/>
    <w:rsid w:val="004C6980"/>
    <w:rsid w:val="004C710B"/>
    <w:rsid w:val="004D06D8"/>
    <w:rsid w:val="004D14C6"/>
    <w:rsid w:val="004D1583"/>
    <w:rsid w:val="004E16F7"/>
    <w:rsid w:val="004E21D7"/>
    <w:rsid w:val="004E2D6F"/>
    <w:rsid w:val="004E4018"/>
    <w:rsid w:val="004E4E13"/>
    <w:rsid w:val="004E5C1E"/>
    <w:rsid w:val="004F1777"/>
    <w:rsid w:val="004F346F"/>
    <w:rsid w:val="004F4A65"/>
    <w:rsid w:val="0050317B"/>
    <w:rsid w:val="00512F69"/>
    <w:rsid w:val="00514E1B"/>
    <w:rsid w:val="005216D6"/>
    <w:rsid w:val="00522094"/>
    <w:rsid w:val="00531CEE"/>
    <w:rsid w:val="00532DF1"/>
    <w:rsid w:val="00546FEE"/>
    <w:rsid w:val="005534BF"/>
    <w:rsid w:val="00556069"/>
    <w:rsid w:val="005606A3"/>
    <w:rsid w:val="00562F15"/>
    <w:rsid w:val="005645C0"/>
    <w:rsid w:val="0056738B"/>
    <w:rsid w:val="00571687"/>
    <w:rsid w:val="005726F5"/>
    <w:rsid w:val="005747FD"/>
    <w:rsid w:val="00576B76"/>
    <w:rsid w:val="005878B8"/>
    <w:rsid w:val="005916BE"/>
    <w:rsid w:val="00592244"/>
    <w:rsid w:val="00596222"/>
    <w:rsid w:val="0059760C"/>
    <w:rsid w:val="005A39D1"/>
    <w:rsid w:val="005B1830"/>
    <w:rsid w:val="005B2100"/>
    <w:rsid w:val="005B247D"/>
    <w:rsid w:val="005B3DDF"/>
    <w:rsid w:val="005C006F"/>
    <w:rsid w:val="005D0C59"/>
    <w:rsid w:val="005D5BEA"/>
    <w:rsid w:val="005F1DCD"/>
    <w:rsid w:val="005F4E7F"/>
    <w:rsid w:val="0060231F"/>
    <w:rsid w:val="00603598"/>
    <w:rsid w:val="00603D86"/>
    <w:rsid w:val="00607E75"/>
    <w:rsid w:val="00610B3C"/>
    <w:rsid w:val="00611725"/>
    <w:rsid w:val="00612626"/>
    <w:rsid w:val="00613A43"/>
    <w:rsid w:val="006200E5"/>
    <w:rsid w:val="00632770"/>
    <w:rsid w:val="00637396"/>
    <w:rsid w:val="006378EA"/>
    <w:rsid w:val="006406F6"/>
    <w:rsid w:val="00640793"/>
    <w:rsid w:val="00643123"/>
    <w:rsid w:val="0064495A"/>
    <w:rsid w:val="00651E05"/>
    <w:rsid w:val="00657E93"/>
    <w:rsid w:val="006621C9"/>
    <w:rsid w:val="0066763A"/>
    <w:rsid w:val="006678B2"/>
    <w:rsid w:val="0067182A"/>
    <w:rsid w:val="00677956"/>
    <w:rsid w:val="006825A0"/>
    <w:rsid w:val="00684E13"/>
    <w:rsid w:val="006918F8"/>
    <w:rsid w:val="00692C55"/>
    <w:rsid w:val="006951E2"/>
    <w:rsid w:val="00697C32"/>
    <w:rsid w:val="00697C3F"/>
    <w:rsid w:val="006A1B54"/>
    <w:rsid w:val="006B2F40"/>
    <w:rsid w:val="006B37FC"/>
    <w:rsid w:val="006B4722"/>
    <w:rsid w:val="006B5944"/>
    <w:rsid w:val="006B5E8B"/>
    <w:rsid w:val="006C59D0"/>
    <w:rsid w:val="006C71E0"/>
    <w:rsid w:val="006E612B"/>
    <w:rsid w:val="006E65F5"/>
    <w:rsid w:val="006E7BC2"/>
    <w:rsid w:val="006F702B"/>
    <w:rsid w:val="00701310"/>
    <w:rsid w:val="00705730"/>
    <w:rsid w:val="007068CD"/>
    <w:rsid w:val="00707E11"/>
    <w:rsid w:val="007106D4"/>
    <w:rsid w:val="00712BFB"/>
    <w:rsid w:val="00715911"/>
    <w:rsid w:val="007215A8"/>
    <w:rsid w:val="00722393"/>
    <w:rsid w:val="00723E12"/>
    <w:rsid w:val="0072471F"/>
    <w:rsid w:val="00726D43"/>
    <w:rsid w:val="007274E9"/>
    <w:rsid w:val="0073214D"/>
    <w:rsid w:val="00744659"/>
    <w:rsid w:val="00753562"/>
    <w:rsid w:val="00755E81"/>
    <w:rsid w:val="00757B17"/>
    <w:rsid w:val="00763038"/>
    <w:rsid w:val="0076333A"/>
    <w:rsid w:val="007637DA"/>
    <w:rsid w:val="00772CCD"/>
    <w:rsid w:val="0077660E"/>
    <w:rsid w:val="00786123"/>
    <w:rsid w:val="00786BFF"/>
    <w:rsid w:val="0079102D"/>
    <w:rsid w:val="00791239"/>
    <w:rsid w:val="007913E2"/>
    <w:rsid w:val="00797071"/>
    <w:rsid w:val="007A0FE6"/>
    <w:rsid w:val="007A226E"/>
    <w:rsid w:val="007A2D77"/>
    <w:rsid w:val="007A3254"/>
    <w:rsid w:val="007A5896"/>
    <w:rsid w:val="007B0D22"/>
    <w:rsid w:val="007B0EB4"/>
    <w:rsid w:val="007B4353"/>
    <w:rsid w:val="007B6DAA"/>
    <w:rsid w:val="007C3D9F"/>
    <w:rsid w:val="007C73F8"/>
    <w:rsid w:val="007D0392"/>
    <w:rsid w:val="007D365C"/>
    <w:rsid w:val="007D4FBA"/>
    <w:rsid w:val="007D52D2"/>
    <w:rsid w:val="007E221E"/>
    <w:rsid w:val="007E5C22"/>
    <w:rsid w:val="007E7A37"/>
    <w:rsid w:val="007F1A65"/>
    <w:rsid w:val="007F4C42"/>
    <w:rsid w:val="007F7026"/>
    <w:rsid w:val="00800BD2"/>
    <w:rsid w:val="00806733"/>
    <w:rsid w:val="00807ED7"/>
    <w:rsid w:val="00810E9A"/>
    <w:rsid w:val="00813265"/>
    <w:rsid w:val="00821EF0"/>
    <w:rsid w:val="00833CF0"/>
    <w:rsid w:val="00835D1F"/>
    <w:rsid w:val="0084503F"/>
    <w:rsid w:val="00847063"/>
    <w:rsid w:val="00851FAC"/>
    <w:rsid w:val="008525DF"/>
    <w:rsid w:val="00854E1E"/>
    <w:rsid w:val="008557A4"/>
    <w:rsid w:val="00860203"/>
    <w:rsid w:val="008767FB"/>
    <w:rsid w:val="008872E5"/>
    <w:rsid w:val="00887FFB"/>
    <w:rsid w:val="00890F5E"/>
    <w:rsid w:val="00892D1D"/>
    <w:rsid w:val="008959F6"/>
    <w:rsid w:val="008A08AF"/>
    <w:rsid w:val="008A1291"/>
    <w:rsid w:val="008A2656"/>
    <w:rsid w:val="008B13BC"/>
    <w:rsid w:val="008B412E"/>
    <w:rsid w:val="008B6DEC"/>
    <w:rsid w:val="008C2264"/>
    <w:rsid w:val="008C2635"/>
    <w:rsid w:val="008C271E"/>
    <w:rsid w:val="008C50B3"/>
    <w:rsid w:val="008C777B"/>
    <w:rsid w:val="008D4496"/>
    <w:rsid w:val="008D585B"/>
    <w:rsid w:val="008D77CE"/>
    <w:rsid w:val="008D79A9"/>
    <w:rsid w:val="008E3A9C"/>
    <w:rsid w:val="008F1951"/>
    <w:rsid w:val="008F1D81"/>
    <w:rsid w:val="008F77EB"/>
    <w:rsid w:val="00910FB5"/>
    <w:rsid w:val="009116E2"/>
    <w:rsid w:val="00911B71"/>
    <w:rsid w:val="009247C1"/>
    <w:rsid w:val="00924C02"/>
    <w:rsid w:val="00926CCD"/>
    <w:rsid w:val="0092778F"/>
    <w:rsid w:val="00930138"/>
    <w:rsid w:val="00937644"/>
    <w:rsid w:val="00941D2D"/>
    <w:rsid w:val="009441D9"/>
    <w:rsid w:val="009476B2"/>
    <w:rsid w:val="00950D7C"/>
    <w:rsid w:val="00960F25"/>
    <w:rsid w:val="00961D42"/>
    <w:rsid w:val="009628AD"/>
    <w:rsid w:val="0096317D"/>
    <w:rsid w:val="009704A2"/>
    <w:rsid w:val="009757B5"/>
    <w:rsid w:val="009772FA"/>
    <w:rsid w:val="00980FB9"/>
    <w:rsid w:val="00982B3F"/>
    <w:rsid w:val="00986DB9"/>
    <w:rsid w:val="0098714D"/>
    <w:rsid w:val="00993702"/>
    <w:rsid w:val="009A101E"/>
    <w:rsid w:val="009A530C"/>
    <w:rsid w:val="009A6B04"/>
    <w:rsid w:val="009B330D"/>
    <w:rsid w:val="009B62C7"/>
    <w:rsid w:val="009C1E6F"/>
    <w:rsid w:val="009C6E8F"/>
    <w:rsid w:val="009D1827"/>
    <w:rsid w:val="009D6242"/>
    <w:rsid w:val="009D6569"/>
    <w:rsid w:val="009E53D6"/>
    <w:rsid w:val="009E646A"/>
    <w:rsid w:val="009F37AC"/>
    <w:rsid w:val="009F66AB"/>
    <w:rsid w:val="009F7DFF"/>
    <w:rsid w:val="00A00FB3"/>
    <w:rsid w:val="00A03B8D"/>
    <w:rsid w:val="00A03F7D"/>
    <w:rsid w:val="00A06489"/>
    <w:rsid w:val="00A07079"/>
    <w:rsid w:val="00A11155"/>
    <w:rsid w:val="00A119FE"/>
    <w:rsid w:val="00A13DC4"/>
    <w:rsid w:val="00A14425"/>
    <w:rsid w:val="00A17A92"/>
    <w:rsid w:val="00A272AB"/>
    <w:rsid w:val="00A30A35"/>
    <w:rsid w:val="00A32144"/>
    <w:rsid w:val="00A34F67"/>
    <w:rsid w:val="00A404D3"/>
    <w:rsid w:val="00A41E05"/>
    <w:rsid w:val="00A4592D"/>
    <w:rsid w:val="00A50A44"/>
    <w:rsid w:val="00A5134F"/>
    <w:rsid w:val="00A52CB4"/>
    <w:rsid w:val="00A53302"/>
    <w:rsid w:val="00A5720A"/>
    <w:rsid w:val="00A611BC"/>
    <w:rsid w:val="00A611F2"/>
    <w:rsid w:val="00A6163A"/>
    <w:rsid w:val="00A819F9"/>
    <w:rsid w:val="00A824B4"/>
    <w:rsid w:val="00A87848"/>
    <w:rsid w:val="00A90A3D"/>
    <w:rsid w:val="00AA27A9"/>
    <w:rsid w:val="00AA3526"/>
    <w:rsid w:val="00AA6B01"/>
    <w:rsid w:val="00AB14E2"/>
    <w:rsid w:val="00AC1BBC"/>
    <w:rsid w:val="00AC7808"/>
    <w:rsid w:val="00AC7E34"/>
    <w:rsid w:val="00AD15C1"/>
    <w:rsid w:val="00AF24C0"/>
    <w:rsid w:val="00AF45B3"/>
    <w:rsid w:val="00AF7A83"/>
    <w:rsid w:val="00B01558"/>
    <w:rsid w:val="00B031CA"/>
    <w:rsid w:val="00B03B2A"/>
    <w:rsid w:val="00B04616"/>
    <w:rsid w:val="00B119F9"/>
    <w:rsid w:val="00B14AD3"/>
    <w:rsid w:val="00B164F0"/>
    <w:rsid w:val="00B24DFD"/>
    <w:rsid w:val="00B30CB5"/>
    <w:rsid w:val="00B3182F"/>
    <w:rsid w:val="00B35A3B"/>
    <w:rsid w:val="00B360CE"/>
    <w:rsid w:val="00B368E1"/>
    <w:rsid w:val="00B378E4"/>
    <w:rsid w:val="00B421CF"/>
    <w:rsid w:val="00B42D5A"/>
    <w:rsid w:val="00B42FCE"/>
    <w:rsid w:val="00B53E68"/>
    <w:rsid w:val="00B54319"/>
    <w:rsid w:val="00B56581"/>
    <w:rsid w:val="00B60243"/>
    <w:rsid w:val="00B617F7"/>
    <w:rsid w:val="00B65769"/>
    <w:rsid w:val="00B65E91"/>
    <w:rsid w:val="00B718DC"/>
    <w:rsid w:val="00B77118"/>
    <w:rsid w:val="00B8751E"/>
    <w:rsid w:val="00B904CD"/>
    <w:rsid w:val="00B91090"/>
    <w:rsid w:val="00B92E1E"/>
    <w:rsid w:val="00B933EB"/>
    <w:rsid w:val="00B94BDD"/>
    <w:rsid w:val="00B963B2"/>
    <w:rsid w:val="00B96D31"/>
    <w:rsid w:val="00BA1914"/>
    <w:rsid w:val="00BA33DB"/>
    <w:rsid w:val="00BA34A3"/>
    <w:rsid w:val="00BA3F0D"/>
    <w:rsid w:val="00BB5578"/>
    <w:rsid w:val="00BC0A81"/>
    <w:rsid w:val="00BC0D4C"/>
    <w:rsid w:val="00BC1B6E"/>
    <w:rsid w:val="00BC4DDF"/>
    <w:rsid w:val="00BC55B4"/>
    <w:rsid w:val="00BC7790"/>
    <w:rsid w:val="00BD1456"/>
    <w:rsid w:val="00BD1BF7"/>
    <w:rsid w:val="00BD566E"/>
    <w:rsid w:val="00BD614B"/>
    <w:rsid w:val="00BE0C60"/>
    <w:rsid w:val="00BE1856"/>
    <w:rsid w:val="00BE4F03"/>
    <w:rsid w:val="00BF1716"/>
    <w:rsid w:val="00BF36E8"/>
    <w:rsid w:val="00BF4727"/>
    <w:rsid w:val="00BF584D"/>
    <w:rsid w:val="00C03375"/>
    <w:rsid w:val="00C10BD3"/>
    <w:rsid w:val="00C11504"/>
    <w:rsid w:val="00C1439A"/>
    <w:rsid w:val="00C14490"/>
    <w:rsid w:val="00C202F9"/>
    <w:rsid w:val="00C25001"/>
    <w:rsid w:val="00C30319"/>
    <w:rsid w:val="00C361FE"/>
    <w:rsid w:val="00C40739"/>
    <w:rsid w:val="00C41880"/>
    <w:rsid w:val="00C4686B"/>
    <w:rsid w:val="00C5323E"/>
    <w:rsid w:val="00C53E78"/>
    <w:rsid w:val="00C602A9"/>
    <w:rsid w:val="00C6330F"/>
    <w:rsid w:val="00C65EDB"/>
    <w:rsid w:val="00C73FD2"/>
    <w:rsid w:val="00C7541A"/>
    <w:rsid w:val="00C86C84"/>
    <w:rsid w:val="00CA13C7"/>
    <w:rsid w:val="00CA5CCD"/>
    <w:rsid w:val="00CB1AF1"/>
    <w:rsid w:val="00CC0380"/>
    <w:rsid w:val="00CC0898"/>
    <w:rsid w:val="00CC0DE7"/>
    <w:rsid w:val="00CC3B5A"/>
    <w:rsid w:val="00CC65E2"/>
    <w:rsid w:val="00CC669F"/>
    <w:rsid w:val="00CD0484"/>
    <w:rsid w:val="00CD0D7D"/>
    <w:rsid w:val="00CE7EC4"/>
    <w:rsid w:val="00CF373B"/>
    <w:rsid w:val="00CF54D7"/>
    <w:rsid w:val="00CF6276"/>
    <w:rsid w:val="00CF7D0C"/>
    <w:rsid w:val="00D03F6D"/>
    <w:rsid w:val="00D07DF3"/>
    <w:rsid w:val="00D1429F"/>
    <w:rsid w:val="00D1464B"/>
    <w:rsid w:val="00D173FD"/>
    <w:rsid w:val="00D17A24"/>
    <w:rsid w:val="00D2248C"/>
    <w:rsid w:val="00D24A4F"/>
    <w:rsid w:val="00D31363"/>
    <w:rsid w:val="00D400BD"/>
    <w:rsid w:val="00D5220F"/>
    <w:rsid w:val="00D54025"/>
    <w:rsid w:val="00D54A09"/>
    <w:rsid w:val="00D56EA4"/>
    <w:rsid w:val="00D65375"/>
    <w:rsid w:val="00D66B79"/>
    <w:rsid w:val="00D66CDC"/>
    <w:rsid w:val="00D66DC2"/>
    <w:rsid w:val="00D673FD"/>
    <w:rsid w:val="00D67C4E"/>
    <w:rsid w:val="00D722A5"/>
    <w:rsid w:val="00D73F4B"/>
    <w:rsid w:val="00D81114"/>
    <w:rsid w:val="00D831C7"/>
    <w:rsid w:val="00D83DC4"/>
    <w:rsid w:val="00D84FD3"/>
    <w:rsid w:val="00D90759"/>
    <w:rsid w:val="00D91095"/>
    <w:rsid w:val="00DA04DB"/>
    <w:rsid w:val="00DA15E9"/>
    <w:rsid w:val="00DA1666"/>
    <w:rsid w:val="00DA269B"/>
    <w:rsid w:val="00DA7062"/>
    <w:rsid w:val="00DB3B85"/>
    <w:rsid w:val="00DB45CD"/>
    <w:rsid w:val="00DC043D"/>
    <w:rsid w:val="00DD2DC4"/>
    <w:rsid w:val="00DD456C"/>
    <w:rsid w:val="00DD45AB"/>
    <w:rsid w:val="00DD464B"/>
    <w:rsid w:val="00DD4EF6"/>
    <w:rsid w:val="00DD6D94"/>
    <w:rsid w:val="00DE3DA4"/>
    <w:rsid w:val="00DE4E3C"/>
    <w:rsid w:val="00DE5B4B"/>
    <w:rsid w:val="00DF1D6F"/>
    <w:rsid w:val="00DF2786"/>
    <w:rsid w:val="00DF60BD"/>
    <w:rsid w:val="00E0327F"/>
    <w:rsid w:val="00E17527"/>
    <w:rsid w:val="00E2408E"/>
    <w:rsid w:val="00E24E26"/>
    <w:rsid w:val="00E27460"/>
    <w:rsid w:val="00E27B23"/>
    <w:rsid w:val="00E50A57"/>
    <w:rsid w:val="00E53A7D"/>
    <w:rsid w:val="00E544B6"/>
    <w:rsid w:val="00E615FF"/>
    <w:rsid w:val="00E70205"/>
    <w:rsid w:val="00E7295C"/>
    <w:rsid w:val="00E76A3F"/>
    <w:rsid w:val="00E8116A"/>
    <w:rsid w:val="00E82099"/>
    <w:rsid w:val="00E833B3"/>
    <w:rsid w:val="00E83771"/>
    <w:rsid w:val="00E8717D"/>
    <w:rsid w:val="00E921E9"/>
    <w:rsid w:val="00E92C4B"/>
    <w:rsid w:val="00E93471"/>
    <w:rsid w:val="00E942D4"/>
    <w:rsid w:val="00E94572"/>
    <w:rsid w:val="00E96D66"/>
    <w:rsid w:val="00EA0E95"/>
    <w:rsid w:val="00EA10B0"/>
    <w:rsid w:val="00EA56B1"/>
    <w:rsid w:val="00EB1B58"/>
    <w:rsid w:val="00EB3717"/>
    <w:rsid w:val="00EB6A90"/>
    <w:rsid w:val="00ED19D1"/>
    <w:rsid w:val="00ED4F04"/>
    <w:rsid w:val="00EE4C2C"/>
    <w:rsid w:val="00EF1E12"/>
    <w:rsid w:val="00EF33B0"/>
    <w:rsid w:val="00EF41B4"/>
    <w:rsid w:val="00EF74D7"/>
    <w:rsid w:val="00F00702"/>
    <w:rsid w:val="00F02B07"/>
    <w:rsid w:val="00F1029A"/>
    <w:rsid w:val="00F11CFE"/>
    <w:rsid w:val="00F11D00"/>
    <w:rsid w:val="00F12C07"/>
    <w:rsid w:val="00F138F6"/>
    <w:rsid w:val="00F37E95"/>
    <w:rsid w:val="00F427CA"/>
    <w:rsid w:val="00F43011"/>
    <w:rsid w:val="00F43806"/>
    <w:rsid w:val="00F43CD1"/>
    <w:rsid w:val="00F50316"/>
    <w:rsid w:val="00F5484F"/>
    <w:rsid w:val="00F552B4"/>
    <w:rsid w:val="00F57226"/>
    <w:rsid w:val="00F616BE"/>
    <w:rsid w:val="00F61734"/>
    <w:rsid w:val="00F626E5"/>
    <w:rsid w:val="00F673B9"/>
    <w:rsid w:val="00F71765"/>
    <w:rsid w:val="00F734AD"/>
    <w:rsid w:val="00F74034"/>
    <w:rsid w:val="00F74D78"/>
    <w:rsid w:val="00F77694"/>
    <w:rsid w:val="00F82835"/>
    <w:rsid w:val="00F828E6"/>
    <w:rsid w:val="00F86D5F"/>
    <w:rsid w:val="00F87ED1"/>
    <w:rsid w:val="00F91D51"/>
    <w:rsid w:val="00F94BF6"/>
    <w:rsid w:val="00F94D6F"/>
    <w:rsid w:val="00FA1F69"/>
    <w:rsid w:val="00FA4C60"/>
    <w:rsid w:val="00FA7712"/>
    <w:rsid w:val="00FB704A"/>
    <w:rsid w:val="00FB7425"/>
    <w:rsid w:val="00FB7E08"/>
    <w:rsid w:val="00FC3816"/>
    <w:rsid w:val="00FC4D31"/>
    <w:rsid w:val="00FC6DFA"/>
    <w:rsid w:val="00FC70D2"/>
    <w:rsid w:val="00FD24DE"/>
    <w:rsid w:val="00FD6D59"/>
    <w:rsid w:val="00FE71AB"/>
    <w:rsid w:val="00FF098A"/>
    <w:rsid w:val="00FF3B1F"/>
    <w:rsid w:val="00FF4F0F"/>
    <w:rsid w:val="00FF4F68"/>
    <w:rsid w:val="00FF5C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CDEB5C2"/>
  <w15:chartTrackingRefBased/>
  <w15:docId w15:val="{161D1025-8660-40BB-9771-D63786445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5CF6"/>
    <w:pPr>
      <w:widowControl w:val="0"/>
      <w:adjustRightInd w:val="0"/>
      <w:spacing w:line="360" w:lineRule="atLeast"/>
      <w:textAlignment w:val="baseline"/>
    </w:pPr>
    <w:rPr>
      <w:sz w:val="24"/>
    </w:rPr>
  </w:style>
  <w:style w:type="paragraph" w:styleId="1">
    <w:name w:val="heading 1"/>
    <w:basedOn w:val="a"/>
    <w:next w:val="a"/>
    <w:qFormat/>
    <w:pPr>
      <w:keepNext/>
      <w:spacing w:before="180" w:after="180" w:line="720" w:lineRule="atLeast"/>
      <w:outlineLvl w:val="0"/>
    </w:pPr>
    <w:rPr>
      <w:rFonts w:ascii="Arial" w:eastAsia="新細明體" w:hAnsi="Arial"/>
      <w:b/>
      <w:kern w:val="52"/>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純文字1"/>
    <w:basedOn w:val="a"/>
    <w:pPr>
      <w:spacing w:line="0" w:lineRule="atLeast"/>
    </w:pPr>
    <w:rPr>
      <w:rFonts w:ascii="細明體"/>
      <w:noProof/>
    </w:rPr>
  </w:style>
  <w:style w:type="paragraph" w:styleId="a3">
    <w:name w:val="Plain Text"/>
    <w:basedOn w:val="a"/>
    <w:pPr>
      <w:adjustRightInd/>
      <w:spacing w:line="240" w:lineRule="auto"/>
      <w:textAlignment w:val="auto"/>
    </w:pPr>
    <w:rPr>
      <w:rFonts w:ascii="細明體" w:hAnsi="Courier New"/>
      <w:kern w:val="2"/>
    </w:rPr>
  </w:style>
  <w:style w:type="paragraph" w:styleId="a4">
    <w:name w:val="Body Text Indent"/>
    <w:basedOn w:val="a"/>
    <w:pPr>
      <w:adjustRightInd/>
      <w:spacing w:before="120" w:line="360" w:lineRule="auto"/>
      <w:ind w:left="960" w:hanging="960"/>
      <w:jc w:val="both"/>
      <w:textAlignment w:val="auto"/>
    </w:pPr>
    <w:rPr>
      <w:rFonts w:eastAsia="華康楷書體W5"/>
      <w:kern w:val="2"/>
      <w:sz w:val="32"/>
    </w:rPr>
  </w:style>
  <w:style w:type="paragraph" w:styleId="2">
    <w:name w:val="Body Text 2"/>
    <w:basedOn w:val="a"/>
    <w:pPr>
      <w:adjustRightInd/>
      <w:spacing w:before="120" w:line="240" w:lineRule="atLeast"/>
      <w:jc w:val="both"/>
      <w:textAlignment w:val="auto"/>
    </w:pPr>
    <w:rPr>
      <w:rFonts w:eastAsia="華康楷書體W5"/>
      <w:kern w:val="2"/>
      <w:sz w:val="20"/>
    </w:rPr>
  </w:style>
  <w:style w:type="paragraph" w:styleId="20">
    <w:name w:val="Body Text Indent 2"/>
    <w:basedOn w:val="a"/>
    <w:pPr>
      <w:spacing w:line="240" w:lineRule="atLeast"/>
      <w:ind w:firstLine="600"/>
    </w:pPr>
    <w:rPr>
      <w:b/>
      <w:sz w:val="28"/>
    </w:rPr>
  </w:style>
  <w:style w:type="paragraph" w:styleId="3">
    <w:name w:val="Body Text Indent 3"/>
    <w:basedOn w:val="a"/>
    <w:pPr>
      <w:ind w:left="1134"/>
    </w:pPr>
    <w:rPr>
      <w:b/>
    </w:rPr>
  </w:style>
  <w:style w:type="paragraph" w:styleId="a5">
    <w:name w:val="header"/>
    <w:basedOn w:val="a"/>
    <w:pPr>
      <w:tabs>
        <w:tab w:val="center" w:pos="4153"/>
        <w:tab w:val="right" w:pos="8306"/>
      </w:tabs>
      <w:snapToGrid w:val="0"/>
    </w:pPr>
    <w:rPr>
      <w:sz w:val="20"/>
    </w:rPr>
  </w:style>
  <w:style w:type="paragraph" w:styleId="a6">
    <w:name w:val="footer"/>
    <w:basedOn w:val="a"/>
    <w:pPr>
      <w:tabs>
        <w:tab w:val="center" w:pos="4153"/>
        <w:tab w:val="right" w:pos="8306"/>
      </w:tabs>
      <w:snapToGrid w:val="0"/>
    </w:pPr>
    <w:rPr>
      <w:sz w:val="20"/>
    </w:rPr>
  </w:style>
  <w:style w:type="character" w:styleId="a7">
    <w:name w:val="page number"/>
    <w:basedOn w:val="a0"/>
  </w:style>
  <w:style w:type="paragraph" w:styleId="a8">
    <w:name w:val="List Paragraph"/>
    <w:basedOn w:val="a"/>
    <w:uiPriority w:val="34"/>
    <w:qFormat/>
    <w:rsid w:val="007C73F8"/>
    <w:pPr>
      <w:adjustRightInd/>
      <w:spacing w:line="240" w:lineRule="auto"/>
      <w:ind w:leftChars="200" w:left="480"/>
      <w:textAlignment w:val="auto"/>
    </w:pPr>
    <w:rPr>
      <w:rFonts w:ascii="Calibri" w:eastAsia="新細明體" w:hAnsi="Calibri"/>
      <w:kern w:val="2"/>
      <w:szCs w:val="22"/>
    </w:rPr>
  </w:style>
  <w:style w:type="paragraph" w:styleId="a9">
    <w:name w:val="Balloon Text"/>
    <w:basedOn w:val="a"/>
    <w:link w:val="aa"/>
    <w:rsid w:val="00BC7790"/>
    <w:pPr>
      <w:spacing w:line="240" w:lineRule="auto"/>
    </w:pPr>
    <w:rPr>
      <w:rFonts w:ascii="Calibri Light" w:eastAsia="新細明體" w:hAnsi="Calibri Light"/>
      <w:sz w:val="18"/>
      <w:szCs w:val="18"/>
    </w:rPr>
  </w:style>
  <w:style w:type="character" w:customStyle="1" w:styleId="aa">
    <w:name w:val="註解方塊文字 字元"/>
    <w:link w:val="a9"/>
    <w:rsid w:val="00BC7790"/>
    <w:rPr>
      <w:rFonts w:ascii="Calibri Light" w:eastAsia="新細明體" w:hAnsi="Calibri Light" w:cs="Times New Roman"/>
      <w:sz w:val="18"/>
      <w:szCs w:val="18"/>
    </w:rPr>
  </w:style>
  <w:style w:type="paragraph" w:styleId="ab">
    <w:name w:val="Revision"/>
    <w:hidden/>
    <w:uiPriority w:val="99"/>
    <w:semiHidden/>
    <w:rsid w:val="0007301A"/>
    <w:rPr>
      <w:sz w:val="24"/>
    </w:rPr>
  </w:style>
  <w:style w:type="paragraph" w:styleId="ac">
    <w:name w:val="Document Map"/>
    <w:basedOn w:val="a"/>
    <w:semiHidden/>
    <w:rsid w:val="00247F6A"/>
    <w:pPr>
      <w:shd w:val="clear" w:color="auto" w:fill="000080"/>
    </w:pPr>
    <w:rPr>
      <w:rFonts w:ascii="Arial" w:eastAsia="新細明體" w:hAnsi="Arial"/>
    </w:rPr>
  </w:style>
  <w:style w:type="paragraph" w:customStyle="1" w:styleId="Default">
    <w:name w:val="Default"/>
    <w:rsid w:val="003A0ECE"/>
    <w:pPr>
      <w:widowControl w:val="0"/>
      <w:autoSpaceDE w:val="0"/>
      <w:autoSpaceDN w:val="0"/>
      <w:adjustRightInd w:val="0"/>
    </w:pPr>
    <w:rPr>
      <w:rFonts w:ascii="標楷體" w:eastAsia="標楷體" w:hAnsi="Calibri"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441181">
      <w:bodyDiv w:val="1"/>
      <w:marLeft w:val="0"/>
      <w:marRight w:val="0"/>
      <w:marTop w:val="0"/>
      <w:marBottom w:val="0"/>
      <w:divBdr>
        <w:top w:val="none" w:sz="0" w:space="0" w:color="auto"/>
        <w:left w:val="none" w:sz="0" w:space="0" w:color="auto"/>
        <w:bottom w:val="none" w:sz="0" w:space="0" w:color="auto"/>
        <w:right w:val="none" w:sz="0" w:space="0" w:color="auto"/>
      </w:divBdr>
    </w:div>
    <w:div w:id="889457106">
      <w:bodyDiv w:val="1"/>
      <w:marLeft w:val="0"/>
      <w:marRight w:val="0"/>
      <w:marTop w:val="0"/>
      <w:marBottom w:val="0"/>
      <w:divBdr>
        <w:top w:val="none" w:sz="0" w:space="0" w:color="auto"/>
        <w:left w:val="none" w:sz="0" w:space="0" w:color="auto"/>
        <w:bottom w:val="none" w:sz="0" w:space="0" w:color="auto"/>
        <w:right w:val="none" w:sz="0" w:space="0" w:color="auto"/>
      </w:divBdr>
    </w:div>
    <w:div w:id="120640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F5752-1221-4441-B8E3-39D5159D4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9781</Words>
  <Characters>133</Characters>
  <Application>Microsoft Office Word</Application>
  <DocSecurity>0</DocSecurity>
  <Lines>1</Lines>
  <Paragraphs>19</Paragraphs>
  <ScaleCrop>false</ScaleCrop>
  <Company>總統府</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總統府主管八十八年度工作計畫及預算重點說明</dc:title>
  <dc:subject/>
  <dc:creator>總統府</dc:creator>
  <cp:keywords/>
  <dc:description>國安會、國史館及中央研究院尚未修改</dc:description>
  <cp:lastModifiedBy>許馨尹</cp:lastModifiedBy>
  <cp:revision>3</cp:revision>
  <cp:lastPrinted>2026-08-18T09:35:00Z</cp:lastPrinted>
  <dcterms:created xsi:type="dcterms:W3CDTF">2026-08-19T01:36:00Z</dcterms:created>
  <dcterms:modified xsi:type="dcterms:W3CDTF">2026-08-19T01:36:00Z</dcterms:modified>
</cp:coreProperties>
</file>