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0" w:type="auto"/>
        <w:tblLayout w:type="fixed"/>
        <w:tblCellMar>
          <w:left w:w="28" w:type="dxa"/>
          <w:right w:w="28" w:type="dxa"/>
        </w:tblCellMar>
        <w:tblLook w:val="0000" w:firstRow="0" w:lastRow="0" w:firstColumn="0" w:lastColumn="0" w:noHBand="0" w:noVBand="0"/>
      </w:tblPr>
      <w:tblGrid>
        <w:gridCol w:w="1988"/>
        <w:gridCol w:w="5635"/>
      </w:tblGrid>
      <w:tr w:rsidR="00000000">
        <w:trPr>
          <w:trHeight w:val="1021"/>
        </w:trPr>
        <w:tc>
          <w:tcPr>
            <w:tcW w:w="1988" w:type="dxa"/>
            <w:textDirection w:val="lrTbV"/>
          </w:tcPr>
          <w:p w:rsidR="00000000" w:rsidRDefault="00CA394A">
            <w:pPr>
              <w:spacing w:beforeLines="100" w:before="240" w:line="400" w:lineRule="exact"/>
              <w:rPr>
                <w:b/>
                <w:bCs/>
                <w:sz w:val="40"/>
              </w:rPr>
            </w:pPr>
            <w:r>
              <w:rPr>
                <w:rFonts w:hint="eastAsia"/>
                <w:b/>
                <w:bCs/>
                <w:sz w:val="40"/>
              </w:rPr>
              <w:t>總統令</w:t>
            </w:r>
          </w:p>
        </w:tc>
        <w:tc>
          <w:tcPr>
            <w:tcW w:w="5635" w:type="dxa"/>
            <w:textDirection w:val="lrTbV"/>
          </w:tcPr>
          <w:p w:rsidR="00000000" w:rsidRDefault="00CA394A">
            <w:pPr>
              <w:jc w:val="distribute"/>
              <w:rPr>
                <w:rFonts w:hint="eastAsia"/>
              </w:rPr>
            </w:pPr>
            <w:r>
              <w:rPr>
                <w:rFonts w:hint="eastAsia"/>
              </w:rPr>
              <w:t>中華民國六十一年十二月三十日</w:t>
            </w:r>
          </w:p>
        </w:tc>
      </w:tr>
    </w:tbl>
    <w:p w:rsidR="00000000" w:rsidRDefault="00CA394A">
      <w:pPr>
        <w:pStyle w:val="1"/>
        <w:ind w:firstLine="544"/>
        <w:rPr>
          <w:rFonts w:hint="eastAsia"/>
          <w:spacing w:val="-4"/>
        </w:rPr>
      </w:pPr>
      <w:r>
        <w:rPr>
          <w:rFonts w:hint="eastAsia"/>
          <w:spacing w:val="-4"/>
        </w:rPr>
        <w:t>茲修正所得稅法第二條、第四條、第八條、第十四條、第十七條、第二十一條、第二十五條、第三十二條、第三十六條、第六十九條、第七十二條、第七十三條、第七十五條、第七十六條、第七十九條、第八十八條、第八十九條、第九十二條、第九十七條、第一百條、第一百零二條、第一百零五條及第一百零八條條文。並增訂第十七條之一、第七十一條之一、第七十六條之一、第八十二條之一、第一百條之一、第一百零七條之一、及第一百一十條之一，公布之。此令。</w:t>
      </w:r>
    </w:p>
    <w:p w:rsidR="00000000" w:rsidRDefault="00CA394A">
      <w:pPr>
        <w:pStyle w:val="afc"/>
        <w:wordWrap w:val="0"/>
        <w:spacing w:beforeLines="20" w:before="48"/>
        <w:rPr>
          <w:sz w:val="28"/>
        </w:rPr>
      </w:pPr>
      <w:r>
        <w:rPr>
          <w:rFonts w:hint="eastAsia"/>
          <w:sz w:val="28"/>
        </w:rPr>
        <w:t>總</w:t>
      </w:r>
      <w:r>
        <w:rPr>
          <w:rFonts w:hint="eastAsia"/>
          <w:sz w:val="28"/>
        </w:rPr>
        <w:t xml:space="preserve">    </w:t>
      </w:r>
      <w:r>
        <w:rPr>
          <w:rFonts w:hint="eastAsia"/>
          <w:sz w:val="28"/>
        </w:rPr>
        <w:t xml:space="preserve">　統　蔣中正</w:t>
      </w:r>
    </w:p>
    <w:p w:rsidR="00000000" w:rsidRDefault="00CA394A">
      <w:pPr>
        <w:pStyle w:val="afc"/>
        <w:wordWrap w:val="0"/>
        <w:spacing w:beforeLines="20" w:before="48"/>
        <w:rPr>
          <w:rFonts w:hint="eastAsia"/>
          <w:sz w:val="28"/>
        </w:rPr>
      </w:pPr>
      <w:r>
        <w:rPr>
          <w:rFonts w:hint="eastAsia"/>
          <w:sz w:val="28"/>
        </w:rPr>
        <w:t>行政院院長　蔣經國</w:t>
      </w:r>
    </w:p>
    <w:p w:rsidR="00000000" w:rsidRDefault="00CA394A">
      <w:pPr>
        <w:pStyle w:val="afc"/>
        <w:wordWrap w:val="0"/>
        <w:spacing w:beforeLines="20" w:before="48"/>
        <w:rPr>
          <w:rFonts w:hint="eastAsia"/>
          <w:sz w:val="28"/>
        </w:rPr>
      </w:pPr>
      <w:r>
        <w:rPr>
          <w:rFonts w:hint="eastAsia"/>
          <w:sz w:val="28"/>
        </w:rPr>
        <w:t>財政部部長</w:t>
      </w:r>
      <w:r>
        <w:rPr>
          <w:rFonts w:hint="eastAsia"/>
          <w:sz w:val="28"/>
        </w:rPr>
        <w:t xml:space="preserve">  </w:t>
      </w:r>
      <w:r>
        <w:rPr>
          <w:rFonts w:hint="eastAsia"/>
          <w:sz w:val="28"/>
        </w:rPr>
        <w:t>李國鼎</w:t>
      </w:r>
    </w:p>
    <w:p w:rsidR="00000000" w:rsidRDefault="00CA394A">
      <w:pPr>
        <w:pStyle w:val="2"/>
        <w:ind w:left="560"/>
        <w:rPr>
          <w:rFonts w:hint="eastAsia"/>
        </w:rPr>
      </w:pPr>
      <w:r>
        <w:rPr>
          <w:rFonts w:hint="eastAsia"/>
          <w:spacing w:val="-4"/>
        </w:rPr>
        <w:t>修正所得稅法第二條、第四條、第八條、第十四條、第十七條、第二十一條、第二十五條、第三十二條、第三十六條、第六十九條、第七十二條、第七十三條、第七十五條、第七十六</w:t>
      </w:r>
      <w:r>
        <w:rPr>
          <w:rFonts w:hint="eastAsia"/>
          <w:spacing w:val="-4"/>
        </w:rPr>
        <w:lastRenderedPageBreak/>
        <w:t>條、第七十九條、第八十八條、第八十九條、第九十二條、第九十七條、第一百條、第一百零二條、第一百零五條及第一百零八條並增訂第十七條之一、第七十一條之一、第七十六條之一、第八十二條之一、第一百條之一、第一百零七條之一、及第一百一十條之一</w:t>
      </w:r>
    </w:p>
    <w:p w:rsidR="00000000" w:rsidRDefault="00CA394A">
      <w:pPr>
        <w:pStyle w:val="afd"/>
        <w:rPr>
          <w:rFonts w:hint="eastAsia"/>
        </w:rPr>
      </w:pPr>
      <w:r>
        <w:rPr>
          <w:rFonts w:hint="eastAsia"/>
        </w:rPr>
        <w:t>六十一年十二月三十日公布</w:t>
      </w:r>
    </w:p>
    <w:p w:rsidR="00000000" w:rsidRDefault="00CA394A">
      <w:pPr>
        <w:pStyle w:val="a5"/>
        <w:ind w:left="0" w:firstLineChars="0" w:firstLine="0"/>
        <w:rPr>
          <w:rFonts w:hint="eastAsia"/>
        </w:rPr>
      </w:pPr>
      <w:r>
        <w:rPr>
          <w:rFonts w:hint="eastAsia"/>
        </w:rPr>
        <w:t xml:space="preserve">第　二　條　　</w:t>
      </w:r>
      <w:r>
        <w:rPr>
          <w:rFonts w:hint="eastAsia"/>
          <w:spacing w:val="-4"/>
        </w:rPr>
        <w:t>凡有中華民國來源所得之個人，應就其中華民國來源之所得，依本法規定，</w:t>
      </w:r>
      <w:r>
        <w:rPr>
          <w:rFonts w:hint="eastAsia"/>
          <w:spacing w:val="-4"/>
        </w:rPr>
        <w:t>課徵綜合所得稅。</w:t>
      </w:r>
    </w:p>
    <w:p w:rsidR="00000000" w:rsidRDefault="00CA394A">
      <w:pPr>
        <w:pStyle w:val="a6"/>
        <w:ind w:left="1400" w:firstLine="560"/>
        <w:rPr>
          <w:rFonts w:ascii="Arial Unicode MS" w:hAnsi="Arial Unicode MS" w:hint="eastAsia"/>
          <w:sz w:val="24"/>
          <w:szCs w:val="24"/>
        </w:rPr>
      </w:pPr>
      <w:r>
        <w:rPr>
          <w:rFonts w:hint="eastAsia"/>
        </w:rPr>
        <w:t>非中華民國境內居住之個人，而有中華民國來源所得者，除本法另有規定外，其應納稅額，分別就源扣繳。</w:t>
      </w:r>
    </w:p>
    <w:p w:rsidR="00000000" w:rsidRDefault="00CA394A">
      <w:pPr>
        <w:pStyle w:val="a5"/>
        <w:ind w:left="0" w:firstLineChars="0" w:firstLine="0"/>
        <w:rPr>
          <w:rFonts w:hint="eastAsia"/>
        </w:rPr>
      </w:pPr>
      <w:r>
        <w:rPr>
          <w:rFonts w:hint="eastAsia"/>
        </w:rPr>
        <w:t>第　四　條　　左列各種所得免納所得稅：</w:t>
      </w:r>
    </w:p>
    <w:p w:rsidR="00000000" w:rsidRDefault="00CA394A">
      <w:pPr>
        <w:pStyle w:val="10"/>
        <w:ind w:left="2240" w:hanging="280"/>
        <w:rPr>
          <w:rFonts w:hint="eastAsia"/>
        </w:rPr>
      </w:pPr>
      <w:r>
        <w:rPr>
          <w:rFonts w:hint="eastAsia"/>
        </w:rPr>
        <w:t>一、現役軍人之薪餉。</w:t>
      </w:r>
    </w:p>
    <w:p w:rsidR="00000000" w:rsidRDefault="00CA394A">
      <w:pPr>
        <w:pStyle w:val="10"/>
        <w:ind w:left="2240" w:hanging="280"/>
        <w:rPr>
          <w:rFonts w:hint="eastAsia"/>
        </w:rPr>
      </w:pPr>
      <w:r>
        <w:rPr>
          <w:rFonts w:hint="eastAsia"/>
        </w:rPr>
        <w:t>二、托兒所、幼稚園、國民學校及小學校之教職員薪資。</w:t>
      </w:r>
    </w:p>
    <w:p w:rsidR="00000000" w:rsidRDefault="00CA394A">
      <w:pPr>
        <w:pStyle w:val="10"/>
        <w:ind w:left="2240" w:hanging="280"/>
        <w:rPr>
          <w:rFonts w:hint="eastAsia"/>
        </w:rPr>
      </w:pPr>
      <w:r>
        <w:rPr>
          <w:rFonts w:hint="eastAsia"/>
        </w:rPr>
        <w:t>三、傷害或死亡之損害賠償金。</w:t>
      </w:r>
    </w:p>
    <w:p w:rsidR="00000000" w:rsidRDefault="00CA394A">
      <w:pPr>
        <w:pStyle w:val="10"/>
        <w:ind w:left="2240" w:hanging="280"/>
        <w:rPr>
          <w:rFonts w:hint="eastAsia"/>
        </w:rPr>
      </w:pPr>
      <w:r>
        <w:rPr>
          <w:rFonts w:hint="eastAsia"/>
        </w:rPr>
        <w:t>四、公、教、軍、警人員、勞工，殘廢者及無謀生能力者之撫卹金、養老金、退休金、贍養費。</w:t>
      </w:r>
    </w:p>
    <w:p w:rsidR="00000000" w:rsidRDefault="00CA394A">
      <w:pPr>
        <w:pStyle w:val="10"/>
        <w:ind w:left="2240" w:hanging="280"/>
        <w:rPr>
          <w:rFonts w:hint="eastAsia"/>
        </w:rPr>
      </w:pPr>
      <w:r>
        <w:rPr>
          <w:rFonts w:hint="eastAsia"/>
        </w:rPr>
        <w:t>五、公、教、軍、警人員及勞工所領政府發給之實物配給或其代金及房租津貼。</w:t>
      </w:r>
    </w:p>
    <w:p w:rsidR="00000000" w:rsidRDefault="00CA394A">
      <w:pPr>
        <w:pStyle w:val="10"/>
        <w:ind w:left="2240" w:hanging="280"/>
        <w:rPr>
          <w:rFonts w:hint="eastAsia"/>
        </w:rPr>
      </w:pPr>
      <w:r>
        <w:rPr>
          <w:rFonts w:hint="eastAsia"/>
        </w:rPr>
        <w:t>六、依法令規定，具有強制性質儲蓄存款之利息。</w:t>
      </w:r>
    </w:p>
    <w:p w:rsidR="00000000" w:rsidRDefault="00CA394A">
      <w:pPr>
        <w:pStyle w:val="10"/>
        <w:ind w:left="2240" w:hanging="280"/>
        <w:rPr>
          <w:rFonts w:hint="eastAsia"/>
        </w:rPr>
      </w:pPr>
      <w:r>
        <w:rPr>
          <w:rFonts w:hint="eastAsia"/>
        </w:rPr>
        <w:t>七、人身保險、勞工保險及軍公教保險之保險給付。</w:t>
      </w:r>
    </w:p>
    <w:p w:rsidR="00000000" w:rsidRDefault="00CA394A">
      <w:pPr>
        <w:pStyle w:val="10"/>
        <w:ind w:left="2240" w:hanging="280"/>
        <w:rPr>
          <w:rFonts w:hint="eastAsia"/>
        </w:rPr>
      </w:pPr>
      <w:r>
        <w:rPr>
          <w:rFonts w:hint="eastAsia"/>
        </w:rPr>
        <w:t>八</w:t>
      </w:r>
      <w:r>
        <w:rPr>
          <w:rFonts w:hint="eastAsia"/>
        </w:rPr>
        <w:t>、中華民國政府或外國政府、國際機構，教育、文化、科學研究機關、團體，或其他公私組織，為獎勵進修研究或參加科學或職業訓練而給與之獎學金及研究、考察補助費等。但受領之獎學金或補助費如係為授與人提供勞務所取得之報酬，不適用之。</w:t>
      </w:r>
    </w:p>
    <w:p w:rsidR="00000000" w:rsidRDefault="00CA394A">
      <w:pPr>
        <w:pStyle w:val="10"/>
        <w:ind w:left="2240" w:hanging="280"/>
        <w:rPr>
          <w:rFonts w:hint="eastAsia"/>
        </w:rPr>
      </w:pPr>
      <w:r>
        <w:rPr>
          <w:rFonts w:hint="eastAsia"/>
        </w:rPr>
        <w:lastRenderedPageBreak/>
        <w:t>九、</w:t>
      </w:r>
      <w:r>
        <w:rPr>
          <w:rFonts w:hint="eastAsia"/>
          <w:spacing w:val="-4"/>
        </w:rPr>
        <w:t>各國駐在中華民國使領館之外交官、領事官及其他享受外交官待遇人員在職務上之所得。</w:t>
      </w:r>
    </w:p>
    <w:p w:rsidR="00000000" w:rsidRDefault="00CA394A">
      <w:pPr>
        <w:pStyle w:val="10"/>
        <w:ind w:left="2240" w:hanging="280"/>
        <w:rPr>
          <w:rFonts w:hint="eastAsia"/>
        </w:rPr>
      </w:pPr>
      <w:r>
        <w:rPr>
          <w:rFonts w:hint="eastAsia"/>
        </w:rPr>
        <w:t>十、各國駐在中華民國使領館及其附屬機關內，除外交官、領事官及享受外交官待遇之人員以外之其他各該國國籍職員在職務上之所得。但以各該國對中華民國駐在各該國使領館及其附屬機關內中國籍職員，給予同樣待遇者為限。</w:t>
      </w:r>
    </w:p>
    <w:p w:rsidR="00000000" w:rsidRDefault="00CA394A">
      <w:pPr>
        <w:pStyle w:val="10"/>
        <w:ind w:left="2240" w:hanging="280"/>
        <w:rPr>
          <w:rFonts w:hint="eastAsia"/>
        </w:rPr>
      </w:pPr>
      <w:r>
        <w:rPr>
          <w:rFonts w:hint="eastAsia"/>
        </w:rPr>
        <w:t>十</w:t>
      </w:r>
      <w:r>
        <w:rPr>
          <w:rFonts w:hint="eastAsia"/>
        </w:rPr>
        <w:t>一、自國外聘請之技術人員及大專學校教授，依據外國政府機關、團體或教育，文化機構與中華民國政府機關、團體或教育機構所簽訂技術合作或文化、教育交換合約，在中華民國境內提供勞務者，其由外國政府機關、團體或教育、文化機構所給付之薪資。</w:t>
      </w:r>
    </w:p>
    <w:p w:rsidR="00000000" w:rsidRDefault="00CA394A">
      <w:pPr>
        <w:pStyle w:val="10"/>
        <w:ind w:left="2240" w:hanging="280"/>
        <w:rPr>
          <w:rFonts w:hint="eastAsia"/>
        </w:rPr>
      </w:pPr>
      <w:r>
        <w:rPr>
          <w:rFonts w:hint="eastAsia"/>
        </w:rPr>
        <w:t>十二、個人在依銀行法儲蓄銀行章辦理儲蓄存款之金融機構，存入兩年以上之定期儲蓄存款，其利息所得。</w:t>
      </w:r>
    </w:p>
    <w:p w:rsidR="00000000" w:rsidRDefault="00CA394A">
      <w:pPr>
        <w:pStyle w:val="a6"/>
        <w:ind w:leftChars="800" w:left="2240" w:firstLine="560"/>
        <w:rPr>
          <w:rFonts w:hint="eastAsia"/>
        </w:rPr>
      </w:pPr>
      <w:r>
        <w:rPr>
          <w:rFonts w:hint="eastAsia"/>
        </w:rPr>
        <w:t>行政院核准台灣地區農會信用部辦理之二年期以上定期儲蓄存款，其利息所得，得比照前目規定辦理。</w:t>
      </w:r>
    </w:p>
    <w:p w:rsidR="00000000" w:rsidRDefault="00CA394A">
      <w:pPr>
        <w:pStyle w:val="a6"/>
        <w:ind w:leftChars="800" w:left="2240" w:firstLine="560"/>
        <w:rPr>
          <w:rFonts w:hint="eastAsia"/>
        </w:rPr>
      </w:pPr>
      <w:r>
        <w:rPr>
          <w:rFonts w:hint="eastAsia"/>
        </w:rPr>
        <w:t>前列辦理儲蓄存款業務之機構，於存款人未存滿規定期限中途提取存款時，應就給付之利息，依當年度扣繳率</w:t>
      </w:r>
      <w:r>
        <w:rPr>
          <w:rFonts w:hint="eastAsia"/>
        </w:rPr>
        <w:t>扣繳所得稅；其為存本取息者，應就以前各期已付之利息，按提取存款年度適用之扣繳率一次補行扣繳。</w:t>
      </w:r>
    </w:p>
    <w:p w:rsidR="00000000" w:rsidRDefault="00CA394A">
      <w:pPr>
        <w:pStyle w:val="a6"/>
        <w:ind w:leftChars="800" w:left="2240" w:firstLine="560"/>
        <w:rPr>
          <w:rFonts w:hint="eastAsia"/>
        </w:rPr>
      </w:pPr>
      <w:r>
        <w:rPr>
          <w:rFonts w:hint="eastAsia"/>
        </w:rPr>
        <w:t>存本取息之定期儲蓄存款以前各期已付之利息，未滿兩年中途提取存款時，經補扣稅款者，於計徵綜合所得稅時，應併計提取存款年度之綜合所得額。</w:t>
      </w:r>
    </w:p>
    <w:p w:rsidR="00000000" w:rsidRDefault="00CA394A">
      <w:pPr>
        <w:pStyle w:val="10"/>
        <w:ind w:left="2240" w:hanging="280"/>
        <w:rPr>
          <w:rFonts w:hint="eastAsia"/>
        </w:rPr>
      </w:pPr>
      <w:r>
        <w:rPr>
          <w:rFonts w:hint="eastAsia"/>
        </w:rPr>
        <w:t>十三、教育、文化、公益、慈善機關或團體，除為其創設目的舉辦事業而必須支付之費用外，不以任何方式對特定之人給予特殊利益，且依其章程規定於組織解散後，其賸餘財產亦不以任何方式歸屬任何個人或私人企業者，其本身之所得及其附屬作業組織之所得。</w:t>
      </w:r>
    </w:p>
    <w:p w:rsidR="00000000" w:rsidRDefault="00CA394A">
      <w:pPr>
        <w:pStyle w:val="10"/>
        <w:ind w:left="2240" w:hanging="280"/>
        <w:rPr>
          <w:rFonts w:hint="eastAsia"/>
        </w:rPr>
      </w:pPr>
      <w:r>
        <w:rPr>
          <w:rFonts w:hint="eastAsia"/>
        </w:rPr>
        <w:lastRenderedPageBreak/>
        <w:t>十四、依法經營不對外營業消費合作社之盈餘。</w:t>
      </w:r>
    </w:p>
    <w:p w:rsidR="00000000" w:rsidRDefault="00CA394A">
      <w:pPr>
        <w:pStyle w:val="10"/>
        <w:ind w:left="2240" w:hanging="280"/>
        <w:rPr>
          <w:rFonts w:hint="eastAsia"/>
        </w:rPr>
      </w:pPr>
      <w:r>
        <w:rPr>
          <w:rFonts w:hint="eastAsia"/>
        </w:rPr>
        <w:t>十五、</w:t>
      </w:r>
      <w:r>
        <w:rPr>
          <w:rFonts w:hint="eastAsia"/>
        </w:rPr>
        <w:t>資本全部係由國庫撥充國營獨占性營利事業之盈餘。</w:t>
      </w:r>
    </w:p>
    <w:p w:rsidR="00000000" w:rsidRDefault="00CA394A">
      <w:pPr>
        <w:pStyle w:val="10"/>
        <w:ind w:left="2240" w:hanging="280"/>
        <w:rPr>
          <w:rFonts w:hint="eastAsia"/>
        </w:rPr>
      </w:pPr>
      <w:r>
        <w:rPr>
          <w:rFonts w:hint="eastAsia"/>
        </w:rPr>
        <w:t>十六、個人或營利事業持有股份有限公司之股票或公司債，其持有期間滿一年以上者，其交易之所得。但經常以經營證券交易為業之個人及經營證券交易之營利事業，不適用本款之規定。</w:t>
      </w:r>
    </w:p>
    <w:p w:rsidR="00000000" w:rsidRDefault="00CA394A">
      <w:pPr>
        <w:pStyle w:val="10"/>
        <w:ind w:left="2240" w:hanging="280"/>
        <w:rPr>
          <w:rFonts w:hint="eastAsia"/>
        </w:rPr>
      </w:pPr>
      <w:r>
        <w:rPr>
          <w:rFonts w:hint="eastAsia"/>
        </w:rPr>
        <w:t>十七、因繼承或遺贈而取得之財產。</w:t>
      </w:r>
    </w:p>
    <w:p w:rsidR="00000000" w:rsidRDefault="00CA394A">
      <w:pPr>
        <w:pStyle w:val="10"/>
        <w:ind w:left="2240" w:hanging="280"/>
        <w:rPr>
          <w:rFonts w:hint="eastAsia"/>
        </w:rPr>
      </w:pPr>
      <w:r>
        <w:rPr>
          <w:rFonts w:hint="eastAsia"/>
        </w:rPr>
        <w:t>十八、各級政府機關之各種所得。</w:t>
      </w:r>
    </w:p>
    <w:p w:rsidR="00000000" w:rsidRDefault="00CA394A">
      <w:pPr>
        <w:pStyle w:val="10"/>
        <w:ind w:left="2240" w:hanging="280"/>
        <w:rPr>
          <w:rFonts w:hint="eastAsia"/>
        </w:rPr>
      </w:pPr>
      <w:r>
        <w:rPr>
          <w:rFonts w:hint="eastAsia"/>
        </w:rPr>
        <w:t>十九、各級政府公有事業之所得。</w:t>
      </w:r>
    </w:p>
    <w:p w:rsidR="00000000" w:rsidRDefault="00CA394A">
      <w:pPr>
        <w:pStyle w:val="10"/>
        <w:ind w:left="2240" w:hanging="280"/>
        <w:rPr>
          <w:rFonts w:hint="eastAsia"/>
        </w:rPr>
      </w:pPr>
      <w:r>
        <w:rPr>
          <w:rFonts w:hint="eastAsia"/>
        </w:rPr>
        <w:t>二十、外國國際運輸事業在中華民國境內之營利事業所得。但以各該國對中華民國之國際運輸事業給予同樣免稅待遇者為限。</w:t>
      </w:r>
    </w:p>
    <w:p w:rsidR="00000000" w:rsidRDefault="00CA394A">
      <w:pPr>
        <w:pStyle w:val="10"/>
        <w:ind w:left="2240" w:hanging="280"/>
        <w:rPr>
          <w:rFonts w:hint="eastAsia"/>
        </w:rPr>
      </w:pPr>
      <w:r>
        <w:rPr>
          <w:rFonts w:hint="eastAsia"/>
        </w:rPr>
        <w:t>二十一、經政府主管機關核准，因使用外國事業所有之專利權、商標權、秘密方法及各種特許權利而</w:t>
      </w:r>
      <w:r>
        <w:rPr>
          <w:rFonts w:hint="eastAsia"/>
        </w:rPr>
        <w:t>給付外國事業之權利金，暨因建廠而支付外國事業之技術合作報酬。但技術合作報酬中，支付外國技術人員在我國境內提供勞務之報酬，以為期不超過一年者為限。</w:t>
      </w:r>
    </w:p>
    <w:p w:rsidR="00000000" w:rsidRDefault="00CA394A">
      <w:pPr>
        <w:pStyle w:val="10"/>
        <w:ind w:left="2240" w:hanging="280"/>
        <w:rPr>
          <w:rFonts w:ascii="Arial Unicode MS" w:hAnsi="Arial Unicode MS" w:hint="eastAsia"/>
          <w:sz w:val="24"/>
          <w:szCs w:val="24"/>
        </w:rPr>
      </w:pPr>
      <w:r>
        <w:rPr>
          <w:rFonts w:hint="eastAsia"/>
        </w:rPr>
        <w:t>二十二、外國政府、外國政府所經營或合資經營之金融機構、國際經濟開發金融機構，對中華民國政府及中華民國境內之法人所提供或擔保提供之貸款，暨外國金融機構對中華民國境內金融事業之融資，其所得之利息。</w:t>
      </w:r>
    </w:p>
    <w:p w:rsidR="00000000" w:rsidRDefault="00CA394A">
      <w:pPr>
        <w:pStyle w:val="a5"/>
        <w:ind w:left="0" w:firstLineChars="0" w:firstLine="0"/>
        <w:rPr>
          <w:rFonts w:hint="eastAsia"/>
        </w:rPr>
      </w:pPr>
      <w:r>
        <w:rPr>
          <w:rFonts w:hint="eastAsia"/>
        </w:rPr>
        <w:t>第　八　條　　本法稱中華民國來源所得，係指左列各項所得：</w:t>
      </w:r>
    </w:p>
    <w:p w:rsidR="00000000" w:rsidRDefault="00CA394A">
      <w:pPr>
        <w:pStyle w:val="10"/>
        <w:ind w:left="2240" w:hanging="280"/>
        <w:rPr>
          <w:rFonts w:hint="eastAsia"/>
        </w:rPr>
      </w:pPr>
      <w:r>
        <w:rPr>
          <w:rFonts w:hint="eastAsia"/>
        </w:rPr>
        <w:t>一、依中華民國公司法規定設立登記成立之公司，或經中華民國政府認許在中華民國境內營業之外國公司所分配之股利。</w:t>
      </w:r>
    </w:p>
    <w:p w:rsidR="00000000" w:rsidRDefault="00CA394A">
      <w:pPr>
        <w:pStyle w:val="10"/>
        <w:ind w:left="2240" w:hanging="280"/>
        <w:rPr>
          <w:rFonts w:hint="eastAsia"/>
        </w:rPr>
      </w:pPr>
      <w:r>
        <w:rPr>
          <w:rFonts w:hint="eastAsia"/>
        </w:rPr>
        <w:t>二、中</w:t>
      </w:r>
      <w:r>
        <w:rPr>
          <w:rFonts w:hint="eastAsia"/>
        </w:rPr>
        <w:t>華民國境內之合作社或合夥組織營利事業所分配之盈餘。</w:t>
      </w:r>
    </w:p>
    <w:p w:rsidR="00000000" w:rsidRDefault="00CA394A">
      <w:pPr>
        <w:pStyle w:val="10"/>
        <w:ind w:left="2240" w:hanging="280"/>
        <w:rPr>
          <w:rFonts w:hint="eastAsia"/>
        </w:rPr>
      </w:pPr>
      <w:r>
        <w:rPr>
          <w:rFonts w:hint="eastAsia"/>
        </w:rPr>
        <w:t>三、個人在中華民國境內提供勞務之報酬。但非中華民國境內居住之個人，在中華民國境內臨時居留不滿九十天者，其自中華民國境外僱主所取得之勞務報酬不在此限。</w:t>
      </w:r>
    </w:p>
    <w:p w:rsidR="00000000" w:rsidRDefault="00CA394A">
      <w:pPr>
        <w:pStyle w:val="10"/>
        <w:ind w:left="2240" w:hanging="280"/>
        <w:rPr>
          <w:rFonts w:hint="eastAsia"/>
        </w:rPr>
      </w:pPr>
      <w:r>
        <w:rPr>
          <w:rFonts w:hint="eastAsia"/>
        </w:rPr>
        <w:t>四、自中華民國各級政府，中華民國境內之法人及中華民國境內居住之個人所取得之利息。</w:t>
      </w:r>
    </w:p>
    <w:p w:rsidR="00000000" w:rsidRDefault="00CA394A">
      <w:pPr>
        <w:pStyle w:val="10"/>
        <w:ind w:left="2240" w:hanging="280"/>
        <w:rPr>
          <w:rFonts w:hint="eastAsia"/>
        </w:rPr>
      </w:pPr>
      <w:r>
        <w:rPr>
          <w:rFonts w:hint="eastAsia"/>
        </w:rPr>
        <w:t>五、在中華民國境內之財產因租賃而取得之租金。</w:t>
      </w:r>
    </w:p>
    <w:p w:rsidR="00000000" w:rsidRDefault="00CA394A">
      <w:pPr>
        <w:pStyle w:val="10"/>
        <w:ind w:left="2240" w:hanging="280"/>
        <w:rPr>
          <w:rFonts w:hint="eastAsia"/>
        </w:rPr>
      </w:pPr>
      <w:r>
        <w:rPr>
          <w:rFonts w:hint="eastAsia"/>
        </w:rPr>
        <w:t>六、專利權、商標權、著作權、秘密方法及各種特許權利因在中華民國境內供他人使用所取得之權利金。</w:t>
      </w:r>
    </w:p>
    <w:p w:rsidR="00000000" w:rsidRDefault="00CA394A">
      <w:pPr>
        <w:pStyle w:val="10"/>
        <w:ind w:left="2240" w:hanging="280"/>
        <w:rPr>
          <w:rFonts w:hint="eastAsia"/>
        </w:rPr>
      </w:pPr>
      <w:r>
        <w:rPr>
          <w:rFonts w:hint="eastAsia"/>
        </w:rPr>
        <w:t>七、在中華民國境內財產交易之增益。</w:t>
      </w:r>
    </w:p>
    <w:p w:rsidR="00000000" w:rsidRDefault="00CA394A">
      <w:pPr>
        <w:pStyle w:val="10"/>
        <w:ind w:left="2240" w:hanging="280"/>
        <w:rPr>
          <w:rFonts w:hint="eastAsia"/>
        </w:rPr>
      </w:pPr>
      <w:r>
        <w:rPr>
          <w:rFonts w:hint="eastAsia"/>
        </w:rPr>
        <w:t>八、中華民國政府派駐國外工作人員，及一般僱用人員在國</w:t>
      </w:r>
      <w:r>
        <w:rPr>
          <w:rFonts w:hint="eastAsia"/>
        </w:rPr>
        <w:t>外提供勞務之報酬。</w:t>
      </w:r>
    </w:p>
    <w:p w:rsidR="00000000" w:rsidRDefault="00CA394A">
      <w:pPr>
        <w:pStyle w:val="10"/>
        <w:ind w:left="2240" w:hanging="280"/>
        <w:rPr>
          <w:rFonts w:hint="eastAsia"/>
        </w:rPr>
      </w:pPr>
      <w:r>
        <w:rPr>
          <w:rFonts w:hint="eastAsia"/>
        </w:rPr>
        <w:t>九、在中華民國境內經營工商、農林、漁牧、礦冶等業之盈餘。</w:t>
      </w:r>
    </w:p>
    <w:p w:rsidR="00000000" w:rsidRDefault="00CA394A">
      <w:pPr>
        <w:pStyle w:val="10"/>
        <w:ind w:left="2240" w:hanging="280"/>
        <w:rPr>
          <w:rFonts w:hint="eastAsia"/>
        </w:rPr>
      </w:pPr>
      <w:r>
        <w:rPr>
          <w:rFonts w:hint="eastAsia"/>
        </w:rPr>
        <w:t>十、在中華民國境內參加各種競技、競賽、機會中獎等之獎金或給與。</w:t>
      </w:r>
    </w:p>
    <w:p w:rsidR="00000000" w:rsidRDefault="00CA394A">
      <w:pPr>
        <w:pStyle w:val="10"/>
        <w:ind w:left="2240" w:hanging="280"/>
        <w:rPr>
          <w:rFonts w:ascii="Arial Unicode MS" w:hAnsi="Arial Unicode MS" w:hint="eastAsia"/>
          <w:sz w:val="24"/>
          <w:szCs w:val="24"/>
        </w:rPr>
      </w:pPr>
      <w:r>
        <w:rPr>
          <w:rFonts w:hint="eastAsia"/>
        </w:rPr>
        <w:t>十一、在中華民國境內取得之其他收益。</w:t>
      </w:r>
    </w:p>
    <w:p w:rsidR="00000000" w:rsidRDefault="00CA394A">
      <w:pPr>
        <w:pStyle w:val="a5"/>
        <w:ind w:left="1900" w:hanging="1900"/>
        <w:rPr>
          <w:rFonts w:hint="eastAsia"/>
        </w:rPr>
      </w:pPr>
      <w:r>
        <w:rPr>
          <w:rFonts w:hint="eastAsia"/>
          <w:spacing w:val="50"/>
        </w:rPr>
        <w:t>第十四條</w:t>
      </w:r>
      <w:r>
        <w:rPr>
          <w:rFonts w:hint="eastAsia"/>
          <w:spacing w:val="-30"/>
        </w:rPr>
        <w:t xml:space="preserve">　　</w:t>
      </w:r>
      <w:r>
        <w:rPr>
          <w:rFonts w:hint="eastAsia"/>
        </w:rPr>
        <w:t>個人之綜合所得總額，以其全年左列各類所得合併計算之：</w:t>
      </w:r>
    </w:p>
    <w:p w:rsidR="00000000" w:rsidRDefault="00CA394A">
      <w:pPr>
        <w:ind w:leftChars="700" w:left="2800" w:hangingChars="300" w:hanging="840"/>
        <w:rPr>
          <w:rFonts w:hint="eastAsia"/>
        </w:rPr>
      </w:pPr>
      <w:r>
        <w:rPr>
          <w:rFonts w:hint="eastAsia"/>
        </w:rPr>
        <w:t>第一類：營利所得：公司股東所分配之股利、合作社社員所分配之盈餘、合夥組織營利事業之合夥人每年度應分配之盈餘，獨資資本主每年自其獨資經營事業所得之盈餘及個人一時貿易之盈餘皆屬之。</w:t>
      </w:r>
    </w:p>
    <w:p w:rsidR="00000000" w:rsidRDefault="00CA394A">
      <w:pPr>
        <w:ind w:leftChars="995" w:left="2786" w:firstLineChars="105" w:firstLine="294"/>
        <w:rPr>
          <w:rFonts w:hint="eastAsia"/>
        </w:rPr>
      </w:pPr>
      <w:r>
        <w:rPr>
          <w:rFonts w:hint="eastAsia"/>
        </w:rPr>
        <w:t>合夥人應分配盈餘及獨資資本主經營獨資事業所得之盈餘，應按核定之營利事業所得額減除已納營利</w:t>
      </w:r>
      <w:r>
        <w:rPr>
          <w:rFonts w:hint="eastAsia"/>
        </w:rPr>
        <w:t>事業所得稅後之餘額計算之。</w:t>
      </w:r>
    </w:p>
    <w:p w:rsidR="00000000" w:rsidRDefault="00CA394A">
      <w:pPr>
        <w:ind w:leftChars="700" w:left="2800" w:hangingChars="300" w:hanging="840"/>
        <w:rPr>
          <w:rFonts w:hint="eastAsia"/>
        </w:rPr>
      </w:pPr>
      <w:r>
        <w:rPr>
          <w:rFonts w:hint="eastAsia"/>
        </w:rPr>
        <w:t>第二類：執行業務所得：凡執行業務者之業務或演技收入，減除業務所房租或折舊、業務上使用器材設備之折舊及修理費，或收取代價提供顧客使用之藥品、材料等之成本、業務上雇用人員之薪資、執行業務之旅費及其他直接必要費用後之餘額為所得額。</w:t>
      </w:r>
    </w:p>
    <w:p w:rsidR="00000000" w:rsidRDefault="00CA394A">
      <w:pPr>
        <w:ind w:leftChars="995" w:left="2786" w:firstLineChars="105" w:firstLine="294"/>
        <w:rPr>
          <w:rFonts w:hint="eastAsia"/>
        </w:rPr>
      </w:pPr>
      <w:r>
        <w:rPr>
          <w:rFonts w:hint="eastAsia"/>
        </w:rPr>
        <w:t>執行業務者至少應設置日記帳一種，詳細記載其業務收支項目。帳簿使用前，並應送主管稽徵機關登記驗印。業務支出應取得確實憑證，憑證及帳冊最少應保存五年。</w:t>
      </w:r>
    </w:p>
    <w:p w:rsidR="00000000" w:rsidRDefault="00CA394A">
      <w:pPr>
        <w:ind w:leftChars="995" w:left="2786" w:firstLineChars="105" w:firstLine="294"/>
        <w:rPr>
          <w:rFonts w:hint="eastAsia"/>
        </w:rPr>
      </w:pPr>
      <w:r>
        <w:rPr>
          <w:rFonts w:hint="eastAsia"/>
        </w:rPr>
        <w:t>執行業務使用房屋及器材設備之折舊，依固定資產耐用年數表之規定。</w:t>
      </w:r>
    </w:p>
    <w:p w:rsidR="00000000" w:rsidRDefault="00CA394A">
      <w:pPr>
        <w:ind w:leftChars="700" w:left="2800" w:hangingChars="300" w:hanging="840"/>
        <w:rPr>
          <w:rFonts w:hint="eastAsia"/>
        </w:rPr>
      </w:pPr>
      <w:r>
        <w:rPr>
          <w:rFonts w:hint="eastAsia"/>
        </w:rPr>
        <w:t>第三類：薪資所得：凡公、教、軍、警、公私事業職</w:t>
      </w:r>
      <w:r>
        <w:rPr>
          <w:rFonts w:hint="eastAsia"/>
        </w:rPr>
        <w:t>工薪資及提供勞務者之所得：</w:t>
      </w:r>
    </w:p>
    <w:p w:rsidR="00000000" w:rsidRDefault="00CA394A">
      <w:pPr>
        <w:ind w:leftChars="995" w:left="2786" w:firstLineChars="105" w:firstLine="294"/>
        <w:rPr>
          <w:rFonts w:hint="eastAsia"/>
        </w:rPr>
      </w:pPr>
      <w:r>
        <w:rPr>
          <w:rFonts w:hint="eastAsia"/>
        </w:rPr>
        <w:t>一、薪資所得之計算，以在職務上或工作上取得之各種薪資收入為所得額。</w:t>
      </w:r>
    </w:p>
    <w:p w:rsidR="00000000" w:rsidRDefault="00CA394A">
      <w:pPr>
        <w:ind w:leftChars="1100" w:left="3374" w:hangingChars="105" w:hanging="294"/>
        <w:rPr>
          <w:rFonts w:hint="eastAsia"/>
        </w:rPr>
      </w:pPr>
      <w:r>
        <w:rPr>
          <w:rFonts w:hint="eastAsia"/>
        </w:rPr>
        <w:t>二、前項薪資包括：薪金、俸給、工資、津貼、歲費、獎金、紅利、各種補助費及按月或按年分期給付之退休金或養老金。但為僱主之目的，執行職務而支領之差旅費、日支費，不超過規定標準者，及依第四條規定免稅之項目，不在此限。</w:t>
      </w:r>
    </w:p>
    <w:p w:rsidR="00000000" w:rsidRDefault="00CA394A">
      <w:pPr>
        <w:ind w:leftChars="700" w:left="2800" w:hangingChars="300" w:hanging="840"/>
        <w:rPr>
          <w:rFonts w:hint="eastAsia"/>
        </w:rPr>
      </w:pPr>
      <w:r>
        <w:rPr>
          <w:rFonts w:hint="eastAsia"/>
        </w:rPr>
        <w:t>第四類：利息所得：凡公債、公司債、存款及其他貸出款項利息之所得：</w:t>
      </w:r>
    </w:p>
    <w:p w:rsidR="00000000" w:rsidRDefault="00CA394A">
      <w:pPr>
        <w:ind w:leftChars="995" w:left="2786" w:firstLineChars="105" w:firstLine="294"/>
        <w:rPr>
          <w:rFonts w:hint="eastAsia"/>
        </w:rPr>
      </w:pPr>
      <w:r>
        <w:rPr>
          <w:rFonts w:hint="eastAsia"/>
        </w:rPr>
        <w:t>一、公債包括各級政府發行之債票、庫券、證券、憑券。</w:t>
      </w:r>
    </w:p>
    <w:p w:rsidR="00000000" w:rsidRDefault="00CA394A">
      <w:pPr>
        <w:ind w:leftChars="995" w:left="2786" w:firstLineChars="105" w:firstLine="294"/>
        <w:rPr>
          <w:rFonts w:hint="eastAsia"/>
        </w:rPr>
      </w:pPr>
      <w:r>
        <w:rPr>
          <w:rFonts w:hint="eastAsia"/>
        </w:rPr>
        <w:t>二、有獎儲蓄之中獎獎金，超過儲蓄額部分，視為存款利息所得。</w:t>
      </w:r>
    </w:p>
    <w:p w:rsidR="00000000" w:rsidRDefault="00CA394A">
      <w:pPr>
        <w:ind w:leftChars="700" w:left="2800" w:hangingChars="300" w:hanging="840"/>
        <w:rPr>
          <w:rFonts w:hint="eastAsia"/>
        </w:rPr>
      </w:pPr>
      <w:r>
        <w:rPr>
          <w:rFonts w:hint="eastAsia"/>
        </w:rPr>
        <w:t>第五類：租賃所得及權利金所</w:t>
      </w:r>
      <w:r>
        <w:rPr>
          <w:rFonts w:hint="eastAsia"/>
        </w:rPr>
        <w:t>得：凡以財產出租之租金所得、財產出典典價經運用之所得或</w:t>
      </w:r>
      <w:r>
        <w:rPr>
          <w:rFonts w:hint="eastAsia"/>
          <w:spacing w:val="-4"/>
        </w:rPr>
        <w:t>專利權、商標權、著作權、秘密方法及各種特許權利供他人使用而取得之權利金所得：</w:t>
      </w:r>
    </w:p>
    <w:p w:rsidR="00000000" w:rsidRDefault="00CA394A">
      <w:pPr>
        <w:ind w:leftChars="1100" w:left="3374" w:hangingChars="105" w:hanging="294"/>
        <w:rPr>
          <w:rFonts w:hint="eastAsia"/>
        </w:rPr>
      </w:pPr>
      <w:r>
        <w:rPr>
          <w:rFonts w:hint="eastAsia"/>
        </w:rPr>
        <w:t>一、財產租賃所得及權利金所得之計算，以全年租賃收入或權利金收入，減除必要損耗及費用後之餘額為所得額。</w:t>
      </w:r>
    </w:p>
    <w:p w:rsidR="00000000" w:rsidRDefault="00CA394A">
      <w:pPr>
        <w:ind w:leftChars="1100" w:left="3374" w:hangingChars="105" w:hanging="294"/>
        <w:rPr>
          <w:rFonts w:hint="eastAsia"/>
        </w:rPr>
      </w:pPr>
      <w:r>
        <w:rPr>
          <w:rFonts w:hint="eastAsia"/>
        </w:rPr>
        <w:t>二、設定定期之永佃權暨地上權取得之各種所得，視為租賃所得。</w:t>
      </w:r>
    </w:p>
    <w:p w:rsidR="00000000" w:rsidRDefault="00CA394A">
      <w:pPr>
        <w:ind w:leftChars="1100" w:left="3374" w:hangingChars="105" w:hanging="294"/>
        <w:rPr>
          <w:rFonts w:hint="eastAsia"/>
        </w:rPr>
      </w:pPr>
      <w:r>
        <w:rPr>
          <w:rFonts w:hint="eastAsia"/>
        </w:rPr>
        <w:t>三、財產出租，收有押金或任何款項類似押金者，或以財產出典而取得典價者，均應就各該款項按當地銀錢業通行之一年期存款利率，計算租賃收入。但財產出租人或出典人能確實證明該項押金或典價之用途，並已將運用所產生之所得申報者，不在</w:t>
      </w:r>
      <w:r>
        <w:rPr>
          <w:rFonts w:hint="eastAsia"/>
        </w:rPr>
        <w:t>此限。</w:t>
      </w:r>
    </w:p>
    <w:p w:rsidR="00000000" w:rsidRDefault="00CA394A">
      <w:pPr>
        <w:ind w:leftChars="1100" w:left="3374" w:hangingChars="105" w:hanging="294"/>
        <w:rPr>
          <w:rFonts w:hint="eastAsia"/>
        </w:rPr>
      </w:pPr>
      <w:r>
        <w:rPr>
          <w:rFonts w:hint="eastAsia"/>
        </w:rPr>
        <w:t>四、將財產借與他人使用，除經查明確係無償借用外，應參照當地一般租金情況，計算租賃收入，繳納所得稅。</w:t>
      </w:r>
    </w:p>
    <w:p w:rsidR="00000000" w:rsidRDefault="00CA394A">
      <w:pPr>
        <w:ind w:leftChars="700" w:left="2800" w:hangingChars="300" w:hanging="840"/>
        <w:rPr>
          <w:rFonts w:hint="eastAsia"/>
        </w:rPr>
      </w:pPr>
      <w:r>
        <w:rPr>
          <w:rFonts w:hint="eastAsia"/>
        </w:rPr>
        <w:t>第六類：自力耕作、漁、牧、林、礦之所得：全年收入減除必要費用後之餘額為所得額。</w:t>
      </w:r>
    </w:p>
    <w:p w:rsidR="00000000" w:rsidRDefault="00CA394A">
      <w:pPr>
        <w:ind w:leftChars="700" w:left="2800" w:hangingChars="300" w:hanging="840"/>
        <w:rPr>
          <w:rFonts w:hint="eastAsia"/>
        </w:rPr>
      </w:pPr>
      <w:r>
        <w:rPr>
          <w:rFonts w:hint="eastAsia"/>
        </w:rPr>
        <w:t>第七類：財產交易所得：凡財產及權利因交易而取得之所得：</w:t>
      </w:r>
    </w:p>
    <w:p w:rsidR="00000000" w:rsidRDefault="00CA394A">
      <w:pPr>
        <w:ind w:leftChars="1100" w:left="3374" w:hangingChars="105" w:hanging="294"/>
        <w:rPr>
          <w:rFonts w:hint="eastAsia"/>
        </w:rPr>
      </w:pPr>
      <w:r>
        <w:rPr>
          <w:rFonts w:hint="eastAsia"/>
        </w:rPr>
        <w:t>一、財產或權利原為出價取得者，以交易時之成交價額，減除原始取得之成本，及一切改良費用後之餘額為所得額。</w:t>
      </w:r>
    </w:p>
    <w:p w:rsidR="00000000" w:rsidRDefault="00CA394A">
      <w:pPr>
        <w:ind w:leftChars="1100" w:left="3374" w:hangingChars="105" w:hanging="294"/>
        <w:rPr>
          <w:rFonts w:hint="eastAsia"/>
        </w:rPr>
      </w:pPr>
      <w:r>
        <w:rPr>
          <w:rFonts w:hint="eastAsia"/>
        </w:rPr>
        <w:t>二、財產或權利原為繼承或贈與而取得者，以交易時之成交價額，減除繼承時或受贈與時該項財產之時價，及一切改良費用後之餘額為所得額。</w:t>
      </w:r>
    </w:p>
    <w:p w:rsidR="00000000" w:rsidRDefault="00CA394A">
      <w:pPr>
        <w:ind w:leftChars="700" w:left="2800" w:hangingChars="300" w:hanging="840"/>
        <w:rPr>
          <w:rFonts w:hint="eastAsia"/>
        </w:rPr>
      </w:pPr>
      <w:r>
        <w:rPr>
          <w:rFonts w:hint="eastAsia"/>
        </w:rPr>
        <w:t>第八類：競技、競賽及機會中獎之獎金或</w:t>
      </w:r>
      <w:r>
        <w:rPr>
          <w:rFonts w:hint="eastAsia"/>
        </w:rPr>
        <w:t>給與：凡參加各種競技比賽及各種機會中獎之獎金或給與皆屬之。</w:t>
      </w:r>
    </w:p>
    <w:p w:rsidR="00000000" w:rsidRDefault="00CA394A">
      <w:pPr>
        <w:ind w:leftChars="1100" w:left="3374" w:hangingChars="105" w:hanging="294"/>
        <w:rPr>
          <w:rFonts w:hint="eastAsia"/>
        </w:rPr>
      </w:pPr>
      <w:r>
        <w:rPr>
          <w:rFonts w:hint="eastAsia"/>
        </w:rPr>
        <w:t>一、參加競技競賽所支付之必要費用，准予減除。</w:t>
      </w:r>
    </w:p>
    <w:p w:rsidR="00000000" w:rsidRDefault="00CA394A">
      <w:pPr>
        <w:ind w:leftChars="1100" w:left="3374" w:hangingChars="105" w:hanging="294"/>
        <w:rPr>
          <w:rFonts w:hint="eastAsia"/>
        </w:rPr>
      </w:pPr>
      <w:r>
        <w:rPr>
          <w:rFonts w:hint="eastAsia"/>
        </w:rPr>
        <w:t>二、參加機會中獎所支付之成本，准予減除。</w:t>
      </w:r>
    </w:p>
    <w:p w:rsidR="00000000" w:rsidRDefault="00CA394A">
      <w:pPr>
        <w:ind w:leftChars="700" w:left="2800" w:hangingChars="300" w:hanging="840"/>
        <w:rPr>
          <w:rFonts w:hint="eastAsia"/>
        </w:rPr>
      </w:pPr>
      <w:r>
        <w:rPr>
          <w:rFonts w:hint="eastAsia"/>
        </w:rPr>
        <w:t>第九類：其他所得：不屬於上列各類之所得，以其收入額減除成本及必要費用後之餘額為所得額。</w:t>
      </w:r>
    </w:p>
    <w:p w:rsidR="00000000" w:rsidRDefault="00CA394A">
      <w:pPr>
        <w:pStyle w:val="a6"/>
        <w:ind w:left="1400" w:firstLine="560"/>
        <w:rPr>
          <w:rFonts w:hint="eastAsia"/>
        </w:rPr>
      </w:pPr>
      <w:r>
        <w:rPr>
          <w:rFonts w:hint="eastAsia"/>
        </w:rPr>
        <w:t>前項各類所得，如為實物、有價證券或外國貨幣，應以取得時政府規定之價格或認可之兌換率折算之，未經政府規定者，以當地時價計算。</w:t>
      </w:r>
    </w:p>
    <w:p w:rsidR="00000000" w:rsidRDefault="00CA394A">
      <w:pPr>
        <w:pStyle w:val="a6"/>
        <w:ind w:left="1400" w:firstLine="560"/>
        <w:rPr>
          <w:rFonts w:ascii="Arial Unicode MS" w:hAnsi="Arial Unicode MS" w:hint="eastAsia"/>
          <w:sz w:val="24"/>
          <w:szCs w:val="24"/>
        </w:rPr>
      </w:pPr>
      <w:r>
        <w:rPr>
          <w:rFonts w:hint="eastAsia"/>
        </w:rPr>
        <w:t>個人綜合所得總額中，如有版稅、稿費、作曲、森林及一次給付之養老金或退休金等變動所得，得僅以半數作為當年度所得，其餘半數免稅。</w:t>
      </w:r>
    </w:p>
    <w:p w:rsidR="00000000" w:rsidRDefault="00CA394A">
      <w:pPr>
        <w:pStyle w:val="a5"/>
        <w:ind w:left="1406" w:hangingChars="370" w:hanging="1406"/>
        <w:rPr>
          <w:rFonts w:hint="eastAsia"/>
        </w:rPr>
      </w:pPr>
      <w:r>
        <w:rPr>
          <w:rFonts w:hint="eastAsia"/>
          <w:spacing w:val="50"/>
        </w:rPr>
        <w:t>第十七條</w:t>
      </w:r>
      <w:r>
        <w:rPr>
          <w:rFonts w:hint="eastAsia"/>
          <w:spacing w:val="-30"/>
        </w:rPr>
        <w:t xml:space="preserve">　　</w:t>
      </w:r>
      <w:r>
        <w:rPr>
          <w:rFonts w:hint="eastAsia"/>
        </w:rPr>
        <w:t>按前三條規定計</w:t>
      </w:r>
      <w:r>
        <w:rPr>
          <w:rFonts w:hint="eastAsia"/>
        </w:rPr>
        <w:t>得之個人之綜合所得總額，減除左列免稅額，寬減額及扣除額後之餘額，為個人之綜合所得淨額：</w:t>
      </w:r>
    </w:p>
    <w:p w:rsidR="00000000" w:rsidRDefault="00CA394A">
      <w:pPr>
        <w:pStyle w:val="10"/>
        <w:ind w:left="2240" w:hanging="280"/>
        <w:rPr>
          <w:rFonts w:hint="eastAsia"/>
        </w:rPr>
      </w:pPr>
      <w:r>
        <w:rPr>
          <w:rFonts w:hint="eastAsia"/>
        </w:rPr>
        <w:t>一、個人免稅額：納稅義務人按規定減除個人免稅額，其有配偶者，加倍減除之。</w:t>
      </w:r>
    </w:p>
    <w:p w:rsidR="00000000" w:rsidRDefault="00CA394A">
      <w:pPr>
        <w:pStyle w:val="10"/>
        <w:ind w:left="2240" w:hanging="280"/>
        <w:rPr>
          <w:rFonts w:hint="eastAsia"/>
        </w:rPr>
      </w:pPr>
      <w:r>
        <w:rPr>
          <w:rFonts w:hint="eastAsia"/>
        </w:rPr>
        <w:t>二、扶養親屬寬減額：納稅義務人所扶養之親屬中，合於左列規定者，每年每人得減除其扶養親屬寬減額：</w:t>
      </w:r>
    </w:p>
    <w:p w:rsidR="00000000" w:rsidRDefault="00CA394A">
      <w:pPr>
        <w:pStyle w:val="10"/>
        <w:ind w:leftChars="800" w:left="2520" w:hanging="280"/>
        <w:rPr>
          <w:rFonts w:hint="eastAsia"/>
        </w:rPr>
      </w:pPr>
      <w:r>
        <w:fldChar w:fldCharType="begin"/>
      </w:r>
      <w:r>
        <w:instrText xml:space="preserve"> </w:instrText>
      </w:r>
      <w:r>
        <w:rPr>
          <w:rFonts w:hint="eastAsia"/>
        </w:rPr>
        <w:instrText>eq \o\ac(</w:instrText>
      </w:r>
      <w:r>
        <w:rPr>
          <w:rFonts w:hint="eastAsia"/>
        </w:rPr>
        <w:instrText>○</w:instrText>
      </w:r>
      <w:r>
        <w:rPr>
          <w:rFonts w:hint="eastAsia"/>
        </w:rPr>
        <w:instrText>,</w:instrText>
      </w:r>
      <w:r>
        <w:rPr>
          <w:rFonts w:ascii="標楷體" w:hint="eastAsia"/>
          <w:sz w:val="19"/>
        </w:rPr>
        <w:instrText>一</w:instrText>
      </w:r>
      <w:r>
        <w:rPr>
          <w:rFonts w:hint="eastAsia"/>
        </w:rPr>
        <w:instrText>)</w:instrText>
      </w:r>
      <w:r>
        <w:fldChar w:fldCharType="end"/>
      </w:r>
      <w:r>
        <w:rPr>
          <w:rFonts w:hint="eastAsia"/>
        </w:rPr>
        <w:t>納稅義務人及其配偶之直系尊親屬年滿六十歲，或無謀生能力受納稅義務人扶養者。</w:t>
      </w:r>
    </w:p>
    <w:p w:rsidR="00000000" w:rsidRDefault="00CA394A">
      <w:pPr>
        <w:pStyle w:val="10"/>
        <w:ind w:leftChars="800" w:left="2520" w:hanging="280"/>
        <w:rPr>
          <w:rFonts w:hint="eastAsia"/>
        </w:rPr>
      </w:pPr>
      <w:r>
        <w:fldChar w:fldCharType="begin"/>
      </w:r>
      <w:r>
        <w:instrText xml:space="preserve"> </w:instrText>
      </w:r>
      <w:r>
        <w:rPr>
          <w:rFonts w:hint="eastAsia"/>
        </w:rPr>
        <w:instrText>eq \o\ac(</w:instrText>
      </w:r>
      <w:r>
        <w:rPr>
          <w:rFonts w:hint="eastAsia"/>
        </w:rPr>
        <w:instrText>○</w:instrText>
      </w:r>
      <w:r>
        <w:rPr>
          <w:rFonts w:hint="eastAsia"/>
        </w:rPr>
        <w:instrText>,</w:instrText>
      </w:r>
      <w:r>
        <w:rPr>
          <w:rFonts w:ascii="標楷體" w:hint="eastAsia"/>
          <w:sz w:val="19"/>
        </w:rPr>
        <w:instrText>二</w:instrText>
      </w:r>
      <w:r>
        <w:rPr>
          <w:rFonts w:hint="eastAsia"/>
        </w:rPr>
        <w:instrText>)</w:instrText>
      </w:r>
      <w:r>
        <w:fldChar w:fldCharType="end"/>
      </w:r>
      <w:r>
        <w:rPr>
          <w:rFonts w:hint="eastAsia"/>
        </w:rPr>
        <w:t>納稅義務人之子女未滿二十歲者，或滿二十歲以上而因在校就學、或因身心殘廢、或因無謀生能力，受納稅義務人扶養者。</w:t>
      </w:r>
    </w:p>
    <w:p w:rsidR="00000000" w:rsidRDefault="00CA394A">
      <w:pPr>
        <w:pStyle w:val="10"/>
        <w:ind w:leftChars="800" w:left="2520" w:hanging="280"/>
        <w:rPr>
          <w:rFonts w:hint="eastAsia"/>
        </w:rPr>
      </w:pPr>
      <w:r>
        <w:fldChar w:fldCharType="begin"/>
      </w:r>
      <w:r>
        <w:instrText xml:space="preserve"> </w:instrText>
      </w:r>
      <w:r>
        <w:rPr>
          <w:rFonts w:hint="eastAsia"/>
        </w:rPr>
        <w:instrText>eq \o\ac(</w:instrText>
      </w:r>
      <w:r>
        <w:rPr>
          <w:rFonts w:hint="eastAsia"/>
        </w:rPr>
        <w:instrText>○</w:instrText>
      </w:r>
      <w:r>
        <w:rPr>
          <w:rFonts w:hint="eastAsia"/>
        </w:rPr>
        <w:instrText>,</w:instrText>
      </w:r>
      <w:r>
        <w:rPr>
          <w:rFonts w:ascii="標楷體" w:hint="eastAsia"/>
          <w:sz w:val="19"/>
        </w:rPr>
        <w:instrText>三</w:instrText>
      </w:r>
      <w:r>
        <w:rPr>
          <w:rFonts w:hint="eastAsia"/>
        </w:rPr>
        <w:instrText>)</w:instrText>
      </w:r>
      <w:r>
        <w:fldChar w:fldCharType="end"/>
      </w:r>
      <w:r>
        <w:rPr>
          <w:rFonts w:hint="eastAsia"/>
        </w:rPr>
        <w:t>納稅義務人之同胞兄弟、姊妹未滿二十歲者，或滿二十歲以上而因在校就學、或因身心殘廢、或因無謀生能力，受納稅義務人扶養者。</w:t>
      </w:r>
    </w:p>
    <w:p w:rsidR="00000000" w:rsidRDefault="00CA394A">
      <w:pPr>
        <w:pStyle w:val="10"/>
        <w:ind w:leftChars="800" w:left="2520" w:hanging="280"/>
        <w:rPr>
          <w:rFonts w:hint="eastAsia"/>
        </w:rPr>
      </w:pPr>
      <w:r>
        <w:fldChar w:fldCharType="begin"/>
      </w:r>
      <w:r>
        <w:instrText xml:space="preserve"> </w:instrText>
      </w:r>
      <w:r>
        <w:rPr>
          <w:rFonts w:hint="eastAsia"/>
        </w:rPr>
        <w:instrText>eq \o\ac(</w:instrText>
      </w:r>
      <w:r>
        <w:rPr>
          <w:rFonts w:hint="eastAsia"/>
        </w:rPr>
        <w:instrText>○</w:instrText>
      </w:r>
      <w:r>
        <w:rPr>
          <w:rFonts w:hint="eastAsia"/>
        </w:rPr>
        <w:instrText>,</w:instrText>
      </w:r>
      <w:r>
        <w:rPr>
          <w:rFonts w:ascii="標楷體" w:hint="eastAsia"/>
          <w:sz w:val="19"/>
        </w:rPr>
        <w:instrText>四</w:instrText>
      </w:r>
      <w:r>
        <w:rPr>
          <w:rFonts w:hint="eastAsia"/>
        </w:rPr>
        <w:instrText>)</w:instrText>
      </w:r>
      <w:r>
        <w:fldChar w:fldCharType="end"/>
      </w:r>
      <w:r>
        <w:rPr>
          <w:rFonts w:hint="eastAsia"/>
        </w:rPr>
        <w:t>納稅義務人之其他親屬，合於民法第一千一百十四條第四款及第一千一百二十三條第三項之規定，未滿二十歲或滿六十歲以上無謀生能力，確係受納稅義務人扶養者。</w:t>
      </w:r>
    </w:p>
    <w:p w:rsidR="00000000" w:rsidRDefault="00CA394A">
      <w:pPr>
        <w:pStyle w:val="10"/>
        <w:ind w:left="2240" w:hanging="280"/>
        <w:rPr>
          <w:rFonts w:hint="eastAsia"/>
        </w:rPr>
      </w:pPr>
      <w:r>
        <w:rPr>
          <w:rFonts w:hint="eastAsia"/>
        </w:rPr>
        <w:t>三、扣除額：</w:t>
      </w:r>
    </w:p>
    <w:p w:rsidR="00000000" w:rsidRDefault="00CA394A">
      <w:pPr>
        <w:pStyle w:val="10"/>
        <w:ind w:leftChars="800" w:left="2520" w:hanging="280"/>
        <w:rPr>
          <w:rFonts w:hint="eastAsia"/>
        </w:rPr>
      </w:pPr>
      <w:r>
        <w:fldChar w:fldCharType="begin"/>
      </w:r>
      <w:r>
        <w:instrText xml:space="preserve"> </w:instrText>
      </w:r>
      <w:r>
        <w:rPr>
          <w:rFonts w:hint="eastAsia"/>
        </w:rPr>
        <w:instrText>eq \o\ac(</w:instrText>
      </w:r>
      <w:r>
        <w:rPr>
          <w:rFonts w:hint="eastAsia"/>
        </w:rPr>
        <w:instrText>○</w:instrText>
      </w:r>
      <w:r>
        <w:rPr>
          <w:rFonts w:hint="eastAsia"/>
        </w:rPr>
        <w:instrText>,</w:instrText>
      </w:r>
      <w:r>
        <w:rPr>
          <w:rFonts w:ascii="標楷體" w:hint="eastAsia"/>
          <w:sz w:val="19"/>
        </w:rPr>
        <w:instrText>一</w:instrText>
      </w:r>
      <w:r>
        <w:rPr>
          <w:rFonts w:hint="eastAsia"/>
        </w:rPr>
        <w:instrText>)</w:instrText>
      </w:r>
      <w:r>
        <w:fldChar w:fldCharType="end"/>
      </w:r>
      <w:r>
        <w:rPr>
          <w:rFonts w:hint="eastAsia"/>
        </w:rPr>
        <w:t>稅捐：依法完納之田賦、地價稅及房屋稅。</w:t>
      </w:r>
    </w:p>
    <w:p w:rsidR="00000000" w:rsidRDefault="00CA394A">
      <w:pPr>
        <w:pStyle w:val="10"/>
        <w:ind w:leftChars="800" w:left="2520" w:hanging="280"/>
        <w:rPr>
          <w:rFonts w:hint="eastAsia"/>
        </w:rPr>
      </w:pPr>
      <w:r>
        <w:fldChar w:fldCharType="begin"/>
      </w:r>
      <w:r>
        <w:instrText xml:space="preserve"> </w:instrText>
      </w:r>
      <w:r>
        <w:rPr>
          <w:rFonts w:hint="eastAsia"/>
        </w:rPr>
        <w:instrText>eq \o\ac(</w:instrText>
      </w:r>
      <w:r>
        <w:rPr>
          <w:rFonts w:hint="eastAsia"/>
        </w:rPr>
        <w:instrText>○</w:instrText>
      </w:r>
      <w:r>
        <w:rPr>
          <w:rFonts w:hint="eastAsia"/>
        </w:rPr>
        <w:instrText>,</w:instrText>
      </w:r>
      <w:r>
        <w:rPr>
          <w:rFonts w:ascii="標楷體" w:hint="eastAsia"/>
          <w:sz w:val="19"/>
        </w:rPr>
        <w:instrText>二</w:instrText>
      </w:r>
      <w:r>
        <w:rPr>
          <w:rFonts w:hint="eastAsia"/>
        </w:rPr>
        <w:instrText>)</w:instrText>
      </w:r>
      <w:r>
        <w:fldChar w:fldCharType="end"/>
      </w:r>
      <w:r>
        <w:rPr>
          <w:rFonts w:hint="eastAsia"/>
        </w:rPr>
        <w:t>捐贈：對於教育、文化、公益、慈善機構或團體之捐贈，以捐贈總額不超過</w:t>
      </w:r>
      <w:r>
        <w:rPr>
          <w:rFonts w:hint="eastAsia"/>
        </w:rPr>
        <w:t>綜合所得總額百分之二十為限，但有關國防、勞軍之捐贈及對政府之捐獻，不受金額之限制。</w:t>
      </w:r>
    </w:p>
    <w:p w:rsidR="00000000" w:rsidRDefault="00CA394A">
      <w:pPr>
        <w:pStyle w:val="10"/>
        <w:ind w:leftChars="800" w:left="2520" w:hanging="280"/>
        <w:rPr>
          <w:rFonts w:hint="eastAsia"/>
        </w:rPr>
      </w:pPr>
      <w:r>
        <w:fldChar w:fldCharType="begin"/>
      </w:r>
      <w:r>
        <w:instrText xml:space="preserve"> </w:instrText>
      </w:r>
      <w:r>
        <w:rPr>
          <w:rFonts w:hint="eastAsia"/>
        </w:rPr>
        <w:instrText>eq \o\ac(</w:instrText>
      </w:r>
      <w:r>
        <w:rPr>
          <w:rFonts w:hint="eastAsia"/>
        </w:rPr>
        <w:instrText>○</w:instrText>
      </w:r>
      <w:r>
        <w:rPr>
          <w:rFonts w:hint="eastAsia"/>
        </w:rPr>
        <w:instrText>,</w:instrText>
      </w:r>
      <w:r>
        <w:rPr>
          <w:rFonts w:ascii="標楷體" w:hint="eastAsia"/>
          <w:sz w:val="19"/>
        </w:rPr>
        <w:instrText>三</w:instrText>
      </w:r>
      <w:r>
        <w:rPr>
          <w:rFonts w:hint="eastAsia"/>
        </w:rPr>
        <w:instrText>)</w:instrText>
      </w:r>
      <w:r>
        <w:fldChar w:fldCharType="end"/>
      </w:r>
      <w:r>
        <w:rPr>
          <w:rFonts w:hint="eastAsia"/>
        </w:rPr>
        <w:t>保險費：納稅義務人本人、配偶及直系親屬之人身保險、勞工保險及軍公教保險之保險費。但每人每年扣除數額以不超過二千元為限。</w:t>
      </w:r>
    </w:p>
    <w:p w:rsidR="00000000" w:rsidRDefault="00CA394A">
      <w:pPr>
        <w:pStyle w:val="10"/>
        <w:ind w:leftChars="800" w:left="2520" w:hanging="280"/>
        <w:rPr>
          <w:rFonts w:hint="eastAsia"/>
        </w:rPr>
      </w:pPr>
      <w:r>
        <w:fldChar w:fldCharType="begin"/>
      </w:r>
      <w:r>
        <w:instrText xml:space="preserve"> </w:instrText>
      </w:r>
      <w:r>
        <w:rPr>
          <w:rFonts w:hint="eastAsia"/>
        </w:rPr>
        <w:instrText>eq \o\ac(</w:instrText>
      </w:r>
      <w:r>
        <w:rPr>
          <w:rFonts w:hint="eastAsia"/>
        </w:rPr>
        <w:instrText>○</w:instrText>
      </w:r>
      <w:r>
        <w:rPr>
          <w:rFonts w:hint="eastAsia"/>
        </w:rPr>
        <w:instrText>,</w:instrText>
      </w:r>
      <w:r>
        <w:rPr>
          <w:rFonts w:ascii="標楷體" w:hint="eastAsia"/>
          <w:sz w:val="19"/>
        </w:rPr>
        <w:instrText>四</w:instrText>
      </w:r>
      <w:r>
        <w:rPr>
          <w:rFonts w:hint="eastAsia"/>
        </w:rPr>
        <w:instrText>)</w:instrText>
      </w:r>
      <w:r>
        <w:fldChar w:fldCharType="end"/>
      </w:r>
      <w:r>
        <w:rPr>
          <w:rFonts w:hint="eastAsia"/>
        </w:rPr>
        <w:t>醫藥及生育費：納稅義務人及同居親屬之醫藥及生育費，超出綜合所得總額百分之十部分。</w:t>
      </w:r>
    </w:p>
    <w:p w:rsidR="00000000" w:rsidRDefault="00CA394A">
      <w:pPr>
        <w:pStyle w:val="10"/>
        <w:ind w:leftChars="800" w:left="2520" w:hanging="280"/>
        <w:rPr>
          <w:rFonts w:hint="eastAsia"/>
        </w:rPr>
      </w:pPr>
      <w:r>
        <w:fldChar w:fldCharType="begin"/>
      </w:r>
      <w:r>
        <w:instrText xml:space="preserve"> </w:instrText>
      </w:r>
      <w:r>
        <w:rPr>
          <w:rFonts w:hint="eastAsia"/>
        </w:rPr>
        <w:instrText>eq \o\ac(</w:instrText>
      </w:r>
      <w:r>
        <w:rPr>
          <w:rFonts w:hint="eastAsia"/>
        </w:rPr>
        <w:instrText>○</w:instrText>
      </w:r>
      <w:r>
        <w:rPr>
          <w:rFonts w:hint="eastAsia"/>
        </w:rPr>
        <w:instrText>,</w:instrText>
      </w:r>
      <w:r>
        <w:rPr>
          <w:rFonts w:ascii="標楷體" w:hint="eastAsia"/>
          <w:sz w:val="19"/>
        </w:rPr>
        <w:instrText>五</w:instrText>
      </w:r>
      <w:r>
        <w:rPr>
          <w:rFonts w:hint="eastAsia"/>
        </w:rPr>
        <w:instrText>)</w:instrText>
      </w:r>
      <w:r>
        <w:fldChar w:fldCharType="end"/>
      </w:r>
      <w:r>
        <w:rPr>
          <w:rFonts w:hint="eastAsia"/>
        </w:rPr>
        <w:t>災害：納稅義務人遭受不可抗力之災害損失，超出綜合所得總額百分之二十部分。但受有保險賠償或救濟金部分，不予扣除。</w:t>
      </w:r>
    </w:p>
    <w:p w:rsidR="00000000" w:rsidRDefault="00CA394A">
      <w:pPr>
        <w:pStyle w:val="10"/>
        <w:ind w:leftChars="800" w:left="2520" w:hanging="280"/>
        <w:rPr>
          <w:rFonts w:hint="eastAsia"/>
        </w:rPr>
      </w:pPr>
      <w:r>
        <w:fldChar w:fldCharType="begin"/>
      </w:r>
      <w:r>
        <w:instrText xml:space="preserve"> </w:instrText>
      </w:r>
      <w:r>
        <w:rPr>
          <w:rFonts w:hint="eastAsia"/>
        </w:rPr>
        <w:instrText>eq \o\a</w:instrText>
      </w:r>
      <w:r>
        <w:rPr>
          <w:rFonts w:hint="eastAsia"/>
        </w:rPr>
        <w:instrText>c(</w:instrText>
      </w:r>
      <w:r>
        <w:rPr>
          <w:rFonts w:hint="eastAsia"/>
        </w:rPr>
        <w:instrText>○</w:instrText>
      </w:r>
      <w:r>
        <w:rPr>
          <w:rFonts w:hint="eastAsia"/>
        </w:rPr>
        <w:instrText>,</w:instrText>
      </w:r>
      <w:r>
        <w:rPr>
          <w:rFonts w:ascii="標楷體" w:hint="eastAsia"/>
          <w:sz w:val="19"/>
        </w:rPr>
        <w:instrText>六</w:instrText>
      </w:r>
      <w:r>
        <w:rPr>
          <w:rFonts w:hint="eastAsia"/>
        </w:rPr>
        <w:instrText>)</w:instrText>
      </w:r>
      <w:r>
        <w:fldChar w:fldCharType="end"/>
      </w:r>
      <w:r>
        <w:rPr>
          <w:rFonts w:hint="eastAsia"/>
        </w:rPr>
        <w:t>財產交易損失：納稅義務人財產交易之損失，其每年度扣除額，以不超過當年度申報之財產交易之所得為限；當年度無財產交易所得可資扣除，或扣除不足者，得以以後三年度之財產交易所得扣除之。</w:t>
      </w:r>
    </w:p>
    <w:p w:rsidR="00000000" w:rsidRDefault="00CA394A">
      <w:pPr>
        <w:pStyle w:val="a6"/>
        <w:ind w:leftChars="700" w:left="1960" w:firstLine="560"/>
        <w:rPr>
          <w:rFonts w:hint="eastAsia"/>
        </w:rPr>
      </w:pPr>
      <w:r>
        <w:rPr>
          <w:rFonts w:hint="eastAsia"/>
        </w:rPr>
        <w:t>財產交易損失之計算，準用第十四條第一項第七類關於計算財產交易增益之規定。</w:t>
      </w:r>
    </w:p>
    <w:p w:rsidR="00000000" w:rsidRDefault="00CA394A">
      <w:pPr>
        <w:pStyle w:val="a6"/>
        <w:ind w:left="1400" w:firstLine="560"/>
        <w:rPr>
          <w:rFonts w:hint="eastAsia"/>
        </w:rPr>
      </w:pPr>
      <w:r>
        <w:rPr>
          <w:rFonts w:hint="eastAsia"/>
        </w:rPr>
        <w:t>納稅義務人對於第一項第三款規定之各項扣除額，不逐項列舉及舉證者，得申報按標準扣除額扣除之，其數額以納稅義務人綜合所得總額百分之十為限，最多不得超過五千元。但綜合所得總額之百分之十不足三千元者，得扣至三千元。</w:t>
      </w:r>
    </w:p>
    <w:p w:rsidR="00000000" w:rsidRDefault="00CA394A">
      <w:pPr>
        <w:pStyle w:val="a6"/>
        <w:ind w:left="1400" w:firstLine="560"/>
        <w:rPr>
          <w:rFonts w:ascii="Arial Unicode MS" w:hAnsi="Arial Unicode MS" w:hint="eastAsia"/>
          <w:sz w:val="24"/>
          <w:szCs w:val="24"/>
        </w:rPr>
      </w:pPr>
      <w:r>
        <w:rPr>
          <w:rFonts w:hint="eastAsia"/>
        </w:rPr>
        <w:t>本條規定寬減額、扣除額之減除，除依第七</w:t>
      </w:r>
      <w:r>
        <w:rPr>
          <w:rFonts w:hint="eastAsia"/>
        </w:rPr>
        <w:t>十一條規定免辦結算申報者外，應以按時申報者為限。</w:t>
      </w:r>
    </w:p>
    <w:p w:rsidR="00000000" w:rsidRDefault="00CA394A">
      <w:pPr>
        <w:pStyle w:val="a5"/>
        <w:ind w:left="1392" w:hangingChars="600" w:hanging="1392"/>
        <w:rPr>
          <w:rFonts w:hint="eastAsia"/>
        </w:rPr>
      </w:pPr>
      <w:r>
        <w:rPr>
          <w:rFonts w:hint="eastAsia"/>
          <w:spacing w:val="-4"/>
          <w:sz w:val="24"/>
        </w:rPr>
        <w:t>第十七條之一</w:t>
      </w:r>
      <w:r>
        <w:rPr>
          <w:rFonts w:hint="eastAsia"/>
        </w:rPr>
        <w:t xml:space="preserve">　　個人於年度進行中因死亡或離境，依第七十一條之一規定辦理綜合所得稅結算申報者，其免稅額、寬減額及標準扣除額之減除，應分別按該年度死亡前日數，或在中華民國境內居住日數，佔全年日數之比例，換算減除。</w:t>
      </w:r>
    </w:p>
    <w:p w:rsidR="00000000" w:rsidRDefault="00CA394A">
      <w:pPr>
        <w:pStyle w:val="af6"/>
        <w:ind w:left="3640" w:hanging="1120"/>
        <w:rPr>
          <w:rFonts w:ascii="Arial Unicode MS" w:hAnsi="Arial Unicode MS" w:hint="eastAsia"/>
          <w:sz w:val="24"/>
          <w:szCs w:val="24"/>
        </w:rPr>
      </w:pPr>
      <w:r>
        <w:rPr>
          <w:rFonts w:hint="eastAsia"/>
        </w:rPr>
        <w:t>第二節　帳簿憑證與會計紀錄</w:t>
      </w:r>
    </w:p>
    <w:p w:rsidR="00000000" w:rsidRDefault="00CA394A">
      <w:pPr>
        <w:pStyle w:val="a5"/>
        <w:ind w:left="1400" w:hanging="1400"/>
        <w:rPr>
          <w:rFonts w:hint="eastAsia"/>
        </w:rPr>
      </w:pPr>
      <w:r>
        <w:rPr>
          <w:rFonts w:hint="eastAsia"/>
        </w:rPr>
        <w:t>第二十一條　　營利事業應保持足以正確計算其營利事業所得額之帳簿憑證及會計紀錄。</w:t>
      </w:r>
    </w:p>
    <w:p w:rsidR="00000000" w:rsidRDefault="00CA394A">
      <w:pPr>
        <w:pStyle w:val="a6"/>
        <w:ind w:left="1400" w:firstLine="560"/>
        <w:rPr>
          <w:rFonts w:ascii="Arial Unicode MS" w:hAnsi="Arial Unicode MS" w:hint="eastAsia"/>
          <w:sz w:val="24"/>
          <w:szCs w:val="24"/>
        </w:rPr>
      </w:pPr>
      <w:r>
        <w:rPr>
          <w:rFonts w:hint="eastAsia"/>
        </w:rPr>
        <w:t>前項帳簿憑證及會計紀錄之設置、取得、使用、保管、驗印、會計處理及其他有關事項之管理辦法，由財政部另定之。</w:t>
      </w:r>
    </w:p>
    <w:p w:rsidR="00000000" w:rsidRDefault="00CA394A">
      <w:pPr>
        <w:pStyle w:val="a5"/>
        <w:ind w:left="1400" w:hanging="1400"/>
        <w:rPr>
          <w:rFonts w:hint="eastAsia"/>
        </w:rPr>
      </w:pPr>
      <w:r>
        <w:rPr>
          <w:rFonts w:hint="eastAsia"/>
        </w:rPr>
        <w:t>第二十五條　　國際運輸事業之總機構在中</w:t>
      </w:r>
      <w:r>
        <w:rPr>
          <w:rFonts w:hint="eastAsia"/>
        </w:rPr>
        <w:t>華民國境外，而有分支機構在中華民國境內者，應按每年度在中華民國境內分支機構之營業收入佔該事業全年度營業總收入之比例，就其全部所得額計算其中華民國境內分支機構之營利事業所得額。</w:t>
      </w:r>
    </w:p>
    <w:p w:rsidR="00000000" w:rsidRDefault="00CA394A">
      <w:pPr>
        <w:pStyle w:val="a6"/>
        <w:ind w:left="1400" w:firstLine="560"/>
        <w:rPr>
          <w:rFonts w:hint="eastAsia"/>
        </w:rPr>
      </w:pPr>
      <w:r>
        <w:rPr>
          <w:rFonts w:hint="eastAsia"/>
        </w:rPr>
        <w:t>國際運輸事業在中華民國境內無分支機構而有營業代理人者，其中華民國境內之營利事業所得額得按前項規定計算，或以其每次在中華民國境內之營業收入之百分之十為中華民國境內之營利事業所得額。</w:t>
      </w:r>
    </w:p>
    <w:p w:rsidR="00000000" w:rsidRDefault="00CA394A">
      <w:pPr>
        <w:pStyle w:val="a6"/>
        <w:ind w:left="1400" w:firstLine="560"/>
        <w:rPr>
          <w:rFonts w:hint="eastAsia"/>
        </w:rPr>
      </w:pPr>
      <w:r>
        <w:rPr>
          <w:rFonts w:hint="eastAsia"/>
        </w:rPr>
        <w:t>前項營利事業所得額計算方法之選定，營業代理人應於每年度開始前一個月內，或於營業開始前申報該管稽徵機關；其未選定申報者，視為選定後法。</w:t>
      </w:r>
    </w:p>
    <w:p w:rsidR="00000000" w:rsidRDefault="00CA394A">
      <w:pPr>
        <w:pStyle w:val="a6"/>
        <w:ind w:left="1400" w:firstLine="560"/>
        <w:rPr>
          <w:rFonts w:hint="eastAsia"/>
        </w:rPr>
      </w:pPr>
      <w:r>
        <w:rPr>
          <w:rFonts w:hint="eastAsia"/>
        </w:rPr>
        <w:t>國際運輸事業在中華民國</w:t>
      </w:r>
      <w:r>
        <w:rPr>
          <w:rFonts w:hint="eastAsia"/>
        </w:rPr>
        <w:t>境內無分支機構及營業代理人者，應按每次在中華民國境內營業收入百分之十為中華民國境內之營利事業所得額。</w:t>
      </w:r>
    </w:p>
    <w:p w:rsidR="00000000" w:rsidRDefault="00CA394A">
      <w:pPr>
        <w:pStyle w:val="a6"/>
        <w:ind w:left="1400" w:firstLine="560"/>
        <w:rPr>
          <w:rFonts w:hint="eastAsia"/>
        </w:rPr>
      </w:pPr>
      <w:r>
        <w:rPr>
          <w:rFonts w:hint="eastAsia"/>
        </w:rPr>
        <w:t>第二項及第四項所稱在中華民國境內之營業收入，其為海運事業者，指自中華民國境內承運出口客貨所取得之全部票價或運費；其為空運事業者，指自中華民國境內起站至中華民國境外第一站間之票價或運費。</w:t>
      </w:r>
    </w:p>
    <w:p w:rsidR="00000000" w:rsidRDefault="00CA394A">
      <w:pPr>
        <w:pStyle w:val="a6"/>
        <w:ind w:left="1400" w:firstLine="560"/>
        <w:rPr>
          <w:rFonts w:ascii="Arial Unicode MS" w:hAnsi="Arial Unicode MS" w:hint="eastAsia"/>
          <w:sz w:val="24"/>
          <w:szCs w:val="24"/>
        </w:rPr>
      </w:pPr>
      <w:r>
        <w:rPr>
          <w:rFonts w:hint="eastAsia"/>
        </w:rPr>
        <w:t>前項所稱中華民國境外之第一站，由財政部以命令定之。</w:t>
      </w:r>
    </w:p>
    <w:p w:rsidR="00000000" w:rsidRDefault="00CA394A">
      <w:pPr>
        <w:pStyle w:val="a5"/>
        <w:ind w:left="1400" w:hanging="1400"/>
        <w:rPr>
          <w:rFonts w:hint="eastAsia"/>
        </w:rPr>
      </w:pPr>
      <w:r>
        <w:rPr>
          <w:rFonts w:hint="eastAsia"/>
        </w:rPr>
        <w:t>第三十二條　　營利事業職工之薪資，合於左列規定者，得以費用或損失列支：</w:t>
      </w:r>
    </w:p>
    <w:p w:rsidR="00000000" w:rsidRDefault="00CA394A">
      <w:pPr>
        <w:pStyle w:val="10"/>
        <w:ind w:left="2240" w:hanging="280"/>
        <w:rPr>
          <w:rFonts w:hint="eastAsia"/>
        </w:rPr>
      </w:pPr>
      <w:r>
        <w:rPr>
          <w:rFonts w:hint="eastAsia"/>
        </w:rPr>
        <w:t>一、公司、合作社職工之薪資、經預先決定或約定執行業務之股東、董事、監察人之薪資，經組織章程規定或股東</w:t>
      </w:r>
      <w:r>
        <w:rPr>
          <w:rFonts w:hint="eastAsia"/>
        </w:rPr>
        <w:t>大會或社員大會預先議決，不論營業盈虧必須支付者。</w:t>
      </w:r>
    </w:p>
    <w:p w:rsidR="00000000" w:rsidRDefault="00CA394A">
      <w:pPr>
        <w:pStyle w:val="10"/>
        <w:ind w:left="2240" w:hanging="280"/>
        <w:rPr>
          <w:rFonts w:ascii="Arial Unicode MS" w:hAnsi="Arial Unicode MS" w:hint="eastAsia"/>
          <w:sz w:val="24"/>
          <w:szCs w:val="24"/>
        </w:rPr>
      </w:pPr>
      <w:r>
        <w:rPr>
          <w:rFonts w:hint="eastAsia"/>
        </w:rPr>
        <w:t>二、合夥及獨資組織之職工薪資</w:t>
      </w:r>
      <w:r>
        <w:rPr>
          <w:rFonts w:hint="eastAsia"/>
        </w:rPr>
        <w:t>、</w:t>
      </w:r>
      <w:bookmarkStart w:id="0" w:name="_GoBack"/>
      <w:bookmarkEnd w:id="0"/>
      <w:r>
        <w:rPr>
          <w:rFonts w:hint="eastAsia"/>
        </w:rPr>
        <w:t>執行業務之合夥人及資本主之薪資，不論營業盈虧必須支付，且不超過同業通常水準者。</w:t>
      </w:r>
    </w:p>
    <w:p w:rsidR="00000000" w:rsidRDefault="00CA394A">
      <w:pPr>
        <w:pStyle w:val="a5"/>
        <w:ind w:left="1400" w:hanging="1400"/>
        <w:rPr>
          <w:rFonts w:hint="eastAsia"/>
        </w:rPr>
      </w:pPr>
      <w:r>
        <w:rPr>
          <w:rFonts w:hint="eastAsia"/>
        </w:rPr>
        <w:t>第三十六條　　凡自由捐贈，與業務無關，或非維持其商業地位或商譽所必要者，不得列為費用或損失。但為協助國防建設、慰勞軍隊及對政府捐獻，或舉辦公益、慈善、文化、教育及直接並積極於國家有益之事業，其捐贈取得確實證據，並合於左列規定之一者，不在此限：</w:t>
      </w:r>
    </w:p>
    <w:p w:rsidR="00000000" w:rsidRDefault="00CA394A">
      <w:pPr>
        <w:pStyle w:val="10"/>
        <w:ind w:left="2240" w:hanging="280"/>
        <w:rPr>
          <w:rFonts w:hint="eastAsia"/>
        </w:rPr>
      </w:pPr>
      <w:r>
        <w:rPr>
          <w:rFonts w:hint="eastAsia"/>
        </w:rPr>
        <w:t>一、經政府核准者。</w:t>
      </w:r>
    </w:p>
    <w:p w:rsidR="00000000" w:rsidRDefault="00CA394A">
      <w:pPr>
        <w:pStyle w:val="10"/>
        <w:ind w:left="2240" w:hanging="280"/>
        <w:rPr>
          <w:rFonts w:hint="eastAsia"/>
        </w:rPr>
      </w:pPr>
      <w:r>
        <w:rPr>
          <w:rFonts w:hint="eastAsia"/>
        </w:rPr>
        <w:t>二、經合於第十一條第四項規定之團體決議者。</w:t>
      </w:r>
    </w:p>
    <w:p w:rsidR="00000000" w:rsidRDefault="00CA394A">
      <w:pPr>
        <w:pStyle w:val="a6"/>
        <w:ind w:left="1400" w:firstLine="560"/>
        <w:rPr>
          <w:rFonts w:ascii="Arial Unicode MS" w:hAnsi="Arial Unicode MS" w:hint="eastAsia"/>
          <w:sz w:val="24"/>
          <w:szCs w:val="24"/>
        </w:rPr>
      </w:pPr>
      <w:r>
        <w:rPr>
          <w:rFonts w:hint="eastAsia"/>
        </w:rPr>
        <w:t>前項捐贈，除協助國防建設、慰勞軍隊及對政府之</w:t>
      </w:r>
      <w:r>
        <w:rPr>
          <w:rFonts w:hint="eastAsia"/>
        </w:rPr>
        <w:t>捐獻，不受金額限制外，以不超過所得額百分之三十為限。</w:t>
      </w:r>
    </w:p>
    <w:p w:rsidR="00000000" w:rsidRDefault="00CA394A">
      <w:pPr>
        <w:pStyle w:val="a5"/>
        <w:ind w:left="1400" w:hanging="1400"/>
        <w:rPr>
          <w:rFonts w:hint="eastAsia"/>
        </w:rPr>
      </w:pPr>
      <w:r>
        <w:rPr>
          <w:rFonts w:hint="eastAsia"/>
        </w:rPr>
        <w:t>第六十九條　　左列各種情形，不適用前兩條之規定：</w:t>
      </w:r>
    </w:p>
    <w:p w:rsidR="00000000" w:rsidRDefault="00CA394A">
      <w:pPr>
        <w:pStyle w:val="10"/>
        <w:ind w:left="2240" w:hanging="280"/>
        <w:rPr>
          <w:rFonts w:hint="eastAsia"/>
        </w:rPr>
      </w:pPr>
      <w:r>
        <w:rPr>
          <w:rFonts w:hint="eastAsia"/>
        </w:rPr>
        <w:t>一、非中華民國境內居住之個人。</w:t>
      </w:r>
    </w:p>
    <w:p w:rsidR="00000000" w:rsidRDefault="00CA394A">
      <w:pPr>
        <w:pStyle w:val="10"/>
        <w:ind w:left="2240" w:hanging="280"/>
        <w:rPr>
          <w:rFonts w:hint="eastAsia"/>
        </w:rPr>
      </w:pPr>
      <w:r>
        <w:rPr>
          <w:rFonts w:hint="eastAsia"/>
        </w:rPr>
        <w:t>二、在中華民國境內無固定營業場所而有營業代理人之營利事業，其營利事業所得稅之課徵，係選定第二十五條規定，由營業代理人按次扣繳，報經該管稽徵機關核准有案者。</w:t>
      </w:r>
    </w:p>
    <w:p w:rsidR="00000000" w:rsidRDefault="00CA394A">
      <w:pPr>
        <w:pStyle w:val="10"/>
        <w:ind w:left="2240" w:hanging="280"/>
        <w:rPr>
          <w:rFonts w:hint="eastAsia"/>
        </w:rPr>
      </w:pPr>
      <w:r>
        <w:rPr>
          <w:rFonts w:hint="eastAsia"/>
        </w:rPr>
        <w:t>三、經核定之小規模營利事業。</w:t>
      </w:r>
    </w:p>
    <w:p w:rsidR="00000000" w:rsidRDefault="00CA394A">
      <w:pPr>
        <w:pStyle w:val="10"/>
        <w:ind w:left="2240" w:hanging="280"/>
        <w:rPr>
          <w:rFonts w:ascii="Arial Unicode MS" w:hAnsi="Arial Unicode MS" w:hint="eastAsia"/>
          <w:sz w:val="24"/>
          <w:szCs w:val="24"/>
        </w:rPr>
      </w:pPr>
      <w:r>
        <w:rPr>
          <w:rFonts w:hint="eastAsia"/>
        </w:rPr>
        <w:t>四、依本法或其他有關法律規定免徵營利事業所得稅者。</w:t>
      </w:r>
    </w:p>
    <w:p w:rsidR="00000000" w:rsidRDefault="00CA394A">
      <w:pPr>
        <w:pStyle w:val="a5"/>
        <w:spacing w:line="400" w:lineRule="exact"/>
        <w:ind w:left="1400" w:hangingChars="700" w:hanging="1400"/>
        <w:rPr>
          <w:rFonts w:hint="eastAsia"/>
        </w:rPr>
      </w:pPr>
      <w:r>
        <w:rPr>
          <w:rFonts w:hint="eastAsia"/>
          <w:spacing w:val="-20"/>
          <w:sz w:val="24"/>
        </w:rPr>
        <w:t>第七十一條之一</w:t>
      </w:r>
      <w:r>
        <w:rPr>
          <w:rFonts w:hint="eastAsia"/>
        </w:rPr>
        <w:t xml:space="preserve">　　中華民國境內居住之個人於年度中死亡，其死亡年度及以前年度依本法規定應申報課稅之所得，除依第七十一條規定免辦結算申報者外，</w:t>
      </w:r>
      <w:r>
        <w:rPr>
          <w:rFonts w:hint="eastAsia"/>
        </w:rPr>
        <w:t>應由遺囑執行人、繼承人或遺囑管理人於死亡人死亡之日起三個月內，依本法之規定辦理結算申報，並就其遺產範圍內代負一切有關申報納稅之義務。</w:t>
      </w:r>
    </w:p>
    <w:p w:rsidR="00000000" w:rsidRDefault="00CA394A">
      <w:pPr>
        <w:pStyle w:val="a6"/>
        <w:ind w:left="1400" w:firstLine="560"/>
        <w:rPr>
          <w:rFonts w:hint="eastAsia"/>
        </w:rPr>
      </w:pPr>
      <w:r>
        <w:rPr>
          <w:rFonts w:hint="eastAsia"/>
        </w:rPr>
        <w:t>中華民國境內居住之個人，於年度中廢止在中華民國境內之住所或居所離境者，應於離境前就該年度之所得辦理結算申報納稅。</w:t>
      </w:r>
    </w:p>
    <w:p w:rsidR="00000000" w:rsidRDefault="00CA394A">
      <w:pPr>
        <w:pStyle w:val="a6"/>
        <w:ind w:left="1400" w:firstLine="560"/>
        <w:rPr>
          <w:rFonts w:ascii="Arial Unicode MS" w:hAnsi="Arial Unicode MS" w:hint="eastAsia"/>
          <w:sz w:val="24"/>
          <w:szCs w:val="24"/>
        </w:rPr>
      </w:pPr>
      <w:r>
        <w:rPr>
          <w:rFonts w:hint="eastAsia"/>
        </w:rPr>
        <w:t>合於第四條第十三款規定之教育、文化、公益、慈善機關或團體及其作業組織，應依第七十一條規定辦理結算申報；其不合免稅要件者，仍應依法課稅。</w:t>
      </w:r>
    </w:p>
    <w:p w:rsidR="00000000" w:rsidRDefault="00CA394A">
      <w:pPr>
        <w:pStyle w:val="a5"/>
        <w:ind w:left="1400" w:hanging="1400"/>
        <w:rPr>
          <w:rFonts w:hint="eastAsia"/>
        </w:rPr>
      </w:pPr>
      <w:r>
        <w:rPr>
          <w:rFonts w:hint="eastAsia"/>
        </w:rPr>
        <w:t>第七十二條　　第七十一條規定之納稅義務人，如有特殊情形，得於結算申報期限屆滿前，報經稽徵機關核准延長其申報期限。但最遲不得超過四</w:t>
      </w:r>
      <w:r>
        <w:rPr>
          <w:rFonts w:hint="eastAsia"/>
        </w:rPr>
        <w:t>月三十日。如係公司組織，得延長至五月十五日；如係委託會計師或其他合法代理人查核簽證申報者，得延長至五月三十一日。</w:t>
      </w:r>
    </w:p>
    <w:p w:rsidR="00000000" w:rsidRDefault="00CA394A">
      <w:pPr>
        <w:pStyle w:val="a6"/>
        <w:ind w:left="1400" w:firstLine="560"/>
        <w:rPr>
          <w:rFonts w:hint="eastAsia"/>
        </w:rPr>
      </w:pPr>
      <w:r>
        <w:rPr>
          <w:rFonts w:hint="eastAsia"/>
        </w:rPr>
        <w:t>第七十一條之一第一項規定之申報期限，遺囑執行人、繼承人或遺囑管理人，如有特殊情形，得於結算申報期限屆滿前，報經稽徵機關核准延長其申報期限。但最遲不得超過遺產稅之申報期限。</w:t>
      </w:r>
    </w:p>
    <w:p w:rsidR="00000000" w:rsidRDefault="00CA394A">
      <w:pPr>
        <w:pStyle w:val="a6"/>
        <w:ind w:left="1400" w:firstLine="560"/>
        <w:rPr>
          <w:rFonts w:ascii="Arial Unicode MS" w:hAnsi="Arial Unicode MS" w:hint="eastAsia"/>
          <w:sz w:val="24"/>
          <w:szCs w:val="24"/>
        </w:rPr>
      </w:pPr>
      <w:r>
        <w:rPr>
          <w:rFonts w:hint="eastAsia"/>
        </w:rPr>
        <w:t>第七十一條之一第二項及第七十三條規定之納稅義務人，如有特殊情形，不能依限或自行辦理申報納稅者，得報經稽徵機關核准，委託中華民國境內居住之個人負責代理申報納稅；如有欠繳稅款情事或未經委託會計師或其他合法代理人代理申報納稅者，稽徵</w:t>
      </w:r>
      <w:r>
        <w:rPr>
          <w:rFonts w:hint="eastAsia"/>
        </w:rPr>
        <w:t>機關得通知主管出入國境之審核機關，不予辦理出國手續。</w:t>
      </w:r>
    </w:p>
    <w:p w:rsidR="00000000" w:rsidRDefault="00CA394A">
      <w:pPr>
        <w:pStyle w:val="a5"/>
        <w:ind w:left="1400" w:hanging="1400"/>
        <w:rPr>
          <w:rFonts w:hint="eastAsia"/>
        </w:rPr>
      </w:pPr>
      <w:r>
        <w:rPr>
          <w:rFonts w:hint="eastAsia"/>
        </w:rPr>
        <w:t>第七十三條　　非中華民國境內居住之個人，及在中華民國境內無固定營業場所及營業代理人之營利事業，在中華民國境內有第八十八條規定之各項所得者，不適用第七十一條關於結算申報之規定，其應納所得稅應由扣繳義務人於給付時，依規定之扣繳率扣繳之；如有非屬第八十八條規定扣繳範圍之所得，並於該年度所得稅申報期限開始前離境者，應離境前向該管稽徵機關辦理申報，依規定稅率納稅；其於該年度所得稅申報期限內尚未離境者，應於申報期限內依有關規定申報納稅。</w:t>
      </w:r>
    </w:p>
    <w:p w:rsidR="00000000" w:rsidRDefault="00CA394A">
      <w:pPr>
        <w:pStyle w:val="a6"/>
        <w:ind w:left="1400" w:firstLine="560"/>
        <w:rPr>
          <w:rFonts w:ascii="Arial Unicode MS" w:hAnsi="Arial Unicode MS" w:hint="eastAsia"/>
          <w:sz w:val="24"/>
          <w:szCs w:val="24"/>
        </w:rPr>
      </w:pPr>
      <w:r>
        <w:rPr>
          <w:rFonts w:hint="eastAsia"/>
        </w:rPr>
        <w:t>在中華民國境內無固定營業場所</w:t>
      </w:r>
      <w:r>
        <w:rPr>
          <w:rFonts w:hint="eastAsia"/>
        </w:rPr>
        <w:t>，而有營業代理人之營利事業，除依第二十五條及第二十六條規定計算所得額，並依規定扣繳所得稅款者外，其營利事業所得稅應由其營業代理人負責，依本法規定向該管稽徵機關申報納稅。</w:t>
      </w:r>
    </w:p>
    <w:p w:rsidR="00000000" w:rsidRDefault="00CA394A">
      <w:pPr>
        <w:pStyle w:val="a5"/>
        <w:ind w:left="1400" w:hanging="1400"/>
        <w:rPr>
          <w:rFonts w:hint="eastAsia"/>
        </w:rPr>
      </w:pPr>
      <w:r>
        <w:rPr>
          <w:rFonts w:hint="eastAsia"/>
        </w:rPr>
        <w:t>第七十五條　　營利事業遇有解散、廢止、合併或轉讓情事時，應於截至解散、廢止、合併或轉讓之日止，辦理當期決算，於四十五日內，依規定格式，向該管稽徵機關申報其營利事業所得額及應納稅額，並於提出申報前自行繳納之。</w:t>
      </w:r>
    </w:p>
    <w:p w:rsidR="00000000" w:rsidRDefault="00CA394A">
      <w:pPr>
        <w:pStyle w:val="a6"/>
        <w:ind w:left="1400" w:firstLine="560"/>
        <w:rPr>
          <w:rFonts w:hint="eastAsia"/>
        </w:rPr>
      </w:pPr>
      <w:r>
        <w:rPr>
          <w:rFonts w:hint="eastAsia"/>
        </w:rPr>
        <w:t>營利事業在清算期間之清算所得，應於清算結束之日起三十日內，依規定格式書表向該管稽徵機關申報，並於申報前依照當年度所適用之營利事業所得稅</w:t>
      </w:r>
      <w:r>
        <w:rPr>
          <w:rFonts w:hint="eastAsia"/>
        </w:rPr>
        <w:t>稅率自行計算繳納。但依其他法律得免除清算程序者，不適用之。</w:t>
      </w:r>
    </w:p>
    <w:p w:rsidR="00000000" w:rsidRDefault="00CA394A">
      <w:pPr>
        <w:pStyle w:val="a6"/>
        <w:ind w:left="1400" w:firstLine="560"/>
        <w:rPr>
          <w:rFonts w:hint="eastAsia"/>
        </w:rPr>
      </w:pPr>
      <w:r>
        <w:rPr>
          <w:rFonts w:hint="eastAsia"/>
        </w:rPr>
        <w:t>前項所稱清算期間，其屬公司組織者，依公司法規定之期限；其非屬公司組織者，為自解散、廢止、合併或轉讓之日起三個月。</w:t>
      </w:r>
    </w:p>
    <w:p w:rsidR="00000000" w:rsidRDefault="00CA394A">
      <w:pPr>
        <w:pStyle w:val="a6"/>
        <w:ind w:left="1400" w:firstLine="560"/>
        <w:rPr>
          <w:rFonts w:hint="eastAsia"/>
        </w:rPr>
      </w:pPr>
      <w:r>
        <w:rPr>
          <w:rFonts w:hint="eastAsia"/>
        </w:rPr>
        <w:t>營利事業未依本條規定期限申報其當期決算所得額或清算所得者，稽徵機關應即依查得資料核定其所得額及應納稅額。</w:t>
      </w:r>
    </w:p>
    <w:p w:rsidR="00000000" w:rsidRDefault="00CA394A">
      <w:pPr>
        <w:pStyle w:val="a6"/>
        <w:ind w:left="1400" w:firstLine="560"/>
        <w:rPr>
          <w:rFonts w:hint="eastAsia"/>
        </w:rPr>
      </w:pPr>
      <w:r>
        <w:rPr>
          <w:rFonts w:hint="eastAsia"/>
        </w:rPr>
        <w:t>營利事業宣告破產者，應於法院公告債權登記期間截止十日前，向該管稽徵機關提出當期營利事業所得稅決算申報；其未依限申報者，稽徵機關應即依查得之資料，核定其所得額及應納稅額。</w:t>
      </w:r>
    </w:p>
    <w:p w:rsidR="00000000" w:rsidRDefault="00CA394A">
      <w:pPr>
        <w:pStyle w:val="a6"/>
        <w:ind w:left="1400" w:firstLine="560"/>
        <w:rPr>
          <w:rFonts w:ascii="Arial Unicode MS" w:hAnsi="Arial Unicode MS" w:hint="eastAsia"/>
          <w:sz w:val="24"/>
          <w:szCs w:val="24"/>
        </w:rPr>
      </w:pPr>
      <w:r>
        <w:rPr>
          <w:rFonts w:hint="eastAsia"/>
        </w:rPr>
        <w:t>法院應將前項宣告破產之營利事業，於公告債權登記之同時通知當地稽</w:t>
      </w:r>
      <w:r>
        <w:rPr>
          <w:rFonts w:hint="eastAsia"/>
        </w:rPr>
        <w:t>徵機關。</w:t>
      </w:r>
    </w:p>
    <w:p w:rsidR="00000000" w:rsidRDefault="00CA394A">
      <w:pPr>
        <w:pStyle w:val="a5"/>
        <w:ind w:left="1400" w:hanging="1400"/>
        <w:rPr>
          <w:rFonts w:hint="eastAsia"/>
        </w:rPr>
      </w:pPr>
      <w:r>
        <w:rPr>
          <w:rFonts w:hint="eastAsia"/>
        </w:rPr>
        <w:t>第七十六條　　納稅義務人辦理結算申報，應檢附扣繳憑單、自繳稅款繳款書收據，及其他有關證明文件、單據；其為營利事業所得稅納稅義務人者，並應提出資產負債表、財產目錄及損益表。</w:t>
      </w:r>
    </w:p>
    <w:p w:rsidR="00000000" w:rsidRDefault="00CA394A">
      <w:pPr>
        <w:pStyle w:val="a6"/>
        <w:ind w:left="1400" w:firstLine="560"/>
        <w:rPr>
          <w:rFonts w:ascii="Arial Unicode MS" w:hAnsi="Arial Unicode MS" w:hint="eastAsia"/>
          <w:sz w:val="24"/>
          <w:szCs w:val="24"/>
        </w:rPr>
      </w:pPr>
      <w:r>
        <w:rPr>
          <w:rFonts w:hint="eastAsia"/>
        </w:rPr>
        <w:t>公司及合作社負責人於申報營利事業所得稅時，應將股東或社員之姓名、住址、已付之股利</w:t>
      </w:r>
      <w:r>
        <w:rPr>
          <w:rFonts w:hint="eastAsia"/>
          <w:spacing w:val="-4"/>
        </w:rPr>
        <w:t>或盈餘數額；合夥組織之負責人應將合夥人姓名、住址、出資比例及分配損益之比例，列單申報。</w:t>
      </w:r>
    </w:p>
    <w:p w:rsidR="00000000" w:rsidRDefault="00CA394A">
      <w:pPr>
        <w:pStyle w:val="a5"/>
        <w:spacing w:line="400" w:lineRule="exact"/>
        <w:ind w:left="1400" w:hangingChars="700" w:hanging="1400"/>
        <w:rPr>
          <w:rFonts w:hint="eastAsia"/>
        </w:rPr>
      </w:pPr>
      <w:r>
        <w:rPr>
          <w:rFonts w:hint="eastAsia"/>
          <w:spacing w:val="-20"/>
          <w:sz w:val="24"/>
        </w:rPr>
        <w:t>第七十六條之一</w:t>
      </w:r>
      <w:r>
        <w:rPr>
          <w:rFonts w:hint="eastAsia"/>
        </w:rPr>
        <w:t xml:space="preserve">　　公司組織之營利事業，其未分配盈餘累積數超過已收資本額四分之一以上者，應於次一營業年度內，利用未分配盈餘，辦理增資，增資後未分配盈餘保留數以不超過</w:t>
      </w:r>
      <w:r>
        <w:rPr>
          <w:rFonts w:hint="eastAsia"/>
        </w:rPr>
        <w:t>本次增資後已收資本額四分之一為限；其未依規定辦理增資者，稽徵機關應以其全部累積未分配之盈餘，按每股份之應分配數歸戶，並依實際歸戶年度稅率，課徵所得稅。</w:t>
      </w:r>
    </w:p>
    <w:p w:rsidR="00000000" w:rsidRDefault="00CA394A">
      <w:pPr>
        <w:pStyle w:val="a6"/>
        <w:ind w:left="1400" w:firstLine="560"/>
        <w:rPr>
          <w:rFonts w:hint="eastAsia"/>
        </w:rPr>
      </w:pPr>
      <w:r>
        <w:rPr>
          <w:rFonts w:hint="eastAsia"/>
        </w:rPr>
        <w:t>前項所稱未分配盈餘，以經主管稽徵機關核定之營利事業所得額，減除左列各項後之餘額為準：</w:t>
      </w:r>
    </w:p>
    <w:p w:rsidR="00000000" w:rsidRDefault="00CA394A">
      <w:pPr>
        <w:pStyle w:val="10"/>
        <w:ind w:left="2240" w:hanging="280"/>
        <w:rPr>
          <w:rFonts w:hint="eastAsia"/>
        </w:rPr>
      </w:pPr>
      <w:r>
        <w:rPr>
          <w:rFonts w:hint="eastAsia"/>
        </w:rPr>
        <w:t>一、當年度應納之營利事業所得稅。</w:t>
      </w:r>
    </w:p>
    <w:p w:rsidR="00000000" w:rsidRDefault="00CA394A">
      <w:pPr>
        <w:pStyle w:val="10"/>
        <w:ind w:left="2240" w:hanging="280"/>
        <w:rPr>
          <w:rFonts w:hint="eastAsia"/>
        </w:rPr>
      </w:pPr>
      <w:r>
        <w:rPr>
          <w:rFonts w:hint="eastAsia"/>
        </w:rPr>
        <w:t>二、彌補以往年度虧損。</w:t>
      </w:r>
    </w:p>
    <w:p w:rsidR="00000000" w:rsidRDefault="00CA394A">
      <w:pPr>
        <w:pStyle w:val="10"/>
        <w:ind w:left="2240" w:hanging="280"/>
        <w:rPr>
          <w:rFonts w:hint="eastAsia"/>
        </w:rPr>
      </w:pPr>
      <w:r>
        <w:rPr>
          <w:rFonts w:hint="eastAsia"/>
        </w:rPr>
        <w:t>三、依股東會決議應分配之股利。</w:t>
      </w:r>
    </w:p>
    <w:p w:rsidR="00000000" w:rsidRDefault="00CA394A">
      <w:pPr>
        <w:pStyle w:val="10"/>
        <w:ind w:left="2240" w:hanging="280"/>
        <w:rPr>
          <w:rFonts w:hint="eastAsia"/>
        </w:rPr>
      </w:pPr>
      <w:r>
        <w:rPr>
          <w:rFonts w:hint="eastAsia"/>
        </w:rPr>
        <w:t>四、依公司法規定提列之法定盈餘公積。</w:t>
      </w:r>
    </w:p>
    <w:p w:rsidR="00000000" w:rsidRDefault="00CA394A">
      <w:pPr>
        <w:pStyle w:val="10"/>
        <w:ind w:left="2240" w:hanging="280"/>
        <w:rPr>
          <w:rFonts w:hint="eastAsia"/>
        </w:rPr>
      </w:pPr>
      <w:r>
        <w:rPr>
          <w:rFonts w:hint="eastAsia"/>
        </w:rPr>
        <w:t>五、依本國與外國所訂之條約，或依本國與外國或國際機構就經濟援助或貸款協議所訂之契約中，規定應提列之償債基金，或對於分配盈餘有限制者，其限制部分。</w:t>
      </w:r>
    </w:p>
    <w:p w:rsidR="00000000" w:rsidRDefault="00CA394A">
      <w:pPr>
        <w:pStyle w:val="10"/>
        <w:ind w:left="2240" w:hanging="280"/>
        <w:rPr>
          <w:rFonts w:hint="eastAsia"/>
        </w:rPr>
      </w:pPr>
      <w:r>
        <w:rPr>
          <w:rFonts w:hint="eastAsia"/>
        </w:rPr>
        <w:t>六、該公司章程規定應分派董監、職工之紅利。</w:t>
      </w:r>
    </w:p>
    <w:p w:rsidR="00000000" w:rsidRDefault="00CA394A">
      <w:pPr>
        <w:pStyle w:val="10"/>
        <w:ind w:left="2240" w:hanging="280"/>
        <w:rPr>
          <w:rFonts w:hint="eastAsia"/>
        </w:rPr>
      </w:pPr>
      <w:r>
        <w:rPr>
          <w:rFonts w:hint="eastAsia"/>
        </w:rPr>
        <w:t>七、依證券交易法第四十一條之規定，由主管機關命令規定提列之特別盈餘公積。</w:t>
      </w:r>
    </w:p>
    <w:p w:rsidR="00000000" w:rsidRDefault="00CA394A">
      <w:pPr>
        <w:pStyle w:val="10"/>
        <w:ind w:left="2240" w:hanging="280"/>
        <w:rPr>
          <w:rFonts w:hint="eastAsia"/>
        </w:rPr>
      </w:pPr>
      <w:r>
        <w:rPr>
          <w:rFonts w:hint="eastAsia"/>
        </w:rPr>
        <w:t>八、</w:t>
      </w:r>
      <w:r>
        <w:rPr>
          <w:rFonts w:hint="eastAsia"/>
          <w:spacing w:val="-4"/>
        </w:rPr>
        <w:t>損益計算項目，因超越規定之列支標準，未准列支，具有合法憑證及能提出正當理由者。</w:t>
      </w:r>
    </w:p>
    <w:p w:rsidR="00000000" w:rsidRDefault="00CA394A">
      <w:pPr>
        <w:pStyle w:val="10"/>
        <w:ind w:left="2240" w:hanging="280"/>
        <w:rPr>
          <w:rFonts w:ascii="Arial Unicode MS" w:hAnsi="Arial Unicode MS" w:hint="eastAsia"/>
          <w:sz w:val="24"/>
          <w:szCs w:val="24"/>
        </w:rPr>
      </w:pPr>
      <w:r>
        <w:rPr>
          <w:rFonts w:hint="eastAsia"/>
        </w:rPr>
        <w:t>九、經財政部核准之其他項目。</w:t>
      </w:r>
    </w:p>
    <w:p w:rsidR="00000000" w:rsidRDefault="00CA394A">
      <w:pPr>
        <w:pStyle w:val="a5"/>
        <w:ind w:left="1400" w:hanging="1400"/>
        <w:rPr>
          <w:rFonts w:hint="eastAsia"/>
        </w:rPr>
      </w:pPr>
      <w:r>
        <w:rPr>
          <w:rFonts w:hint="eastAsia"/>
        </w:rPr>
        <w:t>第七十九條　　納稅義務人未依規定期限辦理結算申報者，稽徵機關應即填具滯報通知書，送達納稅義務人，限於接到滯報通知書之日起十五日內補辦結算申報；其逾限仍未辦理結算申報者，稽徵機關應依查得之資料或同業利潤標準，核定其所得額及應納稅額，並填具核定稅額通知書連同繳款書，送達納稅義務人依限</w:t>
      </w:r>
      <w:r>
        <w:rPr>
          <w:rFonts w:hint="eastAsia"/>
        </w:rPr>
        <w:t>繳納；嗣後如經調查另行發現課稅資料，仍應依第一百一十五條規定辦理。</w:t>
      </w:r>
    </w:p>
    <w:p w:rsidR="00000000" w:rsidRDefault="00CA394A">
      <w:pPr>
        <w:pStyle w:val="a6"/>
        <w:ind w:left="1400" w:firstLine="560"/>
        <w:rPr>
          <w:rFonts w:ascii="Arial Unicode MS" w:hAnsi="Arial Unicode MS" w:hint="eastAsia"/>
          <w:sz w:val="24"/>
          <w:szCs w:val="24"/>
        </w:rPr>
      </w:pPr>
      <w:r>
        <w:rPr>
          <w:rFonts w:hint="eastAsia"/>
        </w:rPr>
        <w:t>納稅義務人如為使用綜乙申報書之個人及使用簡易申報書之小規模營利事業，不適用前項催報之規定；其逾限未申報者，稽徵機關應即依查得之資料或同業利潤標準，核定其所得額及應納稅額，通知依限繳納，納稅義務人不得提出異議；嗣後稽徵機關在第一百一十五條規定之期間內，如經調查另行發現課稅資料，仍應依法核定補徵。</w:t>
      </w:r>
    </w:p>
    <w:p w:rsidR="00000000" w:rsidRDefault="00CA394A">
      <w:pPr>
        <w:pStyle w:val="a5"/>
        <w:ind w:left="1000" w:hanging="1000"/>
        <w:rPr>
          <w:rFonts w:hint="eastAsia"/>
        </w:rPr>
      </w:pPr>
      <w:r>
        <w:rPr>
          <w:rFonts w:hint="eastAsia"/>
          <w:spacing w:val="-20"/>
          <w:sz w:val="24"/>
        </w:rPr>
        <w:t>第八十二條之一</w:t>
      </w:r>
      <w:r>
        <w:rPr>
          <w:rFonts w:hint="eastAsia"/>
        </w:rPr>
        <w:t xml:space="preserve">　　有左列情形之一者，視為未申請復查：</w:t>
      </w:r>
    </w:p>
    <w:p w:rsidR="00000000" w:rsidRDefault="00CA394A">
      <w:pPr>
        <w:pStyle w:val="10"/>
        <w:ind w:left="2240" w:hanging="280"/>
        <w:rPr>
          <w:rFonts w:hint="eastAsia"/>
        </w:rPr>
      </w:pPr>
      <w:r>
        <w:rPr>
          <w:rFonts w:hint="eastAsia"/>
        </w:rPr>
        <w:t>一、納稅義務人未依前條第一項規定期限繳納二分之一稅款或提供擔保，而申請復查者。</w:t>
      </w:r>
    </w:p>
    <w:p w:rsidR="00000000" w:rsidRDefault="00CA394A">
      <w:pPr>
        <w:pStyle w:val="10"/>
        <w:ind w:left="2240" w:hanging="280"/>
        <w:rPr>
          <w:rFonts w:ascii="Arial Unicode MS" w:hAnsi="Arial Unicode MS" w:hint="eastAsia"/>
          <w:sz w:val="24"/>
          <w:szCs w:val="24"/>
        </w:rPr>
      </w:pPr>
      <w:r>
        <w:rPr>
          <w:rFonts w:hint="eastAsia"/>
        </w:rPr>
        <w:t>二、納稅義務人</w:t>
      </w:r>
      <w:r>
        <w:rPr>
          <w:rFonts w:hint="eastAsia"/>
        </w:rPr>
        <w:t>已依前條第一項規定期限繳納二分之一稅款或提供擔保。但未於規定限期內申請復查者。</w:t>
      </w:r>
    </w:p>
    <w:p w:rsidR="00000000" w:rsidRDefault="00CA394A">
      <w:pPr>
        <w:pStyle w:val="a5"/>
        <w:ind w:left="1400" w:hanging="1400"/>
        <w:rPr>
          <w:rFonts w:hint="eastAsia"/>
        </w:rPr>
      </w:pPr>
      <w:r>
        <w:rPr>
          <w:rFonts w:hint="eastAsia"/>
        </w:rPr>
        <w:t>第八十八條　　納稅義務人有左列各類所得者，應由扣繳義務人於給付時，依規定之扣繳率或扣繳辦法扣取稅款，並依第九十二條規定繳納之：</w:t>
      </w:r>
    </w:p>
    <w:p w:rsidR="00000000" w:rsidRDefault="00CA394A">
      <w:pPr>
        <w:pStyle w:val="10"/>
        <w:ind w:left="2240" w:hanging="280"/>
        <w:rPr>
          <w:rFonts w:hint="eastAsia"/>
        </w:rPr>
      </w:pPr>
      <w:r>
        <w:rPr>
          <w:rFonts w:hint="eastAsia"/>
        </w:rPr>
        <w:t>一、公司分配之股利、合作社分配之盈餘、合夥組織分配予非中華民國境內居住之合夥人之盈餘，及獨資組織給付予非中華民國境內居住之獨資資本主之營利所得。</w:t>
      </w:r>
    </w:p>
    <w:p w:rsidR="00000000" w:rsidRDefault="00CA394A">
      <w:pPr>
        <w:pStyle w:val="10"/>
        <w:ind w:left="2240" w:hanging="280"/>
        <w:rPr>
          <w:rFonts w:hint="eastAsia"/>
        </w:rPr>
      </w:pPr>
      <w:r>
        <w:rPr>
          <w:rFonts w:hint="eastAsia"/>
        </w:rPr>
        <w:t>二、機關、團體、事業或執行業務者所給付之薪資、利息、租金、權利金、競技競賽，機會中獎等之獎金或給與，及執行業務者之報酬。</w:t>
      </w:r>
    </w:p>
    <w:p w:rsidR="00000000" w:rsidRDefault="00CA394A">
      <w:pPr>
        <w:pStyle w:val="10"/>
        <w:ind w:left="2240" w:hanging="280"/>
        <w:rPr>
          <w:rFonts w:hint="eastAsia"/>
        </w:rPr>
      </w:pPr>
      <w:r>
        <w:rPr>
          <w:rFonts w:hint="eastAsia"/>
        </w:rPr>
        <w:t>三、第二十五條規定之國際運輸事業，在</w:t>
      </w:r>
      <w:r>
        <w:rPr>
          <w:rFonts w:hint="eastAsia"/>
        </w:rPr>
        <w:t>中華民國境內無分支機構而有營業代理人，經選定以其每次在中華民國境內之營業收入之百分之十為所得額計算方法者；及在中華民國境內無分支機構或營業代理人者，其在中華民國境內之營利事業所得額。</w:t>
      </w:r>
    </w:p>
    <w:p w:rsidR="00000000" w:rsidRDefault="00CA394A">
      <w:pPr>
        <w:pStyle w:val="10"/>
        <w:ind w:left="2240" w:hanging="280"/>
        <w:rPr>
          <w:rFonts w:hint="eastAsia"/>
        </w:rPr>
      </w:pPr>
      <w:r>
        <w:rPr>
          <w:rFonts w:hint="eastAsia"/>
        </w:rPr>
        <w:t>四、第二十六條規定在中華民國境內無分支機構之國外影片事業，其在中華民國境內之營利事業所得額。</w:t>
      </w:r>
    </w:p>
    <w:p w:rsidR="00000000" w:rsidRDefault="00CA394A">
      <w:pPr>
        <w:pStyle w:val="a6"/>
        <w:ind w:left="1400" w:firstLine="560"/>
        <w:rPr>
          <w:rFonts w:ascii="Arial Unicode MS" w:hAnsi="Arial Unicode MS" w:hint="eastAsia"/>
          <w:sz w:val="24"/>
          <w:szCs w:val="24"/>
        </w:rPr>
      </w:pPr>
      <w:r>
        <w:rPr>
          <w:rFonts w:hint="eastAsia"/>
        </w:rPr>
        <w:t>本條各類所得之扣繳率及扣繳辦法，由財政部擬訂，呈准行政院發布實施。</w:t>
      </w:r>
    </w:p>
    <w:p w:rsidR="00000000" w:rsidRDefault="00CA394A">
      <w:pPr>
        <w:pStyle w:val="a5"/>
        <w:ind w:left="1400" w:hanging="1400"/>
        <w:rPr>
          <w:rFonts w:hint="eastAsia"/>
        </w:rPr>
      </w:pPr>
      <w:r>
        <w:rPr>
          <w:rFonts w:hint="eastAsia"/>
        </w:rPr>
        <w:t>第八十九條　　前條各類所得稅款，其扣繳義務人及納稅義務人如左：</w:t>
      </w:r>
    </w:p>
    <w:p w:rsidR="00000000" w:rsidRDefault="00CA394A">
      <w:pPr>
        <w:pStyle w:val="10"/>
        <w:ind w:left="2240" w:hanging="280"/>
        <w:rPr>
          <w:rFonts w:hint="eastAsia"/>
        </w:rPr>
      </w:pPr>
      <w:r>
        <w:rPr>
          <w:rFonts w:hint="eastAsia"/>
        </w:rPr>
        <w:t>一、公司分配於股東之股利、合作社分配予社員之盈餘、合夥組織分配予非中華民國境內居住之合夥人之盈餘，及獨</w:t>
      </w:r>
      <w:r>
        <w:rPr>
          <w:rFonts w:hint="eastAsia"/>
        </w:rPr>
        <w:t>資組織給付予非中華民國境內居住之獨資資本主之營利所得，其扣繳義務人為公司、合作社、合夥組織或獨資組織負責人；納稅義務人為股東、社員或非中華民國境內居住之合夥人或獨資資本主。</w:t>
      </w:r>
    </w:p>
    <w:p w:rsidR="00000000" w:rsidRDefault="00CA394A">
      <w:pPr>
        <w:pStyle w:val="10"/>
        <w:ind w:left="2240" w:hanging="280"/>
        <w:rPr>
          <w:rFonts w:hint="eastAsia"/>
        </w:rPr>
      </w:pPr>
      <w:r>
        <w:rPr>
          <w:rFonts w:hint="eastAsia"/>
        </w:rPr>
        <w:t>二、薪資、利息、租金、權利金、執行業務報酬及競技競賽，機會中獎獎金或給與等所得稅款扣繳義務人，為機關、團體之主辦會計人員、事業負責人及執行業務者；納稅義務人為取得所得者。</w:t>
      </w:r>
    </w:p>
    <w:p w:rsidR="00000000" w:rsidRDefault="00CA394A">
      <w:pPr>
        <w:pStyle w:val="10"/>
        <w:ind w:left="2240" w:hanging="280"/>
        <w:rPr>
          <w:rFonts w:hint="eastAsia"/>
        </w:rPr>
      </w:pPr>
      <w:r>
        <w:rPr>
          <w:rFonts w:hint="eastAsia"/>
        </w:rPr>
        <w:t>三、國際運輸事業之營利事業所得稅款扣繳義務人，為營業代理人或給付人；納稅義務人為國外之國際運輸事業。</w:t>
      </w:r>
    </w:p>
    <w:p w:rsidR="00000000" w:rsidRDefault="00CA394A">
      <w:pPr>
        <w:pStyle w:val="10"/>
        <w:ind w:left="2240" w:hanging="280"/>
        <w:rPr>
          <w:rFonts w:hint="eastAsia"/>
        </w:rPr>
      </w:pPr>
      <w:r>
        <w:rPr>
          <w:rFonts w:hint="eastAsia"/>
        </w:rPr>
        <w:t>四、國外影片事業之營利事業所得稅款扣繳義務人，為營業代理人或給付</w:t>
      </w:r>
      <w:r>
        <w:rPr>
          <w:rFonts w:hint="eastAsia"/>
        </w:rPr>
        <w:t>人；納稅義務人為國外影片事業。</w:t>
      </w:r>
    </w:p>
    <w:p w:rsidR="00000000" w:rsidRDefault="00CA394A">
      <w:pPr>
        <w:pStyle w:val="a6"/>
        <w:ind w:left="1400" w:firstLine="560"/>
        <w:rPr>
          <w:rFonts w:hint="eastAsia"/>
        </w:rPr>
      </w:pPr>
      <w:r>
        <w:rPr>
          <w:rFonts w:hint="eastAsia"/>
        </w:rPr>
        <w:t>扣繳義務人未履行扣繳責任，而有行蹤不明或其他情事，致無從追究者，稽徵機關得逕向納稅義務人徵收之。</w:t>
      </w:r>
    </w:p>
    <w:p w:rsidR="00000000" w:rsidRDefault="00CA394A">
      <w:pPr>
        <w:pStyle w:val="a6"/>
        <w:ind w:left="1400" w:firstLine="560"/>
        <w:rPr>
          <w:rFonts w:ascii="Arial Unicode MS" w:hAnsi="Arial Unicode MS" w:hint="eastAsia"/>
          <w:sz w:val="24"/>
          <w:szCs w:val="24"/>
        </w:rPr>
      </w:pPr>
      <w:r>
        <w:rPr>
          <w:rFonts w:hint="eastAsia"/>
        </w:rPr>
        <w:t>公私機關、團體、學校或事業每年所給付之薪資、授課或演講之鐘點費、稿費及各種勞務報酬，依本法規定不屬扣繳範圍，或因未達起扣點，而未經扣繳稅款者，應於每年一月底前，將受</w:t>
      </w:r>
      <w:r>
        <w:rPr>
          <w:rFonts w:hint="eastAsia"/>
          <w:spacing w:val="-4"/>
        </w:rPr>
        <w:t>領人姓名、住址、國民身分證統一編號及全年給付金額等，依規定格式，列單申報主管稽徵機關。</w:t>
      </w:r>
    </w:p>
    <w:p w:rsidR="00000000" w:rsidRDefault="00CA394A">
      <w:pPr>
        <w:pStyle w:val="a5"/>
        <w:ind w:left="1400" w:hanging="1400"/>
        <w:rPr>
          <w:rFonts w:hint="eastAsia"/>
        </w:rPr>
      </w:pPr>
      <w:r>
        <w:rPr>
          <w:rFonts w:hint="eastAsia"/>
        </w:rPr>
        <w:t>第九十二條　　第八十八條各類所得稅款之扣繳義務人，應於代扣稅款之日起十日內，將所扣稅款向國庫繳清，並於每年一月底前就上一年內扣繳各</w:t>
      </w:r>
      <w:r>
        <w:rPr>
          <w:rFonts w:hint="eastAsia"/>
        </w:rPr>
        <w:t>納稅義務人之稅款數額，開具扣繳憑單，彙報該管稽徵機關查核。但營利事業有解散、廢止、合併或轉讓，或機關團體裁撤變更，薪資所得納稅義務人中途離職，利息所得納稅義務人提清存款，或承租人中途退租時，扣繳義務人應隨時就已扣繳稅款數額，填發扣繳憑單，並於十日內向該管稽徵機關辦理申報。</w:t>
      </w:r>
    </w:p>
    <w:p w:rsidR="00000000" w:rsidRDefault="00CA394A">
      <w:pPr>
        <w:pStyle w:val="a6"/>
        <w:ind w:left="1400" w:firstLine="560"/>
        <w:rPr>
          <w:rFonts w:ascii="Arial Unicode MS" w:hAnsi="Arial Unicode MS" w:hint="eastAsia"/>
          <w:sz w:val="24"/>
          <w:szCs w:val="24"/>
        </w:rPr>
      </w:pPr>
      <w:r>
        <w:rPr>
          <w:rFonts w:hint="eastAsia"/>
        </w:rPr>
        <w:t>非中華民國境內居住之個人，或在中華民國境內無固定營業場所之營利事業，有第八十八條規定之各類所得時，扣繳義務人應於代扣稅款之日起十日內，將所扣稅款向國庫繳清，並開具扣繳憑單，向該管稽徵機關申報核驗。</w:t>
      </w:r>
    </w:p>
    <w:p w:rsidR="00000000" w:rsidRDefault="00CA394A">
      <w:pPr>
        <w:pStyle w:val="a5"/>
        <w:ind w:left="1400" w:hanging="1400"/>
        <w:rPr>
          <w:rFonts w:ascii="Arial Unicode MS" w:hAnsi="Arial Unicode MS" w:hint="eastAsia"/>
          <w:sz w:val="24"/>
          <w:szCs w:val="24"/>
        </w:rPr>
      </w:pPr>
      <w:r>
        <w:rPr>
          <w:rFonts w:hint="eastAsia"/>
        </w:rPr>
        <w:t>第九十七條　　第八十二條第三項至第五項及</w:t>
      </w:r>
      <w:r>
        <w:rPr>
          <w:rFonts w:hint="eastAsia"/>
        </w:rPr>
        <w:t>第八十三條至第八十七條之規定，對於扣繳稅款準用之。</w:t>
      </w:r>
    </w:p>
    <w:p w:rsidR="00000000" w:rsidRDefault="00CA394A">
      <w:pPr>
        <w:pStyle w:val="a5"/>
        <w:spacing w:line="440" w:lineRule="exact"/>
        <w:ind w:left="1414" w:hangingChars="380" w:hanging="1414"/>
        <w:rPr>
          <w:rFonts w:hint="eastAsia"/>
        </w:rPr>
      </w:pPr>
      <w:r>
        <w:rPr>
          <w:rFonts w:hint="eastAsia"/>
          <w:spacing w:val="46"/>
        </w:rPr>
        <w:t>第一百條</w:t>
      </w:r>
      <w:r>
        <w:rPr>
          <w:rFonts w:hint="eastAsia"/>
          <w:spacing w:val="-22"/>
        </w:rPr>
        <w:t xml:space="preserve">　　</w:t>
      </w:r>
      <w:r>
        <w:rPr>
          <w:rFonts w:hint="eastAsia"/>
        </w:rPr>
        <w:t>納稅義務人每年結算申報所得額經核定後，稽徵機關應就納稅義務人全年應納稅額，減除暫</w:t>
      </w:r>
      <w:r>
        <w:rPr>
          <w:rFonts w:hint="eastAsia"/>
          <w:spacing w:val="-4"/>
        </w:rPr>
        <w:t>繳稅額、未抵繳之扣繳稅額，及申報自行繳納稅額後之餘額，填發繳款書，通知納稅義務人繳納。</w:t>
      </w:r>
    </w:p>
    <w:p w:rsidR="00000000" w:rsidRDefault="00CA394A">
      <w:pPr>
        <w:pStyle w:val="a6"/>
        <w:ind w:left="1400" w:firstLine="560"/>
        <w:rPr>
          <w:rFonts w:hint="eastAsia"/>
        </w:rPr>
      </w:pPr>
      <w:r>
        <w:rPr>
          <w:rFonts w:hint="eastAsia"/>
        </w:rPr>
        <w:t>納稅義務人結算申報，經核定有溢繳稅款者，稽徵機關應填發收入退還書或國庫支票，退還溢繳稅款。</w:t>
      </w:r>
    </w:p>
    <w:p w:rsidR="00000000" w:rsidRDefault="00CA394A">
      <w:pPr>
        <w:pStyle w:val="a6"/>
        <w:ind w:left="1400" w:firstLine="560"/>
        <w:rPr>
          <w:rFonts w:hint="eastAsia"/>
        </w:rPr>
      </w:pPr>
      <w:r>
        <w:rPr>
          <w:rFonts w:hint="eastAsia"/>
        </w:rPr>
        <w:t>其後經復查或訴願或行政訴訟決定應退稅或補稅者，稽徵機關應填發繳款書，或收入退還書或國庫支票，送達納稅義務人，分別退補；應補稅之納稅義務人，應於繳款書送達後十日內繳納之。</w:t>
      </w:r>
    </w:p>
    <w:p w:rsidR="00000000" w:rsidRDefault="00CA394A">
      <w:pPr>
        <w:pStyle w:val="a6"/>
        <w:ind w:left="1400" w:firstLine="560"/>
        <w:rPr>
          <w:rFonts w:ascii="Arial Unicode MS" w:hAnsi="Arial Unicode MS" w:hint="eastAsia"/>
          <w:sz w:val="24"/>
          <w:szCs w:val="24"/>
        </w:rPr>
      </w:pPr>
      <w:r>
        <w:rPr>
          <w:rFonts w:hint="eastAsia"/>
        </w:rPr>
        <w:t>前第二、三兩項應退</w:t>
      </w:r>
      <w:r>
        <w:rPr>
          <w:rFonts w:hint="eastAsia"/>
        </w:rPr>
        <w:t>還之稅款，稽徵機關於核定後，應儘速填發收入退還書或國庫支票送達納稅義務人，至遲不得超過十日，收入退還書之退稅期間以收入退還書送達之日起三個月內為有效期間，逾期不退。</w:t>
      </w:r>
    </w:p>
    <w:p w:rsidR="00000000" w:rsidRDefault="00CA394A">
      <w:pPr>
        <w:pStyle w:val="a5"/>
        <w:ind w:left="1368" w:hangingChars="600" w:hanging="1368"/>
        <w:rPr>
          <w:rFonts w:ascii="Arial Unicode MS" w:hAnsi="Arial Unicode MS" w:hint="eastAsia"/>
          <w:sz w:val="24"/>
          <w:szCs w:val="24"/>
        </w:rPr>
      </w:pPr>
      <w:r>
        <w:rPr>
          <w:rFonts w:hint="eastAsia"/>
          <w:spacing w:val="-6"/>
          <w:sz w:val="24"/>
        </w:rPr>
        <w:t>第一百零一條</w:t>
      </w:r>
      <w:r>
        <w:rPr>
          <w:rFonts w:hint="eastAsia"/>
        </w:rPr>
        <w:t xml:space="preserve">　　納稅義務人或稽徵機關依本法規定應補或應退之稅款在一定金額以下之小額稅款，財政部得視實際需要，報請行政院核定免徵或免退該項稅款。</w:t>
      </w:r>
    </w:p>
    <w:p w:rsidR="00000000" w:rsidRDefault="00CA394A">
      <w:pPr>
        <w:pStyle w:val="a5"/>
        <w:ind w:left="1368" w:hangingChars="600" w:hanging="1368"/>
        <w:rPr>
          <w:rFonts w:hint="eastAsia"/>
        </w:rPr>
      </w:pPr>
      <w:r>
        <w:rPr>
          <w:rFonts w:hint="eastAsia"/>
          <w:spacing w:val="-6"/>
          <w:sz w:val="24"/>
        </w:rPr>
        <w:t>第一百零二條</w:t>
      </w:r>
      <w:r>
        <w:rPr>
          <w:rFonts w:hint="eastAsia"/>
        </w:rPr>
        <w:t xml:space="preserve">　　納稅義務人對於本章規定各節，有關應行估計報告、申報或申請復查、訴願及行政訴訟等事項，得委託會計師或其他合法代理人代為辦理；其代理辦法，由財政部定之。</w:t>
      </w:r>
    </w:p>
    <w:p w:rsidR="00000000" w:rsidRDefault="00CA394A">
      <w:pPr>
        <w:pStyle w:val="a6"/>
        <w:ind w:left="1400" w:firstLine="560"/>
        <w:rPr>
          <w:rFonts w:hint="eastAsia"/>
        </w:rPr>
      </w:pPr>
      <w:r>
        <w:rPr>
          <w:rFonts w:hint="eastAsia"/>
        </w:rPr>
        <w:t>在一定範圍內之營利事業，其營利事業所</w:t>
      </w:r>
      <w:r>
        <w:rPr>
          <w:rFonts w:hint="eastAsia"/>
        </w:rPr>
        <w:t>得稅結算申報，應委託會計師或其他合法代理人查核簽證申報；其辦法由財政部定之。</w:t>
      </w:r>
    </w:p>
    <w:p w:rsidR="00000000" w:rsidRDefault="00CA394A">
      <w:pPr>
        <w:pStyle w:val="a6"/>
        <w:ind w:left="1400" w:firstLine="560"/>
        <w:rPr>
          <w:rFonts w:ascii="Arial Unicode MS" w:hAnsi="Arial Unicode MS" w:hint="eastAsia"/>
          <w:sz w:val="24"/>
          <w:szCs w:val="24"/>
        </w:rPr>
      </w:pPr>
      <w:r>
        <w:rPr>
          <w:rFonts w:hint="eastAsia"/>
        </w:rPr>
        <w:t>營利事業之營利事業所得稅結算申報，委託會計師或其他合法代理人查核簽證申報者，得享受本法對使用藍色申報書者所規定之各項獎勵。</w:t>
      </w:r>
    </w:p>
    <w:p w:rsidR="00000000" w:rsidRDefault="00CA394A">
      <w:pPr>
        <w:pStyle w:val="a5"/>
        <w:ind w:left="1368" w:hangingChars="600" w:hanging="1368"/>
        <w:rPr>
          <w:rFonts w:hint="eastAsia"/>
        </w:rPr>
      </w:pPr>
      <w:r>
        <w:rPr>
          <w:rFonts w:hint="eastAsia"/>
          <w:spacing w:val="-6"/>
          <w:sz w:val="24"/>
        </w:rPr>
        <w:t>第一百零五條</w:t>
      </w:r>
      <w:r>
        <w:rPr>
          <w:rFonts w:hint="eastAsia"/>
        </w:rPr>
        <w:t xml:space="preserve">　　執行業務者不依第十四條規定，設置帳簿並記載者，處以二百元以上五百元以下之罰鍰，並責令於一個月內依規定設置；一個月期滿仍未依照規定設置者，處以五百元以上一千元以下之罰鍰，並再責令於一個月內依規定設置；期滿仍未依照規定設置者，應處以停業之處分，至依規定設置帳簿時為止。執行業務者不將帳簿送主管稽徵機</w:t>
      </w:r>
      <w:r>
        <w:rPr>
          <w:rFonts w:hint="eastAsia"/>
        </w:rPr>
        <w:t>關登記驗印，處以一百元以上三百元以下之罰鍰。</w:t>
      </w:r>
    </w:p>
    <w:p w:rsidR="00000000" w:rsidRDefault="00CA394A">
      <w:pPr>
        <w:pStyle w:val="a6"/>
        <w:ind w:left="1400" w:firstLine="560"/>
        <w:rPr>
          <w:rFonts w:hint="eastAsia"/>
        </w:rPr>
      </w:pPr>
      <w:r>
        <w:rPr>
          <w:rFonts w:hint="eastAsia"/>
        </w:rPr>
        <w:t>營利事業不依規定，設置帳簿並記載者，稽徵機關應處以二百元以上五百元以下之罰鍰。並責令於一個月內依規定設置記載；一個月期滿，仍未依照規定設置記載者，處以五百元以上一千元以下之罰鍰，並得處以一週以上一個月以下之停止營業；停業期中仍不依規定設置記載者，得繼續其停業處分，至依規定設置帳簿時為止。</w:t>
      </w:r>
    </w:p>
    <w:p w:rsidR="00000000" w:rsidRDefault="00CA394A">
      <w:pPr>
        <w:pStyle w:val="a6"/>
        <w:ind w:left="1400" w:firstLine="560"/>
        <w:rPr>
          <w:rFonts w:ascii="Arial Unicode MS" w:hAnsi="Arial Unicode MS" w:hint="eastAsia"/>
          <w:sz w:val="24"/>
          <w:szCs w:val="24"/>
        </w:rPr>
      </w:pPr>
      <w:r>
        <w:rPr>
          <w:rFonts w:hint="eastAsia"/>
        </w:rPr>
        <w:t>營利事業不依本法規定，自他人取得憑證、未給予他人憑證、或未將取得憑證保存者，稽徵機關應按該項未取得、未給予或未保存之憑證而經認定之總額，處以百分之五之罰鍰。</w:t>
      </w:r>
    </w:p>
    <w:p w:rsidR="00000000" w:rsidRDefault="00CA394A">
      <w:pPr>
        <w:pStyle w:val="a5"/>
        <w:ind w:left="1386" w:hangingChars="770" w:hanging="1386"/>
        <w:rPr>
          <w:rFonts w:ascii="Arial Unicode MS" w:hAnsi="Arial Unicode MS" w:hint="eastAsia"/>
          <w:sz w:val="24"/>
          <w:szCs w:val="24"/>
        </w:rPr>
      </w:pPr>
      <w:r>
        <w:rPr>
          <w:rFonts w:hint="eastAsia"/>
          <w:spacing w:val="-20"/>
          <w:sz w:val="22"/>
        </w:rPr>
        <w:t>第一百零七條之一</w:t>
      </w:r>
      <w:r>
        <w:rPr>
          <w:rFonts w:hint="eastAsia"/>
          <w:sz w:val="24"/>
        </w:rPr>
        <w:t xml:space="preserve">　</w:t>
      </w:r>
      <w:r>
        <w:rPr>
          <w:rFonts w:hint="eastAsia"/>
          <w:spacing w:val="8"/>
          <w:sz w:val="24"/>
        </w:rPr>
        <w:t xml:space="preserve">　</w:t>
      </w:r>
      <w:r>
        <w:rPr>
          <w:rFonts w:hint="eastAsia"/>
        </w:rPr>
        <w:t>營利事業或個人違反第八十五條之規定，拒絕稽徵機關之調查，或拒不提示有關課稅資料及文件者，處一千元以上一萬元以下之罰鍰；連續拒絕者，並得連續處罰。</w:t>
      </w:r>
    </w:p>
    <w:p w:rsidR="00000000" w:rsidRDefault="00CA394A">
      <w:pPr>
        <w:pStyle w:val="a5"/>
        <w:ind w:left="1368" w:hangingChars="600" w:hanging="1368"/>
        <w:rPr>
          <w:rFonts w:hint="eastAsia"/>
        </w:rPr>
      </w:pPr>
      <w:r>
        <w:rPr>
          <w:rFonts w:hint="eastAsia"/>
          <w:spacing w:val="-6"/>
          <w:sz w:val="24"/>
        </w:rPr>
        <w:t>第一百零八條</w:t>
      </w:r>
      <w:r>
        <w:rPr>
          <w:rFonts w:hint="eastAsia"/>
        </w:rPr>
        <w:t xml:space="preserve">　　納稅義務人違反第七十一條及第七十二條規定，未依限辦理結算申報；但已依第七十九條第一項規定補辦結算申報，經稽徵機關據以調查核定其所得額及應納稅額者，應按核准應納稅額另徵百分之十滯報金。滯報金之金額，其為營利事業所得稅納稅義務人者，不得少於五百元；其為綜合所得稅納稅義務人者，不得少於五十元。</w:t>
      </w:r>
    </w:p>
    <w:p w:rsidR="00000000" w:rsidRDefault="00CA394A">
      <w:pPr>
        <w:pStyle w:val="a6"/>
        <w:ind w:left="1400" w:firstLine="560"/>
        <w:rPr>
          <w:rFonts w:hint="eastAsia"/>
        </w:rPr>
      </w:pPr>
      <w:r>
        <w:rPr>
          <w:rFonts w:hint="eastAsia"/>
        </w:rPr>
        <w:t>納稅義務人逾第七十九條規定之補報期限，仍未辦理結算申報，經</w:t>
      </w:r>
      <w:r>
        <w:rPr>
          <w:rFonts w:hint="eastAsia"/>
        </w:rPr>
        <w:t>稽徵機關依查得資料或同業利潤標準核定其所得額及應納稅額者，應按核定應納稅額另徵百分之二十怠報金。怠報金之金額，其為營利事業所得稅納稅義務人者，不得少於一千五百元；其為綜合所得稅納稅義務人者，不得少於一百五十元。</w:t>
      </w:r>
    </w:p>
    <w:p w:rsidR="00000000" w:rsidRDefault="00CA394A">
      <w:pPr>
        <w:pStyle w:val="a6"/>
        <w:ind w:left="1400" w:firstLine="560"/>
        <w:rPr>
          <w:rFonts w:ascii="Arial Unicode MS" w:hAnsi="Arial Unicode MS" w:hint="eastAsia"/>
          <w:sz w:val="24"/>
          <w:szCs w:val="24"/>
        </w:rPr>
      </w:pPr>
      <w:r>
        <w:rPr>
          <w:rFonts w:hint="eastAsia"/>
        </w:rPr>
        <w:t>納稅義務人如為第七十七條規定使用綜乙申報書之個人，或使用簡易申報書之小規模營利事業，及依第七十一條規定免辦結算申報者，不適用本條之規定。</w:t>
      </w:r>
    </w:p>
    <w:p w:rsidR="00000000" w:rsidRDefault="00CA394A">
      <w:pPr>
        <w:pStyle w:val="a5"/>
        <w:ind w:left="1386" w:hangingChars="770" w:hanging="1386"/>
        <w:rPr>
          <w:rFonts w:ascii="Arial Unicode MS" w:hAnsi="Arial Unicode MS" w:hint="eastAsia"/>
          <w:sz w:val="24"/>
          <w:szCs w:val="24"/>
        </w:rPr>
      </w:pPr>
      <w:r>
        <w:rPr>
          <w:rFonts w:hint="eastAsia"/>
          <w:spacing w:val="-20"/>
          <w:sz w:val="22"/>
        </w:rPr>
        <w:t>第一百一十條之一</w:t>
      </w:r>
      <w:r>
        <w:rPr>
          <w:rFonts w:hint="eastAsia"/>
          <w:sz w:val="24"/>
        </w:rPr>
        <w:t xml:space="preserve">　</w:t>
      </w:r>
      <w:r>
        <w:rPr>
          <w:rFonts w:hint="eastAsia"/>
          <w:spacing w:val="8"/>
          <w:sz w:val="24"/>
        </w:rPr>
        <w:t xml:space="preserve">　</w:t>
      </w:r>
      <w:r>
        <w:rPr>
          <w:rFonts w:hint="eastAsia"/>
        </w:rPr>
        <w:t>主管稽徵機關對於逃稅、漏稅案件應補徵之稅款，經核定稅額送達繳納通知後，如發現納稅義務人有隱匿或移轉財產逃避執行之跡象者，得敘明事實，聲請法院假</w:t>
      </w:r>
      <w:r>
        <w:rPr>
          <w:rFonts w:hint="eastAsia"/>
        </w:rPr>
        <w:t>扣押，並免提擔保。但納稅義務人已提供相當財產保證，或覓具殷實商保者，應即聲請撤銷或免為假扣押。</w:t>
      </w:r>
    </w:p>
    <w:sectPr w:rsidR="00000000">
      <w:headerReference w:type="even" r:id="rId7"/>
      <w:headerReference w:type="default" r:id="rId8"/>
      <w:footerReference w:type="even" r:id="rId9"/>
      <w:footerReference w:type="default" r:id="rId10"/>
      <w:headerReference w:type="first" r:id="rId11"/>
      <w:footerReference w:type="first" r:id="rId12"/>
      <w:type w:val="continuous"/>
      <w:pgSz w:w="16834" w:h="11912" w:orient="landscape" w:code="3"/>
      <w:pgMar w:top="2127" w:right="1871" w:bottom="2139" w:left="1871" w:header="1134" w:footer="1561" w:gutter="0"/>
      <w:pgNumType w:fmt="taiwaneseCountingThousand"/>
      <w:cols w:sep="1" w:space="720"/>
      <w:titlePg/>
      <w:textDirection w:val="lrTbV"/>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00000" w:rsidRDefault="00CA394A">
      <w:pPr>
        <w:spacing w:line="240" w:lineRule="auto"/>
      </w:pPr>
      <w:r>
        <w:separator/>
      </w:r>
    </w:p>
  </w:endnote>
  <w:endnote w:type="continuationSeparator" w:id="0">
    <w:p w:rsidR="00000000" w:rsidRDefault="00CA394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細明體">
    <w:altName w:val="MingLiU"/>
    <w:panose1 w:val="02020509000000000000"/>
    <w:charset w:val="88"/>
    <w:family w:val="modern"/>
    <w:pitch w:val="fixed"/>
    <w:sig w:usb0="A00002FF" w:usb1="28CFFCFA" w:usb2="00000016" w:usb3="00000000" w:csb0="00100001" w:csb1="00000000"/>
  </w:font>
  <w:font w:name="標楷體">
    <w:panose1 w:val="03000509000000000000"/>
    <w:charset w:val="88"/>
    <w:family w:val="script"/>
    <w:pitch w:val="fixed"/>
    <w:sig w:usb0="00000003" w:usb1="080E0000" w:usb2="00000016" w:usb3="00000000" w:csb0="00100001" w:csb1="00000000"/>
  </w:font>
  <w:font w:name="超研澤粗楷">
    <w:altName w:val="新細明體"/>
    <w:charset w:val="88"/>
    <w:family w:val="modern"/>
    <w:pitch w:val="fixed"/>
    <w:sig w:usb0="00000001" w:usb1="08080000" w:usb2="00000010" w:usb3="00000000" w:csb0="00100000" w:csb1="00000000"/>
  </w:font>
  <w:font w:name="文鼎粗楷">
    <w:altName w:val="新細明體"/>
    <w:charset w:val="88"/>
    <w:family w:val="modern"/>
    <w:pitch w:val="fixed"/>
    <w:sig w:usb0="00000001" w:usb1="08080000" w:usb2="00000010" w:usb3="00000000" w:csb0="00100000" w:csb1="00000000"/>
  </w:font>
  <w:font w:name="華康粗黑體(P)">
    <w:charset w:val="88"/>
    <w:family w:val="swiss"/>
    <w:pitch w:val="variable"/>
    <w:sig w:usb0="80000001" w:usb1="28091800" w:usb2="00000016" w:usb3="00000000" w:csb0="00100000" w:csb1="00000000"/>
  </w:font>
  <w:font w:name="華康細明體">
    <w:charset w:val="88"/>
    <w:family w:val="modern"/>
    <w:pitch w:val="fixed"/>
    <w:sig w:usb0="80000001" w:usb1="28091800" w:usb2="00000016" w:usb3="00000000" w:csb0="00100000" w:csb1="00000000"/>
  </w:font>
  <w:font w:name="Courier New">
    <w:panose1 w:val="02070309020205020404"/>
    <w:charset w:val="00"/>
    <w:family w:val="modern"/>
    <w:pitch w:val="fixed"/>
    <w:sig w:usb0="E0002EFF" w:usb1="C0007843" w:usb2="00000009" w:usb3="00000000" w:csb0="000001FF" w:csb1="00000000"/>
  </w:font>
  <w:font w:name="Arial Unicode MS">
    <w:panose1 w:val="020B0604020202020204"/>
    <w:charset w:val="88"/>
    <w:family w:val="swiss"/>
    <w:pitch w:val="variable"/>
    <w:sig w:usb0="F7FFAFFF" w:usb1="E9DFFFFF" w:usb2="0000003F" w:usb3="00000000" w:csb0="003F01FF" w:csb1="00000000"/>
  </w:font>
  <w:font w:name="Arial">
    <w:panose1 w:val="020B0604020202020204"/>
    <w:charset w:val="00"/>
    <w:family w:val="swiss"/>
    <w:pitch w:val="variable"/>
    <w:sig w:usb0="E0002EFF" w:usb1="C000785B" w:usb2="00000009" w:usb3="00000000" w:csb0="000001FF" w:csb1="00000000"/>
  </w:font>
  <w:font w:name="@標楷體">
    <w:panose1 w:val="03000509000000000000"/>
    <w:charset w:val="88"/>
    <w:family w:val="script"/>
    <w:pitch w:val="fixed"/>
    <w:sig w:usb0="00000003" w:usb1="080E0000" w:usb2="00000016" w:usb3="00000000" w:csb0="00100001" w:csb1="00000000"/>
  </w:font>
  <w:font w:name="新細明體">
    <w:altName w:val="PMingLiU"/>
    <w:panose1 w:val="02020500000000000000"/>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00000" w:rsidRDefault="00CA394A">
    <w:pPr>
      <w:spacing w:line="20" w:lineRule="exact"/>
    </w:pPr>
  </w:p>
  <w:p w:rsidR="00000000" w:rsidRDefault="00CA394A">
    <w:pPr>
      <w:pStyle w:val="a4"/>
      <w:tabs>
        <w:tab w:val="clear" w:pos="4153"/>
        <w:tab w:val="clear" w:pos="8306"/>
        <w:tab w:val="left" w:pos="5387"/>
        <w:tab w:val="left" w:pos="10632"/>
      </w:tabs>
      <w:spacing w:before="120" w:line="240" w:lineRule="atLeast"/>
      <w:ind w:right="357" w:firstLine="1843"/>
    </w:pPr>
    <w:r>
      <w:rPr>
        <w:rFonts w:ascii="標楷體"/>
        <w:sz w:val="24"/>
      </w:rPr>
      <w:tab/>
    </w:r>
  </w:p>
  <w:p w:rsidR="00000000" w:rsidRDefault="00CA394A">
    <w:pPr>
      <w:pStyle w:val="a4"/>
      <w:spacing w:line="20" w:lineRule="exact"/>
      <w:ind w:right="360"/>
      <w:textDirection w:val="lrTbV"/>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00000" w:rsidRDefault="00CA394A">
    <w:pPr>
      <w:pStyle w:val="a4"/>
      <w:tabs>
        <w:tab w:val="clear" w:pos="4153"/>
        <w:tab w:val="clear" w:pos="8306"/>
        <w:tab w:val="left" w:pos="5387"/>
        <w:tab w:val="left" w:pos="10632"/>
      </w:tabs>
      <w:spacing w:before="120" w:line="240" w:lineRule="atLeast"/>
      <w:ind w:right="357" w:firstLine="1843"/>
    </w:pPr>
    <w:r>
      <w:rPr>
        <w:rFonts w:ascii="標楷體" w:hint="eastAsia"/>
        <w:sz w:val="28"/>
      </w:rPr>
      <w:t>總</w:t>
    </w:r>
    <w:r>
      <w:rPr>
        <w:rFonts w:ascii="標楷體"/>
        <w:sz w:val="28"/>
      </w:rPr>
      <w:t xml:space="preserve">  </w:t>
    </w:r>
    <w:r>
      <w:rPr>
        <w:rFonts w:ascii="標楷體" w:hint="eastAsia"/>
        <w:sz w:val="28"/>
      </w:rPr>
      <w:t>統</w:t>
    </w:r>
    <w:r>
      <w:rPr>
        <w:rFonts w:ascii="標楷體"/>
        <w:sz w:val="28"/>
      </w:rPr>
      <w:t xml:space="preserve">  </w:t>
    </w:r>
    <w:r>
      <w:rPr>
        <w:rFonts w:ascii="標楷體" w:hint="eastAsia"/>
        <w:sz w:val="28"/>
      </w:rPr>
      <w:t>府</w:t>
    </w:r>
    <w:r>
      <w:rPr>
        <w:rFonts w:ascii="標楷體"/>
        <w:sz w:val="28"/>
      </w:rPr>
      <w:t xml:space="preserve">  </w:t>
    </w:r>
    <w:r>
      <w:rPr>
        <w:rFonts w:ascii="標楷體" w:hint="eastAsia"/>
        <w:sz w:val="28"/>
      </w:rPr>
      <w:t>公</w:t>
    </w:r>
    <w:r>
      <w:rPr>
        <w:rFonts w:ascii="標楷體"/>
        <w:sz w:val="28"/>
      </w:rPr>
      <w:t xml:space="preserve">  </w:t>
    </w:r>
    <w:r>
      <w:rPr>
        <w:rFonts w:ascii="標楷體" w:hint="eastAsia"/>
        <w:sz w:val="28"/>
      </w:rPr>
      <w:t>報</w:t>
    </w:r>
    <w:r>
      <w:rPr>
        <w:rFonts w:ascii="標楷體"/>
        <w:sz w:val="32"/>
      </w:rPr>
      <w:tab/>
    </w:r>
    <w:r>
      <w:rPr>
        <w:rFonts w:ascii="標楷體" w:hint="eastAsia"/>
        <w:sz w:val="20"/>
      </w:rPr>
      <w:t>第二五一五號</w:t>
    </w:r>
    <w:r>
      <w:rPr>
        <w:rFonts w:ascii="標楷體"/>
        <w:sz w:val="24"/>
      </w:rPr>
      <w:tab/>
    </w:r>
    <w:r>
      <w:rPr>
        <w:rFonts w:ascii="標楷體"/>
        <w:sz w:val="28"/>
      </w:rPr>
      <w:fldChar w:fldCharType="begin"/>
    </w:r>
    <w:r>
      <w:rPr>
        <w:rFonts w:ascii="標楷體"/>
        <w:sz w:val="28"/>
      </w:rPr>
      <w:instrText xml:space="preserve"> PAGE </w:instrText>
    </w:r>
    <w:r>
      <w:rPr>
        <w:rFonts w:ascii="標楷體"/>
        <w:sz w:val="28"/>
      </w:rPr>
      <w:fldChar w:fldCharType="separate"/>
    </w:r>
    <w:r>
      <w:rPr>
        <w:rFonts w:ascii="標楷體" w:hint="eastAsia"/>
        <w:noProof/>
        <w:sz w:val="28"/>
      </w:rPr>
      <w:t>一一</w:t>
    </w:r>
    <w:r>
      <w:rPr>
        <w:rFonts w:ascii="標楷體"/>
        <w:sz w:val="28"/>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00000" w:rsidRDefault="00CA394A">
    <w:pPr>
      <w:tabs>
        <w:tab w:val="left" w:pos="5387"/>
        <w:tab w:val="left" w:pos="10490"/>
      </w:tabs>
      <w:spacing w:before="180" w:line="240" w:lineRule="atLeast"/>
      <w:ind w:firstLine="1843"/>
    </w:pPr>
    <w:r>
      <w:rPr>
        <w:rFonts w:ascii="標楷體" w:hint="eastAsia"/>
      </w:rPr>
      <w:t>總</w:t>
    </w:r>
    <w:r>
      <w:rPr>
        <w:rFonts w:ascii="標楷體"/>
      </w:rPr>
      <w:t xml:space="preserve">  </w:t>
    </w:r>
    <w:r>
      <w:rPr>
        <w:rFonts w:ascii="標楷體" w:hint="eastAsia"/>
      </w:rPr>
      <w:t>統</w:t>
    </w:r>
    <w:r>
      <w:rPr>
        <w:rFonts w:ascii="標楷體"/>
      </w:rPr>
      <w:t xml:space="preserve">  </w:t>
    </w:r>
    <w:r>
      <w:rPr>
        <w:rFonts w:ascii="標楷體" w:hint="eastAsia"/>
      </w:rPr>
      <w:t>府</w:t>
    </w:r>
    <w:r>
      <w:rPr>
        <w:rFonts w:ascii="標楷體"/>
      </w:rPr>
      <w:t xml:space="preserve">  </w:t>
    </w:r>
    <w:r>
      <w:rPr>
        <w:rFonts w:ascii="標楷體" w:hint="eastAsia"/>
      </w:rPr>
      <w:t>公</w:t>
    </w:r>
    <w:r>
      <w:rPr>
        <w:rFonts w:ascii="標楷體"/>
      </w:rPr>
      <w:t xml:space="preserve">  </w:t>
    </w:r>
    <w:r>
      <w:rPr>
        <w:rFonts w:ascii="標楷體" w:hint="eastAsia"/>
      </w:rPr>
      <w:t>報</w:t>
    </w:r>
    <w:r>
      <w:rPr>
        <w:rFonts w:ascii="標楷體"/>
        <w:sz w:val="32"/>
      </w:rPr>
      <w:tab/>
    </w:r>
    <w:r>
      <w:rPr>
        <w:rFonts w:ascii="標楷體" w:hint="eastAsia"/>
        <w:sz w:val="20"/>
      </w:rPr>
      <w:t>第二五一五號</w:t>
    </w:r>
    <w:r>
      <w:rPr>
        <w:rFonts w:ascii="標楷體"/>
        <w:sz w:val="20"/>
      </w:rPr>
      <w:tab/>
    </w:r>
    <w:r>
      <w:rPr>
        <w:rFonts w:ascii="標楷體"/>
      </w:rPr>
      <w:fldChar w:fldCharType="begin"/>
    </w:r>
    <w:r>
      <w:rPr>
        <w:rFonts w:ascii="標楷體"/>
      </w:rPr>
      <w:instrText xml:space="preserve"> PAGE </w:instrText>
    </w:r>
    <w:r>
      <w:rPr>
        <w:rFonts w:ascii="標楷體"/>
      </w:rPr>
      <w:fldChar w:fldCharType="separate"/>
    </w:r>
    <w:r>
      <w:rPr>
        <w:rFonts w:ascii="標楷體" w:hint="eastAsia"/>
        <w:noProof/>
      </w:rPr>
      <w:t>一</w:t>
    </w:r>
    <w:r>
      <w:rPr>
        <w:rFonts w:ascii="標楷體"/>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00000" w:rsidRDefault="00CA394A">
      <w:pPr>
        <w:spacing w:line="240" w:lineRule="auto"/>
      </w:pPr>
      <w:r>
        <w:separator/>
      </w:r>
    </w:p>
  </w:footnote>
  <w:footnote w:type="continuationSeparator" w:id="0">
    <w:p w:rsidR="00000000" w:rsidRDefault="00CA394A">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00000" w:rsidRDefault="00CA394A">
    <w:pPr>
      <w:tabs>
        <w:tab w:val="left" w:pos="5387"/>
        <w:tab w:val="left" w:pos="10490"/>
      </w:tabs>
      <w:spacing w:before="240" w:line="240" w:lineRule="atLeast"/>
      <w:ind w:firstLine="1843"/>
    </w:pPr>
    <w:r>
      <w:rPr>
        <w:rFonts w:ascii="標楷體" w:hint="eastAsia"/>
      </w:rPr>
      <w:t>總</w:t>
    </w:r>
    <w:r>
      <w:rPr>
        <w:rFonts w:ascii="標楷體"/>
      </w:rPr>
      <w:t xml:space="preserve">  </w:t>
    </w:r>
    <w:r>
      <w:rPr>
        <w:rFonts w:ascii="標楷體" w:hint="eastAsia"/>
      </w:rPr>
      <w:t>統</w:t>
    </w:r>
    <w:r>
      <w:rPr>
        <w:rFonts w:ascii="標楷體"/>
      </w:rPr>
      <w:t xml:space="preserve">  </w:t>
    </w:r>
    <w:r>
      <w:rPr>
        <w:rFonts w:ascii="標楷體" w:hint="eastAsia"/>
      </w:rPr>
      <w:t>府</w:t>
    </w:r>
    <w:r>
      <w:rPr>
        <w:rFonts w:ascii="標楷體"/>
      </w:rPr>
      <w:t xml:space="preserve">  </w:t>
    </w:r>
    <w:r>
      <w:rPr>
        <w:rFonts w:ascii="標楷體" w:hint="eastAsia"/>
      </w:rPr>
      <w:t>公</w:t>
    </w:r>
    <w:r>
      <w:rPr>
        <w:rFonts w:ascii="標楷體"/>
      </w:rPr>
      <w:t xml:space="preserve">  </w:t>
    </w:r>
    <w:r>
      <w:rPr>
        <w:rFonts w:ascii="標楷體" w:hint="eastAsia"/>
      </w:rPr>
      <w:t>報</w:t>
    </w:r>
    <w:r>
      <w:rPr>
        <w:rFonts w:ascii="標楷體"/>
        <w:sz w:val="32"/>
      </w:rPr>
      <w:tab/>
    </w:r>
    <w:r>
      <w:rPr>
        <w:rFonts w:ascii="標楷體" w:hint="eastAsia"/>
        <w:sz w:val="20"/>
      </w:rPr>
      <w:t>第二五一五號</w:t>
    </w:r>
    <w:r>
      <w:rPr>
        <w:rFonts w:ascii="標楷體"/>
        <w:sz w:val="20"/>
      </w:rPr>
      <w:tab/>
    </w:r>
    <w:r>
      <w:rPr>
        <w:rFonts w:ascii="標楷體"/>
      </w:rPr>
      <w:fldChar w:fldCharType="begin"/>
    </w:r>
    <w:r>
      <w:rPr>
        <w:rFonts w:ascii="標楷體"/>
      </w:rPr>
      <w:instrText xml:space="preserve"> PAGE </w:instrText>
    </w:r>
    <w:r>
      <w:rPr>
        <w:rFonts w:ascii="標楷體"/>
      </w:rPr>
      <w:fldChar w:fldCharType="separate"/>
    </w:r>
    <w:r>
      <w:rPr>
        <w:rFonts w:ascii="標楷體" w:hint="eastAsia"/>
        <w:noProof/>
      </w:rPr>
      <w:t>一○</w:t>
    </w:r>
    <w:r>
      <w:rPr>
        <w:rFonts w:ascii="標楷體"/>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00000" w:rsidRDefault="00CA394A">
    <w:pPr>
      <w:pStyle w:val="a3"/>
    </w:pPr>
  </w:p>
  <w:p w:rsidR="00000000" w:rsidRDefault="00CA394A">
    <w:pPr>
      <w:pStyle w:val="a3"/>
      <w:spacing w:line="20" w:lineRule="exact"/>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00000" w:rsidRDefault="00CA394A">
    <w:pPr>
      <w:framePr w:w="13148" w:hSpace="181" w:wrap="notBeside" w:vAnchor="page" w:hAnchor="page" w:x="1827" w:y="48"/>
      <w:tabs>
        <w:tab w:val="left" w:pos="5387"/>
      </w:tabs>
      <w:spacing w:before="1400" w:line="240" w:lineRule="atLeast"/>
      <w:ind w:firstLine="227"/>
      <w:textDirection w:val="lrTbV"/>
      <w:rPr>
        <w:rFonts w:ascii="Arial"/>
        <w:b/>
        <w:sz w:val="20"/>
      </w:rPr>
    </w:pPr>
    <w:r>
      <w:rPr>
        <w:rFonts w:ascii="標楷體"/>
        <w:b/>
        <w:noProof/>
        <w:spacing w:val="-100"/>
        <w:sz w:val="20"/>
      </w:rPr>
      <mc:AlternateContent>
        <mc:Choice Requires="wpg">
          <w:drawing>
            <wp:anchor distT="0" distB="0" distL="114300" distR="114300" simplePos="0" relativeHeight="251658240" behindDoc="0" locked="0" layoutInCell="1" allowOverlap="1">
              <wp:simplePos x="0" y="0"/>
              <wp:positionH relativeFrom="column">
                <wp:posOffset>5473700</wp:posOffset>
              </wp:positionH>
              <wp:positionV relativeFrom="paragraph">
                <wp:posOffset>875030</wp:posOffset>
              </wp:positionV>
              <wp:extent cx="3159125" cy="1908810"/>
              <wp:effectExtent l="0" t="0" r="0" b="0"/>
              <wp:wrapNone/>
              <wp:docPr id="2" name="Group 3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159125" cy="1908810"/>
                        <a:chOff x="10646" y="1500"/>
                        <a:chExt cx="4672" cy="3001"/>
                      </a:xfrm>
                    </wpg:grpSpPr>
                    <wps:wsp>
                      <wps:cNvPr id="3" name="Rectangle 32"/>
                      <wps:cNvSpPr>
                        <a:spLocks noChangeArrowheads="1"/>
                      </wps:cNvSpPr>
                      <wps:spPr bwMode="auto">
                        <a:xfrm>
                          <a:off x="10646" y="1500"/>
                          <a:ext cx="4672" cy="300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tbl>
                            <w:tblPr>
                              <w:tblW w:w="0" w:type="auto"/>
                              <w:jc w:val="center"/>
                              <w:tblLayout w:type="fixed"/>
                              <w:tblCellMar>
                                <w:left w:w="0" w:type="dxa"/>
                                <w:right w:w="0" w:type="dxa"/>
                              </w:tblCellMar>
                              <w:tblLook w:val="0000" w:firstRow="0" w:lastRow="0" w:firstColumn="0" w:lastColumn="0" w:noHBand="0" w:noVBand="0"/>
                            </w:tblPr>
                            <w:tblGrid>
                              <w:gridCol w:w="699"/>
                              <w:gridCol w:w="217"/>
                              <w:gridCol w:w="3194"/>
                            </w:tblGrid>
                            <w:tr w:rsidR="00000000">
                              <w:tblPrEx>
                                <w:tblCellMar>
                                  <w:top w:w="0" w:type="dxa"/>
                                  <w:left w:w="0" w:type="dxa"/>
                                  <w:bottom w:w="0" w:type="dxa"/>
                                  <w:right w:w="0" w:type="dxa"/>
                                </w:tblCellMar>
                              </w:tblPrEx>
                              <w:trPr>
                                <w:trHeight w:val="397"/>
                                <w:jc w:val="center"/>
                              </w:trPr>
                              <w:tc>
                                <w:tcPr>
                                  <w:tcW w:w="699" w:type="dxa"/>
                                  <w:textDirection w:val="lrTbV"/>
                                  <w:vAlign w:val="center"/>
                                </w:tcPr>
                                <w:p w:rsidR="00000000" w:rsidRDefault="00CA394A">
                                  <w:pPr>
                                    <w:kinsoku w:val="0"/>
                                    <w:overflowPunct w:val="0"/>
                                    <w:spacing w:line="240" w:lineRule="exact"/>
                                    <w:jc w:val="distribute"/>
                                    <w:textDirection w:val="lrTbV"/>
                                    <w:textAlignment w:val="top"/>
                                    <w:rPr>
                                      <w:rFonts w:ascii="標楷體" w:hint="eastAsia"/>
                                      <w:spacing w:val="-12"/>
                                      <w:position w:val="2"/>
                                      <w:sz w:val="18"/>
                                    </w:rPr>
                                  </w:pPr>
                                  <w:r>
                                    <w:rPr>
                                      <w:rFonts w:ascii="標楷體" w:hint="eastAsia"/>
                                      <w:spacing w:val="-12"/>
                                      <w:position w:val="2"/>
                                      <w:sz w:val="18"/>
                                    </w:rPr>
                                    <w:t>編輯</w:t>
                                  </w:r>
                                </w:p>
                                <w:p w:rsidR="00000000" w:rsidRDefault="00CA394A">
                                  <w:pPr>
                                    <w:kinsoku w:val="0"/>
                                    <w:overflowPunct w:val="0"/>
                                    <w:spacing w:line="240" w:lineRule="exact"/>
                                    <w:jc w:val="distribute"/>
                                    <w:textDirection w:val="lrTbV"/>
                                    <w:textAlignment w:val="top"/>
                                    <w:rPr>
                                      <w:rFonts w:ascii="標楷體"/>
                                      <w:spacing w:val="12"/>
                                      <w:position w:val="2"/>
                                      <w:sz w:val="20"/>
                                    </w:rPr>
                                  </w:pPr>
                                  <w:r>
                                    <w:rPr>
                                      <w:rFonts w:ascii="標楷體" w:hint="eastAsia"/>
                                      <w:spacing w:val="-12"/>
                                      <w:position w:val="2"/>
                                      <w:sz w:val="18"/>
                                    </w:rPr>
                                    <w:t>發行</w:t>
                                  </w:r>
                                </w:p>
                              </w:tc>
                              <w:tc>
                                <w:tcPr>
                                  <w:tcW w:w="217" w:type="dxa"/>
                                  <w:textDirection w:val="lrTbV"/>
                                  <w:vAlign w:val="center"/>
                                </w:tcPr>
                                <w:p w:rsidR="00000000" w:rsidRDefault="00CA394A">
                                  <w:pPr>
                                    <w:kinsoku w:val="0"/>
                                    <w:overflowPunct w:val="0"/>
                                    <w:spacing w:line="240" w:lineRule="exact"/>
                                    <w:jc w:val="center"/>
                                    <w:textDirection w:val="lrTbV"/>
                                    <w:textAlignment w:val="top"/>
                                    <w:rPr>
                                      <w:rFonts w:ascii="標楷體"/>
                                      <w:position w:val="2"/>
                                      <w:sz w:val="20"/>
                                    </w:rPr>
                                  </w:pPr>
                                  <w:r>
                                    <w:rPr>
                                      <w:rFonts w:ascii="標楷體" w:hint="eastAsia"/>
                                      <w:position w:val="2"/>
                                      <w:sz w:val="20"/>
                                    </w:rPr>
                                    <w:t>：</w:t>
                                  </w:r>
                                </w:p>
                              </w:tc>
                              <w:tc>
                                <w:tcPr>
                                  <w:tcW w:w="3194" w:type="dxa"/>
                                  <w:textDirection w:val="lrTbV"/>
                                  <w:vAlign w:val="center"/>
                                </w:tcPr>
                                <w:p w:rsidR="00000000" w:rsidRDefault="00CA394A">
                                  <w:pPr>
                                    <w:kinsoku w:val="0"/>
                                    <w:overflowPunct w:val="0"/>
                                    <w:spacing w:line="240" w:lineRule="exact"/>
                                    <w:ind w:right="308" w:firstLine="4"/>
                                    <w:jc w:val="distribute"/>
                                    <w:textDirection w:val="lrTbV"/>
                                    <w:textAlignment w:val="top"/>
                                    <w:rPr>
                                      <w:rFonts w:ascii="標楷體"/>
                                      <w:position w:val="2"/>
                                      <w:sz w:val="20"/>
                                    </w:rPr>
                                  </w:pPr>
                                  <w:r>
                                    <w:rPr>
                                      <w:rFonts w:ascii="標楷體" w:hint="eastAsia"/>
                                      <w:position w:val="2"/>
                                      <w:sz w:val="20"/>
                                    </w:rPr>
                                    <w:t>總統府第三局</w:t>
                                  </w:r>
                                </w:p>
                              </w:tc>
                            </w:tr>
                            <w:tr w:rsidR="00000000">
                              <w:tblPrEx>
                                <w:tblCellMar>
                                  <w:top w:w="0" w:type="dxa"/>
                                  <w:left w:w="0" w:type="dxa"/>
                                  <w:bottom w:w="0" w:type="dxa"/>
                                  <w:right w:w="0" w:type="dxa"/>
                                </w:tblCellMar>
                              </w:tblPrEx>
                              <w:trPr>
                                <w:trHeight w:val="589"/>
                                <w:jc w:val="center"/>
                              </w:trPr>
                              <w:tc>
                                <w:tcPr>
                                  <w:tcW w:w="699" w:type="dxa"/>
                                  <w:textDirection w:val="lrTbV"/>
                                  <w:vAlign w:val="center"/>
                                </w:tcPr>
                                <w:p w:rsidR="00000000" w:rsidRDefault="00CA394A">
                                  <w:pPr>
                                    <w:kinsoku w:val="0"/>
                                    <w:overflowPunct w:val="0"/>
                                    <w:spacing w:before="60" w:line="240" w:lineRule="exact"/>
                                    <w:textDirection w:val="lrTbV"/>
                                    <w:textAlignment w:val="top"/>
                                    <w:rPr>
                                      <w:rFonts w:ascii="標楷體"/>
                                      <w:spacing w:val="12"/>
                                      <w:sz w:val="20"/>
                                    </w:rPr>
                                  </w:pPr>
                                  <w:r>
                                    <w:rPr>
                                      <w:rFonts w:ascii="標楷體" w:hint="eastAsia"/>
                                      <w:spacing w:val="12"/>
                                      <w:sz w:val="20"/>
                                    </w:rPr>
                                    <w:t>電　話</w:t>
                                  </w:r>
                                </w:p>
                              </w:tc>
                              <w:tc>
                                <w:tcPr>
                                  <w:tcW w:w="217" w:type="dxa"/>
                                  <w:textDirection w:val="lrTbV"/>
                                  <w:vAlign w:val="center"/>
                                </w:tcPr>
                                <w:p w:rsidR="00000000" w:rsidRDefault="00CA394A">
                                  <w:pPr>
                                    <w:kinsoku w:val="0"/>
                                    <w:overflowPunct w:val="0"/>
                                    <w:spacing w:before="60" w:line="240" w:lineRule="exact"/>
                                    <w:jc w:val="center"/>
                                    <w:textDirection w:val="lrTbV"/>
                                    <w:textAlignment w:val="top"/>
                                    <w:rPr>
                                      <w:rFonts w:ascii="標楷體"/>
                                      <w:sz w:val="20"/>
                                    </w:rPr>
                                  </w:pPr>
                                  <w:r>
                                    <w:rPr>
                                      <w:rFonts w:ascii="標楷體" w:hint="eastAsia"/>
                                      <w:sz w:val="20"/>
                                    </w:rPr>
                                    <w:t>：</w:t>
                                  </w:r>
                                </w:p>
                              </w:tc>
                              <w:tc>
                                <w:tcPr>
                                  <w:tcW w:w="3194" w:type="dxa"/>
                                  <w:textDirection w:val="lrTbV"/>
                                  <w:vAlign w:val="center"/>
                                </w:tcPr>
                                <w:p w:rsidR="00000000" w:rsidRDefault="00CA394A">
                                  <w:pPr>
                                    <w:kinsoku w:val="0"/>
                                    <w:overflowPunct w:val="0"/>
                                    <w:spacing w:line="200" w:lineRule="exact"/>
                                    <w:ind w:right="308"/>
                                    <w:jc w:val="distribute"/>
                                    <w:textDirection w:val="lrTbV"/>
                                    <w:textAlignment w:val="top"/>
                                    <w:rPr>
                                      <w:rFonts w:ascii="標楷體"/>
                                      <w:position w:val="2"/>
                                      <w:sz w:val="20"/>
                                    </w:rPr>
                                  </w:pPr>
                                  <w:r>
                                    <w:rPr>
                                      <w:rFonts w:ascii="標楷體" w:hint="eastAsia"/>
                                      <w:position w:val="2"/>
                                      <w:sz w:val="20"/>
                                    </w:rPr>
                                    <w:t>三一三七三一轉二七八</w:t>
                                  </w:r>
                                  <w:r>
                                    <w:rPr>
                                      <w:rFonts w:ascii="標楷體" w:hint="eastAsia"/>
                                      <w:spacing w:val="-20"/>
                                      <w:position w:val="2"/>
                                      <w:sz w:val="20"/>
                                    </w:rPr>
                                    <w:t>公報室</w:t>
                                  </w:r>
                                </w:p>
                              </w:tc>
                            </w:tr>
                            <w:tr w:rsidR="00000000">
                              <w:tblPrEx>
                                <w:tblCellMar>
                                  <w:top w:w="0" w:type="dxa"/>
                                  <w:left w:w="0" w:type="dxa"/>
                                  <w:bottom w:w="0" w:type="dxa"/>
                                  <w:right w:w="0" w:type="dxa"/>
                                </w:tblCellMar>
                              </w:tblPrEx>
                              <w:trPr>
                                <w:trHeight w:val="491"/>
                                <w:jc w:val="center"/>
                              </w:trPr>
                              <w:tc>
                                <w:tcPr>
                                  <w:tcW w:w="699" w:type="dxa"/>
                                  <w:textDirection w:val="lrTbV"/>
                                  <w:vAlign w:val="center"/>
                                </w:tcPr>
                                <w:p w:rsidR="00000000" w:rsidRDefault="00CA394A">
                                  <w:pPr>
                                    <w:kinsoku w:val="0"/>
                                    <w:overflowPunct w:val="0"/>
                                    <w:spacing w:beforeLines="10" w:before="24" w:afterLines="10" w:after="24" w:line="220" w:lineRule="exact"/>
                                    <w:textDirection w:val="lrTbV"/>
                                    <w:textAlignment w:val="top"/>
                                    <w:rPr>
                                      <w:rFonts w:ascii="標楷體"/>
                                      <w:spacing w:val="12"/>
                                      <w:position w:val="2"/>
                                      <w:sz w:val="20"/>
                                    </w:rPr>
                                  </w:pPr>
                                  <w:r>
                                    <w:rPr>
                                      <w:rFonts w:ascii="標楷體" w:hint="eastAsia"/>
                                      <w:spacing w:val="12"/>
                                      <w:position w:val="2"/>
                                      <w:sz w:val="20"/>
                                    </w:rPr>
                                    <w:t>印　刷</w:t>
                                  </w:r>
                                </w:p>
                              </w:tc>
                              <w:tc>
                                <w:tcPr>
                                  <w:tcW w:w="217" w:type="dxa"/>
                                  <w:textDirection w:val="lrTbV"/>
                                  <w:vAlign w:val="center"/>
                                </w:tcPr>
                                <w:p w:rsidR="00000000" w:rsidRDefault="00CA394A">
                                  <w:pPr>
                                    <w:kinsoku w:val="0"/>
                                    <w:overflowPunct w:val="0"/>
                                    <w:spacing w:beforeLines="10" w:before="24" w:afterLines="10" w:after="24" w:line="220" w:lineRule="exact"/>
                                    <w:jc w:val="center"/>
                                    <w:textDirection w:val="lrTbV"/>
                                    <w:textAlignment w:val="top"/>
                                    <w:rPr>
                                      <w:rFonts w:ascii="標楷體"/>
                                      <w:position w:val="2"/>
                                      <w:sz w:val="20"/>
                                    </w:rPr>
                                  </w:pPr>
                                  <w:r>
                                    <w:rPr>
                                      <w:rFonts w:ascii="標楷體" w:hint="eastAsia"/>
                                      <w:position w:val="2"/>
                                      <w:sz w:val="20"/>
                                    </w:rPr>
                                    <w:t>：</w:t>
                                  </w:r>
                                </w:p>
                              </w:tc>
                              <w:tc>
                                <w:tcPr>
                                  <w:tcW w:w="3194" w:type="dxa"/>
                                  <w:textDirection w:val="lrTbV"/>
                                  <w:vAlign w:val="center"/>
                                </w:tcPr>
                                <w:p w:rsidR="00000000" w:rsidRDefault="00CA394A">
                                  <w:pPr>
                                    <w:kinsoku w:val="0"/>
                                    <w:overflowPunct w:val="0"/>
                                    <w:spacing w:beforeLines="10" w:before="24" w:afterLines="10" w:after="24" w:line="220" w:lineRule="exact"/>
                                    <w:ind w:right="308"/>
                                    <w:jc w:val="distribute"/>
                                    <w:textDirection w:val="lrTbV"/>
                                    <w:textAlignment w:val="top"/>
                                    <w:rPr>
                                      <w:rFonts w:ascii="標楷體"/>
                                      <w:position w:val="2"/>
                                      <w:sz w:val="20"/>
                                    </w:rPr>
                                  </w:pPr>
                                  <w:r>
                                    <w:rPr>
                                      <w:rFonts w:ascii="標楷體" w:hint="eastAsia"/>
                                      <w:position w:val="2"/>
                                      <w:sz w:val="20"/>
                                    </w:rPr>
                                    <w:t>中央印製廠</w:t>
                                  </w:r>
                                </w:p>
                              </w:tc>
                            </w:tr>
                            <w:tr w:rsidR="00000000">
                              <w:tblPrEx>
                                <w:tblCellMar>
                                  <w:top w:w="0" w:type="dxa"/>
                                  <w:left w:w="0" w:type="dxa"/>
                                  <w:bottom w:w="0" w:type="dxa"/>
                                  <w:right w:w="0" w:type="dxa"/>
                                </w:tblCellMar>
                              </w:tblPrEx>
                              <w:trPr>
                                <w:trHeight w:val="937"/>
                                <w:jc w:val="center"/>
                              </w:trPr>
                              <w:tc>
                                <w:tcPr>
                                  <w:tcW w:w="699" w:type="dxa"/>
                                  <w:textDirection w:val="lrTbV"/>
                                  <w:vAlign w:val="center"/>
                                </w:tcPr>
                                <w:p w:rsidR="00000000" w:rsidRDefault="00CA394A">
                                  <w:pPr>
                                    <w:kinsoku w:val="0"/>
                                    <w:overflowPunct w:val="0"/>
                                    <w:spacing w:line="220" w:lineRule="exact"/>
                                    <w:textDirection w:val="lrTbV"/>
                                    <w:textAlignment w:val="top"/>
                                    <w:rPr>
                                      <w:rFonts w:ascii="標楷體"/>
                                      <w:spacing w:val="12"/>
                                      <w:position w:val="2"/>
                                      <w:sz w:val="20"/>
                                    </w:rPr>
                                  </w:pPr>
                                  <w:r>
                                    <w:rPr>
                                      <w:rFonts w:ascii="標楷體" w:hint="eastAsia"/>
                                      <w:spacing w:val="12"/>
                                      <w:position w:val="2"/>
                                      <w:sz w:val="20"/>
                                    </w:rPr>
                                    <w:t>定　價</w:t>
                                  </w:r>
                                </w:p>
                              </w:tc>
                              <w:tc>
                                <w:tcPr>
                                  <w:tcW w:w="217" w:type="dxa"/>
                                  <w:textDirection w:val="lrTbV"/>
                                  <w:vAlign w:val="center"/>
                                </w:tcPr>
                                <w:p w:rsidR="00000000" w:rsidRDefault="00CA394A">
                                  <w:pPr>
                                    <w:kinsoku w:val="0"/>
                                    <w:overflowPunct w:val="0"/>
                                    <w:spacing w:line="200" w:lineRule="exact"/>
                                    <w:textDirection w:val="lrTbV"/>
                                    <w:textAlignment w:val="top"/>
                                    <w:rPr>
                                      <w:rFonts w:ascii="標楷體"/>
                                      <w:position w:val="2"/>
                                      <w:sz w:val="20"/>
                                    </w:rPr>
                                  </w:pPr>
                                </w:p>
                              </w:tc>
                              <w:tc>
                                <w:tcPr>
                                  <w:tcW w:w="3194" w:type="dxa"/>
                                  <w:textDirection w:val="lrTbV"/>
                                  <w:vAlign w:val="center"/>
                                </w:tcPr>
                                <w:p w:rsidR="00000000" w:rsidRDefault="00CA394A">
                                  <w:pPr>
                                    <w:kinsoku w:val="0"/>
                                    <w:overflowPunct w:val="0"/>
                                    <w:spacing w:line="300" w:lineRule="exact"/>
                                    <w:ind w:right="306"/>
                                    <w:jc w:val="distribute"/>
                                    <w:textDirection w:val="lrTbV"/>
                                    <w:textAlignment w:val="top"/>
                                    <w:rPr>
                                      <w:rFonts w:ascii="標楷體" w:hint="eastAsia"/>
                                      <w:position w:val="2"/>
                                      <w:sz w:val="20"/>
                                    </w:rPr>
                                  </w:pPr>
                                  <w:r>
                                    <w:rPr>
                                      <w:rFonts w:ascii="標楷體" w:hint="eastAsia"/>
                                      <w:position w:val="2"/>
                                      <w:sz w:val="20"/>
                                    </w:rPr>
                                    <w:t>零售每份新台幣一元</w:t>
                                  </w:r>
                                </w:p>
                                <w:p w:rsidR="00000000" w:rsidRDefault="00CA394A">
                                  <w:pPr>
                                    <w:kinsoku w:val="0"/>
                                    <w:overflowPunct w:val="0"/>
                                    <w:spacing w:line="300" w:lineRule="exact"/>
                                    <w:ind w:right="306"/>
                                    <w:jc w:val="distribute"/>
                                    <w:textDirection w:val="lrTbV"/>
                                    <w:textAlignment w:val="top"/>
                                    <w:rPr>
                                      <w:rFonts w:ascii="標楷體" w:hint="eastAsia"/>
                                      <w:position w:val="2"/>
                                      <w:sz w:val="20"/>
                                    </w:rPr>
                                  </w:pPr>
                                  <w:r>
                                    <w:rPr>
                                      <w:rFonts w:ascii="標楷體" w:hint="eastAsia"/>
                                      <w:position w:val="2"/>
                                      <w:sz w:val="20"/>
                                    </w:rPr>
                                    <w:t>半年新台幣七十八元</w:t>
                                  </w:r>
                                </w:p>
                                <w:p w:rsidR="00000000" w:rsidRDefault="00CA394A">
                                  <w:pPr>
                                    <w:kinsoku w:val="0"/>
                                    <w:overflowPunct w:val="0"/>
                                    <w:spacing w:line="300" w:lineRule="exact"/>
                                    <w:ind w:right="306"/>
                                    <w:jc w:val="distribute"/>
                                    <w:textDirection w:val="lrTbV"/>
                                    <w:textAlignment w:val="top"/>
                                    <w:rPr>
                                      <w:rFonts w:ascii="標楷體"/>
                                      <w:position w:val="2"/>
                                      <w:sz w:val="20"/>
                                    </w:rPr>
                                  </w:pPr>
                                  <w:r>
                                    <w:rPr>
                                      <w:rFonts w:ascii="標楷體" w:hint="eastAsia"/>
                                      <w:position w:val="2"/>
                                      <w:sz w:val="20"/>
                                    </w:rPr>
                                    <w:t>全年新台幣一百五十六元</w:t>
                                  </w:r>
                                </w:p>
                              </w:tc>
                            </w:tr>
                            <w:tr w:rsidR="00000000">
                              <w:tblPrEx>
                                <w:tblCellMar>
                                  <w:top w:w="0" w:type="dxa"/>
                                  <w:left w:w="0" w:type="dxa"/>
                                  <w:bottom w:w="0" w:type="dxa"/>
                                  <w:right w:w="0" w:type="dxa"/>
                                </w:tblCellMar>
                              </w:tblPrEx>
                              <w:trPr>
                                <w:trHeight w:val="252"/>
                                <w:jc w:val="center"/>
                              </w:trPr>
                              <w:tc>
                                <w:tcPr>
                                  <w:tcW w:w="4110" w:type="dxa"/>
                                  <w:gridSpan w:val="3"/>
                                  <w:textDirection w:val="lrTbV"/>
                                  <w:vAlign w:val="center"/>
                                </w:tcPr>
                                <w:p w:rsidR="00000000" w:rsidRDefault="00CA394A">
                                  <w:pPr>
                                    <w:kinsoku w:val="0"/>
                                    <w:overflowPunct w:val="0"/>
                                    <w:spacing w:line="220" w:lineRule="exact"/>
                                    <w:ind w:right="306"/>
                                    <w:jc w:val="distribute"/>
                                    <w:textDirection w:val="lrTbV"/>
                                    <w:textAlignment w:val="top"/>
                                    <w:rPr>
                                      <w:rFonts w:ascii="標楷體"/>
                                      <w:position w:val="2"/>
                                      <w:sz w:val="18"/>
                                    </w:rPr>
                                  </w:pPr>
                                  <w:r>
                                    <w:rPr>
                                      <w:rFonts w:ascii="標楷體" w:hint="eastAsia"/>
                                      <w:position w:val="2"/>
                                      <w:sz w:val="18"/>
                                    </w:rPr>
                                    <w:t>國內平寄郵費在內掛號及國外另加</w:t>
                                  </w:r>
                                </w:p>
                              </w:tc>
                            </w:tr>
                            <w:tr w:rsidR="00000000">
                              <w:tblPrEx>
                                <w:tblCellMar>
                                  <w:top w:w="0" w:type="dxa"/>
                                  <w:left w:w="0" w:type="dxa"/>
                                  <w:bottom w:w="0" w:type="dxa"/>
                                  <w:right w:w="0" w:type="dxa"/>
                                </w:tblCellMar>
                              </w:tblPrEx>
                              <w:trPr>
                                <w:trHeight w:hRule="exact" w:val="343"/>
                                <w:jc w:val="center"/>
                              </w:trPr>
                              <w:tc>
                                <w:tcPr>
                                  <w:tcW w:w="4110" w:type="dxa"/>
                                  <w:gridSpan w:val="3"/>
                                  <w:textDirection w:val="lrTbV"/>
                                  <w:vAlign w:val="center"/>
                                </w:tcPr>
                                <w:p w:rsidR="00000000" w:rsidRDefault="00CA394A">
                                  <w:pPr>
                                    <w:kinsoku w:val="0"/>
                                    <w:overflowPunct w:val="0"/>
                                    <w:spacing w:line="220" w:lineRule="exact"/>
                                    <w:ind w:right="306"/>
                                    <w:jc w:val="distribute"/>
                                    <w:textDirection w:val="lrTbV"/>
                                    <w:textAlignment w:val="top"/>
                                    <w:rPr>
                                      <w:rFonts w:ascii="標楷體"/>
                                      <w:position w:val="2"/>
                                      <w:sz w:val="18"/>
                                    </w:rPr>
                                  </w:pPr>
                                  <w:r>
                                    <w:rPr>
                                      <w:rFonts w:ascii="標楷體" w:hint="eastAsia"/>
                                      <w:position w:val="2"/>
                                      <w:sz w:val="18"/>
                                    </w:rPr>
                                    <w:t>本報郵政劃撥儲金帳戶第九五九號</w:t>
                                  </w:r>
                                </w:p>
                              </w:tc>
                            </w:tr>
                          </w:tbl>
                          <w:p w:rsidR="00000000" w:rsidRDefault="00CA394A">
                            <w:pPr>
                              <w:pStyle w:val="Salutation"/>
                            </w:pPr>
                          </w:p>
                        </w:txbxContent>
                      </wps:txbx>
                      <wps:bodyPr rot="0" vert="horz" wrap="square" lIns="0" tIns="0" rIns="0" bIns="0" anchor="t" anchorCtr="0" upright="1">
                        <a:noAutofit/>
                      </wps:bodyPr>
                    </wps:wsp>
                    <wpg:grpSp>
                      <wpg:cNvPr id="4" name="Group 33"/>
                      <wpg:cNvGrpSpPr>
                        <a:grpSpLocks/>
                      </wpg:cNvGrpSpPr>
                      <wpg:grpSpPr bwMode="auto">
                        <a:xfrm>
                          <a:off x="11671" y="3305"/>
                          <a:ext cx="145" cy="470"/>
                          <a:chOff x="11844" y="3274"/>
                          <a:chExt cx="145" cy="516"/>
                        </a:xfrm>
                      </wpg:grpSpPr>
                      <wps:wsp>
                        <wps:cNvPr id="5" name="Arc 34"/>
                        <wps:cNvSpPr>
                          <a:spLocks/>
                        </wps:cNvSpPr>
                        <wps:spPr bwMode="auto">
                          <a:xfrm flipH="1" flipV="1">
                            <a:off x="11916" y="3747"/>
                            <a:ext cx="73" cy="43"/>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close/>
                              </a:path>
                            </a:pathLst>
                          </a:custGeom>
                          <a:noFill/>
                          <a:ln w="12700">
                            <a:solidFill>
                              <a:srgbClr val="80008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6" name="Line 35"/>
                        <wps:cNvCnPr>
                          <a:cxnSpLocks noChangeShapeType="1"/>
                        </wps:cNvCnPr>
                        <wps:spPr bwMode="auto">
                          <a:xfrm>
                            <a:off x="11916" y="3575"/>
                            <a:ext cx="0" cy="172"/>
                          </a:xfrm>
                          <a:prstGeom prst="line">
                            <a:avLst/>
                          </a:prstGeom>
                          <a:noFill/>
                          <a:ln w="12700">
                            <a:solidFill>
                              <a:srgbClr val="80008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 name="Arc 36"/>
                        <wps:cNvSpPr>
                          <a:spLocks/>
                        </wps:cNvSpPr>
                        <wps:spPr bwMode="auto">
                          <a:xfrm>
                            <a:off x="11844" y="3532"/>
                            <a:ext cx="72" cy="43"/>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close/>
                              </a:path>
                            </a:pathLst>
                          </a:custGeom>
                          <a:noFill/>
                          <a:ln w="12700">
                            <a:solidFill>
                              <a:srgbClr val="80008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8" name="Arc 37"/>
                        <wps:cNvSpPr>
                          <a:spLocks/>
                        </wps:cNvSpPr>
                        <wps:spPr bwMode="auto">
                          <a:xfrm flipV="1">
                            <a:off x="11844" y="3489"/>
                            <a:ext cx="72" cy="43"/>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close/>
                              </a:path>
                            </a:pathLst>
                          </a:custGeom>
                          <a:noFill/>
                          <a:ln w="12700">
                            <a:solidFill>
                              <a:srgbClr val="80008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9" name="Line 38"/>
                        <wps:cNvCnPr>
                          <a:cxnSpLocks noChangeShapeType="1"/>
                        </wps:cNvCnPr>
                        <wps:spPr bwMode="auto">
                          <a:xfrm>
                            <a:off x="11916" y="3317"/>
                            <a:ext cx="0" cy="185"/>
                          </a:xfrm>
                          <a:prstGeom prst="line">
                            <a:avLst/>
                          </a:prstGeom>
                          <a:noFill/>
                          <a:ln w="12700">
                            <a:solidFill>
                              <a:srgbClr val="80008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 name="Arc 39"/>
                        <wps:cNvSpPr>
                          <a:spLocks/>
                        </wps:cNvSpPr>
                        <wps:spPr bwMode="auto">
                          <a:xfrm flipH="1">
                            <a:off x="11916" y="3274"/>
                            <a:ext cx="73" cy="43"/>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close/>
                              </a:path>
                            </a:pathLst>
                          </a:custGeom>
                          <a:noFill/>
                          <a:ln w="12700">
                            <a:solidFill>
                              <a:srgbClr val="80008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id="Group 31" o:spid="_x0000_s1026" style="position:absolute;left:0;text-align:left;margin-left:431pt;margin-top:68.9pt;width:248.75pt;height:150.3pt;z-index:251658240" coordorigin="10646,1500" coordsize="4672,3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">
              <v:rect id="Rectangle 32" o:spid="_x0000_s1027" style="position:absolute;left:10646;top:1500;width:4672;height:30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d6rLcIA&#10;AADaAAAADwAAAGRycy9kb3ducmV2LnhtbESPS4vCQBCE74L/YWhhbzpRYdHoKOIDPfoC9dZk2iSY&#10;6QmZ0WT31zvCwh6LqvqKms4bU4gXVS63rKDfi0AQJ1bnnCo4nzbdEQjnkTUWlknBDzmYz9qtKcba&#10;1nyg19GnIkDYxagg876MpXRJRgZdz5bEwbvbyqAPskqlrrAOcFPIQRR9S4M5h4UMS1pmlDyOT6Ng&#10;OyoX1539rdNifdte9pfx6jT2Sn11msUEhKfG/4f/2jutYAifK+EGyNk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J3qstwgAAANoAAAAPAAAAAAAAAAAAAAAAAJgCAABkcnMvZG93&#10;bnJldi54bWxQSwUGAAAAAAQABAD1AAAAhwMAAAAA&#10;" filled="f" stroked="f">
                <v:textbox inset="0,0,0,0">
                  <w:txbxContent>
                    <w:tbl>
                      <w:tblPr>
                        <w:tblW w:w="0" w:type="auto"/>
                        <w:jc w:val="center"/>
                        <w:tblLayout w:type="fixed"/>
                        <w:tblCellMar>
                          <w:left w:w="0" w:type="dxa"/>
                          <w:right w:w="0" w:type="dxa"/>
                        </w:tblCellMar>
                        <w:tblLook w:val="0000" w:firstRow="0" w:lastRow="0" w:firstColumn="0" w:lastColumn="0" w:noHBand="0" w:noVBand="0"/>
                      </w:tblPr>
                      <w:tblGrid>
                        <w:gridCol w:w="699"/>
                        <w:gridCol w:w="217"/>
                        <w:gridCol w:w="3194"/>
                      </w:tblGrid>
                      <w:tr w:rsidR="00000000">
                        <w:tblPrEx>
                          <w:tblCellMar>
                            <w:top w:w="0" w:type="dxa"/>
                            <w:left w:w="0" w:type="dxa"/>
                            <w:bottom w:w="0" w:type="dxa"/>
                            <w:right w:w="0" w:type="dxa"/>
                          </w:tblCellMar>
                        </w:tblPrEx>
                        <w:trPr>
                          <w:trHeight w:val="397"/>
                          <w:jc w:val="center"/>
                        </w:trPr>
                        <w:tc>
                          <w:tcPr>
                            <w:tcW w:w="699" w:type="dxa"/>
                            <w:textDirection w:val="lrTbV"/>
                            <w:vAlign w:val="center"/>
                          </w:tcPr>
                          <w:p w:rsidR="00000000" w:rsidRDefault="00CA394A">
                            <w:pPr>
                              <w:kinsoku w:val="0"/>
                              <w:overflowPunct w:val="0"/>
                              <w:spacing w:line="240" w:lineRule="exact"/>
                              <w:jc w:val="distribute"/>
                              <w:textDirection w:val="lrTbV"/>
                              <w:textAlignment w:val="top"/>
                              <w:rPr>
                                <w:rFonts w:ascii="標楷體" w:hint="eastAsia"/>
                                <w:spacing w:val="-12"/>
                                <w:position w:val="2"/>
                                <w:sz w:val="18"/>
                              </w:rPr>
                            </w:pPr>
                            <w:r>
                              <w:rPr>
                                <w:rFonts w:ascii="標楷體" w:hint="eastAsia"/>
                                <w:spacing w:val="-12"/>
                                <w:position w:val="2"/>
                                <w:sz w:val="18"/>
                              </w:rPr>
                              <w:t>編輯</w:t>
                            </w:r>
                          </w:p>
                          <w:p w:rsidR="00000000" w:rsidRDefault="00CA394A">
                            <w:pPr>
                              <w:kinsoku w:val="0"/>
                              <w:overflowPunct w:val="0"/>
                              <w:spacing w:line="240" w:lineRule="exact"/>
                              <w:jc w:val="distribute"/>
                              <w:textDirection w:val="lrTbV"/>
                              <w:textAlignment w:val="top"/>
                              <w:rPr>
                                <w:rFonts w:ascii="標楷體"/>
                                <w:spacing w:val="12"/>
                                <w:position w:val="2"/>
                                <w:sz w:val="20"/>
                              </w:rPr>
                            </w:pPr>
                            <w:r>
                              <w:rPr>
                                <w:rFonts w:ascii="標楷體" w:hint="eastAsia"/>
                                <w:spacing w:val="-12"/>
                                <w:position w:val="2"/>
                                <w:sz w:val="18"/>
                              </w:rPr>
                              <w:t>發行</w:t>
                            </w:r>
                          </w:p>
                        </w:tc>
                        <w:tc>
                          <w:tcPr>
                            <w:tcW w:w="217" w:type="dxa"/>
                            <w:textDirection w:val="lrTbV"/>
                            <w:vAlign w:val="center"/>
                          </w:tcPr>
                          <w:p w:rsidR="00000000" w:rsidRDefault="00CA394A">
                            <w:pPr>
                              <w:kinsoku w:val="0"/>
                              <w:overflowPunct w:val="0"/>
                              <w:spacing w:line="240" w:lineRule="exact"/>
                              <w:jc w:val="center"/>
                              <w:textDirection w:val="lrTbV"/>
                              <w:textAlignment w:val="top"/>
                              <w:rPr>
                                <w:rFonts w:ascii="標楷體"/>
                                <w:position w:val="2"/>
                                <w:sz w:val="20"/>
                              </w:rPr>
                            </w:pPr>
                            <w:r>
                              <w:rPr>
                                <w:rFonts w:ascii="標楷體" w:hint="eastAsia"/>
                                <w:position w:val="2"/>
                                <w:sz w:val="20"/>
                              </w:rPr>
                              <w:t>：</w:t>
                            </w:r>
                          </w:p>
                        </w:tc>
                        <w:tc>
                          <w:tcPr>
                            <w:tcW w:w="3194" w:type="dxa"/>
                            <w:textDirection w:val="lrTbV"/>
                            <w:vAlign w:val="center"/>
                          </w:tcPr>
                          <w:p w:rsidR="00000000" w:rsidRDefault="00CA394A">
                            <w:pPr>
                              <w:kinsoku w:val="0"/>
                              <w:overflowPunct w:val="0"/>
                              <w:spacing w:line="240" w:lineRule="exact"/>
                              <w:ind w:right="308" w:firstLine="4"/>
                              <w:jc w:val="distribute"/>
                              <w:textDirection w:val="lrTbV"/>
                              <w:textAlignment w:val="top"/>
                              <w:rPr>
                                <w:rFonts w:ascii="標楷體"/>
                                <w:position w:val="2"/>
                                <w:sz w:val="20"/>
                              </w:rPr>
                            </w:pPr>
                            <w:r>
                              <w:rPr>
                                <w:rFonts w:ascii="標楷體" w:hint="eastAsia"/>
                                <w:position w:val="2"/>
                                <w:sz w:val="20"/>
                              </w:rPr>
                              <w:t>總統府第三局</w:t>
                            </w:r>
                          </w:p>
                        </w:tc>
                      </w:tr>
                      <w:tr w:rsidR="00000000">
                        <w:tblPrEx>
                          <w:tblCellMar>
                            <w:top w:w="0" w:type="dxa"/>
                            <w:left w:w="0" w:type="dxa"/>
                            <w:bottom w:w="0" w:type="dxa"/>
                            <w:right w:w="0" w:type="dxa"/>
                          </w:tblCellMar>
                        </w:tblPrEx>
                        <w:trPr>
                          <w:trHeight w:val="589"/>
                          <w:jc w:val="center"/>
                        </w:trPr>
                        <w:tc>
                          <w:tcPr>
                            <w:tcW w:w="699" w:type="dxa"/>
                            <w:textDirection w:val="lrTbV"/>
                            <w:vAlign w:val="center"/>
                          </w:tcPr>
                          <w:p w:rsidR="00000000" w:rsidRDefault="00CA394A">
                            <w:pPr>
                              <w:kinsoku w:val="0"/>
                              <w:overflowPunct w:val="0"/>
                              <w:spacing w:before="60" w:line="240" w:lineRule="exact"/>
                              <w:textDirection w:val="lrTbV"/>
                              <w:textAlignment w:val="top"/>
                              <w:rPr>
                                <w:rFonts w:ascii="標楷體"/>
                                <w:spacing w:val="12"/>
                                <w:sz w:val="20"/>
                              </w:rPr>
                            </w:pPr>
                            <w:r>
                              <w:rPr>
                                <w:rFonts w:ascii="標楷體" w:hint="eastAsia"/>
                                <w:spacing w:val="12"/>
                                <w:sz w:val="20"/>
                              </w:rPr>
                              <w:t>電　話</w:t>
                            </w:r>
                          </w:p>
                        </w:tc>
                        <w:tc>
                          <w:tcPr>
                            <w:tcW w:w="217" w:type="dxa"/>
                            <w:textDirection w:val="lrTbV"/>
                            <w:vAlign w:val="center"/>
                          </w:tcPr>
                          <w:p w:rsidR="00000000" w:rsidRDefault="00CA394A">
                            <w:pPr>
                              <w:kinsoku w:val="0"/>
                              <w:overflowPunct w:val="0"/>
                              <w:spacing w:before="60" w:line="240" w:lineRule="exact"/>
                              <w:jc w:val="center"/>
                              <w:textDirection w:val="lrTbV"/>
                              <w:textAlignment w:val="top"/>
                              <w:rPr>
                                <w:rFonts w:ascii="標楷體"/>
                                <w:sz w:val="20"/>
                              </w:rPr>
                            </w:pPr>
                            <w:r>
                              <w:rPr>
                                <w:rFonts w:ascii="標楷體" w:hint="eastAsia"/>
                                <w:sz w:val="20"/>
                              </w:rPr>
                              <w:t>：</w:t>
                            </w:r>
                          </w:p>
                        </w:tc>
                        <w:tc>
                          <w:tcPr>
                            <w:tcW w:w="3194" w:type="dxa"/>
                            <w:textDirection w:val="lrTbV"/>
                            <w:vAlign w:val="center"/>
                          </w:tcPr>
                          <w:p w:rsidR="00000000" w:rsidRDefault="00CA394A">
                            <w:pPr>
                              <w:kinsoku w:val="0"/>
                              <w:overflowPunct w:val="0"/>
                              <w:spacing w:line="200" w:lineRule="exact"/>
                              <w:ind w:right="308"/>
                              <w:jc w:val="distribute"/>
                              <w:textDirection w:val="lrTbV"/>
                              <w:textAlignment w:val="top"/>
                              <w:rPr>
                                <w:rFonts w:ascii="標楷體"/>
                                <w:position w:val="2"/>
                                <w:sz w:val="20"/>
                              </w:rPr>
                            </w:pPr>
                            <w:r>
                              <w:rPr>
                                <w:rFonts w:ascii="標楷體" w:hint="eastAsia"/>
                                <w:position w:val="2"/>
                                <w:sz w:val="20"/>
                              </w:rPr>
                              <w:t>三一三七三一轉二七八</w:t>
                            </w:r>
                            <w:r>
                              <w:rPr>
                                <w:rFonts w:ascii="標楷體" w:hint="eastAsia"/>
                                <w:spacing w:val="-20"/>
                                <w:position w:val="2"/>
                                <w:sz w:val="20"/>
                              </w:rPr>
                              <w:t>公報室</w:t>
                            </w:r>
                          </w:p>
                        </w:tc>
                      </w:tr>
                      <w:tr w:rsidR="00000000">
                        <w:tblPrEx>
                          <w:tblCellMar>
                            <w:top w:w="0" w:type="dxa"/>
                            <w:left w:w="0" w:type="dxa"/>
                            <w:bottom w:w="0" w:type="dxa"/>
                            <w:right w:w="0" w:type="dxa"/>
                          </w:tblCellMar>
                        </w:tblPrEx>
                        <w:trPr>
                          <w:trHeight w:val="491"/>
                          <w:jc w:val="center"/>
                        </w:trPr>
                        <w:tc>
                          <w:tcPr>
                            <w:tcW w:w="699" w:type="dxa"/>
                            <w:textDirection w:val="lrTbV"/>
                            <w:vAlign w:val="center"/>
                          </w:tcPr>
                          <w:p w:rsidR="00000000" w:rsidRDefault="00CA394A">
                            <w:pPr>
                              <w:kinsoku w:val="0"/>
                              <w:overflowPunct w:val="0"/>
                              <w:spacing w:beforeLines="10" w:before="24" w:afterLines="10" w:after="24" w:line="220" w:lineRule="exact"/>
                              <w:textDirection w:val="lrTbV"/>
                              <w:textAlignment w:val="top"/>
                              <w:rPr>
                                <w:rFonts w:ascii="標楷體"/>
                                <w:spacing w:val="12"/>
                                <w:position w:val="2"/>
                                <w:sz w:val="20"/>
                              </w:rPr>
                            </w:pPr>
                            <w:r>
                              <w:rPr>
                                <w:rFonts w:ascii="標楷體" w:hint="eastAsia"/>
                                <w:spacing w:val="12"/>
                                <w:position w:val="2"/>
                                <w:sz w:val="20"/>
                              </w:rPr>
                              <w:t>印　刷</w:t>
                            </w:r>
                          </w:p>
                        </w:tc>
                        <w:tc>
                          <w:tcPr>
                            <w:tcW w:w="217" w:type="dxa"/>
                            <w:textDirection w:val="lrTbV"/>
                            <w:vAlign w:val="center"/>
                          </w:tcPr>
                          <w:p w:rsidR="00000000" w:rsidRDefault="00CA394A">
                            <w:pPr>
                              <w:kinsoku w:val="0"/>
                              <w:overflowPunct w:val="0"/>
                              <w:spacing w:beforeLines="10" w:before="24" w:afterLines="10" w:after="24" w:line="220" w:lineRule="exact"/>
                              <w:jc w:val="center"/>
                              <w:textDirection w:val="lrTbV"/>
                              <w:textAlignment w:val="top"/>
                              <w:rPr>
                                <w:rFonts w:ascii="標楷體"/>
                                <w:position w:val="2"/>
                                <w:sz w:val="20"/>
                              </w:rPr>
                            </w:pPr>
                            <w:r>
                              <w:rPr>
                                <w:rFonts w:ascii="標楷體" w:hint="eastAsia"/>
                                <w:position w:val="2"/>
                                <w:sz w:val="20"/>
                              </w:rPr>
                              <w:t>：</w:t>
                            </w:r>
                          </w:p>
                        </w:tc>
                        <w:tc>
                          <w:tcPr>
                            <w:tcW w:w="3194" w:type="dxa"/>
                            <w:textDirection w:val="lrTbV"/>
                            <w:vAlign w:val="center"/>
                          </w:tcPr>
                          <w:p w:rsidR="00000000" w:rsidRDefault="00CA394A">
                            <w:pPr>
                              <w:kinsoku w:val="0"/>
                              <w:overflowPunct w:val="0"/>
                              <w:spacing w:beforeLines="10" w:before="24" w:afterLines="10" w:after="24" w:line="220" w:lineRule="exact"/>
                              <w:ind w:right="308"/>
                              <w:jc w:val="distribute"/>
                              <w:textDirection w:val="lrTbV"/>
                              <w:textAlignment w:val="top"/>
                              <w:rPr>
                                <w:rFonts w:ascii="標楷體"/>
                                <w:position w:val="2"/>
                                <w:sz w:val="20"/>
                              </w:rPr>
                            </w:pPr>
                            <w:r>
                              <w:rPr>
                                <w:rFonts w:ascii="標楷體" w:hint="eastAsia"/>
                                <w:position w:val="2"/>
                                <w:sz w:val="20"/>
                              </w:rPr>
                              <w:t>中央印製廠</w:t>
                            </w:r>
                          </w:p>
                        </w:tc>
                      </w:tr>
                      <w:tr w:rsidR="00000000">
                        <w:tblPrEx>
                          <w:tblCellMar>
                            <w:top w:w="0" w:type="dxa"/>
                            <w:left w:w="0" w:type="dxa"/>
                            <w:bottom w:w="0" w:type="dxa"/>
                            <w:right w:w="0" w:type="dxa"/>
                          </w:tblCellMar>
                        </w:tblPrEx>
                        <w:trPr>
                          <w:trHeight w:val="937"/>
                          <w:jc w:val="center"/>
                        </w:trPr>
                        <w:tc>
                          <w:tcPr>
                            <w:tcW w:w="699" w:type="dxa"/>
                            <w:textDirection w:val="lrTbV"/>
                            <w:vAlign w:val="center"/>
                          </w:tcPr>
                          <w:p w:rsidR="00000000" w:rsidRDefault="00CA394A">
                            <w:pPr>
                              <w:kinsoku w:val="0"/>
                              <w:overflowPunct w:val="0"/>
                              <w:spacing w:line="220" w:lineRule="exact"/>
                              <w:textDirection w:val="lrTbV"/>
                              <w:textAlignment w:val="top"/>
                              <w:rPr>
                                <w:rFonts w:ascii="標楷體"/>
                                <w:spacing w:val="12"/>
                                <w:position w:val="2"/>
                                <w:sz w:val="20"/>
                              </w:rPr>
                            </w:pPr>
                            <w:r>
                              <w:rPr>
                                <w:rFonts w:ascii="標楷體" w:hint="eastAsia"/>
                                <w:spacing w:val="12"/>
                                <w:position w:val="2"/>
                                <w:sz w:val="20"/>
                              </w:rPr>
                              <w:t>定　價</w:t>
                            </w:r>
                          </w:p>
                        </w:tc>
                        <w:tc>
                          <w:tcPr>
                            <w:tcW w:w="217" w:type="dxa"/>
                            <w:textDirection w:val="lrTbV"/>
                            <w:vAlign w:val="center"/>
                          </w:tcPr>
                          <w:p w:rsidR="00000000" w:rsidRDefault="00CA394A">
                            <w:pPr>
                              <w:kinsoku w:val="0"/>
                              <w:overflowPunct w:val="0"/>
                              <w:spacing w:line="200" w:lineRule="exact"/>
                              <w:textDirection w:val="lrTbV"/>
                              <w:textAlignment w:val="top"/>
                              <w:rPr>
                                <w:rFonts w:ascii="標楷體"/>
                                <w:position w:val="2"/>
                                <w:sz w:val="20"/>
                              </w:rPr>
                            </w:pPr>
                          </w:p>
                        </w:tc>
                        <w:tc>
                          <w:tcPr>
                            <w:tcW w:w="3194" w:type="dxa"/>
                            <w:textDirection w:val="lrTbV"/>
                            <w:vAlign w:val="center"/>
                          </w:tcPr>
                          <w:p w:rsidR="00000000" w:rsidRDefault="00CA394A">
                            <w:pPr>
                              <w:kinsoku w:val="0"/>
                              <w:overflowPunct w:val="0"/>
                              <w:spacing w:line="300" w:lineRule="exact"/>
                              <w:ind w:right="306"/>
                              <w:jc w:val="distribute"/>
                              <w:textDirection w:val="lrTbV"/>
                              <w:textAlignment w:val="top"/>
                              <w:rPr>
                                <w:rFonts w:ascii="標楷體" w:hint="eastAsia"/>
                                <w:position w:val="2"/>
                                <w:sz w:val="20"/>
                              </w:rPr>
                            </w:pPr>
                            <w:r>
                              <w:rPr>
                                <w:rFonts w:ascii="標楷體" w:hint="eastAsia"/>
                                <w:position w:val="2"/>
                                <w:sz w:val="20"/>
                              </w:rPr>
                              <w:t>零售每份新台幣一元</w:t>
                            </w:r>
                          </w:p>
                          <w:p w:rsidR="00000000" w:rsidRDefault="00CA394A">
                            <w:pPr>
                              <w:kinsoku w:val="0"/>
                              <w:overflowPunct w:val="0"/>
                              <w:spacing w:line="300" w:lineRule="exact"/>
                              <w:ind w:right="306"/>
                              <w:jc w:val="distribute"/>
                              <w:textDirection w:val="lrTbV"/>
                              <w:textAlignment w:val="top"/>
                              <w:rPr>
                                <w:rFonts w:ascii="標楷體" w:hint="eastAsia"/>
                                <w:position w:val="2"/>
                                <w:sz w:val="20"/>
                              </w:rPr>
                            </w:pPr>
                            <w:r>
                              <w:rPr>
                                <w:rFonts w:ascii="標楷體" w:hint="eastAsia"/>
                                <w:position w:val="2"/>
                                <w:sz w:val="20"/>
                              </w:rPr>
                              <w:t>半年新台幣七十八元</w:t>
                            </w:r>
                          </w:p>
                          <w:p w:rsidR="00000000" w:rsidRDefault="00CA394A">
                            <w:pPr>
                              <w:kinsoku w:val="0"/>
                              <w:overflowPunct w:val="0"/>
                              <w:spacing w:line="300" w:lineRule="exact"/>
                              <w:ind w:right="306"/>
                              <w:jc w:val="distribute"/>
                              <w:textDirection w:val="lrTbV"/>
                              <w:textAlignment w:val="top"/>
                              <w:rPr>
                                <w:rFonts w:ascii="標楷體"/>
                                <w:position w:val="2"/>
                                <w:sz w:val="20"/>
                              </w:rPr>
                            </w:pPr>
                            <w:r>
                              <w:rPr>
                                <w:rFonts w:ascii="標楷體" w:hint="eastAsia"/>
                                <w:position w:val="2"/>
                                <w:sz w:val="20"/>
                              </w:rPr>
                              <w:t>全年新台幣一百五十六元</w:t>
                            </w:r>
                          </w:p>
                        </w:tc>
                      </w:tr>
                      <w:tr w:rsidR="00000000">
                        <w:tblPrEx>
                          <w:tblCellMar>
                            <w:top w:w="0" w:type="dxa"/>
                            <w:left w:w="0" w:type="dxa"/>
                            <w:bottom w:w="0" w:type="dxa"/>
                            <w:right w:w="0" w:type="dxa"/>
                          </w:tblCellMar>
                        </w:tblPrEx>
                        <w:trPr>
                          <w:trHeight w:val="252"/>
                          <w:jc w:val="center"/>
                        </w:trPr>
                        <w:tc>
                          <w:tcPr>
                            <w:tcW w:w="4110" w:type="dxa"/>
                            <w:gridSpan w:val="3"/>
                            <w:textDirection w:val="lrTbV"/>
                            <w:vAlign w:val="center"/>
                          </w:tcPr>
                          <w:p w:rsidR="00000000" w:rsidRDefault="00CA394A">
                            <w:pPr>
                              <w:kinsoku w:val="0"/>
                              <w:overflowPunct w:val="0"/>
                              <w:spacing w:line="220" w:lineRule="exact"/>
                              <w:ind w:right="306"/>
                              <w:jc w:val="distribute"/>
                              <w:textDirection w:val="lrTbV"/>
                              <w:textAlignment w:val="top"/>
                              <w:rPr>
                                <w:rFonts w:ascii="標楷體"/>
                                <w:position w:val="2"/>
                                <w:sz w:val="18"/>
                              </w:rPr>
                            </w:pPr>
                            <w:r>
                              <w:rPr>
                                <w:rFonts w:ascii="標楷體" w:hint="eastAsia"/>
                                <w:position w:val="2"/>
                                <w:sz w:val="18"/>
                              </w:rPr>
                              <w:t>國內平寄郵費在內掛號及國外另加</w:t>
                            </w:r>
                          </w:p>
                        </w:tc>
                      </w:tr>
                      <w:tr w:rsidR="00000000">
                        <w:tblPrEx>
                          <w:tblCellMar>
                            <w:top w:w="0" w:type="dxa"/>
                            <w:left w:w="0" w:type="dxa"/>
                            <w:bottom w:w="0" w:type="dxa"/>
                            <w:right w:w="0" w:type="dxa"/>
                          </w:tblCellMar>
                        </w:tblPrEx>
                        <w:trPr>
                          <w:trHeight w:hRule="exact" w:val="343"/>
                          <w:jc w:val="center"/>
                        </w:trPr>
                        <w:tc>
                          <w:tcPr>
                            <w:tcW w:w="4110" w:type="dxa"/>
                            <w:gridSpan w:val="3"/>
                            <w:textDirection w:val="lrTbV"/>
                            <w:vAlign w:val="center"/>
                          </w:tcPr>
                          <w:p w:rsidR="00000000" w:rsidRDefault="00CA394A">
                            <w:pPr>
                              <w:kinsoku w:val="0"/>
                              <w:overflowPunct w:val="0"/>
                              <w:spacing w:line="220" w:lineRule="exact"/>
                              <w:ind w:right="306"/>
                              <w:jc w:val="distribute"/>
                              <w:textDirection w:val="lrTbV"/>
                              <w:textAlignment w:val="top"/>
                              <w:rPr>
                                <w:rFonts w:ascii="標楷體"/>
                                <w:position w:val="2"/>
                                <w:sz w:val="18"/>
                              </w:rPr>
                            </w:pPr>
                            <w:r>
                              <w:rPr>
                                <w:rFonts w:ascii="標楷體" w:hint="eastAsia"/>
                                <w:position w:val="2"/>
                                <w:sz w:val="18"/>
                              </w:rPr>
                              <w:t>本報郵政劃撥儲金帳戶第九五九號</w:t>
                            </w:r>
                          </w:p>
                        </w:tc>
                      </w:tr>
                    </w:tbl>
                    <w:p w:rsidR="00000000" w:rsidRDefault="00CA394A">
                      <w:pPr>
                        <w:pStyle w:val="Salutation"/>
                      </w:pPr>
                    </w:p>
                  </w:txbxContent>
                </v:textbox>
              </v:rect>
              <v:group id="Group 33" o:spid="_x0000_s1028" style="position:absolute;left:11671;top:3305;width:145;height:470" coordorigin="11844,3274" coordsize="145,51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FKVJrPFAAAA2gAA&#10;AA8AAAAAAAAAAAAAAAAAqgIAAGRycy9kb3ducmV2LnhtbFBLBQYAAAAABAAEAPoAAACcAwAAAAA=&#10;">
                <v:shape id="Arc 34" o:spid="_x0000_s1029" style="position:absolute;left:11916;top:3747;width:73;height:43;flip:x y;visibility:visible;mso-wrap-style:square;v-text-anchor:top"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3awXcMA&#10;AADaAAAADwAAAGRycy9kb3ducmV2LnhtbESPQWvCQBSE74X+h+UVvBTdVKmW1FWKIHgQWtMSPD6y&#10;zySYfRuyLxr/vVso9DjMzDfMcj24Rl2oC7VnAy+TBBRx4W3NpYGf7+34DVQQZIuNZzJwowDr1ePD&#10;ElPrr3ygSyalihAOKRqoRNpU61BU5DBMfEscvZPvHEqUXalth9cId42eJslcO6w5LlTY0qai4pz1&#10;LlL6rJ35/vOY1/v8a/u8kCOLNWb0NHy8gxIa5D/8195ZA6/weyXeAL26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3awXcMAAADaAAAADwAAAAAAAAAAAAAAAACYAgAAZHJzL2Rv&#10;d25yZXYueG1sUEsFBgAAAAAEAAQA9QAAAIgDAAAAAA==&#10;" path="m,nfc11929,,21600,9670,21600,21600em,nsc11929,,21600,9670,21600,21600l,21600,,xe" filled="f" strokecolor="purple" strokeweight="1pt">
                  <v:path arrowok="t" o:extrusionok="f" o:connecttype="custom" o:connectlocs="0,0;73,43;0,43" o:connectangles="0,0,0"/>
                </v:shape>
                <v:line id="Line 35" o:spid="_x0000_s1030" style="position:absolute;visibility:visible;mso-wrap-style:square" from="11916,3575" to="11916,37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VTRQ8IAAADaAAAADwAAAGRycy9kb3ducmV2LnhtbESPT4vCMBTE78J+h/AWvGm6CnWpprII&#10;oosndQ8en83rH2xeahO166c3guBxmJnfMLN5Z2pxpdZVlhV8DSMQxJnVFRcK/vbLwTcI55E11pZJ&#10;wT85mKcfvRkm2t54S9edL0SAsEtQQel9k0jpspIMuqFtiIOX29agD7ItpG7xFuCmlqMoiqXBisNC&#10;iQ0tSspOu4tRYPcLd8wmlY7Hq3OUF5tme7j/KtX/7H6mIDx1/h1+tddaQQzPK+EGyPQ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fVTRQ8IAAADaAAAADwAAAAAAAAAAAAAA&#10;AAChAgAAZHJzL2Rvd25yZXYueG1sUEsFBgAAAAAEAAQA+QAAAJADAAAAAA==&#10;" strokecolor="purple" strokeweight="1pt">
                  <v:stroke startarrowwidth="narrow" startarrowlength="short" endarrowwidth="narrow" endarrowlength="short"/>
                </v:line>
                <v:shape id="Arc 36" o:spid="_x0000_s1031" style="position:absolute;left:11844;top:3532;width:72;height:43;visibility:visible;mso-wrap-style:square;v-text-anchor:top"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kAS8EA&#10;AADaAAAADwAAAGRycy9kb3ducmV2LnhtbESPQWvCQBSE7wX/w/KE3upGD1qiq4go9dqkvb9mn9lg&#10;9m3IPmPqr+8WCj0OM/MNs9mNvlUD9bEJbGA+y0ARV8E2XBv4KE8vr6CiIFtsA5OBb4qw206eNpjb&#10;cOd3GgqpVYJwzNGAE+lyrWPlyGOchY44eZfQe5Qk+1rbHu8J7lu9yLKl9thwWnDY0cFRdS1u3sDi&#10;81E9urfj4UuK623lYyluKI15no77NSihUf7Df+2zNbCC3yvpBujt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5AEvBAAAA2gAAAA8AAAAAAAAAAAAAAAAAmAIAAGRycy9kb3du&#10;cmV2LnhtbFBLBQYAAAAABAAEAPUAAACGAwAAAAA=&#10;" path="m,nfc11929,,21600,9670,21600,21600em,nsc11929,,21600,9670,21600,21600l,21600,,xe" filled="f" strokecolor="purple" strokeweight="1pt">
                  <v:path arrowok="t" o:extrusionok="f" o:connecttype="custom" o:connectlocs="0,0;72,43;0,43" o:connectangles="0,0,0"/>
                </v:shape>
                <v:shape id="Arc 37" o:spid="_x0000_s1032" style="position:absolute;left:11844;top:3489;width:72;height:43;flip:y;visibility:visible;mso-wrap-style:square;v-text-anchor:top"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" path="m,nfc11929,,21600,9670,21600,21600em,nsc11929,,21600,9670,21600,21600l,21600,,xe" filled="f" strokecolor="purple" strokeweight="1pt">
                  <v:path arrowok="t" o:extrusionok="f" o:connecttype="custom" o:connectlocs="0,0;72,43;0,43" o:connectangles="0,0,0"/>
                </v:shape>
                <v:line id="Line 38" o:spid="_x0000_s1033" style="position:absolute;visibility:visible;mso-wrap-style:square" from="11916,3317" to="11916,350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MtFMcMAAADaAAAADwAAAGRycy9kb3ducmV2LnhtbESPS4sCMRCE74L/IbSwN82ooOs4UURY&#10;XPHk4+CxnfQ8cNIZJ1kd99dvBGGPRVV9RSXL1lTiTo0rLSsYDiIQxKnVJecKTsev/icI55E1VpZJ&#10;wZMcLBfdToKxtg/e0/3gcxEg7GJUUHhfx1K6tCCDbmBr4uBltjHog2xyqRt8BLip5CiKJtJgyWGh&#10;wJrWBaXXw49RYI9rd0mnpZ6MN7coy3f1/vy7Veqj167mIDy1/j/8bn9rBTN4XQk3QC7+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zLRTHDAAAA2gAAAA8AAAAAAAAAAAAA&#10;AAAAoQIAAGRycy9kb3ducmV2LnhtbFBLBQYAAAAABAAEAPkAAACRAwAAAAA=&#10;" strokecolor="purple" strokeweight="1pt">
                  <v:stroke startarrowwidth="narrow" startarrowlength="short" endarrowwidth="narrow" endarrowlength="short"/>
                </v:line>
                <v:shape id="Arc 39" o:spid="_x0000_s1034" style="position:absolute;left:11916;top:3274;width:73;height:43;flip:x;visibility:visible;mso-wrap-style:square;v-text-anchor:top"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t6sucEA&#10;AADbAAAADwAAAGRycy9kb3ducmV2LnhtbESPTYvCQAyG7wv+hyGCF9GpK6xSHUWEXURcxK976MS2&#10;2MmUzqzWf28Owt4S8n48mS9bV6k7NaH0bGA0TEARZ96WnBs4n74HU1AhIlusPJOBJwVYLjofc0yt&#10;f/CB7seYKwnhkKKBIsY61TpkBTkMQ18Ty+3qG4dR1ibXtsGHhLtKfybJl3ZYsjQUWNO6oOx2/HNS&#10;0j9dtr6PPxOnJ3G/u/6Os9Ya0+u2qxmoSG38F7/dGyv4Qi+/yAB68Q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rerLnBAAAA2wAAAA8AAAAAAAAAAAAAAAAAmAIAAGRycy9kb3du&#10;cmV2LnhtbFBLBQYAAAAABAAEAPUAAACGAwAAAAA=&#10;" path="m,nfc11929,,21600,9670,21600,21600em,nsc11929,,21600,9670,21600,21600l,21600,,xe" filled="f" strokecolor="purple" strokeweight="1pt">
                  <v:path arrowok="t" o:extrusionok="f" o:connecttype="custom" o:connectlocs="0,0;73,43;0,43" o:connectangles="0,0,0"/>
                </v:shape>
              </v:group>
            </v:group>
          </w:pict>
        </mc:Fallback>
      </mc:AlternateContent>
    </w:r>
    <w:r>
      <w:rPr>
        <w:rFonts w:ascii="標楷體"/>
        <w:noProof/>
        <w:sz w:val="20"/>
      </w:rPr>
      <mc:AlternateContent>
        <mc:Choice Requires="wps">
          <w:drawing>
            <wp:anchor distT="0" distB="0" distL="114300" distR="114300" simplePos="0" relativeHeight="251657216" behindDoc="0" locked="0" layoutInCell="1" allowOverlap="1">
              <wp:simplePos x="0" y="0"/>
              <wp:positionH relativeFrom="column">
                <wp:posOffset>5096510</wp:posOffset>
              </wp:positionH>
              <wp:positionV relativeFrom="paragraph">
                <wp:posOffset>937895</wp:posOffset>
              </wp:positionV>
              <wp:extent cx="740410" cy="1836420"/>
              <wp:effectExtent l="0" t="0" r="0" b="0"/>
              <wp:wrapNone/>
              <wp:docPr id="1" name="AutoShap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40410" cy="1836420"/>
                      </a:xfrm>
                      <a:prstGeom prst="roundRect">
                        <a:avLst>
                          <a:gd name="adj" fmla="val 16667"/>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0000"/>
                            </a:solidFill>
                            <a:round/>
                            <a:headEnd/>
                            <a:tailEnd/>
                          </a14:hiddenLine>
                        </a:ext>
                        <a:ext uri="{AF507438-7753-43E0-B8FC-AC1667EBCBE1}">
                          <a14:hiddenEffects xmlns:a14="http://schemas.microsoft.com/office/drawing/2010/main">
                            <a:effectLst/>
                          </a14:hiddenEffects>
                        </a:ext>
                      </a:extLst>
                    </wps:spPr>
                    <wps:txbx>
                      <w:txbxContent>
                        <w:p w:rsidR="00000000" w:rsidRDefault="00CA394A">
                          <w:pPr>
                            <w:tabs>
                              <w:tab w:val="left" w:pos="273"/>
                            </w:tabs>
                            <w:spacing w:line="240" w:lineRule="atLeast"/>
                            <w:jc w:val="center"/>
                            <w:textDirection w:val="lrTbV"/>
                            <w:rPr>
                              <w:rFonts w:ascii="@標楷體" w:eastAsia="@標楷體"/>
                              <w:b/>
                              <w:spacing w:val="-20"/>
                              <w:sz w:val="30"/>
                            </w:rPr>
                          </w:pPr>
                          <w:r>
                            <w:rPr>
                              <w:rFonts w:ascii="@標楷體" w:eastAsia="@標楷體" w:hint="eastAsia"/>
                              <w:b/>
                              <w:spacing w:val="-20"/>
                              <w:sz w:val="30"/>
                            </w:rPr>
                            <w:t>﹏﹏﹏﹏﹏﹏﹏﹏﹏</w:t>
                          </w:r>
                          <w:r>
                            <w:rPr>
                              <w:rFonts w:ascii="@標楷體" w:eastAsia="@標楷體" w:hint="eastAsia"/>
                              <w:b/>
                              <w:spacing w:val="-20"/>
                              <w:sz w:val="30"/>
                            </w:rPr>
                            <w:t>﹏</w:t>
                          </w:r>
                        </w:p>
                        <w:p w:rsidR="00000000" w:rsidRDefault="00CA394A">
                          <w:pPr>
                            <w:tabs>
                              <w:tab w:val="left" w:pos="273"/>
                            </w:tabs>
                            <w:spacing w:before="120" w:line="200" w:lineRule="exact"/>
                            <w:jc w:val="center"/>
                            <w:textDirection w:val="lrTbV"/>
                            <w:rPr>
                              <w:rFonts w:ascii="@標楷體" w:eastAsia="@標楷體"/>
                              <w:spacing w:val="-20"/>
                              <w:sz w:val="30"/>
                            </w:rPr>
                          </w:pPr>
                          <w:r>
                            <w:rPr>
                              <w:rFonts w:ascii="標楷體" w:hint="eastAsia"/>
                              <w:sz w:val="30"/>
                            </w:rPr>
                            <w:t>號伍壹伍貳第</w:t>
                          </w:r>
                        </w:p>
                        <w:p w:rsidR="00000000" w:rsidRDefault="00CA394A">
                          <w:pPr>
                            <w:tabs>
                              <w:tab w:val="left" w:pos="273"/>
                            </w:tabs>
                            <w:spacing w:line="200" w:lineRule="exact"/>
                            <w:jc w:val="center"/>
                            <w:textDirection w:val="lrTbV"/>
                            <w:rPr>
                              <w:rFonts w:ascii="@標楷體" w:eastAsia="@標楷體"/>
                              <w:b/>
                              <w:spacing w:val="-20"/>
                            </w:rPr>
                          </w:pPr>
                          <w:r>
                            <w:rPr>
                              <w:rFonts w:ascii="@標楷體" w:eastAsia="@標楷體" w:hint="eastAsia"/>
                              <w:b/>
                              <w:spacing w:val="-20"/>
                              <w:sz w:val="30"/>
                            </w:rPr>
                            <w:t>﹏﹏﹏﹏﹏﹏﹏﹏﹏﹏</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2" o:spid="_x0000_s1035" style="position:absolute;left:0;text-align:left;margin-left:401.3pt;margin-top:73.85pt;width:58.3pt;height:144.6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" filled="f" stroked="f" strokecolor="red" strokeweight=".25pt">
              <v:textbox style="layout-flow:vertical;mso-layout-flow-alt:bottom-to-top" inset="0,0,0,0">
                <w:txbxContent>
                  <w:p w:rsidR="00000000" w:rsidRDefault="00CA394A">
                    <w:pPr>
                      <w:tabs>
                        <w:tab w:val="left" w:pos="273"/>
                      </w:tabs>
                      <w:spacing w:line="240" w:lineRule="atLeast"/>
                      <w:jc w:val="center"/>
                      <w:textDirection w:val="lrTbV"/>
                      <w:rPr>
                        <w:rFonts w:ascii="@標楷體" w:eastAsia="@標楷體"/>
                        <w:b/>
                        <w:spacing w:val="-20"/>
                        <w:sz w:val="30"/>
                      </w:rPr>
                    </w:pPr>
                    <w:r>
                      <w:rPr>
                        <w:rFonts w:ascii="@標楷體" w:eastAsia="@標楷體" w:hint="eastAsia"/>
                        <w:b/>
                        <w:spacing w:val="-20"/>
                        <w:sz w:val="30"/>
                      </w:rPr>
                      <w:t>﹏﹏﹏﹏﹏﹏﹏﹏﹏</w:t>
                    </w:r>
                    <w:r>
                      <w:rPr>
                        <w:rFonts w:ascii="@標楷體" w:eastAsia="@標楷體" w:hint="eastAsia"/>
                        <w:b/>
                        <w:spacing w:val="-20"/>
                        <w:sz w:val="30"/>
                      </w:rPr>
                      <w:t>﹏</w:t>
                    </w:r>
                  </w:p>
                  <w:p w:rsidR="00000000" w:rsidRDefault="00CA394A">
                    <w:pPr>
                      <w:tabs>
                        <w:tab w:val="left" w:pos="273"/>
                      </w:tabs>
                      <w:spacing w:before="120" w:line="200" w:lineRule="exact"/>
                      <w:jc w:val="center"/>
                      <w:textDirection w:val="lrTbV"/>
                      <w:rPr>
                        <w:rFonts w:ascii="@標楷體" w:eastAsia="@標楷體"/>
                        <w:spacing w:val="-20"/>
                        <w:sz w:val="30"/>
                      </w:rPr>
                    </w:pPr>
                    <w:r>
                      <w:rPr>
                        <w:rFonts w:ascii="標楷體" w:hint="eastAsia"/>
                        <w:sz w:val="30"/>
                      </w:rPr>
                      <w:t>號伍壹伍貳第</w:t>
                    </w:r>
                  </w:p>
                  <w:p w:rsidR="00000000" w:rsidRDefault="00CA394A">
                    <w:pPr>
                      <w:tabs>
                        <w:tab w:val="left" w:pos="273"/>
                      </w:tabs>
                      <w:spacing w:line="200" w:lineRule="exact"/>
                      <w:jc w:val="center"/>
                      <w:textDirection w:val="lrTbV"/>
                      <w:rPr>
                        <w:rFonts w:ascii="@標楷體" w:eastAsia="@標楷體"/>
                        <w:b/>
                        <w:spacing w:val="-20"/>
                      </w:rPr>
                    </w:pPr>
                    <w:r>
                      <w:rPr>
                        <w:rFonts w:ascii="@標楷體" w:eastAsia="@標楷體" w:hint="eastAsia"/>
                        <w:b/>
                        <w:spacing w:val="-20"/>
                        <w:sz w:val="30"/>
                      </w:rPr>
                      <w:t>﹏﹏﹏﹏﹏﹏﹏﹏﹏﹏</w:t>
                    </w:r>
                  </w:p>
                </w:txbxContent>
              </v:textbox>
            </v:roundrect>
          </w:pict>
        </mc:Fallback>
      </mc:AlternateContent>
    </w:r>
    <w:r>
      <w:rPr>
        <w:rFonts w:ascii="標楷體" w:hint="eastAsia"/>
        <w:sz w:val="20"/>
      </w:rPr>
      <w:t>中華郵政台字第一三七二號執照登記為新聞紙交寄</w:t>
    </w:r>
  </w:p>
  <w:p w:rsidR="00000000" w:rsidRDefault="00CA394A">
    <w:pPr>
      <w:framePr w:w="13154" w:h="2928" w:hRule="exact" w:vSpace="142" w:wrap="notBeside" w:vAnchor="page" w:hAnchor="page" w:x="1872" w:y="1747"/>
      <w:tabs>
        <w:tab w:val="left" w:pos="5387"/>
      </w:tabs>
      <w:spacing w:before="120" w:line="240" w:lineRule="atLeast"/>
      <w:ind w:firstLine="284"/>
      <w:textDirection w:val="lrTbV"/>
      <w:rPr>
        <w:rFonts w:ascii="標楷體"/>
      </w:rPr>
    </w:pPr>
    <w:r>
      <w:rPr>
        <w:rFonts w:ascii="標楷體" w:hint="eastAsia"/>
        <w:b/>
        <w:spacing w:val="8"/>
        <w:sz w:val="148"/>
      </w:rPr>
      <w:t>總統府公報</w:t>
    </w:r>
  </w:p>
  <w:p w:rsidR="00000000" w:rsidRDefault="00CA394A">
    <w:pPr>
      <w:framePr w:w="13154" w:h="2928" w:hRule="exact" w:vSpace="142" w:wrap="notBeside" w:vAnchor="page" w:hAnchor="page" w:x="1872" w:y="1747"/>
      <w:tabs>
        <w:tab w:val="left" w:pos="5387"/>
      </w:tabs>
      <w:spacing w:before="240" w:line="240" w:lineRule="atLeast"/>
      <w:ind w:firstLine="709"/>
      <w:textDirection w:val="lrTbV"/>
      <w:rPr>
        <w:rFonts w:ascii="標楷體"/>
      </w:rPr>
    </w:pPr>
    <w:r>
      <w:rPr>
        <w:rFonts w:ascii="標楷體" w:hint="eastAsia"/>
      </w:rPr>
      <w:t>中華民國六十二年一月一日（星期一）</w:t>
    </w:r>
  </w:p>
  <w:p w:rsidR="00000000" w:rsidRDefault="00CA394A">
    <w:pPr>
      <w:framePr w:w="13154" w:h="2928" w:hRule="exact" w:vSpace="142" w:wrap="notBeside" w:vAnchor="page" w:hAnchor="page" w:x="1872" w:y="1747"/>
      <w:tabs>
        <w:tab w:val="left" w:pos="5387"/>
      </w:tabs>
      <w:spacing w:after="120" w:line="320" w:lineRule="exact"/>
      <w:textDirection w:val="lrTbV"/>
      <w:rPr>
        <w:rFonts w:ascii="標楷體"/>
        <w:sz w:val="20"/>
      </w:rPr>
    </w:pPr>
    <w:r>
      <w:rPr>
        <w:rFonts w:ascii="標楷體" w:hint="eastAsia"/>
        <w:b/>
        <w:spacing w:val="-100"/>
        <w:sz w:val="56"/>
      </w:rPr>
      <w:t>﹏﹏﹏﹏﹏﹏﹏﹏﹏﹏﹏﹏﹏﹏﹏﹏﹏﹏﹏﹏﹏﹏﹏﹏﹏﹏﹏﹏﹏﹏﹏﹏﹏﹏﹏</w:t>
    </w:r>
  </w:p>
  <w:p w:rsidR="00000000" w:rsidRDefault="00CA394A">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bordersDoNotSurroundHeader/>
  <w:bordersDoNotSurroundFooter/>
  <w:gutterAtTop/>
  <w:attachedTemplate r:id="rId1"/>
  <w:defaultTabStop w:val="979"/>
  <w:evenAndOddHeaders/>
  <w:drawingGridHorizontalSpacing w:val="245"/>
  <w:displayVerticalDrawingGridEvery w:val="2"/>
  <w:characterSpacingControl w:val="compressPunctuation"/>
  <w:hdrShapeDefaults>
    <o:shapedefaults v:ext="edit" spidmax="3074"/>
    <o:shapelayout v:ext="edit">
      <o:rules v:ext="edit">
        <o:r id="V:Rule5" type="arc" idref="#_x0000_s1058"/>
        <o:r id="V:Rule6" type="arc" idref="#_x0000_s1060"/>
        <o:r id="V:Rule7" type="arc" idref="#_x0000_s1061"/>
        <o:r id="V:Rule8" type="arc" idref="#_x0000_s1063"/>
      </o:rules>
      <o:regrouptable v:ext="edit">
        <o:entry new="1" old="0"/>
        <o:entry new="2" old="1"/>
        <o:entry new="3" old="0"/>
        <o:entry new="4" old="0"/>
        <o:entry new="5" old="0"/>
      </o:regrouptable>
    </o:shapelayout>
  </w:hdrShapeDefaults>
  <w:footnotePr>
    <w:footnote w:id="-1"/>
    <w:footnote w:id="0"/>
  </w:footnotePr>
  <w:endnotePr>
    <w:endnote w:id="-1"/>
    <w:endnote w:id="0"/>
  </w:endnotePr>
  <w:compat>
    <w:spaceForUL/>
    <w:balanceSingleByteDoubleByteWidth/>
    <w:doNotLeaveBackslashAlone/>
    <w:ulTrailSpace/>
    <w:doNotExpandShiftReturn/>
    <w:doNotUseHTMLParagraphAutoSpacing/>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AutoMarginAdjustment3" w:val=""/>
    <w:docVar w:name="DocLay" w:val="YES"/>
    <w:docVar w:name="HeaderDateTimeMode" w:val=" 0"/>
    <w:docVar w:name="HeaderDateTimeOpt" w:val=" 0"/>
    <w:docVar w:name="HeaderDocInfoMode" w:val=" 0"/>
    <w:docVar w:name="HeaderDocInfoOpt" w:val=" 0"/>
    <w:docVar w:name="HeaderPageNumberMode" w:val=" 0"/>
    <w:docVar w:name="ValidCPLLPP" w:val="0"/>
    <w:docVar w:name="ViewGrid" w:val="0"/>
    <w:docVar w:name="z24" w:val=" 1"/>
    <w:docVar w:name="z30" w:val=" 0"/>
    <w:docVar w:name="z33" w:val=" 0"/>
  </w:docVars>
  <w:rsids>
    <w:rsidRoot w:val="00CA394A"/>
    <w:rsid w:val="00CA394A"/>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15:chartTrackingRefBased/>
  <w15:docId w15:val="{75E5C268-5CAD-41C9-9943-7F5488F81F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細明體" w:hAnsi="Times New Roman" w:cs="Times New Roman"/>
        <w:lang w:val="en-US" w:eastAsia="zh-TW"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adjustRightInd w:val="0"/>
      <w:spacing w:line="360" w:lineRule="exact"/>
      <w:jc w:val="both"/>
      <w:textAlignment w:val="baseline"/>
    </w:pPr>
    <w:rPr>
      <w:rFonts w:eastAsia="標楷體"/>
      <w:sz w:val="28"/>
    </w:rPr>
  </w:style>
  <w:style w:type="character" w:default="1" w:styleId="a0">
    <w:name w:val="Default Paragraph Font"/>
    <w:semiHidden/>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semiHidden/>
    <w:pPr>
      <w:tabs>
        <w:tab w:val="center" w:pos="4153"/>
        <w:tab w:val="right" w:pos="8306"/>
      </w:tabs>
      <w:spacing w:line="360" w:lineRule="auto"/>
    </w:pPr>
    <w:rPr>
      <w:sz w:val="16"/>
    </w:rPr>
  </w:style>
  <w:style w:type="paragraph" w:styleId="a4">
    <w:name w:val="footer"/>
    <w:basedOn w:val="a"/>
    <w:semiHidden/>
    <w:pPr>
      <w:tabs>
        <w:tab w:val="center" w:pos="4153"/>
        <w:tab w:val="right" w:pos="8306"/>
      </w:tabs>
      <w:spacing w:line="360" w:lineRule="auto"/>
    </w:pPr>
    <w:rPr>
      <w:sz w:val="16"/>
    </w:rPr>
  </w:style>
  <w:style w:type="paragraph" w:customStyle="1" w:styleId="a5">
    <w:name w:val="令.條"/>
    <w:basedOn w:val="a"/>
    <w:pPr>
      <w:ind w:left="1200" w:hangingChars="500" w:hanging="1200"/>
    </w:pPr>
  </w:style>
  <w:style w:type="paragraph" w:customStyle="1" w:styleId="a6">
    <w:name w:val="令.項"/>
    <w:basedOn w:val="a"/>
    <w:pPr>
      <w:ind w:leftChars="500" w:left="1200" w:firstLineChars="200" w:firstLine="480"/>
    </w:pPr>
  </w:style>
  <w:style w:type="paragraph" w:customStyle="1" w:styleId="a7">
    <w:name w:val="令.章"/>
    <w:basedOn w:val="a"/>
    <w:pPr>
      <w:spacing w:line="400" w:lineRule="exact"/>
      <w:ind w:leftChars="800" w:left="1200" w:hangingChars="400" w:hanging="400"/>
    </w:pPr>
    <w:rPr>
      <w:rFonts w:ascii="標楷體"/>
      <w:sz w:val="36"/>
    </w:rPr>
  </w:style>
  <w:style w:type="paragraph" w:customStyle="1" w:styleId="a8">
    <w:name w:val="令.日"/>
    <w:basedOn w:val="a"/>
    <w:pPr>
      <w:jc w:val="right"/>
    </w:pPr>
    <w:rPr>
      <w:rFonts w:ascii="標楷體"/>
    </w:rPr>
  </w:style>
  <w:style w:type="paragraph" w:customStyle="1" w:styleId="14">
    <w:name w:val="特文14"/>
    <w:basedOn w:val="a"/>
    <w:pPr>
      <w:spacing w:line="400" w:lineRule="exact"/>
      <w:ind w:firstLineChars="200" w:firstLine="560"/>
    </w:pPr>
  </w:style>
  <w:style w:type="paragraph" w:customStyle="1" w:styleId="a9">
    <w:name w:val="釋文"/>
    <w:basedOn w:val="a"/>
    <w:pPr>
      <w:ind w:firstLineChars="100" w:firstLine="240"/>
    </w:pPr>
    <w:rPr>
      <w:spacing w:val="16"/>
    </w:rPr>
  </w:style>
  <w:style w:type="paragraph" w:customStyle="1" w:styleId="aa">
    <w:name w:val="祝文"/>
    <w:basedOn w:val="a"/>
    <w:pPr>
      <w:spacing w:after="360" w:line="320" w:lineRule="exact"/>
      <w:ind w:firstLine="510"/>
    </w:pPr>
  </w:style>
  <w:style w:type="paragraph" w:customStyle="1" w:styleId="ab">
    <w:name w:val="專文"/>
    <w:basedOn w:val="a"/>
    <w:pPr>
      <w:ind w:firstLineChars="200" w:firstLine="480"/>
    </w:pPr>
  </w:style>
  <w:style w:type="paragraph" w:customStyle="1" w:styleId="ac">
    <w:name w:val="大法官"/>
    <w:basedOn w:val="a"/>
    <w:pPr>
      <w:ind w:rightChars="200" w:right="560"/>
      <w:jc w:val="right"/>
    </w:pPr>
    <w:rPr>
      <w:lang w:val="zh-TW"/>
    </w:rPr>
  </w:style>
  <w:style w:type="paragraph" w:customStyle="1" w:styleId="ad">
    <w:name w:val="任二"/>
    <w:basedOn w:val="a"/>
    <w:pPr>
      <w:ind w:firstLineChars="200" w:firstLine="200"/>
    </w:pPr>
    <w:rPr>
      <w:color w:val="000000"/>
    </w:rPr>
  </w:style>
  <w:style w:type="paragraph" w:customStyle="1" w:styleId="ae">
    <w:name w:val="特標"/>
    <w:basedOn w:val="a"/>
    <w:pPr>
      <w:spacing w:line="400" w:lineRule="exact"/>
      <w:ind w:leftChars="50" w:left="120" w:rightChars="50" w:right="120"/>
    </w:pPr>
    <w:rPr>
      <w:b/>
      <w:bCs/>
      <w:sz w:val="40"/>
    </w:rPr>
  </w:style>
  <w:style w:type="paragraph" w:customStyle="1" w:styleId="af">
    <w:name w:val="專標"/>
    <w:basedOn w:val="a"/>
    <w:pPr>
      <w:ind w:leftChars="200" w:left="480"/>
    </w:pPr>
    <w:rPr>
      <w:b/>
      <w:bCs/>
      <w:sz w:val="32"/>
    </w:rPr>
  </w:style>
  <w:style w:type="paragraph" w:customStyle="1" w:styleId="1">
    <w:name w:val="令頭1"/>
    <w:basedOn w:val="a"/>
    <w:pPr>
      <w:ind w:firstLineChars="200" w:firstLine="480"/>
    </w:pPr>
  </w:style>
  <w:style w:type="paragraph" w:customStyle="1" w:styleId="2">
    <w:name w:val="令頭2"/>
    <w:basedOn w:val="a"/>
    <w:pPr>
      <w:spacing w:line="400" w:lineRule="exact"/>
      <w:ind w:leftChars="200" w:left="480"/>
    </w:pPr>
    <w:rPr>
      <w:sz w:val="32"/>
    </w:rPr>
  </w:style>
  <w:style w:type="paragraph" w:customStyle="1" w:styleId="--">
    <w:name w:val="--&gt;"/>
    <w:pPr>
      <w:widowControl w:val="0"/>
      <w:adjustRightInd w:val="0"/>
      <w:spacing w:line="360" w:lineRule="atLeast"/>
      <w:textAlignment w:val="baseline"/>
    </w:pPr>
    <w:rPr>
      <w:sz w:val="24"/>
    </w:rPr>
  </w:style>
  <w:style w:type="paragraph" w:customStyle="1" w:styleId="af0">
    <w:name w:val=":("/>
    <w:pPr>
      <w:widowControl w:val="0"/>
      <w:adjustRightInd w:val="0"/>
      <w:spacing w:line="360" w:lineRule="atLeast"/>
      <w:textAlignment w:val="baseline"/>
    </w:pPr>
    <w:rPr>
      <w:sz w:val="24"/>
    </w:rPr>
  </w:style>
  <w:style w:type="paragraph" w:customStyle="1" w:styleId="af1">
    <w:name w:val=":)"/>
    <w:pPr>
      <w:widowControl w:val="0"/>
      <w:adjustRightInd w:val="0"/>
      <w:spacing w:line="360" w:lineRule="atLeast"/>
      <w:textAlignment w:val="baseline"/>
    </w:pPr>
    <w:rPr>
      <w:sz w:val="24"/>
    </w:rPr>
  </w:style>
  <w:style w:type="paragraph" w:customStyle="1" w:styleId="af2">
    <w:name w:val=":|"/>
    <w:pPr>
      <w:widowControl w:val="0"/>
      <w:adjustRightInd w:val="0"/>
      <w:spacing w:line="360" w:lineRule="atLeast"/>
      <w:textAlignment w:val="baseline"/>
    </w:pPr>
    <w:rPr>
      <w:sz w:val="24"/>
    </w:rPr>
  </w:style>
  <w:style w:type="paragraph" w:customStyle="1" w:styleId="-">
    <w:name w:val=":-("/>
    <w:pPr>
      <w:widowControl w:val="0"/>
      <w:adjustRightInd w:val="0"/>
      <w:spacing w:line="360" w:lineRule="atLeast"/>
      <w:textAlignment w:val="baseline"/>
    </w:pPr>
    <w:rPr>
      <w:sz w:val="24"/>
    </w:rPr>
  </w:style>
  <w:style w:type="paragraph" w:customStyle="1" w:styleId="-0">
    <w:name w:val=":-)"/>
    <w:pPr>
      <w:widowControl w:val="0"/>
      <w:adjustRightInd w:val="0"/>
      <w:spacing w:line="360" w:lineRule="atLeast"/>
      <w:textAlignment w:val="baseline"/>
    </w:pPr>
    <w:rPr>
      <w:sz w:val="24"/>
    </w:rPr>
  </w:style>
  <w:style w:type="paragraph" w:customStyle="1" w:styleId="-1">
    <w:name w:val=":-|"/>
    <w:pPr>
      <w:widowControl w:val="0"/>
      <w:adjustRightInd w:val="0"/>
      <w:spacing w:line="360" w:lineRule="atLeast"/>
      <w:textAlignment w:val="baseline"/>
    </w:pPr>
    <w:rPr>
      <w:sz w:val="24"/>
    </w:rPr>
  </w:style>
  <w:style w:type="paragraph" w:customStyle="1" w:styleId="--0">
    <w:name w:val="&lt;--"/>
    <w:pPr>
      <w:widowControl w:val="0"/>
      <w:adjustRightInd w:val="0"/>
      <w:spacing w:line="360" w:lineRule="atLeast"/>
      <w:textAlignment w:val="baseline"/>
    </w:pPr>
    <w:rPr>
      <w:sz w:val="24"/>
    </w:rPr>
  </w:style>
  <w:style w:type="paragraph" w:customStyle="1" w:styleId="af3">
    <w:name w:val="&lt;=="/>
    <w:pPr>
      <w:widowControl w:val="0"/>
      <w:adjustRightInd w:val="0"/>
      <w:spacing w:line="360" w:lineRule="atLeast"/>
      <w:textAlignment w:val="baseline"/>
    </w:pPr>
    <w:rPr>
      <w:sz w:val="24"/>
    </w:rPr>
  </w:style>
  <w:style w:type="paragraph" w:customStyle="1" w:styleId="af4">
    <w:name w:val="&lt;=&gt;"/>
    <w:pPr>
      <w:widowControl w:val="0"/>
      <w:adjustRightInd w:val="0"/>
      <w:spacing w:line="360" w:lineRule="atLeast"/>
      <w:textAlignment w:val="baseline"/>
    </w:pPr>
    <w:rPr>
      <w:sz w:val="24"/>
    </w:rPr>
  </w:style>
  <w:style w:type="paragraph" w:customStyle="1" w:styleId="af5">
    <w:name w:val="==&gt;"/>
    <w:pPr>
      <w:widowControl w:val="0"/>
      <w:adjustRightInd w:val="0"/>
      <w:spacing w:line="360" w:lineRule="atLeast"/>
      <w:textAlignment w:val="baseline"/>
    </w:pPr>
    <w:rPr>
      <w:sz w:val="24"/>
    </w:rPr>
  </w:style>
  <w:style w:type="paragraph" w:customStyle="1" w:styleId="Normal">
    <w:name w:val="Normal"/>
    <w:basedOn w:val="ad"/>
    <w:rPr>
      <w:color w:val="auto"/>
    </w:rPr>
  </w:style>
  <w:style w:type="paragraph" w:customStyle="1" w:styleId="af6">
    <w:name w:val="令.節"/>
    <w:basedOn w:val="a"/>
    <w:pPr>
      <w:spacing w:line="400" w:lineRule="exact"/>
      <w:ind w:leftChars="900" w:left="1300" w:hangingChars="400" w:hanging="400"/>
    </w:pPr>
  </w:style>
  <w:style w:type="paragraph" w:customStyle="1" w:styleId="Salutation">
    <w:name w:val="Salutation"/>
    <w:basedOn w:val="a"/>
    <w:next w:val="a"/>
  </w:style>
  <w:style w:type="paragraph" w:customStyle="1" w:styleId="af7">
    <w:name w:val="新標"/>
    <w:basedOn w:val="a"/>
    <w:pPr>
      <w:ind w:leftChars="200" w:left="480"/>
    </w:pPr>
    <w:rPr>
      <w:b/>
      <w:sz w:val="32"/>
    </w:rPr>
  </w:style>
  <w:style w:type="paragraph" w:customStyle="1" w:styleId="af8">
    <w:name w:val="新文"/>
    <w:basedOn w:val="a"/>
    <w:pPr>
      <w:ind w:firstLineChars="200" w:firstLine="480"/>
    </w:pPr>
  </w:style>
  <w:style w:type="paragraph" w:customStyle="1" w:styleId="10">
    <w:name w:val="令.項1"/>
    <w:basedOn w:val="a"/>
    <w:pPr>
      <w:ind w:leftChars="700" w:left="800" w:hangingChars="100" w:hanging="100"/>
    </w:pPr>
  </w:style>
  <w:style w:type="paragraph" w:customStyle="1" w:styleId="af9">
    <w:name w:val="任二褒揚"/>
    <w:basedOn w:val="a"/>
    <w:next w:val="a"/>
    <w:pPr>
      <w:ind w:firstLineChars="100" w:firstLine="100"/>
    </w:pPr>
  </w:style>
  <w:style w:type="paragraph" w:customStyle="1" w:styleId="afa">
    <w:name w:val="任二授勳"/>
    <w:basedOn w:val="a"/>
    <w:next w:val="a"/>
    <w:pPr>
      <w:ind w:firstLineChars="200" w:firstLine="200"/>
    </w:pPr>
  </w:style>
  <w:style w:type="paragraph" w:customStyle="1" w:styleId="afb">
    <w:name w:val="活動"/>
    <w:basedOn w:val="a"/>
    <w:next w:val="a"/>
    <w:pPr>
      <w:autoSpaceDE w:val="0"/>
      <w:autoSpaceDN w:val="0"/>
      <w:ind w:leftChars="100" w:left="580" w:hangingChars="100" w:hanging="300"/>
    </w:pPr>
    <w:rPr>
      <w:spacing w:val="10"/>
    </w:rPr>
  </w:style>
  <w:style w:type="paragraph" w:customStyle="1" w:styleId="afc">
    <w:name w:val="扁游"/>
    <w:basedOn w:val="a"/>
    <w:pPr>
      <w:spacing w:beforeLines="50" w:before="120"/>
      <w:ind w:rightChars="200" w:right="560"/>
      <w:jc w:val="right"/>
    </w:pPr>
    <w:rPr>
      <w:sz w:val="32"/>
    </w:rPr>
  </w:style>
  <w:style w:type="paragraph" w:styleId="afd">
    <w:name w:val="Date"/>
    <w:basedOn w:val="a"/>
    <w:next w:val="a"/>
    <w:semiHidden/>
    <w:pPr>
      <w:jc w:val="right"/>
    </w:pPr>
    <w:rPr>
      <w:spacing w:val="6"/>
    </w:rPr>
  </w:style>
  <w:style w:type="paragraph" w:customStyle="1" w:styleId="2032">
    <w:name w:val="標楷2032"/>
    <w:pPr>
      <w:widowControl w:val="0"/>
      <w:tabs>
        <w:tab w:val="left" w:pos="7031"/>
        <w:tab w:val="left" w:pos="10546"/>
      </w:tabs>
      <w:spacing w:line="640" w:lineRule="exact"/>
      <w:jc w:val="both"/>
    </w:pPr>
    <w:rPr>
      <w:rFonts w:eastAsia="標楷體"/>
      <w:noProof/>
      <w:sz w:val="40"/>
    </w:rPr>
  </w:style>
  <w:style w:type="paragraph" w:customStyle="1" w:styleId="afe">
    <w:name w:val="標題一"/>
    <w:basedOn w:val="a"/>
    <w:pPr>
      <w:adjustRightInd/>
      <w:spacing w:line="240" w:lineRule="auto"/>
      <w:jc w:val="left"/>
      <w:textAlignment w:val="auto"/>
    </w:pPr>
    <w:rPr>
      <w:rFonts w:ascii="超研澤粗楷" w:eastAsia="超研澤粗楷"/>
      <w:kern w:val="2"/>
      <w:sz w:val="32"/>
    </w:rPr>
  </w:style>
  <w:style w:type="paragraph" w:styleId="20">
    <w:name w:val="Body Text Indent 2"/>
    <w:basedOn w:val="a"/>
    <w:semiHidden/>
    <w:pPr>
      <w:adjustRightInd/>
      <w:spacing w:line="240" w:lineRule="auto"/>
      <w:ind w:firstLine="318"/>
      <w:jc w:val="left"/>
      <w:textAlignment w:val="auto"/>
    </w:pPr>
    <w:rPr>
      <w:rFonts w:ascii="文鼎粗楷" w:eastAsia="文鼎粗楷"/>
      <w:kern w:val="2"/>
      <w:sz w:val="32"/>
      <w:szCs w:val="24"/>
    </w:rPr>
  </w:style>
  <w:style w:type="paragraph" w:customStyle="1" w:styleId="aff">
    <w:name w:val="民事裁判"/>
    <w:basedOn w:val="a"/>
    <w:pPr>
      <w:adjustRightInd/>
      <w:spacing w:before="240" w:after="240" w:line="240" w:lineRule="auto"/>
      <w:ind w:left="958"/>
      <w:jc w:val="left"/>
      <w:textAlignment w:val="auto"/>
    </w:pPr>
    <w:rPr>
      <w:rFonts w:ascii="華康粗黑體(P)" w:eastAsia="華康粗黑體(P)"/>
      <w:kern w:val="2"/>
      <w:sz w:val="32"/>
      <w:szCs w:val="24"/>
    </w:rPr>
  </w:style>
  <w:style w:type="paragraph" w:styleId="3">
    <w:name w:val="Body Text Indent 3"/>
    <w:basedOn w:val="a"/>
    <w:semiHidden/>
    <w:pPr>
      <w:adjustRightInd/>
      <w:spacing w:line="240" w:lineRule="auto"/>
      <w:ind w:left="1492" w:hanging="851"/>
      <w:textAlignment w:val="auto"/>
    </w:pPr>
    <w:rPr>
      <w:rFonts w:eastAsia="文鼎粗楷"/>
      <w:kern w:val="2"/>
      <w:szCs w:val="24"/>
    </w:rPr>
  </w:style>
  <w:style w:type="paragraph" w:customStyle="1" w:styleId="aff0">
    <w:name w:val="上訴人"/>
    <w:basedOn w:val="a"/>
    <w:pPr>
      <w:adjustRightInd/>
      <w:spacing w:line="240" w:lineRule="auto"/>
      <w:ind w:left="4480" w:hanging="3840"/>
      <w:jc w:val="left"/>
      <w:textAlignment w:val="auto"/>
    </w:pPr>
    <w:rPr>
      <w:rFonts w:ascii="文鼎粗楷" w:eastAsia="文鼎粗楷"/>
      <w:kern w:val="2"/>
      <w:sz w:val="32"/>
      <w:szCs w:val="24"/>
    </w:rPr>
  </w:style>
  <w:style w:type="paragraph" w:styleId="aff1">
    <w:name w:val="Body Text Indent"/>
    <w:basedOn w:val="a"/>
    <w:semiHidden/>
    <w:pPr>
      <w:spacing w:line="440" w:lineRule="exact"/>
      <w:ind w:firstLine="318"/>
    </w:pPr>
    <w:rPr>
      <w:rFonts w:ascii="標楷體"/>
      <w:spacing w:val="16"/>
    </w:rPr>
  </w:style>
  <w:style w:type="paragraph" w:customStyle="1" w:styleId="aff2">
    <w:name w:val="條"/>
    <w:basedOn w:val="a"/>
    <w:pPr>
      <w:kinsoku w:val="0"/>
      <w:overflowPunct w:val="0"/>
      <w:autoSpaceDE w:val="0"/>
      <w:autoSpaceDN w:val="0"/>
      <w:adjustRightInd/>
      <w:spacing w:line="240" w:lineRule="auto"/>
      <w:ind w:left="500" w:hangingChars="500" w:hanging="500"/>
      <w:textAlignment w:val="center"/>
    </w:pPr>
    <w:rPr>
      <w:rFonts w:ascii="華康細明體" w:eastAsia="華康細明體" w:hAnsi="細明體"/>
      <w:bCs/>
      <w:kern w:val="2"/>
      <w:sz w:val="21"/>
      <w:szCs w:val="24"/>
    </w:rPr>
  </w:style>
  <w:style w:type="paragraph" w:customStyle="1" w:styleId="11">
    <w:name w:val="條1"/>
    <w:basedOn w:val="a"/>
    <w:next w:val="a"/>
    <w:pPr>
      <w:kinsoku w:val="0"/>
      <w:overflowPunct w:val="0"/>
      <w:autoSpaceDE w:val="0"/>
      <w:autoSpaceDN w:val="0"/>
      <w:adjustRightInd/>
      <w:spacing w:line="240" w:lineRule="auto"/>
      <w:ind w:left="375" w:hangingChars="375" w:hanging="375"/>
      <w:textAlignment w:val="center"/>
    </w:pPr>
    <w:rPr>
      <w:rFonts w:ascii="華康細明體" w:eastAsia="華康細明體"/>
      <w:kern w:val="2"/>
      <w:sz w:val="21"/>
      <w:szCs w:val="24"/>
    </w:rPr>
  </w:style>
  <w:style w:type="paragraph" w:customStyle="1" w:styleId="aff3">
    <w:name w:val="條文內文"/>
    <w:basedOn w:val="a"/>
    <w:next w:val="a"/>
    <w:pPr>
      <w:kinsoku w:val="0"/>
      <w:overflowPunct w:val="0"/>
      <w:autoSpaceDE w:val="0"/>
      <w:autoSpaceDN w:val="0"/>
      <w:adjustRightInd/>
      <w:spacing w:line="240" w:lineRule="auto"/>
      <w:ind w:leftChars="500" w:left="500" w:firstLineChars="200" w:firstLine="200"/>
      <w:textAlignment w:val="center"/>
    </w:pPr>
    <w:rPr>
      <w:rFonts w:ascii="華康細明體" w:eastAsia="華康細明體"/>
      <w:kern w:val="2"/>
      <w:sz w:val="21"/>
      <w:szCs w:val="24"/>
    </w:rPr>
  </w:style>
  <w:style w:type="paragraph" w:customStyle="1" w:styleId="12">
    <w:name w:val="條文內文1"/>
    <w:basedOn w:val="a"/>
    <w:next w:val="a"/>
    <w:pPr>
      <w:kinsoku w:val="0"/>
      <w:overflowPunct w:val="0"/>
      <w:autoSpaceDE w:val="0"/>
      <w:autoSpaceDN w:val="0"/>
      <w:adjustRightInd/>
      <w:spacing w:line="240" w:lineRule="auto"/>
      <w:ind w:leftChars="500" w:left="500" w:firstLineChars="200" w:firstLine="200"/>
      <w:textAlignment w:val="center"/>
    </w:pPr>
    <w:rPr>
      <w:rFonts w:ascii="華康細明體" w:eastAsia="華康細明體"/>
      <w:kern w:val="2"/>
      <w:sz w:val="21"/>
      <w:szCs w:val="24"/>
    </w:rPr>
  </w:style>
  <w:style w:type="paragraph" w:styleId="HTML">
    <w:name w:val="HTML Preformatted"/>
    <w:basedOn w:val="a"/>
    <w:semiHidden/>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djustRightInd/>
      <w:spacing w:line="240" w:lineRule="auto"/>
      <w:jc w:val="left"/>
      <w:textAlignment w:val="auto"/>
    </w:pPr>
    <w:rPr>
      <w:rFonts w:ascii="細明體" w:eastAsia="細明體" w:hAnsi="Courier New" w:cs="Courier New"/>
      <w:sz w:val="20"/>
    </w:rPr>
  </w:style>
  <w:style w:type="paragraph" w:styleId="Web">
    <w:name w:val="Normal (Web)"/>
    <w:basedOn w:val="a"/>
    <w:semiHidden/>
    <w:pPr>
      <w:widowControl/>
      <w:adjustRightInd/>
      <w:spacing w:before="100" w:beforeAutospacing="1" w:after="100" w:afterAutospacing="1" w:line="240" w:lineRule="auto"/>
      <w:jc w:val="left"/>
      <w:textAlignment w:val="auto"/>
    </w:pPr>
    <w:rPr>
      <w:rFonts w:ascii="Arial Unicode MS" w:eastAsia="Times New Roman" w:hAnsi="Arial Unicode MS"/>
      <w:sz w:val="24"/>
      <w:szCs w:val="24"/>
    </w:rPr>
  </w:style>
  <w:style w:type="paragraph" w:styleId="30">
    <w:name w:val="Body Text 3"/>
    <w:basedOn w:val="a"/>
    <w:semiHidden/>
    <w:pPr>
      <w:spacing w:line="240" w:lineRule="exact"/>
    </w:pPr>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WINDOWS\Temporary%20Internet%20Files\Content.IE5\S9YRSHQZ\5361.dot" TargetMode="Externa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5361.dot</Template>
  <TotalTime>2</TotalTime>
  <Pages>19</Pages>
  <Words>1688</Words>
  <Characters>9624</Characters>
  <Application>Microsoft Office Word</Application>
  <DocSecurity>0</DocSecurity>
  <Lines>80</Lines>
  <Paragraphs>22</Paragraphs>
  <ScaleCrop>false</ScaleCrop>
  <Company>總統府</Company>
  <LinksUpToDate>false</LinksUpToDate>
  <CharactersWithSpaces>11290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目　　　　錄</dc:title>
  <dc:subject/>
  <dc:creator>oop</dc:creator>
  <cp:keywords/>
  <dc:description/>
  <cp:lastModifiedBy>李靜宜.</cp:lastModifiedBy>
  <cp:revision>2</cp:revision>
  <cp:lastPrinted>2005-02-17T03:53:00Z</cp:lastPrinted>
  <dcterms:created xsi:type="dcterms:W3CDTF">2021-12-20T08:32:00Z</dcterms:created>
  <dcterms:modified xsi:type="dcterms:W3CDTF">2021-12-20T08:32:00Z</dcterms:modified>
</cp:coreProperties>
</file>